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仿宋_GB2312"/>
          <w:color w:val="0D0D0D" w:themeColor="text1" w:themeTint="F2"/>
          <w:sz w:val="36"/>
          <w:szCs w:val="36"/>
          <w14:textFill>
            <w14:solidFill>
              <w14:schemeClr w14:val="tx1">
                <w14:lumMod w14:val="95000"/>
                <w14:lumOff w14:val="5000"/>
              </w14:schemeClr>
            </w14:solidFill>
          </w14:textFill>
        </w:rPr>
      </w:pPr>
    </w:p>
    <w:p>
      <w:pPr>
        <w:rPr>
          <w:rFonts w:cs="仿宋_GB2312"/>
          <w:color w:val="0D0D0D" w:themeColor="text1" w:themeTint="F2"/>
          <w:sz w:val="36"/>
          <w:szCs w:val="36"/>
          <w14:textFill>
            <w14:solidFill>
              <w14:schemeClr w14:val="tx1">
                <w14:lumMod w14:val="95000"/>
                <w14:lumOff w14:val="5000"/>
              </w14:schemeClr>
            </w14:solidFill>
          </w14:textFill>
        </w:rPr>
      </w:pPr>
    </w:p>
    <w:p>
      <w:pPr>
        <w:rPr>
          <w:rFonts w:cs="仿宋_GB2312"/>
          <w:color w:val="0D0D0D" w:themeColor="text1" w:themeTint="F2"/>
          <w:sz w:val="36"/>
          <w:szCs w:val="36"/>
          <w14:textFill>
            <w14:solidFill>
              <w14:schemeClr w14:val="tx1">
                <w14:lumMod w14:val="95000"/>
                <w14:lumOff w14:val="5000"/>
              </w14:schemeClr>
            </w14:solidFill>
          </w14:textFill>
        </w:rPr>
      </w:pPr>
    </w:p>
    <w:p>
      <w:pPr>
        <w:ind w:firstLine="720" w:firstLineChars="200"/>
        <w:rPr>
          <w:rFonts w:cs="仿宋_GB2312"/>
          <w:color w:val="0D0D0D" w:themeColor="text1" w:themeTint="F2"/>
          <w:sz w:val="36"/>
          <w:szCs w:val="36"/>
          <w14:textFill>
            <w14:solidFill>
              <w14:schemeClr w14:val="tx1">
                <w14:lumMod w14:val="95000"/>
                <w14:lumOff w14:val="5000"/>
              </w14:schemeClr>
            </w14:solidFill>
          </w14:textFill>
        </w:rPr>
      </w:pPr>
    </w:p>
    <w:p>
      <w:pPr>
        <w:rPr>
          <w:rFonts w:cs="仿宋_GB2312"/>
          <w:color w:val="0D0D0D" w:themeColor="text1" w:themeTint="F2"/>
          <w:sz w:val="36"/>
          <w:szCs w:val="36"/>
          <w14:textFill>
            <w14:solidFill>
              <w14:schemeClr w14:val="tx1">
                <w14:lumMod w14:val="95000"/>
                <w14:lumOff w14:val="5000"/>
              </w14:schemeClr>
            </w14:solidFill>
          </w14:textFill>
        </w:rPr>
      </w:pPr>
    </w:p>
    <w:p>
      <w:pPr>
        <w:rPr>
          <w:rFonts w:cs="仿宋_GB2312"/>
          <w:color w:val="0D0D0D" w:themeColor="text1" w:themeTint="F2"/>
          <w:sz w:val="36"/>
          <w:szCs w:val="36"/>
          <w14:textFill>
            <w14:solidFill>
              <w14:schemeClr w14:val="tx1">
                <w14:lumMod w14:val="95000"/>
                <w14:lumOff w14:val="5000"/>
              </w14:schemeClr>
            </w14:solidFill>
          </w14:textFill>
        </w:rPr>
      </w:pPr>
    </w:p>
    <w:p>
      <w:pPr>
        <w:adjustRightInd w:val="0"/>
        <w:snapToGrid w:val="0"/>
        <w:jc w:val="center"/>
        <w:outlineLvl w:val="0"/>
        <w:rPr>
          <w:b/>
          <w:bCs/>
          <w:color w:val="0D0D0D" w:themeColor="text1" w:themeTint="F2"/>
          <w:sz w:val="72"/>
          <w:szCs w:val="72"/>
          <w14:textFill>
            <w14:solidFill>
              <w14:schemeClr w14:val="tx1">
                <w14:lumMod w14:val="95000"/>
                <w14:lumOff w14:val="5000"/>
              </w14:schemeClr>
            </w14:solidFill>
          </w14:textFill>
        </w:rPr>
      </w:pPr>
      <w:r>
        <w:rPr>
          <w:rFonts w:hint="eastAsia"/>
          <w:b/>
          <w:bCs/>
          <w:color w:val="0D0D0D" w:themeColor="text1" w:themeTint="F2"/>
          <w:sz w:val="72"/>
          <w:szCs w:val="72"/>
          <w14:textFill>
            <w14:solidFill>
              <w14:schemeClr w14:val="tx1">
                <w14:lumMod w14:val="95000"/>
                <w14:lumOff w14:val="5000"/>
              </w14:schemeClr>
            </w14:solidFill>
          </w14:textFill>
        </w:rPr>
        <w:t>建设项目环境影响报告表</w:t>
      </w:r>
    </w:p>
    <w:p>
      <w:pPr>
        <w:adjustRightInd w:val="0"/>
        <w:snapToGrid w:val="0"/>
        <w:spacing w:before="192" w:beforeLines="80"/>
        <w:jc w:val="center"/>
        <w:rPr>
          <w:rFonts w:ascii="楷体" w:hAnsi="楷体" w:eastAsia="楷体"/>
          <w:bCs/>
          <w:color w:val="0D0D0D" w:themeColor="text1" w:themeTint="F2"/>
          <w:sz w:val="48"/>
          <w:szCs w:val="48"/>
          <w14:textFill>
            <w14:solidFill>
              <w14:schemeClr w14:val="tx1">
                <w14:lumMod w14:val="95000"/>
                <w14:lumOff w14:val="5000"/>
              </w14:schemeClr>
            </w14:solidFill>
          </w14:textFill>
        </w:rPr>
      </w:pPr>
      <w:r>
        <w:rPr>
          <w:rFonts w:hint="eastAsia" w:ascii="楷体" w:hAnsi="楷体" w:eastAsia="楷体"/>
          <w:bCs/>
          <w:color w:val="0D0D0D" w:themeColor="text1" w:themeTint="F2"/>
          <w:sz w:val="48"/>
          <w:szCs w:val="48"/>
          <w14:textFill>
            <w14:solidFill>
              <w14:schemeClr w14:val="tx1">
                <w14:lumMod w14:val="95000"/>
                <w14:lumOff w14:val="5000"/>
              </w14:schemeClr>
            </w14:solidFill>
          </w14:textFill>
        </w:rPr>
        <w:t>（污染影响类）</w:t>
      </w:r>
    </w:p>
    <w:p>
      <w:pPr>
        <w:rPr>
          <w:color w:val="0D0D0D" w:themeColor="text1" w:themeTint="F2"/>
          <w:sz w:val="44"/>
          <w:szCs w:val="44"/>
          <w14:textFill>
            <w14:solidFill>
              <w14:schemeClr w14:val="tx1">
                <w14:lumMod w14:val="95000"/>
                <w14:lumOff w14:val="5000"/>
              </w14:schemeClr>
            </w14:solidFill>
          </w14:textFill>
        </w:rPr>
      </w:pPr>
    </w:p>
    <w:p>
      <w:pPr>
        <w:ind w:firstLine="1040"/>
        <w:rPr>
          <w:color w:val="0D0D0D" w:themeColor="text1" w:themeTint="F2"/>
          <w:sz w:val="44"/>
          <w:szCs w:val="44"/>
          <w14:textFill>
            <w14:solidFill>
              <w14:schemeClr w14:val="tx1">
                <w14:lumMod w14:val="95000"/>
                <w14:lumOff w14:val="5000"/>
              </w14:schemeClr>
            </w14:solidFill>
          </w14:textFill>
        </w:rPr>
      </w:pPr>
    </w:p>
    <w:p>
      <w:pPr>
        <w:ind w:firstLine="1040"/>
        <w:rPr>
          <w:color w:val="0D0D0D" w:themeColor="text1" w:themeTint="F2"/>
          <w:sz w:val="44"/>
          <w:szCs w:val="44"/>
          <w14:textFill>
            <w14:solidFill>
              <w14:schemeClr w14:val="tx1">
                <w14:lumMod w14:val="95000"/>
                <w14:lumOff w14:val="5000"/>
              </w14:schemeClr>
            </w14:solidFill>
          </w14:textFill>
        </w:rPr>
      </w:pPr>
    </w:p>
    <w:p>
      <w:pPr>
        <w:adjustRightInd w:val="0"/>
        <w:snapToGrid w:val="0"/>
        <w:spacing w:line="360" w:lineRule="auto"/>
        <w:rPr>
          <w:color w:val="0D0D0D" w:themeColor="text1" w:themeTint="F2"/>
          <w:sz w:val="44"/>
          <w:szCs w:val="44"/>
          <w14:textFill>
            <w14:solidFill>
              <w14:schemeClr w14:val="tx1">
                <w14:lumMod w14:val="95000"/>
                <w14:lumOff w14:val="5000"/>
              </w14:schemeClr>
            </w14:solidFill>
          </w14:textFill>
        </w:rPr>
      </w:pPr>
    </w:p>
    <w:p>
      <w:pPr>
        <w:pStyle w:val="76"/>
        <w:rPr>
          <w:color w:val="0D0D0D" w:themeColor="text1" w:themeTint="F2"/>
          <w:sz w:val="44"/>
          <w:szCs w:val="44"/>
          <w14:textFill>
            <w14:solidFill>
              <w14:schemeClr w14:val="tx1">
                <w14:lumMod w14:val="95000"/>
                <w14:lumOff w14:val="5000"/>
              </w14:schemeClr>
            </w14:solidFill>
          </w14:textFill>
        </w:rPr>
      </w:pPr>
    </w:p>
    <w:p>
      <w:pPr>
        <w:rPr>
          <w:color w:val="0D0D0D" w:themeColor="text1" w:themeTint="F2"/>
          <w:sz w:val="44"/>
          <w:szCs w:val="44"/>
          <w14:textFill>
            <w14:solidFill>
              <w14:schemeClr w14:val="tx1">
                <w14:lumMod w14:val="95000"/>
                <w14:lumOff w14:val="5000"/>
              </w14:schemeClr>
            </w14:solidFill>
          </w14:textFill>
        </w:rPr>
      </w:pPr>
    </w:p>
    <w:p>
      <w:pPr>
        <w:pStyle w:val="76"/>
      </w:pPr>
    </w:p>
    <w:p>
      <w:pPr>
        <w:adjustRightInd w:val="0"/>
        <w:snapToGrid w:val="0"/>
        <w:spacing w:line="360" w:lineRule="auto"/>
        <w:rPr>
          <w:color w:val="0D0D0D" w:themeColor="text1" w:themeTint="F2"/>
          <w:sz w:val="44"/>
          <w:szCs w:val="44"/>
          <w14:textFill>
            <w14:solidFill>
              <w14:schemeClr w14:val="tx1">
                <w14:lumMod w14:val="95000"/>
                <w14:lumOff w14:val="5000"/>
              </w14:schemeClr>
            </w14:solidFill>
          </w14:textFill>
        </w:rPr>
      </w:pPr>
    </w:p>
    <w:tbl>
      <w:tblPr>
        <w:tblStyle w:val="59"/>
        <w:tblW w:w="4911"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03"/>
        <w:gridCol w:w="5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8" w:hRule="atLeast"/>
          <w:jc w:val="center"/>
        </w:trPr>
        <w:tc>
          <w:tcPr>
            <w:tcW w:w="3003" w:type="dxa"/>
            <w:shd w:val="clear" w:color="auto" w:fill="auto"/>
            <w:vAlign w:val="top"/>
          </w:tcPr>
          <w:p>
            <w:pPr>
              <w:pStyle w:val="54"/>
              <w:keepNext w:val="0"/>
              <w:keepLines w:val="0"/>
              <w:widowControl w:val="0"/>
              <w:suppressLineNumbers w:val="0"/>
              <w:spacing w:before="0" w:beforeLines="0" w:beforeAutospacing="0" w:after="120" w:afterLines="0" w:afterAutospacing="0"/>
              <w:ind w:left="0" w:right="0" w:firstLine="0" w:firstLineChars="0"/>
              <w:jc w:val="both"/>
              <w:rPr>
                <w:rFonts w:hint="eastAsia" w:ascii="Times New Roman" w:hAnsi="Times New Roman" w:eastAsia="宋体" w:cs="Times New Roman"/>
                <w:kern w:val="2"/>
                <w:sz w:val="36"/>
                <w:szCs w:val="36"/>
              </w:rPr>
            </w:pPr>
            <w:bookmarkStart w:id="0" w:name="_Hlk57884087"/>
            <w:r>
              <w:rPr>
                <w:rFonts w:hint="eastAsia" w:ascii="仿宋" w:hAnsi="仿宋" w:eastAsia="仿宋" w:cs="仿宋"/>
                <w:kern w:val="2"/>
                <w:sz w:val="36"/>
                <w:szCs w:val="36"/>
                <w:lang w:val="en-US" w:eastAsia="zh-CN" w:bidi="ar"/>
              </w:rPr>
              <w:t>项目名称：</w:t>
            </w:r>
          </w:p>
        </w:tc>
        <w:tc>
          <w:tcPr>
            <w:tcW w:w="5896" w:type="dxa"/>
            <w:shd w:val="clear" w:color="auto" w:fill="auto"/>
            <w:vAlign w:val="center"/>
          </w:tcPr>
          <w:p>
            <w:pPr>
              <w:pStyle w:val="54"/>
              <w:keepNext w:val="0"/>
              <w:keepLines w:val="0"/>
              <w:widowControl w:val="0"/>
              <w:suppressLineNumbers w:val="0"/>
              <w:spacing w:before="0" w:beforeLines="0" w:beforeAutospacing="0" w:after="120" w:afterLines="0" w:afterAutospacing="0"/>
              <w:ind w:left="0" w:right="0"/>
              <w:jc w:val="both"/>
              <w:rPr>
                <w:rFonts w:hint="default" w:ascii="Times New Roman" w:hAnsi="Times New Roman" w:eastAsia="宋体" w:cs="Times New Roman"/>
                <w:kern w:val="2"/>
                <w:sz w:val="36"/>
                <w:szCs w:val="36"/>
                <w:u w:val="single"/>
                <w:lang w:val="en-US"/>
              </w:rPr>
            </w:pPr>
            <w:r>
              <w:rPr>
                <w:rFonts w:hint="eastAsia" w:ascii="仿宋" w:hAnsi="仿宋" w:eastAsia="仿宋" w:cs="仿宋"/>
                <w:kern w:val="2"/>
                <w:sz w:val="36"/>
                <w:szCs w:val="36"/>
                <w:u w:val="single"/>
                <w:lang w:val="en-US" w:eastAsia="zh-CN" w:bidi="ar"/>
              </w:rPr>
              <w:t xml:space="preserve">年产20万件汽车铝合金零部件项目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jc w:val="center"/>
        </w:trPr>
        <w:tc>
          <w:tcPr>
            <w:tcW w:w="3003" w:type="dxa"/>
            <w:shd w:val="clear" w:color="auto" w:fill="auto"/>
            <w:vAlign w:val="top"/>
          </w:tcPr>
          <w:p>
            <w:pPr>
              <w:pStyle w:val="54"/>
              <w:keepNext w:val="0"/>
              <w:keepLines w:val="0"/>
              <w:widowControl w:val="0"/>
              <w:suppressLineNumbers w:val="0"/>
              <w:spacing w:before="0" w:beforeLines="0" w:beforeAutospacing="0" w:after="120" w:afterLines="0" w:afterAutospacing="0"/>
              <w:ind w:left="0" w:right="0" w:firstLine="0" w:firstLineChars="0"/>
              <w:jc w:val="both"/>
              <w:rPr>
                <w:rFonts w:hint="eastAsia" w:ascii="Times New Roman" w:hAnsi="Times New Roman" w:eastAsia="宋体" w:cs="Times New Roman"/>
                <w:kern w:val="2"/>
                <w:sz w:val="36"/>
                <w:szCs w:val="36"/>
              </w:rPr>
            </w:pPr>
            <w:r>
              <w:rPr>
                <w:rFonts w:hint="eastAsia" w:ascii="仿宋" w:hAnsi="仿宋" w:eastAsia="仿宋" w:cs="仿宋"/>
                <w:kern w:val="2"/>
                <w:sz w:val="36"/>
                <w:szCs w:val="36"/>
                <w:lang w:val="en-US" w:eastAsia="zh-CN" w:bidi="ar"/>
              </w:rPr>
              <w:t>建设单位（盖章）：</w:t>
            </w:r>
          </w:p>
        </w:tc>
        <w:tc>
          <w:tcPr>
            <w:tcW w:w="5896" w:type="dxa"/>
            <w:shd w:val="clear" w:color="auto" w:fill="auto"/>
            <w:vAlign w:val="center"/>
          </w:tcPr>
          <w:p>
            <w:pPr>
              <w:pStyle w:val="54"/>
              <w:keepNext w:val="0"/>
              <w:keepLines w:val="0"/>
              <w:widowControl w:val="0"/>
              <w:suppressLineNumbers w:val="0"/>
              <w:spacing w:before="0" w:beforeLines="0" w:beforeAutospacing="0" w:after="120" w:afterLines="0" w:afterAutospacing="0"/>
              <w:ind w:left="0" w:right="0" w:firstLine="0" w:firstLineChars="0"/>
              <w:jc w:val="both"/>
              <w:rPr>
                <w:rFonts w:hint="default" w:ascii="Times New Roman" w:hAnsi="Times New Roman" w:eastAsia="宋体" w:cs="Times New Roman"/>
                <w:kern w:val="2"/>
                <w:sz w:val="36"/>
                <w:szCs w:val="36"/>
                <w:u w:val="single"/>
                <w:lang w:val="en-US"/>
              </w:rPr>
            </w:pPr>
            <w:r>
              <w:rPr>
                <w:rFonts w:hint="eastAsia" w:ascii="仿宋" w:hAnsi="仿宋" w:eastAsia="仿宋" w:cs="仿宋"/>
                <w:kern w:val="2"/>
                <w:sz w:val="36"/>
                <w:szCs w:val="36"/>
                <w:u w:val="single"/>
                <w:lang w:val="en-US" w:eastAsia="zh-CN" w:bidi="ar"/>
              </w:rPr>
              <w:t xml:space="preserve">      芜湖意斯特精机有限公司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jc w:val="center"/>
        </w:trPr>
        <w:tc>
          <w:tcPr>
            <w:tcW w:w="3003" w:type="dxa"/>
            <w:shd w:val="clear" w:color="auto" w:fill="auto"/>
            <w:vAlign w:val="top"/>
          </w:tcPr>
          <w:p>
            <w:pPr>
              <w:pStyle w:val="54"/>
              <w:keepNext w:val="0"/>
              <w:keepLines w:val="0"/>
              <w:widowControl w:val="0"/>
              <w:suppressLineNumbers w:val="0"/>
              <w:spacing w:before="0" w:beforeLines="0" w:beforeAutospacing="0" w:after="120" w:afterLines="0" w:afterAutospacing="0"/>
              <w:ind w:left="0" w:right="0" w:firstLine="0" w:firstLineChars="0"/>
              <w:jc w:val="both"/>
              <w:rPr>
                <w:rFonts w:hint="eastAsia" w:ascii="Times New Roman" w:hAnsi="Times New Roman" w:eastAsia="宋体" w:cs="Times New Roman"/>
                <w:kern w:val="2"/>
                <w:sz w:val="36"/>
                <w:szCs w:val="36"/>
              </w:rPr>
            </w:pPr>
            <w:r>
              <w:rPr>
                <w:rFonts w:hint="eastAsia" w:ascii="仿宋" w:hAnsi="仿宋" w:eastAsia="仿宋" w:cs="仿宋"/>
                <w:kern w:val="2"/>
                <w:sz w:val="36"/>
                <w:szCs w:val="36"/>
                <w:lang w:val="en-US" w:eastAsia="zh-CN" w:bidi="ar"/>
              </w:rPr>
              <w:t>编制日期：</w:t>
            </w:r>
          </w:p>
        </w:tc>
        <w:tc>
          <w:tcPr>
            <w:tcW w:w="5896" w:type="dxa"/>
            <w:tcBorders>
              <w:bottom w:val="single" w:color="auto" w:sz="4" w:space="0"/>
            </w:tcBorders>
            <w:shd w:val="clear" w:color="auto" w:fill="auto"/>
            <w:vAlign w:val="center"/>
          </w:tcPr>
          <w:p>
            <w:pPr>
              <w:pStyle w:val="54"/>
              <w:keepNext w:val="0"/>
              <w:keepLines w:val="0"/>
              <w:widowControl w:val="0"/>
              <w:suppressLineNumbers w:val="0"/>
              <w:spacing w:before="0" w:beforeLines="0" w:beforeAutospacing="0" w:after="120" w:afterLines="0" w:afterAutospacing="0"/>
              <w:ind w:left="0" w:right="0" w:firstLine="0" w:firstLineChars="0"/>
              <w:jc w:val="center"/>
              <w:rPr>
                <w:rFonts w:hint="eastAsia" w:ascii="Times New Roman" w:hAnsi="Times New Roman" w:eastAsia="宋体" w:cs="Times New Roman"/>
                <w:kern w:val="2"/>
                <w:sz w:val="36"/>
                <w:szCs w:val="36"/>
              </w:rPr>
            </w:pPr>
            <w:r>
              <w:rPr>
                <w:rFonts w:hint="default" w:ascii="Times New Roman" w:hAnsi="Times New Roman" w:eastAsia="宋体" w:cs="Times New Roman"/>
                <w:kern w:val="2"/>
                <w:sz w:val="36"/>
                <w:szCs w:val="36"/>
                <w:u w:val="none"/>
                <w:lang w:val="en-US" w:eastAsia="zh-CN" w:bidi="ar"/>
              </w:rPr>
              <w:t>2024</w:t>
            </w:r>
            <w:r>
              <w:rPr>
                <w:rFonts w:hint="eastAsia" w:ascii="仿宋" w:hAnsi="仿宋" w:eastAsia="仿宋" w:cs="仿宋"/>
                <w:kern w:val="2"/>
                <w:sz w:val="36"/>
                <w:szCs w:val="36"/>
                <w:u w:val="none"/>
                <w:lang w:val="en-US" w:eastAsia="zh-CN" w:bidi="ar"/>
              </w:rPr>
              <w:t>年</w:t>
            </w:r>
            <w:r>
              <w:rPr>
                <w:rFonts w:hint="eastAsia" w:ascii="Times New Roman" w:hAnsi="Times New Roman" w:eastAsia="仿宋" w:cs="Times New Roman"/>
                <w:kern w:val="2"/>
                <w:sz w:val="36"/>
                <w:szCs w:val="36"/>
                <w:u w:val="none"/>
                <w:lang w:val="en-US" w:eastAsia="zh-CN" w:bidi="ar"/>
              </w:rPr>
              <w:t>5</w:t>
            </w:r>
            <w:r>
              <w:rPr>
                <w:rFonts w:hint="eastAsia" w:ascii="仿宋" w:hAnsi="仿宋" w:eastAsia="仿宋" w:cs="仿宋"/>
                <w:kern w:val="2"/>
                <w:sz w:val="36"/>
                <w:szCs w:val="36"/>
                <w:u w:val="none"/>
                <w:lang w:val="en-US" w:eastAsia="zh-CN" w:bidi="ar"/>
              </w:rPr>
              <w:t>月</w:t>
            </w:r>
          </w:p>
        </w:tc>
      </w:tr>
    </w:tbl>
    <w:p>
      <w:pPr>
        <w:adjustRightInd w:val="0"/>
        <w:snapToGrid w:val="0"/>
        <w:spacing w:line="288" w:lineRule="auto"/>
        <w:ind w:firstLine="1040"/>
        <w:rPr>
          <w:color w:val="0D0D0D" w:themeColor="text1" w:themeTint="F2"/>
          <w:sz w:val="36"/>
          <w:szCs w:val="36"/>
          <w:u w:val="single"/>
          <w14:textFill>
            <w14:solidFill>
              <w14:schemeClr w14:val="tx1">
                <w14:lumMod w14:val="95000"/>
                <w14:lumOff w14:val="5000"/>
              </w14:schemeClr>
            </w14:solidFill>
          </w14:textFill>
        </w:rPr>
      </w:pPr>
    </w:p>
    <w:p>
      <w:pPr>
        <w:adjustRightInd w:val="0"/>
        <w:snapToGrid w:val="0"/>
        <w:spacing w:line="288" w:lineRule="auto"/>
        <w:rPr>
          <w:color w:val="0D0D0D" w:themeColor="text1" w:themeTint="F2"/>
          <w:sz w:val="36"/>
          <w:szCs w:val="36"/>
          <w14:textFill>
            <w14:solidFill>
              <w14:schemeClr w14:val="tx1">
                <w14:lumMod w14:val="95000"/>
                <w14:lumOff w14:val="5000"/>
              </w14:schemeClr>
            </w14:solidFill>
          </w14:textFill>
        </w:rPr>
      </w:pPr>
    </w:p>
    <w:p>
      <w:pPr>
        <w:pStyle w:val="76"/>
      </w:pPr>
    </w:p>
    <w:p>
      <w:pPr>
        <w:adjustRightInd w:val="0"/>
        <w:snapToGrid w:val="0"/>
        <w:spacing w:line="288" w:lineRule="auto"/>
        <w:ind w:firstLine="1040"/>
        <w:rPr>
          <w:color w:val="0D0D0D" w:themeColor="text1" w:themeTint="F2"/>
          <w:sz w:val="36"/>
          <w:szCs w:val="36"/>
          <w14:textFill>
            <w14:solidFill>
              <w14:schemeClr w14:val="tx1">
                <w14:lumMod w14:val="95000"/>
                <w14:lumOff w14:val="5000"/>
              </w14:schemeClr>
            </w14:solidFill>
          </w14:textFill>
        </w:rPr>
      </w:pPr>
    </w:p>
    <w:bookmarkEnd w:id="0"/>
    <w:p>
      <w:pPr>
        <w:jc w:val="center"/>
        <w:rPr>
          <w:color w:val="0D0D0D" w:themeColor="text1" w:themeTint="F2"/>
          <w:sz w:val="36"/>
          <w:szCs w:val="36"/>
          <w14:textFill>
            <w14:solidFill>
              <w14:schemeClr w14:val="tx1">
                <w14:lumMod w14:val="95000"/>
                <w14:lumOff w14:val="5000"/>
              </w14:schemeClr>
            </w14:solidFill>
          </w14:textFill>
        </w:rPr>
      </w:pPr>
      <w:r>
        <w:rPr>
          <w:rFonts w:hint="eastAsia"/>
          <w:color w:val="0D0D0D" w:themeColor="text1" w:themeTint="F2"/>
          <w:sz w:val="36"/>
          <w:szCs w:val="36"/>
          <w14:textFill>
            <w14:solidFill>
              <w14:schemeClr w14:val="tx1">
                <w14:lumMod w14:val="95000"/>
                <w14:lumOff w14:val="5000"/>
              </w14:schemeClr>
            </w14:solidFill>
          </w14:textFill>
        </w:rPr>
        <w:t>中华人民共和国生态环境部</w:t>
      </w:r>
    </w:p>
    <w:p>
      <w:pPr>
        <w:jc w:val="center"/>
        <w:rPr>
          <w:color w:val="0D0D0D" w:themeColor="text1" w:themeTint="F2"/>
          <w:sz w:val="36"/>
          <w:szCs w:val="36"/>
          <w14:textFill>
            <w14:solidFill>
              <w14:schemeClr w14:val="tx1">
                <w14:lumMod w14:val="95000"/>
                <w14:lumOff w14:val="5000"/>
              </w14:schemeClr>
            </w14:solidFill>
          </w14:textFill>
        </w:rPr>
      </w:pPr>
    </w:p>
    <w:p>
      <w:pPr>
        <w:pStyle w:val="76"/>
        <w:rPr>
          <w:color w:val="0D0D0D" w:themeColor="text1" w:themeTint="F2"/>
          <w:sz w:val="36"/>
          <w:szCs w:val="36"/>
          <w14:textFill>
            <w14:solidFill>
              <w14:schemeClr w14:val="tx1">
                <w14:lumMod w14:val="95000"/>
                <w14:lumOff w14:val="5000"/>
              </w14:schemeClr>
            </w14:solidFill>
          </w14:textFill>
        </w:rPr>
      </w:pPr>
    </w:p>
    <w:p>
      <w:pPr>
        <w:sectPr>
          <w:footerReference r:id="rId3" w:type="default"/>
          <w:pgSz w:w="11906" w:h="16838"/>
          <w:pgMar w:top="1701" w:right="1531" w:bottom="1124"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54"/>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pPr>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一、建设项目基本情况</w:t>
      </w:r>
    </w:p>
    <w:tbl>
      <w:tblPr>
        <w:tblStyle w:val="59"/>
        <w:tblW w:w="921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795"/>
        <w:gridCol w:w="2585"/>
        <w:gridCol w:w="1842"/>
        <w:gridCol w:w="29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668"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建设项目名称</w:t>
            </w:r>
          </w:p>
        </w:tc>
        <w:tc>
          <w:tcPr>
            <w:tcW w:w="7417"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年产20万件汽车铝合金零部件项目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项目代码</w:t>
            </w:r>
          </w:p>
        </w:tc>
        <w:tc>
          <w:tcPr>
            <w:tcW w:w="7417"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auto"/>
                <w:sz w:val="24"/>
                <w:highlight w:val="none"/>
              </w:rPr>
              <w:t>2403-340207-04-01-184295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建设单位联系人</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auto"/>
                <w:sz w:val="24"/>
                <w:lang w:val="en-US" w:eastAsia="zh-CN"/>
              </w:rPr>
            </w:pPr>
            <w:r>
              <w:rPr>
                <w:rFonts w:hint="eastAsia" w:cs="宋体"/>
                <w:color w:val="auto"/>
                <w:sz w:val="24"/>
                <w:lang w:val="en-US" w:eastAsia="zh-CN"/>
              </w:rPr>
              <w:t>姜燕</w:t>
            </w:r>
          </w:p>
        </w:tc>
        <w:tc>
          <w:tcPr>
            <w:tcW w:w="1842"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rPr>
            </w:pPr>
            <w:r>
              <w:rPr>
                <w:rFonts w:hint="eastAsia"/>
                <w:color w:val="auto"/>
                <w:sz w:val="24"/>
              </w:rPr>
              <w:t>联系方式</w:t>
            </w:r>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auto"/>
                <w:sz w:val="24"/>
              </w:rPr>
            </w:pPr>
            <w:r>
              <w:rPr>
                <w:rFonts w:hint="eastAsia" w:cs="宋体"/>
                <w:color w:val="auto"/>
                <w:sz w:val="24"/>
              </w:rPr>
              <w:t>19821829685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建设地点</w:t>
            </w:r>
          </w:p>
        </w:tc>
        <w:tc>
          <w:tcPr>
            <w:tcW w:w="7417"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sz w:val="24"/>
                <w:lang w:val="en-US"/>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三山经济开发区创业路8号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地理坐标</w:t>
            </w:r>
          </w:p>
        </w:tc>
        <w:tc>
          <w:tcPr>
            <w:tcW w:w="7417" w:type="dxa"/>
            <w:gridSpan w:val="3"/>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olor w:val="000000" w:themeColor="text1"/>
                <w:sz w:val="24"/>
                <w14:textFill>
                  <w14:solidFill>
                    <w14:schemeClr w14:val="tx1"/>
                  </w14:solidFill>
                </w14:textFill>
              </w:rPr>
              <w:t>北纬N</w:t>
            </w:r>
            <w:r>
              <w:rPr>
                <w:rFonts w:hint="default"/>
                <w:color w:val="000000" w:themeColor="text1"/>
                <w:sz w:val="24"/>
                <w14:textFill>
                  <w14:solidFill>
                    <w14:schemeClr w14:val="tx1"/>
                  </w14:solidFill>
                </w14:textFill>
              </w:rPr>
              <w:t>31</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13</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0.123</w:t>
            </w:r>
            <w:r>
              <w:rPr>
                <w:rFonts w:hint="eastAsia"/>
                <w:color w:val="000000" w:themeColor="text1"/>
                <w:sz w:val="24"/>
                <w14:textFill>
                  <w14:solidFill>
                    <w14:schemeClr w14:val="tx1"/>
                  </w14:solidFill>
                </w14:textFill>
              </w:rPr>
              <w:t>″ 东经E118°</w:t>
            </w:r>
            <w:r>
              <w:rPr>
                <w:rFonts w:hint="eastAsia"/>
                <w:color w:val="000000" w:themeColor="text1"/>
                <w:sz w:val="24"/>
                <w:lang w:val="en-US" w:eastAsia="zh-CN"/>
                <w14:textFill>
                  <w14:solidFill>
                    <w14:schemeClr w14:val="tx1"/>
                  </w14:solidFill>
                </w14:textFill>
              </w:rPr>
              <w:t>13</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37.76</w:t>
            </w:r>
            <w:r>
              <w:rPr>
                <w:rFonts w:hint="eastAsia"/>
                <w:color w:val="000000" w:themeColor="text1"/>
                <w:sz w:val="24"/>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国民经济</w:t>
            </w:r>
          </w:p>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行业类别</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lang w:val="en-US" w:eastAsia="zh-CN"/>
                <w14:textFill>
                  <w14:solidFill>
                    <w14:schemeClr w14:val="tx1">
                      <w14:lumMod w14:val="95000"/>
                      <w14:lumOff w14:val="5000"/>
                    </w14:schemeClr>
                  </w14:solidFill>
                </w14:textFill>
              </w:rPr>
              <w:t>有色金属铸造</w:t>
            </w:r>
          </w:p>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［C</w:t>
            </w:r>
            <w:r>
              <w:rPr>
                <w:rFonts w:hint="eastAsia"/>
                <w:color w:val="0D0D0D" w:themeColor="text1" w:themeTint="F2"/>
                <w:kern w:val="0"/>
                <w:sz w:val="24"/>
                <w:lang w:val="en-US" w:eastAsia="zh-CN"/>
                <w14:textFill>
                  <w14:solidFill>
                    <w14:schemeClr w14:val="tx1">
                      <w14:lumMod w14:val="95000"/>
                      <w14:lumOff w14:val="5000"/>
                    </w14:schemeClr>
                  </w14:solidFill>
                </w14:textFill>
              </w:rPr>
              <w:t>3392</w:t>
            </w:r>
            <w:r>
              <w:rPr>
                <w:rFonts w:hint="eastAsia"/>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adjustRightInd w:val="0"/>
              <w:snapToGrid w:val="0"/>
              <w:spacing w:before="0" w:beforeAutospacing="0" w:after="0" w:afterAutospacing="0"/>
              <w:ind w:left="0" w:right="0"/>
              <w:jc w:val="center"/>
              <w:rPr>
                <w:rFonts w:hint="default"/>
              </w:rPr>
            </w:pPr>
            <w:r>
              <w:rPr>
                <w:rFonts w:hint="eastAsia"/>
                <w:color w:val="0D0D0D" w:themeColor="text1" w:themeTint="F2"/>
                <w:kern w:val="0"/>
                <w:sz w:val="24"/>
                <w14:textFill>
                  <w14:solidFill>
                    <w14:schemeClr w14:val="tx1">
                      <w14:lumMod w14:val="95000"/>
                      <w14:lumOff w14:val="5000"/>
                    </w14:schemeClr>
                  </w14:solidFill>
                </w14:textFill>
              </w:rPr>
              <w:t>汽车零部件及配件制造</w:t>
            </w:r>
            <w:r>
              <w:rPr>
                <w:rFonts w:hint="default"/>
                <w:color w:val="0D0D0D" w:themeColor="text1" w:themeTint="F2"/>
                <w:kern w:val="0"/>
                <w:sz w:val="24"/>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C3670</w:t>
            </w:r>
            <w:r>
              <w:rPr>
                <w:rFonts w:hint="default"/>
                <w:color w:val="0D0D0D" w:themeColor="text1" w:themeTint="F2"/>
                <w:kern w:val="0"/>
                <w:sz w:val="24"/>
                <w14:textFill>
                  <w14:solidFill>
                    <w14:schemeClr w14:val="tx1">
                      <w14:lumMod w14:val="95000"/>
                      <w14:lumOff w14:val="5000"/>
                    </w14:schemeClr>
                  </w14:solidFill>
                </w14:textFill>
              </w:rPr>
              <w:t>］</w:t>
            </w:r>
          </w:p>
        </w:tc>
        <w:tc>
          <w:tcPr>
            <w:tcW w:w="1842" w:type="dxa"/>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kern w:val="0"/>
                <w:sz w:val="24"/>
                <w14:textFill>
                  <w14:solidFill>
                    <w14:schemeClr w14:val="tx1">
                      <w14:lumMod w14:val="95000"/>
                      <w14:lumOff w14:val="5000"/>
                    </w14:schemeClr>
                  </w14:solidFill>
                </w14:textFill>
              </w:rPr>
            </w:pPr>
            <w:bookmarkStart w:id="1" w:name="_Hlk49843745"/>
            <w:r>
              <w:rPr>
                <w:rFonts w:hint="eastAsia"/>
                <w:color w:val="0D0D0D" w:themeColor="text1" w:themeTint="F2"/>
                <w:kern w:val="0"/>
                <w:sz w:val="24"/>
                <w14:textFill>
                  <w14:solidFill>
                    <w14:schemeClr w14:val="tx1">
                      <w14:lumMod w14:val="95000"/>
                      <w14:lumOff w14:val="5000"/>
                    </w14:schemeClr>
                  </w14:solidFill>
                </w14:textFill>
              </w:rPr>
              <w:t>建设项目</w:t>
            </w:r>
          </w:p>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行业类别</w:t>
            </w:r>
            <w:bookmarkEnd w:id="1"/>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lang w:val="en-US" w:eastAsia="zh-CN"/>
                <w14:textFill>
                  <w14:solidFill>
                    <w14:schemeClr w14:val="tx1">
                      <w14:lumMod w14:val="95000"/>
                      <w14:lumOff w14:val="5000"/>
                    </w14:schemeClr>
                  </w14:solidFill>
                </w14:textFill>
              </w:rPr>
              <w:t>三十</w:t>
            </w:r>
            <w:r>
              <w:rPr>
                <w:rFonts w:hint="eastAsia"/>
                <w:color w:val="0D0D0D" w:themeColor="text1" w:themeTint="F2"/>
                <w:kern w:val="0"/>
                <w:sz w:val="24"/>
                <w:lang w:eastAsia="zh-CN"/>
                <w14:textFill>
                  <w14:solidFill>
                    <w14:schemeClr w14:val="tx1">
                      <w14:lumMod w14:val="95000"/>
                      <w14:lumOff w14:val="5000"/>
                    </w14:schemeClr>
                  </w14:solidFill>
                </w14:textFill>
              </w:rPr>
              <w:t>“</w:t>
            </w:r>
            <w:r>
              <w:rPr>
                <w:rFonts w:hint="eastAsia"/>
                <w:color w:val="0D0D0D" w:themeColor="text1" w:themeTint="F2"/>
                <w:kern w:val="0"/>
                <w:sz w:val="24"/>
                <w:lang w:val="en-US" w:eastAsia="zh-CN"/>
                <w14:textFill>
                  <w14:solidFill>
                    <w14:schemeClr w14:val="tx1">
                      <w14:lumMod w14:val="95000"/>
                      <w14:lumOff w14:val="5000"/>
                    </w14:schemeClr>
                  </w14:solidFill>
                </w14:textFill>
              </w:rPr>
              <w:t>金属制品业 33</w:t>
            </w:r>
          </w:p>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lang w:eastAsia="zh-CN"/>
                <w14:textFill>
                  <w14:solidFill>
                    <w14:schemeClr w14:val="tx1">
                      <w14:lumMod w14:val="95000"/>
                      <w14:lumOff w14:val="5000"/>
                    </w14:schemeClr>
                  </w14:solidFill>
                </w14:textFill>
              </w:rPr>
              <w:t>”</w:t>
            </w:r>
            <w:r>
              <w:rPr>
                <w:rFonts w:hint="eastAsia"/>
                <w:color w:val="0D0D0D" w:themeColor="text1" w:themeTint="F2"/>
                <w:kern w:val="0"/>
                <w:sz w:val="24"/>
                <w:lang w:val="en-US" w:eastAsia="zh-CN"/>
                <w14:textFill>
                  <w14:solidFill>
                    <w14:schemeClr w14:val="tx1">
                      <w14:lumMod w14:val="95000"/>
                      <w14:lumOff w14:val="5000"/>
                    </w14:schemeClr>
                  </w14:solidFill>
                </w14:textFill>
              </w:rPr>
              <w:t xml:space="preserve">中第68铸造 </w:t>
            </w:r>
          </w:p>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lang w:val="en-US" w:eastAsia="zh-CN"/>
                <w14:textFill>
                  <w14:solidFill>
                    <w14:schemeClr w14:val="tx1">
                      <w14:lumMod w14:val="95000"/>
                      <w14:lumOff w14:val="5000"/>
                    </w14:schemeClr>
                  </w14:solidFill>
                </w14:textFill>
              </w:rPr>
              <w:t xml:space="preserve">及其他金属制品制造 339-其 </w:t>
            </w:r>
          </w:p>
          <w:p>
            <w:pPr>
              <w:keepNext w:val="0"/>
              <w:keepLines w:val="0"/>
              <w:suppressLineNumbers w:val="0"/>
              <w:adjustRightInd w:val="0"/>
              <w:snapToGrid w:val="0"/>
              <w:spacing w:before="0" w:beforeAutospacing="0" w:after="0" w:afterAutospacing="0"/>
              <w:ind w:left="0" w:right="0"/>
              <w:jc w:val="center"/>
              <w:rPr>
                <w:rFonts w:hint="eastAsia"/>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lang w:val="en-US" w:eastAsia="zh-CN"/>
                <w14:textFill>
                  <w14:solidFill>
                    <w14:schemeClr w14:val="tx1">
                      <w14:lumMod w14:val="95000"/>
                      <w14:lumOff w14:val="5000"/>
                    </w14:schemeClr>
                  </w14:solidFill>
                </w14:textFill>
              </w:rPr>
              <w:t>他</w:t>
            </w:r>
          </w:p>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三十三“汽车制造业3</w:t>
            </w:r>
            <w:r>
              <w:rPr>
                <w:rFonts w:hint="default"/>
                <w:color w:val="0D0D0D" w:themeColor="text1" w:themeTint="F2"/>
                <w:kern w:val="0"/>
                <w:sz w:val="24"/>
                <w14:textFill>
                  <w14:solidFill>
                    <w14:schemeClr w14:val="tx1">
                      <w14:lumMod w14:val="95000"/>
                      <w14:lumOff w14:val="5000"/>
                    </w14:schemeClr>
                  </w14:solidFill>
                </w14:textFill>
              </w:rPr>
              <w:t>6</w:t>
            </w:r>
            <w:r>
              <w:rPr>
                <w:rFonts w:hint="eastAsia"/>
                <w:color w:val="0D0D0D" w:themeColor="text1" w:themeTint="F2"/>
                <w:kern w:val="0"/>
                <w:sz w:val="24"/>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中第71</w:t>
            </w:r>
            <w:r>
              <w:rPr>
                <w:rFonts w:hint="eastAsia"/>
                <w:color w:val="0D0D0D" w:themeColor="text1" w:themeTint="F2"/>
                <w:kern w:val="0"/>
                <w:sz w:val="24"/>
                <w14:textFill>
                  <w14:solidFill>
                    <w14:schemeClr w14:val="tx1">
                      <w14:lumMod w14:val="95000"/>
                      <w14:lumOff w14:val="5000"/>
                    </w14:schemeClr>
                  </w14:solidFill>
                </w14:textFill>
              </w:rPr>
              <w:t xml:space="preserve"> 汽车零部件及配件制造</w:t>
            </w:r>
            <w:r>
              <w:rPr>
                <w:rFonts w:hint="default"/>
                <w:color w:val="0D0D0D" w:themeColor="text1" w:themeTint="F2"/>
                <w:kern w:val="0"/>
                <w:sz w:val="24"/>
                <w14:textFill>
                  <w14:solidFill>
                    <w14:schemeClr w14:val="tx1">
                      <w14:lumMod w14:val="95000"/>
                      <w14:lumOff w14:val="5000"/>
                    </w14:schemeClr>
                  </w14:solidFill>
                </w14:textFill>
              </w:rPr>
              <w:t>367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建设性质</w:t>
            </w:r>
          </w:p>
        </w:tc>
        <w:tc>
          <w:tcPr>
            <w:tcW w:w="2585" w:type="dxa"/>
            <w:vAlign w:val="center"/>
          </w:tcPr>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sym w:font="Wingdings 2" w:char="0052"/>
            </w:r>
            <w:r>
              <w:rPr>
                <w:rFonts w:hint="eastAsia" w:cs="宋体"/>
                <w:color w:val="0D0D0D" w:themeColor="text1" w:themeTint="F2"/>
                <w:sz w:val="24"/>
                <w14:textFill>
                  <w14:solidFill>
                    <w14:schemeClr w14:val="tx1">
                      <w14:lumMod w14:val="95000"/>
                      <w14:lumOff w14:val="5000"/>
                    </w14:schemeClr>
                  </w14:solidFill>
                </w14:textFill>
              </w:rPr>
              <w:t>新建（迁建）</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□改建</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□扩建</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□技术改造</w:t>
            </w:r>
          </w:p>
        </w:tc>
        <w:tc>
          <w:tcPr>
            <w:tcW w:w="184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建设项目</w:t>
            </w:r>
          </w:p>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申报情形</w:t>
            </w:r>
          </w:p>
        </w:tc>
        <w:tc>
          <w:tcPr>
            <w:tcW w:w="2990" w:type="dxa"/>
            <w:vAlign w:val="center"/>
          </w:tcPr>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sym w:font="Wingdings 2" w:char="0052"/>
            </w:r>
            <w:r>
              <w:rPr>
                <w:rFonts w:hint="eastAsia" w:cs="宋体"/>
                <w:color w:val="0D0D0D" w:themeColor="text1" w:themeTint="F2"/>
                <w:sz w:val="24"/>
                <w14:textFill>
                  <w14:solidFill>
                    <w14:schemeClr w14:val="tx1">
                      <w14:lumMod w14:val="95000"/>
                      <w14:lumOff w14:val="5000"/>
                    </w14:schemeClr>
                  </w14:solidFill>
                </w14:textFill>
              </w:rPr>
              <w:t>首次申报项目</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□不予批准后再次申报项目</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sym w:font="Wingdings 2" w:char="00A3"/>
            </w:r>
            <w:r>
              <w:rPr>
                <w:rFonts w:hint="eastAsia" w:cs="宋体"/>
                <w:color w:val="0D0D0D" w:themeColor="text1" w:themeTint="F2"/>
                <w:sz w:val="24"/>
                <w14:textFill>
                  <w14:solidFill>
                    <w14:schemeClr w14:val="tx1">
                      <w14:lumMod w14:val="95000"/>
                      <w14:lumOff w14:val="5000"/>
                    </w14:schemeClr>
                  </w14:solidFill>
                </w14:textFill>
              </w:rPr>
              <w:t>超五年重新审核项目</w:t>
            </w:r>
          </w:p>
          <w:p>
            <w:pPr>
              <w:keepNext w:val="0"/>
              <w:keepLines w:val="0"/>
              <w:suppressLineNumbers w:val="0"/>
              <w:spacing w:before="0" w:beforeAutospacing="0" w:after="0" w:afterAutospacing="0"/>
              <w:ind w:left="0" w:right="0"/>
              <w:jc w:val="left"/>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□重大变动重新报批项目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项目审批（核准</w:t>
            </w:r>
            <w:r>
              <w:rPr>
                <w:rFonts w:hint="default" w:cs="宋体"/>
                <w:color w:val="0D0D0D" w:themeColor="text1" w:themeTint="F2"/>
                <w:sz w:val="24"/>
                <w14:textFill>
                  <w14:solidFill>
                    <w14:schemeClr w14:val="tx1">
                      <w14:lumMod w14:val="95000"/>
                      <w14:lumOff w14:val="5000"/>
                    </w14:schemeClr>
                  </w14:solidFill>
                </w14:textFill>
              </w:rPr>
              <w:t>/</w:t>
            </w:r>
          </w:p>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备案）部门（选填）</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cs="宋体"/>
                <w:color w:val="auto"/>
                <w:sz w:val="24"/>
                <w:lang w:val="en-US" w:eastAsia="zh-CN"/>
              </w:rPr>
            </w:pPr>
            <w:r>
              <w:rPr>
                <w:rFonts w:hint="eastAsia" w:cs="宋体"/>
                <w:color w:val="auto"/>
                <w:sz w:val="24"/>
                <w:lang w:val="en-US" w:eastAsia="zh-CN"/>
              </w:rPr>
              <w:t>安徽芜湖三山经济开发区管委会</w:t>
            </w:r>
          </w:p>
        </w:tc>
        <w:tc>
          <w:tcPr>
            <w:tcW w:w="1842"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auto"/>
                <w:sz w:val="24"/>
              </w:rPr>
            </w:pPr>
            <w:r>
              <w:rPr>
                <w:rFonts w:hint="eastAsia" w:cs="宋体"/>
                <w:color w:val="auto"/>
                <w:sz w:val="24"/>
              </w:rPr>
              <w:t>项目审批（核准</w:t>
            </w:r>
            <w:r>
              <w:rPr>
                <w:rFonts w:hint="default" w:cs="宋体"/>
                <w:color w:val="auto"/>
                <w:sz w:val="24"/>
              </w:rPr>
              <w:t>/</w:t>
            </w:r>
            <w:r>
              <w:rPr>
                <w:rFonts w:hint="eastAsia" w:cs="宋体"/>
                <w:color w:val="auto"/>
                <w:sz w:val="24"/>
              </w:rPr>
              <w:t>备案）文号（选填）</w:t>
            </w:r>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auto"/>
                <w:sz w:val="24"/>
              </w:rPr>
            </w:pPr>
            <w:r>
              <w:rPr>
                <w:rFonts w:hint="eastAsia" w:cs="宋体"/>
                <w:color w:val="auto"/>
                <w:sz w:val="24"/>
                <w:lang w:val="en-US" w:eastAsia="zh-CN"/>
              </w:rPr>
              <w:t>三经发备〔2023〕17 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总投资（万元）</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lang w:val="en-US"/>
                <w14:textFill>
                  <w14:solidFill>
                    <w14:schemeClr w14:val="tx1">
                      <w14:lumMod w14:val="95000"/>
                      <w14:lumOff w14:val="5000"/>
                    </w14:schemeClr>
                  </w14:solidFill>
                </w14:textFill>
              </w:rPr>
            </w:pPr>
            <w:r>
              <w:rPr>
                <w:rFonts w:hint="eastAsia"/>
                <w:color w:val="auto"/>
                <w:sz w:val="24"/>
                <w:lang w:val="en-US" w:eastAsia="zh-CN"/>
              </w:rPr>
              <w:t>2000</w:t>
            </w:r>
          </w:p>
        </w:tc>
        <w:tc>
          <w:tcPr>
            <w:tcW w:w="184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环保投资（万元）</w:t>
            </w:r>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cs="宋体"/>
                <w:color w:val="000000" w:themeColor="text1"/>
                <w:sz w:val="24"/>
                <w:lang w:val="en-US" w:eastAsia="zh-CN"/>
                <w14:textFill>
                  <w14:solidFill>
                    <w14:schemeClr w14:val="tx1"/>
                  </w14:solidFill>
                </w14:textFill>
              </w:rPr>
            </w:pPr>
            <w:r>
              <w:rPr>
                <w:rFonts w:hint="eastAsia"/>
                <w:bCs/>
                <w:color w:val="000000" w:themeColor="text1"/>
                <w:sz w:val="24"/>
                <w:lang w:val="en-US" w:eastAsia="zh-CN"/>
                <w14:textFill>
                  <w14:solidFill>
                    <w14:schemeClr w14:val="tx1"/>
                  </w14:solidFill>
                </w14:textFill>
              </w:rPr>
              <w:t>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环保投资占比（</w:t>
            </w:r>
            <w:r>
              <w:rPr>
                <w:rFonts w:hint="default" w:cs="宋体"/>
                <w:color w:val="0D0D0D" w:themeColor="text1" w:themeTint="F2"/>
                <w:sz w:val="24"/>
                <w14:textFill>
                  <w14:solidFill>
                    <w14:schemeClr w14:val="tx1">
                      <w14:lumMod w14:val="95000"/>
                      <w14:lumOff w14:val="5000"/>
                    </w14:schemeClr>
                  </w14:solidFill>
                </w14:textFill>
              </w:rPr>
              <w:t>%</w:t>
            </w:r>
            <w:r>
              <w:rPr>
                <w:rFonts w:hint="eastAsia" w:cs="宋体"/>
                <w:color w:val="0D0D0D" w:themeColor="text1" w:themeTint="F2"/>
                <w:sz w:val="24"/>
                <w14:textFill>
                  <w14:solidFill>
                    <w14:schemeClr w14:val="tx1">
                      <w14:lumMod w14:val="95000"/>
                      <w14:lumOff w14:val="5000"/>
                    </w14:schemeClr>
                  </w14:solidFill>
                </w14:textFill>
              </w:rPr>
              <w:t>）</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olor w:val="000000" w:themeColor="text1"/>
                <w:sz w:val="24"/>
                <w:lang w:val="en-US" w:eastAsia="zh-CN"/>
                <w14:textFill>
                  <w14:solidFill>
                    <w14:schemeClr w14:val="tx1"/>
                  </w14:solidFill>
                </w14:textFill>
              </w:rPr>
              <w:t>4.1</w:t>
            </w:r>
          </w:p>
        </w:tc>
        <w:tc>
          <w:tcPr>
            <w:tcW w:w="184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施工工期</w:t>
            </w:r>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00000" w:themeColor="text1"/>
                <w:sz w:val="24"/>
                <w14:textFill>
                  <w14:solidFill>
                    <w14:schemeClr w14:val="tx1"/>
                  </w14:solidFill>
                </w14:textFill>
              </w:rPr>
            </w:pPr>
            <w:r>
              <w:rPr>
                <w:rFonts w:hint="default" w:cs="宋体"/>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个月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95"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是否开工建设</w:t>
            </w:r>
          </w:p>
        </w:tc>
        <w:tc>
          <w:tcPr>
            <w:tcW w:w="2585" w:type="dxa"/>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sym w:font="Wingdings 2" w:char="0052"/>
            </w:r>
            <w:r>
              <w:rPr>
                <w:rFonts w:hint="default" w:cs="宋体"/>
                <w:color w:val="0D0D0D" w:themeColor="text1" w:themeTint="F2"/>
                <w:sz w:val="24"/>
                <w14:textFill>
                  <w14:solidFill>
                    <w14:schemeClr w14:val="tx1">
                      <w14:lumMod w14:val="95000"/>
                      <w14:lumOff w14:val="5000"/>
                    </w14:schemeClr>
                  </w14:solidFill>
                </w14:textFill>
              </w:rPr>
              <w:t xml:space="preserve"> </w:t>
            </w:r>
            <w:r>
              <w:rPr>
                <w:rFonts w:hint="eastAsia" w:cs="宋体"/>
                <w:color w:val="0D0D0D" w:themeColor="text1" w:themeTint="F2"/>
                <w:sz w:val="24"/>
                <w14:textFill>
                  <w14:solidFill>
                    <w14:schemeClr w14:val="tx1">
                      <w14:lumMod w14:val="95000"/>
                      <w14:lumOff w14:val="5000"/>
                    </w14:schemeClr>
                  </w14:solidFill>
                </w14:textFill>
              </w:rPr>
              <w:t>否</w:t>
            </w:r>
          </w:p>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sym w:font="Wingdings 2" w:char="00A3"/>
            </w:r>
            <w:r>
              <w:rPr>
                <w:rFonts w:hint="default" w:cs="宋体"/>
                <w:color w:val="0D0D0D" w:themeColor="text1" w:themeTint="F2"/>
                <w:sz w:val="24"/>
                <w14:textFill>
                  <w14:solidFill>
                    <w14:schemeClr w14:val="tx1">
                      <w14:lumMod w14:val="95000"/>
                      <w14:lumOff w14:val="5000"/>
                    </w14:schemeClr>
                  </w14:solidFill>
                </w14:textFill>
              </w:rPr>
              <w:t xml:space="preserve"> </w:t>
            </w:r>
            <w:r>
              <w:rPr>
                <w:rFonts w:hint="eastAsia" w:cs="宋体"/>
                <w:color w:val="0D0D0D" w:themeColor="text1" w:themeTint="F2"/>
                <w:sz w:val="24"/>
                <w14:textFill>
                  <w14:solidFill>
                    <w14:schemeClr w14:val="tx1">
                      <w14:lumMod w14:val="95000"/>
                      <w14:lumOff w14:val="5000"/>
                    </w14:schemeClr>
                  </w14:solidFill>
                </w14:textFill>
              </w:rPr>
              <w:t>是</w:t>
            </w:r>
          </w:p>
        </w:tc>
        <w:tc>
          <w:tcPr>
            <w:tcW w:w="1842" w:type="dxa"/>
            <w:tcMar>
              <w:top w:w="16" w:type="dxa"/>
              <w:left w:w="16" w:type="dxa"/>
              <w:right w:w="16" w:type="dxa"/>
            </w:tcMar>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pacing w:val="-6"/>
                <w:sz w:val="24"/>
                <w14:textFill>
                  <w14:solidFill>
                    <w14:schemeClr w14:val="tx1">
                      <w14:lumMod w14:val="95000"/>
                      <w14:lumOff w14:val="5000"/>
                    </w14:schemeClr>
                  </w14:solidFill>
                </w14:textFill>
              </w:rPr>
            </w:pPr>
            <w:r>
              <w:rPr>
                <w:rFonts w:hint="eastAsia" w:cs="宋体"/>
                <w:color w:val="0D0D0D" w:themeColor="text1" w:themeTint="F2"/>
                <w:spacing w:val="-6"/>
                <w:sz w:val="24"/>
                <w14:textFill>
                  <w14:solidFill>
                    <w14:schemeClr w14:val="tx1">
                      <w14:lumMod w14:val="95000"/>
                      <w14:lumOff w14:val="5000"/>
                    </w14:schemeClr>
                  </w14:solidFill>
                </w14:textFill>
              </w:rPr>
              <w:t>用地（用海）</w:t>
            </w:r>
          </w:p>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pacing w:val="-6"/>
                <w:sz w:val="24"/>
                <w14:textFill>
                  <w14:solidFill>
                    <w14:schemeClr w14:val="tx1">
                      <w14:lumMod w14:val="95000"/>
                      <w14:lumOff w14:val="5000"/>
                    </w14:schemeClr>
                  </w14:solidFill>
                </w14:textFill>
              </w:rPr>
              <w:t>面积（</w:t>
            </w:r>
            <w:r>
              <w:rPr>
                <w:rFonts w:hint="default" w:cs="宋体"/>
                <w:color w:val="0D0D0D" w:themeColor="text1" w:themeTint="F2"/>
                <w:spacing w:val="-6"/>
                <w:sz w:val="24"/>
                <w14:textFill>
                  <w14:solidFill>
                    <w14:schemeClr w14:val="tx1">
                      <w14:lumMod w14:val="95000"/>
                      <w14:lumOff w14:val="5000"/>
                    </w14:schemeClr>
                  </w14:solidFill>
                </w14:textFill>
              </w:rPr>
              <w:t>m</w:t>
            </w:r>
            <w:r>
              <w:rPr>
                <w:rFonts w:hint="default" w:cs="宋体"/>
                <w:color w:val="0D0D0D" w:themeColor="text1" w:themeTint="F2"/>
                <w:spacing w:val="-6"/>
                <w:sz w:val="24"/>
                <w:vertAlign w:val="superscript"/>
                <w14:textFill>
                  <w14:solidFill>
                    <w14:schemeClr w14:val="tx1">
                      <w14:lumMod w14:val="95000"/>
                      <w14:lumOff w14:val="5000"/>
                    </w14:schemeClr>
                  </w14:solidFill>
                </w14:textFill>
              </w:rPr>
              <w:t>2</w:t>
            </w:r>
            <w:r>
              <w:rPr>
                <w:rFonts w:hint="eastAsia" w:cs="宋体"/>
                <w:color w:val="0D0D0D" w:themeColor="text1" w:themeTint="F2"/>
                <w:spacing w:val="-6"/>
                <w:sz w:val="24"/>
                <w14:textFill>
                  <w14:solidFill>
                    <w14:schemeClr w14:val="tx1">
                      <w14:lumMod w14:val="95000"/>
                      <w14:lumOff w14:val="5000"/>
                    </w14:schemeClr>
                  </w14:solidFill>
                </w14:textFill>
              </w:rPr>
              <w:t>）</w:t>
            </w:r>
          </w:p>
        </w:tc>
        <w:tc>
          <w:tcPr>
            <w:tcW w:w="2990" w:type="dxa"/>
            <w:vAlign w:val="center"/>
          </w:tcPr>
          <w:p>
            <w:pPr>
              <w:keepNext w:val="0"/>
              <w:keepLines w:val="0"/>
              <w:suppressLineNumbers w:val="0"/>
              <w:adjustRightInd w:val="0"/>
              <w:snapToGrid w:val="0"/>
              <w:spacing w:before="0" w:beforeAutospacing="0" w:after="0" w:afterAutospacing="0"/>
              <w:ind w:left="0" w:right="0"/>
              <w:jc w:val="center"/>
              <w:rPr>
                <w:rFonts w:hint="default" w:eastAsia="宋体" w:cs="宋体"/>
                <w:color w:val="0D0D0D" w:themeColor="text1" w:themeTint="F2"/>
                <w:sz w:val="24"/>
                <w:lang w:val="en-US" w:eastAsia="zh-CN"/>
                <w14:textFill>
                  <w14:solidFill>
                    <w14:schemeClr w14:val="tx1">
                      <w14:lumMod w14:val="95000"/>
                      <w14:lumOff w14:val="5000"/>
                    </w14:schemeClr>
                  </w14:solidFill>
                </w14:textFill>
              </w:rPr>
            </w:pPr>
            <w:r>
              <w:rPr>
                <w:rFonts w:hint="eastAsia" w:cs="宋体"/>
                <w:color w:val="auto"/>
                <w:sz w:val="24"/>
                <w:lang w:val="en-US" w:eastAsia="zh-CN"/>
              </w:rPr>
              <w:t>3500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795"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专项评价设置情况</w:t>
            </w:r>
          </w:p>
        </w:tc>
        <w:tc>
          <w:tcPr>
            <w:tcW w:w="7417" w:type="dxa"/>
            <w:gridSpan w:val="3"/>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795" w:type="dxa"/>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规划情况</w:t>
            </w:r>
          </w:p>
        </w:tc>
        <w:tc>
          <w:tcPr>
            <w:tcW w:w="7417" w:type="dxa"/>
            <w:gridSpan w:val="3"/>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规划名称：《安徽芜湖三山经济开发区总体规划》（2021~2030)&gt;</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审批机关：安徽省人民政府</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审批文件名称及文号：/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795"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规划环境影响</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评价情况</w:t>
            </w:r>
          </w:p>
        </w:tc>
        <w:tc>
          <w:tcPr>
            <w:tcW w:w="7417" w:type="dxa"/>
            <w:gridSpan w:val="3"/>
            <w:vAlign w:val="center"/>
          </w:tcPr>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eastAsia"/>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规划名称：《安徽芜湖三山经济开发区总体发展规划环境影响报告书》</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eastAsia"/>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召集审查机关：原安徽省环境保护厅</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eastAsia"/>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审批文件名称及文号：皖环函[2014]654号</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跟踪规划环评文件名称：《安徽芜湖三山经济开发区总体发展规划环境影响跟踪评价报告书》，（2021年12月）</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审查机关：芜湖市生态环境局</w:t>
            </w:r>
          </w:p>
          <w:p>
            <w:pPr>
              <w:keepNext w:val="0"/>
              <w:keepLines w:val="0"/>
              <w:suppressLineNumbers w:val="0"/>
              <w:autoSpaceDE w:val="0"/>
              <w:autoSpaceDN w:val="0"/>
              <w:adjustRightInd w:val="0"/>
              <w:snapToGrid w:val="0"/>
              <w:spacing w:before="0" w:beforeAutospacing="0" w:after="0" w:afterAutospacing="0" w:line="360" w:lineRule="auto"/>
              <w:ind w:left="0" w:right="0"/>
              <w:jc w:val="left"/>
              <w:rPr>
                <w:rFonts w:hint="default"/>
              </w:rPr>
            </w:pPr>
            <w:r>
              <w:rPr>
                <w:rFonts w:hint="default"/>
                <w:color w:val="0D0D0D" w:themeColor="text1" w:themeTint="F2"/>
                <w:sz w:val="24"/>
                <w:lang w:val="en-US" w:eastAsia="zh-CN"/>
                <w14:textFill>
                  <w14:solidFill>
                    <w14:schemeClr w14:val="tx1">
                      <w14:lumMod w14:val="95000"/>
                      <w14:lumOff w14:val="5000"/>
                    </w14:schemeClr>
                  </w14:solidFill>
                </w14:textFill>
              </w:rPr>
              <w:t>审批文号：《安徽芜湖三山经济开发区总体发展规划环境影响跟踪评价报告书技术审核意见》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6" w:hRule="atLeast"/>
          <w:jc w:val="center"/>
        </w:trPr>
        <w:tc>
          <w:tcPr>
            <w:tcW w:w="1795"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规划及规划环境影响评价符合性分析</w:t>
            </w:r>
          </w:p>
        </w:tc>
        <w:tc>
          <w:tcPr>
            <w:tcW w:w="7417" w:type="dxa"/>
            <w:gridSpan w:val="3"/>
            <w:vAlign w:val="center"/>
          </w:tcPr>
          <w:p>
            <w:pPr>
              <w:keepNext w:val="0"/>
              <w:keepLines w:val="0"/>
              <w:suppressLineNumbers w:val="0"/>
              <w:spacing w:before="0" w:beforeLines="0" w:beforeAutospacing="0" w:after="0" w:afterLines="0" w:afterAutospacing="0" w:line="360" w:lineRule="auto"/>
              <w:ind w:left="0" w:right="0" w:firstLine="482" w:firstLineChars="200"/>
              <w:rPr>
                <w:rFonts w:hint="default"/>
                <w:b/>
                <w:color w:val="000000"/>
                <w:sz w:val="24"/>
                <w:szCs w:val="24"/>
              </w:rPr>
            </w:pPr>
            <w:r>
              <w:rPr>
                <w:rFonts w:hint="default"/>
                <w:b/>
                <w:color w:val="000000"/>
                <w:sz w:val="24"/>
                <w:szCs w:val="24"/>
              </w:rPr>
              <w:t>1</w:t>
            </w:r>
            <w:r>
              <w:rPr>
                <w:rFonts w:hint="default" w:ascii="宋体"/>
                <w:b/>
                <w:color w:val="000000"/>
                <w:sz w:val="24"/>
                <w:szCs w:val="24"/>
              </w:rPr>
              <w:t>、规划用地相符性分析</w:t>
            </w:r>
          </w:p>
          <w:p>
            <w:pPr>
              <w:keepNext w:val="0"/>
              <w:keepLines w:val="0"/>
              <w:widowControl/>
              <w:suppressLineNumbers w:val="0"/>
              <w:spacing w:before="0" w:beforeLines="0" w:beforeAutospacing="0" w:after="0" w:afterLines="0" w:afterAutospacing="0" w:line="360" w:lineRule="auto"/>
              <w:ind w:left="0" w:right="0" w:firstLine="480" w:firstLineChars="200"/>
              <w:jc w:val="left"/>
              <w:rPr>
                <w:rFonts w:hint="default"/>
                <w:color w:val="000000"/>
                <w:kern w:val="0"/>
                <w:sz w:val="24"/>
                <w:szCs w:val="24"/>
              </w:rPr>
            </w:pPr>
            <w:r>
              <w:rPr>
                <w:rFonts w:hint="default" w:ascii="宋体"/>
                <w:color w:val="000000"/>
                <w:kern w:val="0"/>
                <w:sz w:val="24"/>
                <w:szCs w:val="24"/>
              </w:rPr>
              <w:t>本项目</w:t>
            </w:r>
            <w:r>
              <w:rPr>
                <w:rFonts w:hint="eastAsia" w:ascii="宋体"/>
                <w:color w:val="auto"/>
                <w:kern w:val="0"/>
                <w:sz w:val="24"/>
                <w:szCs w:val="24"/>
                <w:lang w:val="en-US" w:eastAsia="zh-CN"/>
              </w:rPr>
              <w:t>租赁芜湖闳润现代农业装备制造有限公司厂房</w:t>
            </w:r>
            <w:r>
              <w:rPr>
                <w:rFonts w:hint="default" w:ascii="宋体"/>
                <w:color w:val="auto"/>
                <w:kern w:val="0"/>
                <w:sz w:val="24"/>
                <w:szCs w:val="24"/>
              </w:rPr>
              <w:t>位于安徽芜湖三山经济开发区创业路</w:t>
            </w:r>
            <w:r>
              <w:rPr>
                <w:rFonts w:hint="eastAsia" w:ascii="宋体"/>
                <w:color w:val="auto"/>
                <w:kern w:val="0"/>
                <w:sz w:val="24"/>
                <w:szCs w:val="24"/>
                <w:lang w:val="en-US" w:eastAsia="zh-CN"/>
              </w:rPr>
              <w:t>8号</w:t>
            </w:r>
            <w:r>
              <w:rPr>
                <w:rFonts w:hint="default" w:ascii="宋体"/>
                <w:color w:val="auto"/>
                <w:kern w:val="0"/>
                <w:sz w:val="24"/>
                <w:szCs w:val="24"/>
              </w:rPr>
              <w:t>，</w:t>
            </w:r>
            <w:r>
              <w:rPr>
                <w:rFonts w:hint="default" w:ascii="宋体"/>
                <w:color w:val="000000"/>
                <w:kern w:val="0"/>
                <w:sz w:val="24"/>
                <w:szCs w:val="24"/>
              </w:rPr>
              <w:t>详见</w:t>
            </w:r>
            <w:r>
              <w:rPr>
                <w:rFonts w:hint="default" w:ascii="宋体"/>
                <w:b w:val="0"/>
                <w:bCs w:val="0"/>
                <w:color w:val="auto"/>
                <w:kern w:val="0"/>
                <w:sz w:val="24"/>
                <w:szCs w:val="24"/>
              </w:rPr>
              <w:t>附图1</w:t>
            </w:r>
            <w:r>
              <w:rPr>
                <w:rFonts w:hint="default" w:ascii="宋体"/>
                <w:color w:val="000000"/>
                <w:kern w:val="0"/>
                <w:sz w:val="24"/>
                <w:szCs w:val="24"/>
              </w:rPr>
              <w:t>。北侧</w:t>
            </w:r>
            <w:r>
              <w:rPr>
                <w:rFonts w:hint="eastAsia" w:ascii="宋体"/>
                <w:color w:val="000000"/>
                <w:kern w:val="0"/>
                <w:sz w:val="24"/>
                <w:szCs w:val="24"/>
                <w:lang w:val="en-US" w:eastAsia="zh-CN"/>
              </w:rPr>
              <w:t>为芜湖宏润现代农业装备制造有限公司</w:t>
            </w:r>
            <w:r>
              <w:rPr>
                <w:rFonts w:hint="default" w:ascii="宋体"/>
                <w:color w:val="000000"/>
                <w:kern w:val="0"/>
                <w:sz w:val="24"/>
                <w:szCs w:val="24"/>
              </w:rPr>
              <w:t>，西侧为芜湖市龙兴合金有限公司</w:t>
            </w:r>
            <w:r>
              <w:rPr>
                <w:rFonts w:hint="eastAsia" w:ascii="宋体"/>
                <w:color w:val="000000"/>
                <w:kern w:val="0"/>
                <w:sz w:val="24"/>
                <w:szCs w:val="24"/>
                <w:lang w:eastAsia="zh-CN"/>
              </w:rPr>
              <w:t>、芜湖市海格瑞德科技有限公司</w:t>
            </w:r>
            <w:r>
              <w:rPr>
                <w:rFonts w:hint="default" w:ascii="宋体"/>
                <w:color w:val="000000"/>
                <w:kern w:val="0"/>
                <w:sz w:val="24"/>
                <w:szCs w:val="24"/>
              </w:rPr>
              <w:t>，南侧为芜湖莹凯服饰有限公司，东侧隔园区创业路为芜湖市创优包装印务有限公司，周边均为工业企业，项目周边情况详</w:t>
            </w:r>
            <w:r>
              <w:rPr>
                <w:rFonts w:hint="default" w:ascii="宋体"/>
                <w:color w:val="auto"/>
                <w:kern w:val="0"/>
                <w:sz w:val="24"/>
                <w:szCs w:val="24"/>
              </w:rPr>
              <w:t>见附图</w:t>
            </w:r>
            <w:r>
              <w:rPr>
                <w:rFonts w:hint="eastAsia"/>
                <w:color w:val="auto"/>
                <w:kern w:val="0"/>
                <w:sz w:val="24"/>
                <w:szCs w:val="24"/>
                <w:lang w:val="en-US" w:eastAsia="zh-CN"/>
              </w:rPr>
              <w:t>2</w:t>
            </w:r>
            <w:r>
              <w:rPr>
                <w:rFonts w:hint="default" w:ascii="宋体"/>
                <w:color w:val="auto"/>
                <w:kern w:val="0"/>
                <w:sz w:val="24"/>
                <w:szCs w:val="24"/>
              </w:rPr>
              <w:t>。项</w:t>
            </w:r>
            <w:r>
              <w:rPr>
                <w:rFonts w:hint="default" w:ascii="宋体"/>
                <w:color w:val="000000"/>
                <w:kern w:val="0"/>
                <w:sz w:val="24"/>
                <w:szCs w:val="24"/>
              </w:rPr>
              <w:t>目东南方向500m范围内存在查村村民散户。根据《安徽芜湖三山经济开发区总体发展规划环境影响报告书》及土地证，项目区土地性质为工业用地（</w:t>
            </w:r>
            <w:r>
              <w:rPr>
                <w:rFonts w:hint="default" w:ascii="宋体"/>
                <w:color w:val="auto"/>
                <w:kern w:val="0"/>
                <w:sz w:val="24"/>
                <w:szCs w:val="24"/>
              </w:rPr>
              <w:t>详见</w:t>
            </w:r>
            <w:r>
              <w:rPr>
                <w:rFonts w:hint="eastAsia" w:ascii="宋体"/>
                <w:color w:val="auto"/>
                <w:kern w:val="0"/>
                <w:sz w:val="24"/>
                <w:szCs w:val="24"/>
                <w:lang w:val="en-US" w:eastAsia="zh-CN"/>
              </w:rPr>
              <w:t>附</w:t>
            </w:r>
            <w:r>
              <w:rPr>
                <w:rFonts w:hint="default" w:ascii="宋体"/>
                <w:color w:val="auto"/>
                <w:kern w:val="0"/>
                <w:sz w:val="24"/>
                <w:szCs w:val="24"/>
              </w:rPr>
              <w:t>图</w:t>
            </w:r>
            <w:r>
              <w:rPr>
                <w:rFonts w:hint="eastAsia" w:ascii="宋体"/>
                <w:color w:val="auto"/>
                <w:kern w:val="0"/>
                <w:sz w:val="24"/>
                <w:szCs w:val="24"/>
                <w:lang w:val="en-US" w:eastAsia="zh-CN"/>
              </w:rPr>
              <w:t>5</w:t>
            </w:r>
            <w:r>
              <w:rPr>
                <w:rFonts w:hint="default" w:ascii="宋体"/>
                <w:color w:val="auto"/>
                <w:kern w:val="0"/>
                <w:sz w:val="24"/>
                <w:szCs w:val="24"/>
              </w:rPr>
              <w:t>，附件</w:t>
            </w:r>
            <w:r>
              <w:rPr>
                <w:rFonts w:hint="eastAsia" w:ascii="宋体"/>
                <w:color w:val="auto"/>
                <w:kern w:val="0"/>
                <w:sz w:val="24"/>
                <w:szCs w:val="24"/>
                <w:lang w:val="en-US" w:eastAsia="zh-CN"/>
              </w:rPr>
              <w:t>7</w:t>
            </w:r>
            <w:r>
              <w:rPr>
                <w:rFonts w:hint="default" w:ascii="宋体"/>
                <w:color w:val="auto"/>
                <w:kern w:val="0"/>
                <w:sz w:val="24"/>
                <w:szCs w:val="24"/>
              </w:rPr>
              <w:t>土地证</w:t>
            </w:r>
            <w:r>
              <w:rPr>
                <w:rFonts w:hint="default" w:ascii="宋体"/>
                <w:color w:val="000000"/>
                <w:kern w:val="0"/>
                <w:sz w:val="24"/>
                <w:szCs w:val="24"/>
              </w:rPr>
              <w:t>），且项目区周边无环境敏感区，且本项目未被列入国土资源部国家发展和改革委员会关于发布实施《限制用地项目目录（2012年本）》和《禁止用地项目目录（2012年本）》。因此，建设项目与区域规划相符，与用地性质相符。</w:t>
            </w:r>
          </w:p>
          <w:p>
            <w:pPr>
              <w:keepNext w:val="0"/>
              <w:keepLines w:val="0"/>
              <w:suppressLineNumbers w:val="0"/>
              <w:autoSpaceDE w:val="0"/>
              <w:autoSpaceDN w:val="0"/>
              <w:adjustRightInd w:val="0"/>
              <w:snapToGrid w:val="0"/>
              <w:spacing w:before="0" w:beforeAutospacing="0" w:after="0" w:afterAutospacing="0" w:line="360" w:lineRule="auto"/>
              <w:ind w:left="0" w:right="0" w:firstLine="482" w:firstLineChars="20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eastAsia="宋体"/>
                <w:b/>
                <w:color w:val="000000"/>
                <w:sz w:val="24"/>
                <w:szCs w:val="24"/>
                <w:lang w:val="en-US" w:eastAsia="zh-CN"/>
              </w:rPr>
              <w:t xml:space="preserve">2、规划环评及审查意见相符性分析 </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根据《安徽芜湖三山经济开发区总体发展规划环境影响报告书》，规 划区域面积为17.68平方公里，原核准的3.17平方公里不再纳入开发区范 围，规划范围主要由两片区构成：北片区和南片区。北片区范围是北到长江，南到小江和联合大道，西到铁路专用线路和峨溪路，东到五华山路；南片区范围是北到小江，南到长江南路，西到铁路专用线路，东到莲花湖路。芜湖市三山经济开发区控制性详细规划见</w:t>
            </w:r>
            <w:r>
              <w:rPr>
                <w:rFonts w:hint="default"/>
                <w:color w:val="auto"/>
                <w:sz w:val="24"/>
                <w:lang w:val="en-US" w:eastAsia="zh-CN"/>
              </w:rPr>
              <w:t>附图</w:t>
            </w:r>
            <w:r>
              <w:rPr>
                <w:rFonts w:hint="eastAsia"/>
                <w:color w:val="auto"/>
                <w:sz w:val="24"/>
                <w:lang w:val="en-US" w:eastAsia="zh-CN"/>
              </w:rPr>
              <w:t>5</w:t>
            </w:r>
            <w:r>
              <w:rPr>
                <w:rFonts w:hint="default"/>
                <w:color w:val="0D0D0D" w:themeColor="text1" w:themeTint="F2"/>
                <w:sz w:val="24"/>
                <w:lang w:val="en-US" w:eastAsia="zh-CN"/>
                <w14:textFill>
                  <w14:solidFill>
                    <w14:schemeClr w14:val="tx1">
                      <w14:lumMod w14:val="95000"/>
                      <w14:lumOff w14:val="5000"/>
                    </w14:schemeClr>
                  </w14:solidFill>
                </w14:textFill>
              </w:rPr>
              <w:t xml:space="preserve">。 </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 xml:space="preserve">三山经济开发区主导产业为装备制造、现代物流、电子信息，同时发展现代服务业。 </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根据《安徽芜湖三山经济开发区总体发展规划环境影响报告书》，安徽芜湖三山经济开发区入区行业的控制建议表内容如下：</w:t>
            </w:r>
          </w:p>
          <w:p>
            <w:pPr>
              <w:keepNext w:val="0"/>
              <w:keepLines w:val="0"/>
              <w:suppressLineNumbers w:val="0"/>
              <w:autoSpaceDE w:val="0"/>
              <w:autoSpaceDN w:val="0"/>
              <w:adjustRightInd w:val="0"/>
              <w:snapToGrid w:val="0"/>
              <w:spacing w:before="0" w:beforeAutospacing="0" w:after="0" w:afterAutospacing="0" w:line="360" w:lineRule="auto"/>
              <w:ind w:left="0" w:right="0"/>
              <w:jc w:val="center"/>
              <w:rPr>
                <w:rFonts w:hint="default"/>
                <w:b/>
                <w:bCs/>
                <w:color w:val="0D0D0D" w:themeColor="text1" w:themeTint="F2"/>
                <w:sz w:val="24"/>
                <w:lang w:val="en-US" w:eastAsia="zh-CN"/>
                <w14:textFill>
                  <w14:solidFill>
                    <w14:schemeClr w14:val="tx1">
                      <w14:lumMod w14:val="95000"/>
                      <w14:lumOff w14:val="5000"/>
                    </w14:schemeClr>
                  </w14:solidFill>
                </w14:textFill>
              </w:rPr>
            </w:pPr>
            <w:r>
              <w:rPr>
                <w:rFonts w:hint="default"/>
                <w:b/>
                <w:bCs/>
                <w:color w:val="0D0D0D" w:themeColor="text1" w:themeTint="F2"/>
                <w:sz w:val="24"/>
                <w:lang w:val="en-US" w:eastAsia="zh-CN"/>
                <w14:textFill>
                  <w14:solidFill>
                    <w14:schemeClr w14:val="tx1">
                      <w14:lumMod w14:val="95000"/>
                      <w14:lumOff w14:val="5000"/>
                    </w14:schemeClr>
                  </w14:solidFill>
                </w14:textFill>
              </w:rPr>
              <w:t>表1-1  三山经济开发区入区主导项目行业参考建议一览表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63"/>
              <w:gridCol w:w="4751"/>
              <w:gridCol w:w="12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12"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行业代码</w:t>
                  </w:r>
                </w:p>
              </w:tc>
              <w:tc>
                <w:tcPr>
                  <w:tcW w:w="4687" w:type="dxa"/>
                  <w:tcBorders>
                    <w:top w:val="single" w:color="auto" w:sz="12"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行业名称</w:t>
                  </w:r>
                </w:p>
              </w:tc>
              <w:tc>
                <w:tcPr>
                  <w:tcW w:w="1270" w:type="dxa"/>
                  <w:tcBorders>
                    <w:top w:val="single" w:color="auto" w:sz="12"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控制建议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18</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纺织服装、服饰业</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19</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皮革、毛皮、羽毛及其制品和制鞋业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191</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皮革鞣制加工</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193</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毛皮鞣制及制品加工</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194</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羽毛（绒）加工及制品制造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26</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化学原料和化学制品制造业</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33</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金属制品业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336</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金属表面处理及热处理加工</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36</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汽车制造业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361</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汽车整车制造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362</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改装汽车制造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365</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汽车车身、挂车制造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366</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汽车零部件及配件制造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373</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船舶及相关装置制造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3731</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金属船舶制造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计算机、通信和其他电子设备制造业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391</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计算机制造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392</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通信设备制造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393</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广播电视设备制造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394</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雷达及配套设备制造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395</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视听设备制造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396</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电子器件制造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397</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电子元件制造</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441</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电力生产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4411</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火力发电</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55</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水上运输业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552</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水上货物运输</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553</w:t>
                  </w:r>
                </w:p>
              </w:tc>
              <w:tc>
                <w:tcPr>
                  <w:tcW w:w="468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水上运输辅助活动</w:t>
                  </w:r>
                </w:p>
              </w:tc>
              <w:tc>
                <w:tcPr>
                  <w:tcW w:w="1270" w:type="dxa"/>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4"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59</w:t>
                  </w:r>
                </w:p>
              </w:tc>
              <w:tc>
                <w:tcPr>
                  <w:tcW w:w="5957" w:type="dxa"/>
                  <w:gridSpan w:val="2"/>
                  <w:tcBorders>
                    <w:top w:val="single" w:color="auto" w:sz="4" w:space="0"/>
                    <w:left w:val="single" w:color="auto" w:sz="4" w:space="0"/>
                    <w:bottom w:val="single" w:color="auto" w:sz="4"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仓储业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1147" w:type="dxa"/>
                  <w:tcBorders>
                    <w:top w:val="single" w:color="auto" w:sz="4" w:space="0"/>
                    <w:left w:val="nil"/>
                    <w:bottom w:val="single" w:color="auto" w:sz="12"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599</w:t>
                  </w:r>
                </w:p>
              </w:tc>
              <w:tc>
                <w:tcPr>
                  <w:tcW w:w="4687"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其他仓储业</w:t>
                  </w:r>
                </w:p>
              </w:tc>
              <w:tc>
                <w:tcPr>
                  <w:tcW w:w="1270" w:type="dxa"/>
                  <w:tcBorders>
                    <w:top w:val="single" w:color="auto" w:sz="4" w:space="0"/>
                    <w:left w:val="single" w:color="auto" w:sz="4" w:space="0"/>
                    <w:bottom w:val="single" w:color="auto" w:sz="12" w:space="0"/>
                    <w:right w:val="nil"/>
                    <w:tl2br w:val="nil"/>
                    <w:tr2bl w:val="nil"/>
                  </w:tcBorders>
                  <w:noWrap w:val="0"/>
                  <w:vAlign w:val="center"/>
                </w:tcPr>
                <w:p>
                  <w:pPr>
                    <w:pStyle w:val="76"/>
                    <w:keepNext w:val="0"/>
                    <w:keepLines w:val="0"/>
                    <w:suppressLineNumbers w:val="0"/>
                    <w:spacing w:before="0" w:beforeLines="0" w:beforeAutospacing="0" w:after="0" w:afterLines="0" w:afterAutospacing="0"/>
                    <w:ind w:left="0" w:right="0"/>
                    <w:jc w:val="center"/>
                    <w:rPr>
                      <w:rFonts w:hint="default"/>
                      <w:sz w:val="21"/>
                      <w:szCs w:val="21"/>
                    </w:rPr>
                  </w:pPr>
                  <w:r>
                    <w:rPr>
                      <w:rFonts w:hint="default"/>
                      <w:sz w:val="21"/>
                      <w:szCs w:val="21"/>
                    </w:rPr>
                    <w:t>控制进入</w:t>
                  </w:r>
                </w:p>
              </w:tc>
            </w:tr>
          </w:tbl>
          <w:p>
            <w:pPr>
              <w:keepNext w:val="0"/>
              <w:keepLines w:val="0"/>
              <w:suppressLineNumbers w:val="0"/>
              <w:spacing w:before="0" w:beforeAutospacing="0" w:after="0" w:afterAutospacing="0" w:line="360" w:lineRule="auto"/>
              <w:ind w:left="0" w:right="0" w:firstLine="540" w:firstLineChars="225"/>
              <w:rPr>
                <w:rFonts w:hint="default"/>
                <w:sz w:val="24"/>
                <w:szCs w:val="24"/>
                <w:lang w:val="en-US" w:eastAsia="zh-CN"/>
              </w:rPr>
            </w:pPr>
            <w:r>
              <w:rPr>
                <w:rFonts w:hint="default"/>
                <w:sz w:val="24"/>
                <w:szCs w:val="24"/>
                <w:lang w:val="en-US" w:eastAsia="zh-CN"/>
              </w:rPr>
              <w:t>对照规划环评中入区行业控制建议表，项目所属行业为C3392有色金属铸造</w:t>
            </w:r>
            <w:r>
              <w:rPr>
                <w:rFonts w:hint="eastAsia"/>
                <w:sz w:val="24"/>
                <w:szCs w:val="24"/>
                <w:lang w:val="en-US" w:eastAsia="zh-CN"/>
              </w:rPr>
              <w:t>、C3670汽车零部件及配件制造</w:t>
            </w:r>
            <w:r>
              <w:rPr>
                <w:rFonts w:hint="default"/>
                <w:sz w:val="24"/>
                <w:szCs w:val="24"/>
                <w:lang w:val="en-US" w:eastAsia="zh-CN"/>
              </w:rPr>
              <w:t>，不属于表中的控制进入及禁止进入行业，应视为允许类，符合入区行业控制要求。</w:t>
            </w:r>
          </w:p>
          <w:p>
            <w:pPr>
              <w:keepNext w:val="0"/>
              <w:keepLines w:val="0"/>
              <w:suppressLineNumbers w:val="0"/>
              <w:spacing w:before="0" w:beforeAutospacing="0" w:after="0" w:afterAutospacing="0" w:line="360" w:lineRule="auto"/>
              <w:ind w:left="0" w:right="0" w:firstLine="540" w:firstLineChars="225"/>
              <w:rPr>
                <w:rFonts w:hint="default"/>
                <w:sz w:val="24"/>
                <w:szCs w:val="24"/>
                <w:lang w:val="en-US" w:eastAsia="zh-CN"/>
              </w:rPr>
            </w:pPr>
            <w:r>
              <w:rPr>
                <w:rFonts w:hint="default"/>
                <w:sz w:val="24"/>
                <w:szCs w:val="24"/>
                <w:lang w:val="en-US" w:eastAsia="zh-CN"/>
              </w:rPr>
              <w:t>根据《关于安徽芜湖三山经济开发区总体发展规划环境影响报告书审查意见的函》（皖环函[2014]654号），分析其相符性如下：</w:t>
            </w:r>
          </w:p>
          <w:p>
            <w:pPr>
              <w:pStyle w:val="54"/>
              <w:keepNext/>
              <w:keepLines w:val="0"/>
              <w:widowControl w:val="0"/>
              <w:suppressLineNumbers w:val="0"/>
              <w:autoSpaceDE w:val="0"/>
              <w:autoSpaceDN/>
              <w:spacing w:before="0" w:beforeAutospacing="0" w:after="0" w:afterAutospacing="0" w:line="460" w:lineRule="exact"/>
              <w:ind w:left="0" w:right="0"/>
              <w:jc w:val="center"/>
              <w:rPr>
                <w:rFonts w:hint="default"/>
                <w:b/>
                <w:bCs/>
                <w:sz w:val="24"/>
                <w:szCs w:val="24"/>
              </w:rPr>
            </w:pPr>
            <w:r>
              <w:rPr>
                <w:rFonts w:hint="eastAsia"/>
                <w:b/>
                <w:bCs/>
                <w:sz w:val="24"/>
                <w:szCs w:val="24"/>
                <w:lang w:val="en-US" w:eastAsia="zh-CN"/>
              </w:rPr>
              <w:t>表</w:t>
            </w:r>
            <w:r>
              <w:rPr>
                <w:rFonts w:hint="default"/>
                <w:b/>
                <w:bCs/>
                <w:sz w:val="24"/>
                <w:szCs w:val="24"/>
                <w:lang w:val="en-US" w:eastAsia="zh-CN"/>
              </w:rPr>
              <w:t xml:space="preserve">1-2  </w:t>
            </w:r>
            <w:r>
              <w:rPr>
                <w:rFonts w:hint="eastAsia"/>
                <w:b/>
                <w:bCs/>
                <w:sz w:val="24"/>
                <w:szCs w:val="24"/>
                <w:lang w:val="en-US" w:eastAsia="zh-CN"/>
              </w:rPr>
              <w:t>本项目与《安徽芜湖三山经济开发区总体发展规划环境影响报告书审查意见的函》相符性分析一览表</w:t>
            </w:r>
          </w:p>
          <w:tbl>
            <w:tblPr>
              <w:tblStyle w:val="59"/>
              <w:tblW w:w="4831" w:type="pct"/>
              <w:tblInd w:w="0" w:type="dxa"/>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
            <w:tblGrid>
              <w:gridCol w:w="462"/>
              <w:gridCol w:w="3693"/>
              <w:gridCol w:w="2194"/>
              <w:gridCol w:w="609"/>
            </w:tblGrid>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998" w:hRule="atLeast"/>
              </w:trPr>
              <w:tc>
                <w:tcPr>
                  <w:tcW w:w="331" w:type="pct"/>
                  <w:tcBorders>
                    <w:top w:val="single" w:color="000000" w:sz="12"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序号</w:t>
                  </w:r>
                </w:p>
              </w:tc>
              <w:tc>
                <w:tcPr>
                  <w:tcW w:w="2654" w:type="pct"/>
                  <w:tcBorders>
                    <w:top w:val="single" w:color="000000" w:sz="12"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规划环评及其审查意见</w:t>
                  </w:r>
                </w:p>
              </w:tc>
              <w:tc>
                <w:tcPr>
                  <w:tcW w:w="1576" w:type="pct"/>
                  <w:tcBorders>
                    <w:top w:val="single" w:color="000000" w:sz="12"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本项目情况</w:t>
                  </w:r>
                </w:p>
              </w:tc>
              <w:tc>
                <w:tcPr>
                  <w:tcW w:w="437" w:type="pct"/>
                  <w:tcBorders>
                    <w:top w:val="single" w:color="000000" w:sz="12"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符合性</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4532"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1</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充分考虑居住区域环境要求，进一步优化调整开发区空间布局、组团结构，必要时设置生态隔离措施，减轻和避免各功能区之间、项目之间的相互影响。不符合功能分区和定位的已建项目，要逐步实施调整或搬迁，需要设置卫生防护距离的企业，应按有关规定严格设定。团洲安置区位于芜湖新兴铸管搬迁项目卫生防护距离内，应实施搬迁，并不宜规划为居住用地。严格控制开发区周边用地规划，加强对环境敏感点保护。开发区内现有天然水体应予以保留</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本项目位于三山经济开发区创业路8号，根据《安徽芜湖三山经济开发区总体发展规划环境影响报告书》开发区用地布局规划图及土地证，项目用地属于工业用地。项目用地范围内不涉及天然水体，项目东南方向</w:t>
                  </w:r>
                  <w:r>
                    <w:rPr>
                      <w:rFonts w:hint="default"/>
                      <w:sz w:val="21"/>
                      <w:szCs w:val="21"/>
                      <w:lang w:val="en-US" w:eastAsia="zh-CN"/>
                    </w:rPr>
                    <w:t>500m</w:t>
                  </w:r>
                  <w:r>
                    <w:rPr>
                      <w:rFonts w:hint="eastAsia"/>
                      <w:sz w:val="21"/>
                      <w:szCs w:val="21"/>
                      <w:lang w:val="en-US" w:eastAsia="zh-CN"/>
                    </w:rPr>
                    <w:t>范围内存在查村村民散户，最近距离</w:t>
                  </w:r>
                  <w:r>
                    <w:rPr>
                      <w:rFonts w:hint="default"/>
                      <w:sz w:val="21"/>
                      <w:szCs w:val="21"/>
                      <w:lang w:val="en-US" w:eastAsia="zh-CN"/>
                    </w:rPr>
                    <w:t>245</w:t>
                  </w:r>
                  <w:r>
                    <w:rPr>
                      <w:rFonts w:hint="eastAsia"/>
                      <w:sz w:val="21"/>
                      <w:szCs w:val="21"/>
                      <w:lang w:val="en-US" w:eastAsia="zh-CN"/>
                    </w:rPr>
                    <w:t>米，本项目通过减震隔声、废气处理环保设施等加强对环境敏感点保护</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90"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2</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强化水资源管理，提高水重复利用率。制定并实施开发区节水和中水利用规划，积极推进企业内、企业间水资源的梯级利用和企业用水总量控制，切实提高水资源利用率。严禁建设国家明令禁止的项目，严格控制高耗水、高耗能、污水排放量大的项目建设；已建和报入区建设项目应严格执行水环境保护相关标准和要求</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用水生产废水为脱模剂废水经沉淀池沉淀后经脱模剂回收处理机处理回用不外排；打磨废水经过滤后循环使用不外排；食堂废水经隔油池处理后与其他生活污水再一起经化粪池预处理达标后接入市政管网进入滨江污水处理厂处理。本项目使用电能，不涉及其他能源使用，不属于高耗水、高耗能、污水排放量大的项目</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1005"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3</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在规划确定的开发区产业定位总体框架下，充分考虑与区城产业布局的互补，进一步优化发展重点，严格控制非主导产业项目入区建设。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本项目产品汽车铝合金零部件，为有色金属铸造和汽车零部件及配件制造不属于三山经济开发区</w:t>
                  </w:r>
                  <w:r>
                    <w:rPr>
                      <w:rFonts w:hint="default"/>
                      <w:sz w:val="21"/>
                      <w:szCs w:val="21"/>
                      <w:lang w:val="en-US" w:eastAsia="zh-CN"/>
                    </w:rPr>
                    <w:t>“</w:t>
                  </w:r>
                  <w:r>
                    <w:rPr>
                      <w:rFonts w:hint="eastAsia"/>
                      <w:sz w:val="21"/>
                      <w:szCs w:val="21"/>
                      <w:lang w:val="en-US" w:eastAsia="zh-CN"/>
                    </w:rPr>
                    <w:t>禁止进入</w:t>
                  </w:r>
                  <w:r>
                    <w:rPr>
                      <w:rFonts w:hint="default"/>
                      <w:sz w:val="21"/>
                      <w:szCs w:val="21"/>
                      <w:lang w:val="en-US" w:eastAsia="zh-CN"/>
                    </w:rPr>
                    <w:t>”</w:t>
                  </w:r>
                  <w:r>
                    <w:rPr>
                      <w:rFonts w:hint="eastAsia"/>
                      <w:sz w:val="21"/>
                      <w:szCs w:val="21"/>
                      <w:lang w:val="en-US" w:eastAsia="zh-CN"/>
                    </w:rPr>
                    <w:t>、</w:t>
                  </w:r>
                  <w:r>
                    <w:rPr>
                      <w:rFonts w:hint="default"/>
                      <w:sz w:val="21"/>
                      <w:szCs w:val="21"/>
                      <w:lang w:val="en-US" w:eastAsia="zh-CN"/>
                    </w:rPr>
                    <w:t>“</w:t>
                  </w:r>
                  <w:r>
                    <w:rPr>
                      <w:rFonts w:hint="eastAsia"/>
                      <w:sz w:val="21"/>
                      <w:szCs w:val="21"/>
                      <w:lang w:val="en-US" w:eastAsia="zh-CN"/>
                    </w:rPr>
                    <w:t>控制进入</w:t>
                  </w:r>
                  <w:r>
                    <w:rPr>
                      <w:rFonts w:hint="default"/>
                      <w:sz w:val="21"/>
                      <w:szCs w:val="21"/>
                      <w:lang w:val="en-US" w:eastAsia="zh-CN"/>
                    </w:rPr>
                    <w:t>”</w:t>
                  </w:r>
                  <w:r>
                    <w:rPr>
                      <w:rFonts w:hint="eastAsia"/>
                      <w:sz w:val="21"/>
                      <w:szCs w:val="21"/>
                      <w:lang w:val="en-US" w:eastAsia="zh-CN"/>
                    </w:rPr>
                    <w:t>及</w:t>
                  </w:r>
                  <w:r>
                    <w:rPr>
                      <w:rFonts w:hint="default"/>
                      <w:sz w:val="21"/>
                      <w:szCs w:val="21"/>
                      <w:lang w:val="en-US" w:eastAsia="zh-CN"/>
                    </w:rPr>
                    <w:t>“</w:t>
                  </w:r>
                  <w:r>
                    <w:rPr>
                      <w:rFonts w:hint="eastAsia"/>
                      <w:sz w:val="21"/>
                      <w:szCs w:val="21"/>
                      <w:lang w:val="en-US" w:eastAsia="zh-CN"/>
                    </w:rPr>
                    <w:t>优先进入</w:t>
                  </w:r>
                  <w:r>
                    <w:rPr>
                      <w:rFonts w:hint="default"/>
                      <w:sz w:val="21"/>
                      <w:szCs w:val="21"/>
                      <w:lang w:val="en-US" w:eastAsia="zh-CN"/>
                    </w:rPr>
                    <w:t>”</w:t>
                  </w:r>
                  <w:r>
                    <w:rPr>
                      <w:rFonts w:hint="eastAsia"/>
                      <w:sz w:val="21"/>
                      <w:szCs w:val="21"/>
                      <w:lang w:val="en-US" w:eastAsia="zh-CN"/>
                    </w:rPr>
                    <w:t>行业，视为允许进入行业。项目采用先进的自动化生产工艺和装备；项目废气、废水处理后达标排放，严格控制污染物排放量和排放浓度</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4250"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4</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坚持环保优先原则，强化环保基础设施建设。开发区污水进入滨江污水处理厂处理，污水管网应与开发区开发建设同步进行或适度提前，确保开发区内污水全收集、全处理。滨江污水处理厂扩建及配套管网的建设规模、处理能力、投运时间应满足开发区以及城镇化发展需要。落实各项水环境保护措施，确保开发区建设不降低地表水环境质量和水体功能。进一步论证集中供热方案，禁止新建燃煤锅炉，全面落实《安徽省大气污染防治行动计划实施方案》各项要求。环境保护规划中环境空气质量标准采用《环境空气质量标准》</w:t>
                  </w:r>
                  <w:r>
                    <w:rPr>
                      <w:rFonts w:hint="default"/>
                      <w:sz w:val="21"/>
                      <w:szCs w:val="21"/>
                      <w:lang w:val="en-US" w:eastAsia="zh-CN"/>
                    </w:rPr>
                    <w:t>( GB3095-2012)</w:t>
                  </w:r>
                  <w:r>
                    <w:rPr>
                      <w:rFonts w:hint="eastAsia"/>
                      <w:sz w:val="21"/>
                      <w:szCs w:val="21"/>
                      <w:lang w:val="en-US" w:eastAsia="zh-CN"/>
                    </w:rPr>
                    <w:t>。做好开发区建设中的水土保持工作</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生产废水为脱模剂废水经沉淀池沉淀后经脱模剂回收处理机处理回用不外排；打磨废水经过滤后循环使用不外排；食堂废水经隔油池处理后与其他生活污水再一起经化粪池预处理达标后接入市政管网进入滨江污水处理厂处理，项目不新建燃煤锅炉。</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1991"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5</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加强各类固体废物的收集和处理处置。生活垃圾应集中收集后送环卫部门妥善处理；危险废物应按有关规定安全收集、暂存、处置。确定专人对危险废物进行管理，建立危险废物环境管理台账和信息档案，严格执行危险废物转移联单制度</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本项目危险废物收集后暂存于厂内危废暂存库，专人管理，建立管理台账和信息档案，危废定期委托资质单位处置，严格执行转移联单制度</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2273" w:hRule="atLeast"/>
              </w:trPr>
              <w:tc>
                <w:tcPr>
                  <w:tcW w:w="331" w:type="pct"/>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6</w:t>
                  </w:r>
                </w:p>
              </w:tc>
              <w:tc>
                <w:tcPr>
                  <w:tcW w:w="2654"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576" w:type="pct"/>
                  <w:tcBorders>
                    <w:top w:val="single" w:color="000000" w:sz="6" w:space="0"/>
                    <w:left w:val="single" w:color="000000" w:sz="6" w:space="0"/>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本环评要求项目厂内建设相应风险防范措施，配有相应风险防范物资，制定和完善环境风险应急预案</w:t>
                  </w:r>
                </w:p>
              </w:tc>
              <w:tc>
                <w:tcPr>
                  <w:tcW w:w="437" w:type="pct"/>
                  <w:tcBorders>
                    <w:top w:val="single" w:color="000000" w:sz="6" w:space="0"/>
                    <w:left w:val="single" w:color="000000" w:sz="6" w:space="0"/>
                    <w:bottom w:val="single" w:color="000000" w:sz="6"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6" w:space="0"/>
                  <w:bottom w:val="single" w:color="000000" w:sz="12" w:space="0"/>
                  <w:right w:val="none" w:color="auto"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2304" w:hRule="atLeast"/>
              </w:trPr>
              <w:tc>
                <w:tcPr>
                  <w:tcW w:w="331" w:type="pct"/>
                  <w:tcBorders>
                    <w:top w:val="single" w:color="000000" w:sz="6" w:space="0"/>
                    <w:left w:val="nil"/>
                    <w:bottom w:val="single" w:color="000000" w:sz="12"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7</w:t>
                  </w:r>
                </w:p>
              </w:tc>
              <w:tc>
                <w:tcPr>
                  <w:tcW w:w="2654" w:type="pct"/>
                  <w:tcBorders>
                    <w:top w:val="single" w:color="000000" w:sz="6" w:space="0"/>
                    <w:left w:val="single" w:color="000000" w:sz="6" w:space="0"/>
                    <w:bottom w:val="single" w:color="000000" w:sz="12"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加强环境保护制度建设和管理。入区建设项目，应认真履行环保法律法规要求，严格执行环境影响评价制度和环保</w:t>
                  </w:r>
                  <w:r>
                    <w:rPr>
                      <w:rFonts w:hint="default"/>
                      <w:sz w:val="21"/>
                      <w:szCs w:val="21"/>
                      <w:lang w:val="en-US" w:eastAsia="zh-CN"/>
                    </w:rPr>
                    <w:t>“</w:t>
                  </w:r>
                  <w:r>
                    <w:rPr>
                      <w:rFonts w:hint="eastAsia"/>
                      <w:sz w:val="21"/>
                      <w:szCs w:val="21"/>
                      <w:lang w:val="en-US" w:eastAsia="zh-CN"/>
                    </w:rPr>
                    <w:t>三同时</w:t>
                  </w:r>
                  <w:r>
                    <w:rPr>
                      <w:rFonts w:hint="default"/>
                      <w:sz w:val="21"/>
                      <w:szCs w:val="21"/>
                      <w:lang w:val="en-US" w:eastAsia="zh-CN"/>
                    </w:rPr>
                    <w:t>”</w:t>
                  </w:r>
                  <w:r>
                    <w:rPr>
                      <w:rFonts w:hint="eastAsia"/>
                      <w:sz w:val="21"/>
                      <w:szCs w:val="21"/>
                      <w:lang w:val="en-US" w:eastAsia="zh-CN"/>
                    </w:rPr>
                    <w:t>制度；新增大气污染物、水污染物和重金属的排放总量，应按照污染物排放总量控制的要求严格执行。在规划实施过程中，每隔五年进行一次环境影响跟踪评价，规划修编应重新编制环境影响报告书</w:t>
                  </w:r>
                </w:p>
              </w:tc>
              <w:tc>
                <w:tcPr>
                  <w:tcW w:w="1576" w:type="pct"/>
                  <w:tcBorders>
                    <w:top w:val="single" w:color="000000" w:sz="6" w:space="0"/>
                    <w:left w:val="single" w:color="000000" w:sz="6" w:space="0"/>
                    <w:bottom w:val="single" w:color="000000" w:sz="12"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企业严格执行建设项目环境影响评价制度和环境保护</w:t>
                  </w:r>
                  <w:r>
                    <w:rPr>
                      <w:rFonts w:hint="default"/>
                      <w:sz w:val="21"/>
                      <w:szCs w:val="21"/>
                      <w:lang w:val="en-US" w:eastAsia="zh-CN"/>
                    </w:rPr>
                    <w:t>“</w:t>
                  </w:r>
                  <w:r>
                    <w:rPr>
                      <w:rFonts w:hint="eastAsia"/>
                      <w:sz w:val="21"/>
                      <w:szCs w:val="21"/>
                      <w:lang w:val="en-US" w:eastAsia="zh-CN"/>
                    </w:rPr>
                    <w:t>三同时</w:t>
                  </w:r>
                  <w:r>
                    <w:rPr>
                      <w:rFonts w:hint="default"/>
                      <w:sz w:val="21"/>
                      <w:szCs w:val="21"/>
                      <w:lang w:val="en-US" w:eastAsia="zh-CN"/>
                    </w:rPr>
                    <w:t>”</w:t>
                  </w:r>
                  <w:r>
                    <w:rPr>
                      <w:rFonts w:hint="eastAsia"/>
                      <w:sz w:val="21"/>
                      <w:szCs w:val="21"/>
                      <w:lang w:val="en-US" w:eastAsia="zh-CN"/>
                    </w:rPr>
                    <w:t>制度，项目建设完成验收完成后投产。企业严格落实排污许可制度，在排污前申请排污许可证</w:t>
                  </w:r>
                </w:p>
              </w:tc>
              <w:tc>
                <w:tcPr>
                  <w:tcW w:w="437" w:type="pct"/>
                  <w:tcBorders>
                    <w:top w:val="single" w:color="000000" w:sz="6" w:space="0"/>
                    <w:left w:val="single" w:color="000000" w:sz="6" w:space="0"/>
                    <w:bottom w:val="single" w:color="000000" w:sz="12"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bl>
          <w:p>
            <w:pPr>
              <w:keepNext w:val="0"/>
              <w:keepLines w:val="0"/>
              <w:suppressLineNumbers w:val="0"/>
              <w:spacing w:before="0" w:beforeAutospacing="0" w:after="0" w:afterAutospacing="0" w:line="360" w:lineRule="auto"/>
              <w:ind w:left="0" w:right="0" w:firstLine="540" w:firstLineChars="225"/>
              <w:rPr>
                <w:rFonts w:hint="eastAsia"/>
                <w:sz w:val="24"/>
                <w:szCs w:val="24"/>
                <w:lang w:val="en-US" w:eastAsia="zh-CN"/>
              </w:rPr>
            </w:pPr>
            <w:r>
              <w:rPr>
                <w:rFonts w:hint="eastAsia"/>
                <w:sz w:val="24"/>
                <w:szCs w:val="24"/>
                <w:lang w:val="en-US" w:eastAsia="zh-CN"/>
              </w:rPr>
              <w:t>综上所述，本项目位于安徽芜湖三山经济开发区内，占地属于规划中的工业用地，项目不属于国家明令禁止的项目，不属于高耗水、高耗能、污水排放量大的项目。本项目采用先进的生产工艺和装备，采用的污染治理措施能够确保污染物达标排放，环境风险较低，对照安徽芜湖三山经济开发区规划及规划环评审查意见，本项目的建设符合安徽芜湖三山经济开发区总体发展规划环境影响报告书审查意见的要求。</w:t>
            </w:r>
          </w:p>
          <w:p>
            <w:pPr>
              <w:keepNext w:val="0"/>
              <w:keepLines w:val="0"/>
              <w:suppressLineNumbers w:val="0"/>
              <w:spacing w:before="0" w:beforeAutospacing="0" w:after="0" w:afterAutospacing="0" w:line="360" w:lineRule="auto"/>
              <w:ind w:left="0" w:right="0" w:firstLine="542" w:firstLineChars="225"/>
              <w:rPr>
                <w:rFonts w:hint="default"/>
                <w:sz w:val="24"/>
                <w:szCs w:val="24"/>
                <w:lang w:val="en-US" w:eastAsia="zh-CN"/>
              </w:rPr>
            </w:pPr>
            <w:r>
              <w:rPr>
                <w:rFonts w:hint="eastAsia"/>
                <w:b/>
                <w:bCs/>
                <w:sz w:val="24"/>
                <w:szCs w:val="24"/>
                <w:lang w:val="en-US" w:eastAsia="zh-CN"/>
              </w:rPr>
              <w:t>3</w:t>
            </w:r>
            <w:r>
              <w:rPr>
                <w:rFonts w:hint="default"/>
                <w:b/>
                <w:bCs/>
                <w:sz w:val="24"/>
                <w:szCs w:val="24"/>
                <w:lang w:val="en-US" w:eastAsia="zh-CN"/>
              </w:rPr>
              <w:t>、与《安徽芜湖三山经济开发区总体发展规划环境影响跟踪评价报告书》相符性分析</w:t>
            </w:r>
            <w:r>
              <w:rPr>
                <w:rFonts w:hint="default"/>
                <w:sz w:val="24"/>
                <w:szCs w:val="24"/>
                <w:lang w:val="en-US" w:eastAsia="zh-CN"/>
              </w:rPr>
              <w:t xml:space="preserve"> </w:t>
            </w:r>
          </w:p>
          <w:p>
            <w:pPr>
              <w:keepNext w:val="0"/>
              <w:keepLines w:val="0"/>
              <w:suppressLineNumbers w:val="0"/>
              <w:spacing w:before="0" w:beforeAutospacing="0" w:after="0" w:afterAutospacing="0" w:line="360" w:lineRule="auto"/>
              <w:ind w:left="0" w:right="0" w:firstLine="540" w:firstLineChars="225"/>
              <w:rPr>
                <w:rFonts w:hint="default"/>
                <w:sz w:val="24"/>
                <w:szCs w:val="24"/>
                <w:lang w:val="en-US" w:eastAsia="zh-CN"/>
              </w:rPr>
            </w:pPr>
            <w:r>
              <w:rPr>
                <w:rFonts w:hint="default"/>
                <w:sz w:val="24"/>
                <w:szCs w:val="24"/>
                <w:lang w:val="en-US" w:eastAsia="zh-CN"/>
              </w:rPr>
              <w:t xml:space="preserve">根据《安徽芜湖三山经济开发区总体发展规划环境影响跟踪评价报告书》（2021年11月），安徽芜湖三山经济开发区主导产业为装备制造、现代物流和电子信息三大主导产业，同时发展现代服务业；但开发区内仍有建筑材料制造、木材加工、农副食品加工业、纺织业、家具制造业、印刷和记录媒介复制业、橡胶和塑料制品业、非金属矿物制品业等非主导行业企业在开发区建设早期就已经建成投产，此类企业与开发区规划主导产业定位不相符，但与产业引入导向并不冲突，且并不属于原规划环评禁止及控制进入的行业类别建议开发区在后续开发过程中，应严格控制此类企业污染物排放，选择合适的污染物治理设施，确保废气、废水达标排放。安徽芜湖三山经济开发区总体发展规划环境跟踪评价报告书中准入清单、控制要求如下表： </w:t>
            </w:r>
          </w:p>
          <w:p>
            <w:pPr>
              <w:keepNext w:val="0"/>
              <w:keepLines w:val="0"/>
              <w:suppressLineNumbers w:val="0"/>
              <w:spacing w:before="0" w:beforeAutospacing="0" w:after="0" w:afterAutospacing="0" w:line="360" w:lineRule="auto"/>
              <w:ind w:left="0" w:right="0" w:firstLine="542" w:firstLineChars="225"/>
              <w:rPr>
                <w:rFonts w:hint="default"/>
                <w:b/>
                <w:bCs/>
                <w:sz w:val="24"/>
                <w:szCs w:val="24"/>
                <w:lang w:val="en-US" w:eastAsia="zh-CN"/>
              </w:rPr>
            </w:pPr>
            <w:r>
              <w:rPr>
                <w:rFonts w:hint="default"/>
                <w:b/>
                <w:bCs/>
                <w:sz w:val="24"/>
                <w:szCs w:val="24"/>
                <w:lang w:val="en-US" w:eastAsia="zh-CN"/>
              </w:rPr>
              <w:t>表1-3 安徽芜湖三山经济开发区总体发展规划环境跟踪评价报告书中准入清单、控制要求</w:t>
            </w:r>
          </w:p>
          <w:tbl>
            <w:tblPr>
              <w:tblStyle w:val="59"/>
              <w:tblW w:w="4804" w:type="pct"/>
              <w:tblInd w:w="0" w:type="dxa"/>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
            <w:tblGrid>
              <w:gridCol w:w="802"/>
              <w:gridCol w:w="1430"/>
              <w:gridCol w:w="4687"/>
            </w:tblGrid>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696" w:hRule="atLeast"/>
              </w:trPr>
              <w:tc>
                <w:tcPr>
                  <w:tcW w:w="802" w:type="dxa"/>
                  <w:tcBorders>
                    <w:top w:val="single" w:color="000000" w:sz="12"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 xml:space="preserve">清单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 xml:space="preserve">类别 </w:t>
                  </w:r>
                </w:p>
              </w:tc>
              <w:tc>
                <w:tcPr>
                  <w:tcW w:w="6117" w:type="dxa"/>
                  <w:gridSpan w:val="2"/>
                  <w:tcBorders>
                    <w:top w:val="single" w:color="000000" w:sz="12"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准入清单、控制要求</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092" w:hRule="atLeast"/>
              </w:trPr>
              <w:tc>
                <w:tcPr>
                  <w:tcW w:w="802" w:type="dxa"/>
                  <w:vMerge w:val="restart"/>
                  <w:tcBorders>
                    <w:top w:val="single" w:color="000000" w:sz="6" w:space="0"/>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优先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引入</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装备制造</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33：331结构性金属制品制造、333集装箱及金属包装容器制造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34通用设备制造业：无电镀工艺且仅采用分割、焊接、组装 工艺、使用非溶剂型低VOCs含量涂料的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35：356电子和电工机械专用设备制造、357农、林、牧、渔专用机械制造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36：366汽车车身、挂车制造、367汽车零部件及配件制造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37：3734船用配套设备制造</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14" w:hRule="atLeast"/>
              </w:trPr>
              <w:tc>
                <w:tcPr>
                  <w:tcW w:w="802" w:type="dxa"/>
                  <w:vMerge w:val="continue"/>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现代物流</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59 装卸搬运和仓储业（594危险品仓储除外）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1461" w:hRule="atLeast"/>
              </w:trPr>
              <w:tc>
                <w:tcPr>
                  <w:tcW w:w="802" w:type="dxa"/>
                  <w:vMerge w:val="continue"/>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电子信息 </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38：382输配电及控制设备制造、385家用电力器具制造、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386 非家用电力器具制造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 xml:space="preserve">39：392通信设备制造、393广播电视设备制造、395非专业 </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r>
                    <w:rPr>
                      <w:rFonts w:hint="default"/>
                      <w:sz w:val="21"/>
                      <w:szCs w:val="21"/>
                      <w:lang w:val="en-US" w:eastAsia="zh-CN"/>
                    </w:rPr>
                    <w:t>试听设备制造、397电子器件制造</w:t>
                  </w:r>
                </w:p>
                <w:p>
                  <w:pPr>
                    <w:pStyle w:val="54"/>
                    <w:keepNext w:val="0"/>
                    <w:keepLines w:val="0"/>
                    <w:widowControl w:val="0"/>
                    <w:suppressLineNumbers w:val="0"/>
                    <w:autoSpaceDE w:val="0"/>
                    <w:autoSpaceDN w:val="0"/>
                    <w:adjustRightInd w:val="0"/>
                    <w:spacing w:before="0" w:beforeAutospacing="0" w:after="0" w:afterAutospacing="0"/>
                    <w:ind w:left="0" w:right="0"/>
                    <w:jc w:val="left"/>
                    <w:rPr>
                      <w:rFonts w:hint="default"/>
                      <w:sz w:val="21"/>
                      <w:szCs w:val="21"/>
                    </w:rPr>
                  </w:pP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432" w:hRule="atLeast"/>
              </w:trPr>
              <w:tc>
                <w:tcPr>
                  <w:tcW w:w="802" w:type="dxa"/>
                  <w:vMerge w:val="continue"/>
                  <w:tcBorders>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现代服务业 </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商贸物流、金融、商务办公、科技研发、文化创意、休闲娱乐类</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460" w:hRule="atLeast"/>
              </w:trPr>
              <w:tc>
                <w:tcPr>
                  <w:tcW w:w="802" w:type="dxa"/>
                  <w:vMerge w:val="restart"/>
                  <w:tcBorders>
                    <w:top w:val="single" w:color="000000" w:sz="6" w:space="0"/>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禁止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引入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6117" w:type="dxa"/>
                  <w:gridSpan w:val="2"/>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涉及《产业结构调整指导目录（20</w:t>
                  </w:r>
                  <w:r>
                    <w:rPr>
                      <w:rFonts w:hint="eastAsia"/>
                      <w:sz w:val="21"/>
                      <w:szCs w:val="21"/>
                      <w:lang w:val="en-US" w:eastAsia="zh-CN"/>
                    </w:rPr>
                    <w:t>24</w:t>
                  </w:r>
                  <w:r>
                    <w:rPr>
                      <w:rFonts w:hint="default"/>
                      <w:sz w:val="21"/>
                      <w:szCs w:val="21"/>
                      <w:lang w:val="en-US" w:eastAsia="zh-CN"/>
                    </w:rPr>
                    <w:t xml:space="preserve">年本）》、《外商投资产业指导目录 （2017年修订）》、《市场准入负面清单（2020年版）》明令禁止淘汰的 项目，生产工艺装备和产品列入《部分工业行业淘汰落后生产工艺装备和 产品指导目录（2010年本）》建设项目；钢铁、焦化、电解铝、铸造、水泥和平板玻璃等产能过剩项目； 使用高VOCs含量的溶剂型涂料、油墨、胶粘剂等项目；燃用高污染燃料的项目和设施；“三线一单”产业结构淘汰类：皮革鞣制加工、毛皮鞣制及制品加工、羽毛（绒）加工及制品制造、化学原料和化学制品制造业等行业；严禁不满足 环境保护要求和产业政策的项目入驻，禁止引入不符合产业导向、易造成环境污染、能耗消耗大、技术水平低的企业；在江南新城（孙滩村）周边引进企业时应考虑对江南新城的影响，禁止高污染企业入驻；禁止在长江干流岸线三公里范围内和重要支流岸线一公里范围内新建、改 建、扩建尾矿库；但是以提升安全、生态环境保护水平为目的的改建除外。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620" w:hRule="atLeast"/>
              </w:trPr>
              <w:tc>
                <w:tcPr>
                  <w:tcW w:w="802" w:type="dxa"/>
                  <w:vMerge w:val="continue"/>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装备制造</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涉及纯电镀加工（不包括阳极氧化和企业不可或缺的配套工艺）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432" w:hRule="atLeast"/>
              </w:trPr>
              <w:tc>
                <w:tcPr>
                  <w:tcW w:w="802" w:type="dxa"/>
                  <w:vMerge w:val="continue"/>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电子信息</w:t>
                  </w:r>
                </w:p>
              </w:tc>
              <w:tc>
                <w:tcPr>
                  <w:tcW w:w="4687"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 xml:space="preserve">涉及纯电镀加工（不包括阳极氧化和企业不可或缺的配套工艺）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1473" w:hRule="atLeast"/>
              </w:trPr>
              <w:tc>
                <w:tcPr>
                  <w:tcW w:w="802" w:type="dxa"/>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6117" w:type="dxa"/>
                  <w:gridSpan w:val="2"/>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产业结构调整指导目录（20</w:t>
                  </w:r>
                  <w:r>
                    <w:rPr>
                      <w:rFonts w:hint="eastAsia"/>
                      <w:sz w:val="21"/>
                      <w:szCs w:val="21"/>
                      <w:lang w:val="en-US" w:eastAsia="zh-CN"/>
                    </w:rPr>
                    <w:t>24</w:t>
                  </w:r>
                  <w:r>
                    <w:rPr>
                      <w:rFonts w:hint="default"/>
                      <w:sz w:val="21"/>
                      <w:szCs w:val="21"/>
                      <w:lang w:val="en-US" w:eastAsia="zh-CN"/>
                    </w:rPr>
                    <w:t xml:space="preserve">年本）中限制类项目；能源、资源消耗量大 或排污量大的项目；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涉及《关于加强高耗能、高排放建设项目生态环境源头防控的指导意见》 文件中涉“两高”产业；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“三线一单”产业结构限制类：金属表面处理及热处理加工、电子元件制 造、火力发电等行业；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293" w:hRule="atLeast"/>
              </w:trPr>
              <w:tc>
                <w:tcPr>
                  <w:tcW w:w="802" w:type="dxa"/>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装备制造 </w:t>
                  </w:r>
                </w:p>
              </w:tc>
              <w:tc>
                <w:tcPr>
                  <w:tcW w:w="4687" w:type="dxa"/>
                  <w:tcBorders>
                    <w:left w:val="nil"/>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3360 金属表面处理及热处理加工 </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293" w:hRule="atLeast"/>
              </w:trPr>
              <w:tc>
                <w:tcPr>
                  <w:tcW w:w="802" w:type="dxa"/>
                  <w:tcBorders>
                    <w:left w:val="nil"/>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现代物流</w:t>
                  </w:r>
                </w:p>
              </w:tc>
              <w:tc>
                <w:tcPr>
                  <w:tcW w:w="4687" w:type="dxa"/>
                  <w:tcBorders>
                    <w:left w:val="nil"/>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5435 危险货物道路运输、594 危险品仓储</w:t>
                  </w:r>
                </w:p>
              </w:tc>
            </w:tr>
            <w:tr>
              <w:tblPrEx>
                <w:tblBorders>
                  <w:top w:val="single" w:color="000000" w:sz="12" w:space="0"/>
                  <w:left w:val="none" w:color="auto" w:sz="6" w:space="0"/>
                  <w:bottom w:val="single" w:color="000000" w:sz="12" w:space="0"/>
                  <w:right w:val="none" w:color="auto" w:sz="0"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42" w:hRule="atLeast"/>
              </w:trPr>
              <w:tc>
                <w:tcPr>
                  <w:tcW w:w="802" w:type="dxa"/>
                  <w:tcBorders>
                    <w:left w:val="nil"/>
                    <w:bottom w:val="single" w:color="000000" w:sz="12" w:space="0"/>
                    <w:right w:val="single" w:color="000000" w:sz="6"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1430" w:type="dxa"/>
                  <w:tcBorders>
                    <w:top w:val="single" w:color="000000" w:sz="6" w:space="0"/>
                    <w:left w:val="nil"/>
                    <w:bottom w:val="single" w:color="000000" w:sz="12" w:space="0"/>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电子信息</w:t>
                  </w:r>
                </w:p>
              </w:tc>
              <w:tc>
                <w:tcPr>
                  <w:tcW w:w="4687" w:type="dxa"/>
                  <w:tcBorders>
                    <w:left w:val="nil"/>
                    <w:bottom w:val="single" w:color="000000" w:sz="12" w:space="0"/>
                    <w:right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lang w:val="en-US" w:eastAsia="zh-CN"/>
                    </w:rPr>
                  </w:pPr>
                  <w:r>
                    <w:rPr>
                      <w:rFonts w:hint="default"/>
                      <w:sz w:val="21"/>
                      <w:szCs w:val="21"/>
                      <w:lang w:val="en-US" w:eastAsia="zh-CN"/>
                    </w:rPr>
                    <w:t xml:space="preserve">398 电子元件及电子专用材料制造 </w:t>
                  </w:r>
                </w:p>
              </w:tc>
            </w:tr>
          </w:tbl>
          <w:p>
            <w:pPr>
              <w:keepNext w:val="0"/>
              <w:keepLines w:val="0"/>
              <w:suppressLineNumbers w:val="0"/>
              <w:spacing w:before="0" w:beforeAutospacing="0" w:after="0" w:afterAutospacing="0" w:line="360" w:lineRule="auto"/>
              <w:ind w:left="0" w:right="0" w:firstLine="540" w:firstLineChars="225"/>
              <w:rPr>
                <w:rFonts w:hint="default"/>
                <w:sz w:val="24"/>
                <w:szCs w:val="24"/>
                <w:lang w:val="en-US" w:eastAsia="zh-CN"/>
              </w:rPr>
            </w:pPr>
            <w:r>
              <w:rPr>
                <w:rFonts w:hint="default"/>
                <w:sz w:val="24"/>
                <w:szCs w:val="24"/>
                <w:lang w:val="en-US" w:eastAsia="zh-CN"/>
              </w:rPr>
              <w:t>项目所属行业为C3392有色金属铸造、C</w:t>
            </w:r>
            <w:r>
              <w:rPr>
                <w:rFonts w:hint="eastAsia"/>
                <w:sz w:val="24"/>
                <w:szCs w:val="24"/>
                <w:lang w:val="en-US" w:eastAsia="zh-CN"/>
              </w:rPr>
              <w:t>3670</w:t>
            </w:r>
            <w:r>
              <w:rPr>
                <w:rFonts w:hint="default"/>
                <w:sz w:val="24"/>
                <w:szCs w:val="24"/>
                <w:lang w:val="en-US" w:eastAsia="zh-CN"/>
              </w:rPr>
              <w:t>汽车零部件及配件制造，项目所属行业、涉及工艺不含规划跟踪评价准入清单和控制要求中限制及禁止引入的行业、产业。根据跟踪评价要求，应严格控制此类企业污染物排放，选择合适的污染物治理设施，确保废气、废水达标排放。项目</w:t>
            </w:r>
            <w:r>
              <w:rPr>
                <w:rFonts w:hint="default"/>
                <w:color w:val="auto"/>
                <w:sz w:val="24"/>
                <w:szCs w:val="24"/>
                <w:lang w:val="en-US" w:eastAsia="zh-CN"/>
              </w:rPr>
              <w:t>熔化、天然气燃烧</w:t>
            </w:r>
            <w:r>
              <w:rPr>
                <w:rFonts w:hint="eastAsia"/>
                <w:color w:val="auto"/>
                <w:sz w:val="24"/>
                <w:szCs w:val="24"/>
                <w:lang w:val="en-US" w:eastAsia="zh-CN"/>
              </w:rPr>
              <w:t>经布袋除尘器</w:t>
            </w:r>
            <w:r>
              <w:rPr>
                <w:rFonts w:hint="default"/>
                <w:color w:val="auto"/>
                <w:sz w:val="24"/>
                <w:szCs w:val="24"/>
                <w:lang w:val="en-US" w:eastAsia="zh-CN"/>
              </w:rPr>
              <w:t>处理后达标排放</w:t>
            </w:r>
            <w:r>
              <w:rPr>
                <w:rFonts w:hint="eastAsia"/>
                <w:color w:val="auto"/>
                <w:lang w:eastAsia="zh-CN"/>
              </w:rPr>
              <w:t>，</w:t>
            </w:r>
            <w:r>
              <w:rPr>
                <w:rFonts w:hint="default"/>
                <w:color w:val="auto"/>
                <w:lang w:val="en-US" w:eastAsia="zh-CN"/>
              </w:rPr>
              <w:t>压铸脱模</w:t>
            </w:r>
            <w:r>
              <w:rPr>
                <w:rFonts w:hint="eastAsia"/>
                <w:color w:val="auto"/>
                <w:sz w:val="24"/>
                <w:szCs w:val="24"/>
                <w:lang w:val="en-US" w:eastAsia="zh-CN"/>
              </w:rPr>
              <w:t>废气经静电油雾净化+两级活性炭后达标排放，打磨粉尘经水帘湿式除尘后达标排放，抛丸粉尘</w:t>
            </w:r>
            <w:r>
              <w:rPr>
                <w:rFonts w:hint="default"/>
                <w:color w:val="auto"/>
                <w:sz w:val="24"/>
                <w:szCs w:val="24"/>
                <w:lang w:val="en-US" w:eastAsia="zh-CN"/>
              </w:rPr>
              <w:t>经</w:t>
            </w:r>
            <w:r>
              <w:rPr>
                <w:rFonts w:hint="eastAsia"/>
                <w:color w:val="auto"/>
                <w:sz w:val="24"/>
                <w:szCs w:val="24"/>
                <w:lang w:val="en-US" w:eastAsia="zh-CN"/>
              </w:rPr>
              <w:t>设备自带除尘器</w:t>
            </w:r>
            <w:r>
              <w:rPr>
                <w:rFonts w:hint="default"/>
                <w:color w:val="auto"/>
                <w:sz w:val="24"/>
                <w:szCs w:val="24"/>
                <w:lang w:val="en-US" w:eastAsia="zh-CN"/>
              </w:rPr>
              <w:t>达标排放</w:t>
            </w:r>
            <w:r>
              <w:rPr>
                <w:rFonts w:hint="eastAsia"/>
                <w:color w:val="auto"/>
                <w:sz w:val="24"/>
                <w:szCs w:val="24"/>
                <w:lang w:val="en-US" w:eastAsia="zh-CN"/>
              </w:rPr>
              <w:t>，食堂油烟经油烟净化器处理后通过管道排放</w:t>
            </w:r>
            <w:r>
              <w:rPr>
                <w:rFonts w:hint="default"/>
                <w:color w:val="auto"/>
                <w:sz w:val="24"/>
                <w:szCs w:val="24"/>
                <w:lang w:val="en-US" w:eastAsia="zh-CN"/>
              </w:rPr>
              <w:t>。</w:t>
            </w:r>
            <w:r>
              <w:rPr>
                <w:rFonts w:hint="default"/>
                <w:sz w:val="24"/>
                <w:szCs w:val="24"/>
                <w:lang w:val="en-US" w:eastAsia="zh-CN"/>
              </w:rPr>
              <w:t xml:space="preserve">项目产生的废水脱模剂废水经沉淀池沉淀后经脱模剂回收处理机处理回用不外排；打磨废水经过滤后循环使用不外排；食堂废水经隔油池处理后与其他生活污水再一起经化粪池预处理达标后接入市政管网进入滨江污水处理厂处理。项目废水和废气均可达标排放，满足跟踪评价要求。 </w:t>
            </w:r>
          </w:p>
          <w:p>
            <w:pPr>
              <w:keepNext w:val="0"/>
              <w:keepLines w:val="0"/>
              <w:suppressLineNumbers w:val="0"/>
              <w:spacing w:before="0" w:beforeAutospacing="0" w:after="0" w:afterAutospacing="0" w:line="360" w:lineRule="auto"/>
              <w:ind w:left="0" w:right="0" w:firstLine="542" w:firstLineChars="225"/>
              <w:rPr>
                <w:rFonts w:hint="default"/>
                <w:b/>
                <w:bCs/>
                <w:sz w:val="24"/>
                <w:szCs w:val="24"/>
                <w:lang w:val="en-US" w:eastAsia="zh-CN"/>
              </w:rPr>
            </w:pPr>
            <w:r>
              <w:rPr>
                <w:rFonts w:hint="default"/>
                <w:b/>
                <w:bCs/>
                <w:sz w:val="24"/>
                <w:szCs w:val="24"/>
                <w:lang w:val="en-US" w:eastAsia="zh-CN"/>
              </w:rPr>
              <w:t>4、与《安徽芜湖三山经济开发区总体发展规划环境影响跟踪评价报告书技术审核意见的函》相符性分析</w:t>
            </w:r>
          </w:p>
          <w:p>
            <w:pPr>
              <w:keepNext w:val="0"/>
              <w:keepLines w:val="0"/>
              <w:suppressLineNumbers w:val="0"/>
              <w:spacing w:before="0" w:beforeAutospacing="0" w:after="0" w:afterAutospacing="0" w:line="360" w:lineRule="auto"/>
              <w:ind w:left="0" w:right="0" w:firstLine="542" w:firstLineChars="225"/>
              <w:rPr>
                <w:rFonts w:hint="default"/>
                <w:sz w:val="24"/>
                <w:szCs w:val="24"/>
                <w:lang w:val="en-US" w:eastAsia="zh-CN"/>
              </w:rPr>
            </w:pPr>
            <w:r>
              <w:rPr>
                <w:rFonts w:hint="default"/>
                <w:b/>
                <w:bCs/>
                <w:sz w:val="24"/>
                <w:szCs w:val="24"/>
                <w:lang w:val="en-US" w:eastAsia="zh-CN"/>
              </w:rPr>
              <w:t>表1-4 项目与《安徽芜湖三山经济开发区总体发展规划环境影响跟踪评价报告书技术审核意见的函》相符性分析一览表</w:t>
            </w:r>
            <w:r>
              <w:rPr>
                <w:rFonts w:hint="default"/>
                <w:sz w:val="24"/>
                <w:szCs w:val="24"/>
                <w:lang w:val="en-US" w:eastAsia="zh-CN"/>
              </w:rPr>
              <w:t xml:space="preserve"> </w:t>
            </w:r>
          </w:p>
          <w:tbl>
            <w:tblPr>
              <w:tblStyle w:val="59"/>
              <w:tblW w:w="4900" w:type="pct"/>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Layout w:type="fixed"/>
              <w:tblCellMar>
                <w:top w:w="0" w:type="dxa"/>
                <w:left w:w="108" w:type="dxa"/>
                <w:bottom w:w="0" w:type="dxa"/>
                <w:right w:w="108" w:type="dxa"/>
              </w:tblCellMar>
            </w:tblPr>
            <w:tblGrid>
              <w:gridCol w:w="466"/>
              <w:gridCol w:w="3748"/>
              <w:gridCol w:w="2227"/>
              <w:gridCol w:w="616"/>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959" w:hRule="atLeast"/>
              </w:trPr>
              <w:tc>
                <w:tcPr>
                  <w:tcW w:w="46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序号</w:t>
                  </w:r>
                </w:p>
              </w:tc>
              <w:tc>
                <w:tcPr>
                  <w:tcW w:w="3749"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跟踪评价审核意见</w:t>
                  </w:r>
                </w:p>
              </w:tc>
              <w:tc>
                <w:tcPr>
                  <w:tcW w:w="2227"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本项目情况</w:t>
                  </w:r>
                </w:p>
              </w:tc>
              <w:tc>
                <w:tcPr>
                  <w:tcW w:w="61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符合性</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1631" w:hRule="atLeast"/>
              </w:trPr>
              <w:tc>
                <w:tcPr>
                  <w:tcW w:w="46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1</w:t>
                  </w:r>
                </w:p>
              </w:tc>
              <w:tc>
                <w:tcPr>
                  <w:tcW w:w="3749"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 xml:space="preserve">加强紧邻居住用地的工业企业日常环境监管，逐步对该区域内零散的村庄进行拆迁并合理安置。加强区内规划居住用地与工业用地之间防护隔离带及绿化隔离带建设。 </w:t>
                  </w:r>
                </w:p>
              </w:tc>
              <w:tc>
                <w:tcPr>
                  <w:tcW w:w="2227"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 xml:space="preserve">项目位于安徽芜湖三山经济开发区的规划范围内，属于规划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工业用地。项目用地范围内不涉及天然水体，项目东南方向500m范围内存在查村村民散户，最近距离245米，本项目通过减震隔声、</w:t>
                  </w:r>
                  <w:r>
                    <w:rPr>
                      <w:rFonts w:hint="eastAsia"/>
                      <w:color w:val="auto"/>
                      <w:sz w:val="21"/>
                      <w:szCs w:val="21"/>
                      <w:highlight w:val="none"/>
                      <w:lang w:val="en-US" w:eastAsia="zh-CN"/>
                    </w:rPr>
                    <w:t>废</w:t>
                  </w:r>
                  <w:r>
                    <w:rPr>
                      <w:rFonts w:hint="eastAsia"/>
                      <w:sz w:val="21"/>
                      <w:szCs w:val="21"/>
                      <w:lang w:val="en-US" w:eastAsia="zh-CN"/>
                    </w:rPr>
                    <w:t xml:space="preserve">气处理环保设施等加强对环境敏感点保护 </w:t>
                  </w:r>
                </w:p>
              </w:tc>
              <w:tc>
                <w:tcPr>
                  <w:tcW w:w="61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shd w:val="clear" w:color="auto" w:fill="auto"/>
                <w:tblCellMar>
                  <w:top w:w="0" w:type="dxa"/>
                  <w:left w:w="108" w:type="dxa"/>
                  <w:bottom w:w="0" w:type="dxa"/>
                  <w:right w:w="108" w:type="dxa"/>
                </w:tblCellMar>
              </w:tblPrEx>
              <w:trPr>
                <w:trHeight w:val="1630" w:hRule="atLeast"/>
              </w:trPr>
              <w:tc>
                <w:tcPr>
                  <w:tcW w:w="46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default"/>
                      <w:sz w:val="21"/>
                      <w:szCs w:val="21"/>
                      <w:lang w:val="en-US" w:eastAsia="zh-CN"/>
                    </w:rPr>
                    <w:t>2</w:t>
                  </w:r>
                </w:p>
              </w:tc>
              <w:tc>
                <w:tcPr>
                  <w:tcW w:w="3749"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 xml:space="preserve">开发区应尽快开展园区环境风险应急预案编制工作，提高环境风险应急处置能力。健全开发区环境风险应急管理体系，完善环境风险应急 响应，定期组织开展环境应急演练。 </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p>
              </w:tc>
              <w:tc>
                <w:tcPr>
                  <w:tcW w:w="2227"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 xml:space="preserve">项目建设后将积极与园区应急管理体系联动。 </w:t>
                  </w:r>
                </w:p>
              </w:tc>
              <w:tc>
                <w:tcPr>
                  <w:tcW w:w="616" w:type="dxa"/>
                  <w:tcBorders>
                    <w:tl2br w:val="nil"/>
                    <w:tr2bl w:val="nil"/>
                  </w:tcBorders>
                  <w:shd w:val="clear" w:color="auto" w:fill="auto"/>
                  <w:vAlign w:val="center"/>
                </w:tcPr>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default"/>
                      <w:sz w:val="21"/>
                      <w:szCs w:val="21"/>
                    </w:rPr>
                  </w:pPr>
                  <w:r>
                    <w:rPr>
                      <w:rFonts w:hint="eastAsia"/>
                      <w:sz w:val="21"/>
                      <w:szCs w:val="21"/>
                      <w:lang w:val="en-US" w:eastAsia="zh-CN"/>
                    </w:rPr>
                    <w:t>相符</w:t>
                  </w:r>
                </w:p>
              </w:tc>
            </w:tr>
          </w:tbl>
          <w:p>
            <w:pPr>
              <w:keepNext w:val="0"/>
              <w:keepLines w:val="0"/>
              <w:suppressLineNumbers w:val="0"/>
              <w:spacing w:before="0" w:beforeAutospacing="0" w:after="0" w:afterAutospacing="0" w:line="360" w:lineRule="auto"/>
              <w:ind w:left="0" w:right="0" w:firstLine="540" w:firstLineChars="225"/>
              <w:rPr>
                <w:rFonts w:hint="default"/>
                <w:sz w:val="24"/>
                <w:szCs w:val="24"/>
                <w:lang w:val="en-US" w:eastAsia="zh-CN"/>
              </w:rPr>
            </w:pPr>
            <w:r>
              <w:rPr>
                <w:rFonts w:hint="default"/>
                <w:sz w:val="24"/>
                <w:szCs w:val="24"/>
                <w:lang w:val="en-US" w:eastAsia="zh-CN"/>
              </w:rPr>
              <w:t>综上所述，项目建设符合《安徽芜湖三山经济开发区总体发展规划环境影响跟踪评价报告书技术审核意见的函》中要求。</w:t>
            </w:r>
          </w:p>
          <w:p>
            <w:pPr>
              <w:keepNext w:val="0"/>
              <w:keepLines w:val="0"/>
              <w:suppressLineNumbers w:val="0"/>
              <w:spacing w:before="0" w:beforeAutospacing="0" w:after="0" w:afterAutospacing="0"/>
              <w:ind w:left="0" w:right="0"/>
              <w:jc w:val="center"/>
              <w:rPr>
                <w:rFonts w:hint="default"/>
              </w:rPr>
            </w:pPr>
          </w:p>
          <w:p>
            <w:pPr>
              <w:pStyle w:val="24"/>
              <w:keepNext w:val="0"/>
              <w:keepLines w:val="0"/>
              <w:suppressLineNumbers w:val="0"/>
              <w:spacing w:beforeAutospacing="0" w:afterAutospacing="0"/>
              <w:ind w:left="0"/>
              <w:rPr>
                <w:rFonts w:hint="default"/>
              </w:rPr>
            </w:pPr>
          </w:p>
          <w:p>
            <w:pPr>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2"/>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pStyle w:val="24"/>
              <w:keepNext w:val="0"/>
              <w:keepLines w:val="0"/>
              <w:suppressLineNumbers w:val="0"/>
              <w:spacing w:beforeAutospacing="0" w:afterAutospacing="0"/>
              <w:ind w:left="0"/>
              <w:rPr>
                <w:rFonts w:hint="default"/>
              </w:rPr>
            </w:pPr>
          </w:p>
          <w:p>
            <w:pPr>
              <w:pStyle w:val="22"/>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pStyle w:val="24"/>
              <w:keepNext w:val="0"/>
              <w:keepLines w:val="0"/>
              <w:suppressLineNumbers w:val="0"/>
              <w:spacing w:beforeAutospacing="0" w:afterAutospacing="0"/>
              <w:ind w:left="0"/>
              <w:rPr>
                <w:rFonts w:hint="default"/>
              </w:rPr>
            </w:pPr>
          </w:p>
          <w:p>
            <w:pPr>
              <w:pStyle w:val="22"/>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tc>
      </w:tr>
    </w:tbl>
    <w:p>
      <w:pPr>
        <w:rPr>
          <w:color w:val="0D0D0D" w:themeColor="text1" w:themeTint="F2"/>
          <w14:textFill>
            <w14:solidFill>
              <w14:schemeClr w14:val="tx1">
                <w14:lumMod w14:val="95000"/>
                <w14:lumOff w14:val="5000"/>
              </w14:schemeClr>
            </w14:solidFill>
          </w14:textFill>
        </w:rPr>
      </w:pP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07"/>
        <w:gridCol w:w="765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18"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其他符合性</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分析</w:t>
            </w:r>
          </w:p>
        </w:tc>
        <w:tc>
          <w:tcPr>
            <w:tcW w:w="7706" w:type="dxa"/>
            <w:vAlign w:val="center"/>
          </w:tcPr>
          <w:p>
            <w:pPr>
              <w:keepNext w:val="0"/>
              <w:keepLines w:val="0"/>
              <w:suppressLineNumbers w:val="0"/>
              <w:spacing w:before="120" w:beforeLines="50" w:beforeAutospacing="0" w:after="0" w:afterAutospacing="0" w:line="343" w:lineRule="auto"/>
              <w:ind w:left="0" w:right="0" w:firstLine="482" w:firstLineChars="200"/>
              <w:rPr>
                <w:rFonts w:hint="default"/>
                <w:b/>
                <w:bCs/>
                <w:color w:val="auto"/>
                <w:sz w:val="24"/>
              </w:rPr>
            </w:pPr>
            <w:r>
              <w:rPr>
                <w:rFonts w:hint="eastAsia"/>
                <w:b/>
                <w:bCs/>
                <w:color w:val="0D0D0D" w:themeColor="text1" w:themeTint="F2"/>
                <w:sz w:val="24"/>
                <w14:textFill>
                  <w14:solidFill>
                    <w14:schemeClr w14:val="tx1">
                      <w14:lumMod w14:val="95000"/>
                      <w14:lumOff w14:val="5000"/>
                    </w14:schemeClr>
                  </w14:solidFill>
                </w14:textFill>
              </w:rPr>
              <w:t>1、</w:t>
            </w:r>
            <w:r>
              <w:rPr>
                <w:rFonts w:hint="default"/>
                <w:b/>
                <w:bCs/>
                <w:color w:val="0D0D0D" w:themeColor="text1" w:themeTint="F2"/>
                <w:sz w:val="24"/>
                <w14:textFill>
                  <w14:solidFill>
                    <w14:schemeClr w14:val="tx1">
                      <w14:lumMod w14:val="95000"/>
                      <w14:lumOff w14:val="5000"/>
                    </w14:schemeClr>
                  </w14:solidFill>
                </w14:textFill>
              </w:rPr>
              <w:t>产业政策符合性分析</w:t>
            </w:r>
          </w:p>
          <w:p>
            <w:pPr>
              <w:keepNext w:val="0"/>
              <w:keepLines w:val="0"/>
              <w:suppressLineNumbers w:val="0"/>
              <w:spacing w:before="0" w:beforeAutospacing="0" w:after="0" w:afterAutospacing="0" w:line="360" w:lineRule="auto"/>
              <w:ind w:left="0" w:right="0" w:firstLine="480" w:firstLineChars="200"/>
              <w:rPr>
                <w:rFonts w:hint="default"/>
                <w:kern w:val="24"/>
                <w:sz w:val="24"/>
              </w:rPr>
            </w:pPr>
            <w:r>
              <w:rPr>
                <w:rFonts w:hint="default" w:hAnsi="宋体"/>
                <w:color w:val="auto"/>
                <w:kern w:val="24"/>
                <w:sz w:val="24"/>
              </w:rPr>
              <w:t>该项目已经取得了</w:t>
            </w:r>
            <w:r>
              <w:rPr>
                <w:rFonts w:hint="eastAsia" w:hAnsi="宋体"/>
                <w:color w:val="auto"/>
                <w:kern w:val="24"/>
                <w:sz w:val="24"/>
                <w:lang w:val="en-US" w:eastAsia="zh-CN"/>
              </w:rPr>
              <w:t>安徽芜湖三山经济开发区管委会</w:t>
            </w:r>
            <w:r>
              <w:rPr>
                <w:rFonts w:hint="default" w:hAnsi="宋体"/>
                <w:color w:val="auto"/>
                <w:kern w:val="24"/>
                <w:sz w:val="24"/>
              </w:rPr>
              <w:t>“关于</w:t>
            </w:r>
            <w:r>
              <w:rPr>
                <w:rFonts w:hint="eastAsia" w:cs="宋体"/>
                <w:bCs/>
                <w:color w:val="auto"/>
                <w:kern w:val="0"/>
                <w:sz w:val="24"/>
              </w:rPr>
              <w:t>芜湖</w:t>
            </w:r>
            <w:r>
              <w:rPr>
                <w:rFonts w:hint="eastAsia" w:cs="宋体"/>
                <w:bCs/>
                <w:color w:val="auto"/>
                <w:kern w:val="0"/>
                <w:sz w:val="24"/>
                <w:lang w:val="en-US" w:eastAsia="zh-CN"/>
              </w:rPr>
              <w:t>意斯特精机</w:t>
            </w:r>
            <w:r>
              <w:rPr>
                <w:rFonts w:hint="eastAsia" w:cs="宋体"/>
                <w:bCs/>
                <w:color w:val="auto"/>
                <w:kern w:val="0"/>
                <w:sz w:val="24"/>
              </w:rPr>
              <w:t>有限公司</w:t>
            </w:r>
            <w:r>
              <w:rPr>
                <w:rFonts w:hint="eastAsia" w:cs="宋体"/>
                <w:bCs/>
                <w:color w:val="auto"/>
                <w:kern w:val="0"/>
                <w:sz w:val="24"/>
                <w:lang w:val="en-US" w:eastAsia="zh-CN"/>
              </w:rPr>
              <w:t>年产20万件汽车铝合金零部件</w:t>
            </w:r>
            <w:r>
              <w:rPr>
                <w:rFonts w:hint="eastAsia" w:hAnsi="宋体"/>
                <w:color w:val="auto"/>
                <w:kern w:val="24"/>
                <w:sz w:val="24"/>
                <w:lang w:val="en-US" w:eastAsia="zh-CN"/>
              </w:rPr>
              <w:t>项目企业投资项目备案表</w:t>
            </w:r>
            <w:r>
              <w:rPr>
                <w:rFonts w:hint="default" w:hAnsi="宋体"/>
                <w:color w:val="auto"/>
                <w:kern w:val="24"/>
                <w:sz w:val="24"/>
              </w:rPr>
              <w:t>”</w:t>
            </w:r>
            <w:r>
              <w:rPr>
                <w:rFonts w:hint="eastAsia" w:hAnsi="宋体"/>
                <w:color w:val="auto"/>
                <w:kern w:val="24"/>
                <w:sz w:val="24"/>
              </w:rPr>
              <w:t>（</w:t>
            </w:r>
            <w:r>
              <w:rPr>
                <w:rFonts w:hint="eastAsia" w:cs="宋体"/>
                <w:color w:val="auto"/>
                <w:sz w:val="24"/>
                <w:lang w:val="en-US" w:eastAsia="zh-CN"/>
              </w:rPr>
              <w:t>三经发备〔2023〕17 号</w:t>
            </w:r>
            <w:r>
              <w:rPr>
                <w:rFonts w:hint="eastAsia" w:hAnsi="宋体"/>
                <w:color w:val="auto"/>
                <w:kern w:val="24"/>
                <w:sz w:val="24"/>
              </w:rPr>
              <w:t>）</w:t>
            </w:r>
            <w:r>
              <w:rPr>
                <w:rFonts w:hint="default" w:hAnsi="宋体"/>
                <w:color w:val="0D0D0D" w:themeColor="text1" w:themeTint="F2"/>
                <w:kern w:val="24"/>
                <w:sz w:val="24"/>
                <w14:textFill>
                  <w14:solidFill>
                    <w14:schemeClr w14:val="tx1">
                      <w14:lumMod w14:val="95000"/>
                      <w14:lumOff w14:val="5000"/>
                    </w14:schemeClr>
                  </w14:solidFill>
                </w14:textFill>
              </w:rPr>
              <w:t>。对照《产业结构调整指导目录（2024年本）》，本项目不属于鼓励类，也非限制类和淘汰类，为允许类。</w:t>
            </w:r>
          </w:p>
          <w:p>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0C0C0C"/>
                <w:kern w:val="2"/>
                <w:sz w:val="24"/>
                <w:szCs w:val="24"/>
              </w:rPr>
            </w:pPr>
            <w:r>
              <w:rPr>
                <w:rFonts w:hint="default" w:ascii="Times New Roman" w:hAnsi="Times New Roman" w:eastAsia="宋体" w:cs="Times New Roman"/>
                <w:b/>
                <w:bCs w:val="0"/>
                <w:color w:val="0C0C0C"/>
                <w:kern w:val="2"/>
                <w:sz w:val="24"/>
                <w:szCs w:val="24"/>
                <w:lang w:val="en-US" w:eastAsia="zh-CN" w:bidi="ar"/>
              </w:rPr>
              <w:t>2</w:t>
            </w:r>
            <w:r>
              <w:rPr>
                <w:rFonts w:hint="eastAsia" w:ascii="宋体" w:hAnsi="宋体" w:eastAsia="宋体" w:cs="宋体"/>
                <w:b/>
                <w:bCs w:val="0"/>
                <w:color w:val="0C0C0C"/>
                <w:kern w:val="2"/>
                <w:sz w:val="24"/>
                <w:szCs w:val="24"/>
                <w:lang w:val="en-US" w:eastAsia="zh-CN" w:bidi="ar"/>
              </w:rPr>
              <w:t>、与“三线一单”相符性分析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1</w:t>
            </w:r>
            <w:r>
              <w:rPr>
                <w:rFonts w:hint="eastAsia" w:ascii="宋体" w:hAnsi="宋体" w:eastAsia="宋体" w:cs="宋体"/>
                <w:color w:val="0C0C0C"/>
                <w:kern w:val="24"/>
                <w:sz w:val="24"/>
                <w:szCs w:val="24"/>
                <w:lang w:val="en-US" w:eastAsia="zh-CN" w:bidi="ar"/>
              </w:rPr>
              <w:t>）生态保护红线相符性分析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根据《安徽省人民政府关于发布安徽省生态保护红线的通知》（皖政秘〔</w:t>
            </w:r>
            <w:r>
              <w:rPr>
                <w:rFonts w:hint="default" w:ascii="Times New Roman" w:hAnsi="Times New Roman" w:eastAsia="宋体" w:cs="Times New Roman"/>
                <w:color w:val="0C0C0C"/>
                <w:kern w:val="24"/>
                <w:sz w:val="24"/>
                <w:szCs w:val="24"/>
                <w:lang w:val="en-US" w:eastAsia="zh-CN" w:bidi="ar"/>
              </w:rPr>
              <w:t>2018</w:t>
            </w: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120</w:t>
            </w:r>
            <w:r>
              <w:rPr>
                <w:rFonts w:hint="eastAsia" w:ascii="宋体" w:hAnsi="宋体" w:eastAsia="宋体" w:cs="宋体"/>
                <w:color w:val="0C0C0C"/>
                <w:kern w:val="24"/>
                <w:sz w:val="24"/>
                <w:szCs w:val="24"/>
                <w:lang w:val="en-US" w:eastAsia="zh-CN" w:bidi="ar"/>
              </w:rPr>
              <w:t>号）及芜湖市生态保护红线划分范围图</w:t>
            </w:r>
            <w:r>
              <w:rPr>
                <w:rFonts w:hint="eastAsia" w:ascii="宋体" w:hAnsi="宋体" w:eastAsia="宋体" w:cs="宋体"/>
                <w:color w:val="auto"/>
                <w:kern w:val="24"/>
                <w:sz w:val="24"/>
                <w:szCs w:val="24"/>
                <w:lang w:val="en-US" w:eastAsia="zh-CN" w:bidi="ar"/>
              </w:rPr>
              <w:t>（附图</w:t>
            </w:r>
            <w:r>
              <w:rPr>
                <w:rFonts w:hint="eastAsia" w:cs="Times New Roman"/>
                <w:color w:val="auto"/>
                <w:kern w:val="24"/>
                <w:sz w:val="24"/>
                <w:szCs w:val="24"/>
                <w:lang w:val="en-US" w:eastAsia="zh-CN" w:bidi="ar"/>
              </w:rPr>
              <w:t>7</w:t>
            </w:r>
            <w:r>
              <w:rPr>
                <w:rFonts w:hint="eastAsia" w:ascii="宋体" w:hAnsi="宋体" w:eastAsia="宋体" w:cs="宋体"/>
                <w:color w:val="auto"/>
                <w:kern w:val="24"/>
                <w:sz w:val="24"/>
                <w:szCs w:val="24"/>
                <w:lang w:val="en-US" w:eastAsia="zh-CN" w:bidi="ar"/>
              </w:rPr>
              <w:t>）</w:t>
            </w:r>
            <w:r>
              <w:rPr>
                <w:rFonts w:hint="eastAsia" w:ascii="宋体" w:hAnsi="宋体" w:eastAsia="宋体" w:cs="宋体"/>
                <w:color w:val="0C0C0C"/>
                <w:kern w:val="24"/>
                <w:sz w:val="24"/>
                <w:szCs w:val="24"/>
                <w:lang w:val="en-US" w:eastAsia="zh-CN" w:bidi="ar"/>
              </w:rPr>
              <w:t>，项目不在生态保护红线范围内，符合安徽省生态保护红线的要求。</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b/>
                <w:bCs/>
                <w:color w:val="000000"/>
                <w:sz w:val="24"/>
                <w:szCs w:val="24"/>
              </w:rPr>
            </w:pPr>
            <w:r>
              <w:rPr>
                <w:rFonts w:hint="eastAsia" w:ascii="宋体" w:hAnsi="宋体" w:eastAsia="宋体" w:cs="宋体"/>
                <w:b/>
                <w:bCs/>
                <w:color w:val="000000"/>
                <w:kern w:val="0"/>
                <w:sz w:val="24"/>
                <w:szCs w:val="24"/>
                <w:lang w:val="en-US" w:eastAsia="zh-CN" w:bidi="ar"/>
              </w:rPr>
              <w:t>表</w:t>
            </w:r>
            <w:r>
              <w:rPr>
                <w:rFonts w:hint="eastAsia" w:ascii="宋体" w:hAnsi="Times New Roman" w:eastAsia="宋体" w:cs="宋体"/>
                <w:b/>
                <w:bCs/>
                <w:color w:val="000000"/>
                <w:kern w:val="0"/>
                <w:sz w:val="24"/>
                <w:szCs w:val="24"/>
                <w:lang w:val="en-US" w:eastAsia="zh-CN" w:bidi="ar"/>
              </w:rPr>
              <w:t>1-</w:t>
            </w:r>
            <w:r>
              <w:rPr>
                <w:rFonts w:hint="eastAsia" w:cs="宋体"/>
                <w:b/>
                <w:bCs/>
                <w:color w:val="000000"/>
                <w:kern w:val="0"/>
                <w:sz w:val="24"/>
                <w:szCs w:val="24"/>
                <w:lang w:val="en-US" w:eastAsia="zh-CN" w:bidi="ar"/>
              </w:rPr>
              <w:t>5</w:t>
            </w:r>
            <w:r>
              <w:rPr>
                <w:rFonts w:hint="eastAsia" w:ascii="宋体" w:hAnsi="Times New Roman" w:eastAsia="宋体" w:cs="宋体"/>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项目与生态分区管控要求协调性分析表</w:t>
            </w:r>
          </w:p>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 xml:space="preserve"> </w:t>
            </w:r>
          </w:p>
          <w:tbl>
            <w:tblPr>
              <w:tblStyle w:val="59"/>
              <w:tblW w:w="7279" w:type="dxa"/>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50"/>
              <w:gridCol w:w="4567"/>
              <w:gridCol w:w="1962"/>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2" w:hRule="atLeast"/>
                <w:jc w:val="center"/>
              </w:trPr>
              <w:tc>
                <w:tcPr>
                  <w:tcW w:w="750" w:type="dxa"/>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40" w:beforeAutospacing="0" w:after="40" w:afterAutospacing="0"/>
                    <w:ind w:left="-57" w:right="-57"/>
                    <w:jc w:val="center"/>
                    <w:rPr>
                      <w:rFonts w:hint="default" w:ascii="Times New Roman" w:hAnsi="宋体"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生态分区管控</w:t>
                  </w:r>
                </w:p>
              </w:tc>
              <w:tc>
                <w:tcPr>
                  <w:tcW w:w="4567" w:type="dxa"/>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40" w:beforeAutospacing="0" w:after="40" w:afterAutospacing="0"/>
                    <w:ind w:left="0" w:right="0"/>
                    <w:jc w:val="center"/>
                    <w:rPr>
                      <w:rFonts w:hint="default" w:ascii="Times New Roman" w:hAnsi="宋体"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管控要求</w:t>
                  </w:r>
                </w:p>
              </w:tc>
              <w:tc>
                <w:tcPr>
                  <w:tcW w:w="1962" w:type="dxa"/>
                  <w:tcBorders>
                    <w:top w:val="single" w:color="auto" w:sz="12" w:space="0"/>
                    <w:left w:val="single" w:color="auto" w:sz="4" w:space="0"/>
                    <w:bottom w:val="single" w:color="auto" w:sz="4" w:space="0"/>
                    <w:right w:val="nil"/>
                  </w:tcBorders>
                  <w:shd w:val="clear" w:color="auto" w:fill="auto"/>
                  <w:vAlign w:val="center"/>
                </w:tcPr>
                <w:p>
                  <w:pPr>
                    <w:keepNext w:val="0"/>
                    <w:keepLines w:val="0"/>
                    <w:widowControl w:val="0"/>
                    <w:suppressLineNumbers w:val="0"/>
                    <w:autoSpaceDE w:val="0"/>
                    <w:autoSpaceDN w:val="0"/>
                    <w:spacing w:before="40" w:beforeAutospacing="0" w:after="40" w:afterAutospacing="0"/>
                    <w:ind w:left="0" w:right="0"/>
                    <w:jc w:val="center"/>
                    <w:rPr>
                      <w:rFonts w:hint="default" w:ascii="Times New Roman" w:hAnsi="宋体"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协调性分析</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294" w:hRule="atLeast"/>
                <w:jc w:val="center"/>
              </w:trPr>
              <w:tc>
                <w:tcPr>
                  <w:tcW w:w="75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生态保护红线</w:t>
                  </w:r>
                </w:p>
              </w:tc>
              <w:tc>
                <w:tcPr>
                  <w:tcW w:w="456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生态保护红线内，自然保护地核心保护区原则上禁止人为活动，其他区域严格禁止开发性、生产性建设活动，在符合现行法律法规前提下，除国家重大战略项目外，仅允许对生态功能不造成破坏的有限人为活动，主要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tc>
              <w:tc>
                <w:tcPr>
                  <w:tcW w:w="1962"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autoSpaceDE w:val="0"/>
                    <w:autoSpaceDN w:val="0"/>
                    <w:spacing w:before="0" w:beforeAutospacing="0" w:after="0" w:afterAutospacing="0" w:line="300" w:lineRule="atLeast"/>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本项目不占用生态保护红线。</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5" w:hRule="atLeast"/>
                <w:jc w:val="center"/>
              </w:trPr>
              <w:tc>
                <w:tcPr>
                  <w:tcW w:w="750" w:type="dxa"/>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一般生态空间</w:t>
                  </w:r>
                </w:p>
              </w:tc>
              <w:tc>
                <w:tcPr>
                  <w:tcW w:w="4567"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对一般生态空间内的国家公园、自然保护区、风景名胜区、森林公园、地质公园、世界自然遗产、湿地公园、饮用水水源保护区、天然林、生态公益林等各类保护地的管理，按照法律、法规和规章等要求执行。</w:t>
                  </w:r>
                </w:p>
              </w:tc>
              <w:tc>
                <w:tcPr>
                  <w:tcW w:w="1962" w:type="dxa"/>
                  <w:tcBorders>
                    <w:top w:val="single" w:color="auto" w:sz="4" w:space="0"/>
                    <w:left w:val="single" w:color="auto" w:sz="4" w:space="0"/>
                    <w:bottom w:val="single" w:color="auto" w:sz="12" w:space="0"/>
                    <w:right w:val="nil"/>
                  </w:tcBorders>
                  <w:shd w:val="clear" w:color="auto" w:fill="auto"/>
                  <w:vAlign w:val="center"/>
                </w:tcPr>
                <w:p>
                  <w:pPr>
                    <w:keepNext w:val="0"/>
                    <w:keepLines w:val="0"/>
                    <w:widowControl w:val="0"/>
                    <w:suppressLineNumbers w:val="0"/>
                    <w:autoSpaceDE w:val="0"/>
                    <w:autoSpaceDN w:val="0"/>
                    <w:spacing w:before="0" w:beforeAutospacing="0" w:after="0" w:afterAutospacing="0" w:line="300" w:lineRule="atLeast"/>
                    <w:ind w:left="0" w:right="0"/>
                    <w:jc w:val="center"/>
                    <w:rPr>
                      <w:rFonts w:hint="default" w:ascii="Times New Roman" w:hAnsi="宋体"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项目区域内无国家公园、自然保护区、风景名胜区、森林公园、地质公</w:t>
                  </w:r>
                  <w:r>
                    <w:rPr>
                      <w:rFonts w:hint="default" w:ascii="Times New Roman" w:hAnsi="宋体" w:eastAsia="宋体" w:cs="Times New Roman"/>
                      <w:color w:val="0C0C0C"/>
                      <w:kern w:val="0"/>
                      <w:sz w:val="21"/>
                      <w:szCs w:val="21"/>
                      <w:lang w:val="en-US" w:eastAsia="zh-CN" w:bidi="ar"/>
                    </w:rPr>
                    <w:t xml:space="preserve"> 园 、世 界自然遗产、湿地公园、饮用水水源保护区、天然林、生态公益林等各类保护地。</w:t>
                  </w:r>
                </w:p>
              </w:tc>
            </w:tr>
          </w:tbl>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kern w:val="2"/>
                <w:sz w:val="21"/>
                <w:szCs w:val="21"/>
              </w:rPr>
            </w:pPr>
            <w:r>
              <w:rPr>
                <w:rFonts w:hint="default" w:ascii="Times New Roman" w:hAnsi="Times New Roman" w:eastAsia="宋体" w:cs="Times New Roman"/>
                <w:kern w:val="2"/>
                <w:sz w:val="21"/>
                <w:szCs w:val="21"/>
                <w:lang w:val="en-US" w:eastAsia="zh-CN" w:bidi="ar"/>
              </w:rPr>
              <w:t xml:space="preserve"> </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综上，本项目不占用区域生态保护红线及一般生态空间，与安徽省生态保护红线及生态分区管控要求相符。</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2</w:t>
            </w:r>
            <w:r>
              <w:rPr>
                <w:rFonts w:hint="eastAsia" w:ascii="宋体" w:hAnsi="宋体" w:eastAsia="宋体" w:cs="宋体"/>
                <w:color w:val="0C0C0C"/>
                <w:kern w:val="24"/>
                <w:sz w:val="24"/>
                <w:szCs w:val="24"/>
                <w:lang w:val="en-US" w:eastAsia="zh-CN" w:bidi="ar"/>
              </w:rPr>
              <w:t>）环境质量底线相符性分析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①水环境质量底线</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根据芜湖市生态环境局于</w:t>
            </w:r>
            <w:r>
              <w:rPr>
                <w:rFonts w:hint="default" w:ascii="Times New Roman" w:hAnsi="Times New Roman" w:eastAsia="宋体" w:cs="Times New Roman"/>
                <w:color w:val="0C0C0C"/>
                <w:kern w:val="24"/>
                <w:sz w:val="24"/>
                <w:szCs w:val="24"/>
                <w:lang w:val="en-US" w:eastAsia="zh-CN" w:bidi="ar"/>
              </w:rPr>
              <w:t>2023</w:t>
            </w:r>
            <w:r>
              <w:rPr>
                <w:rFonts w:hint="eastAsia" w:ascii="宋体" w:hAnsi="宋体" w:eastAsia="宋体" w:cs="宋体"/>
                <w:color w:val="0C0C0C"/>
                <w:kern w:val="24"/>
                <w:sz w:val="24"/>
                <w:szCs w:val="24"/>
                <w:lang w:val="en-US" w:eastAsia="zh-CN" w:bidi="ar"/>
              </w:rPr>
              <w:t>年</w:t>
            </w:r>
            <w:r>
              <w:rPr>
                <w:rFonts w:hint="default" w:ascii="Times New Roman" w:hAnsi="Times New Roman" w:eastAsia="宋体" w:cs="Times New Roman"/>
                <w:color w:val="0C0C0C"/>
                <w:kern w:val="24"/>
                <w:sz w:val="24"/>
                <w:szCs w:val="24"/>
                <w:lang w:val="en-US" w:eastAsia="zh-CN" w:bidi="ar"/>
              </w:rPr>
              <w:t>6</w:t>
            </w:r>
            <w:r>
              <w:rPr>
                <w:rFonts w:hint="eastAsia" w:ascii="宋体" w:hAnsi="宋体" w:eastAsia="宋体" w:cs="宋体"/>
                <w:color w:val="0C0C0C"/>
                <w:kern w:val="24"/>
                <w:sz w:val="24"/>
                <w:szCs w:val="24"/>
                <w:lang w:val="en-US" w:eastAsia="zh-CN" w:bidi="ar"/>
              </w:rPr>
              <w:t>月</w:t>
            </w:r>
            <w:r>
              <w:rPr>
                <w:rFonts w:hint="default" w:ascii="Times New Roman" w:hAnsi="Times New Roman" w:eastAsia="宋体" w:cs="Times New Roman"/>
                <w:color w:val="0C0C0C"/>
                <w:kern w:val="24"/>
                <w:sz w:val="24"/>
                <w:szCs w:val="24"/>
                <w:lang w:val="en-US" w:eastAsia="zh-CN" w:bidi="ar"/>
              </w:rPr>
              <w:t>1</w:t>
            </w:r>
            <w:r>
              <w:rPr>
                <w:rFonts w:hint="eastAsia" w:ascii="宋体" w:hAnsi="宋体" w:eastAsia="宋体" w:cs="宋体"/>
                <w:color w:val="0C0C0C"/>
                <w:kern w:val="24"/>
                <w:sz w:val="24"/>
                <w:szCs w:val="24"/>
                <w:lang w:val="en-US" w:eastAsia="zh-CN" w:bidi="ar"/>
              </w:rPr>
              <w:t>日公布的《</w:t>
            </w:r>
            <w:r>
              <w:rPr>
                <w:rFonts w:hint="default" w:ascii="Times New Roman" w:hAnsi="Times New Roman" w:eastAsia="宋体" w:cs="Times New Roman"/>
                <w:color w:val="0C0C0C"/>
                <w:kern w:val="24"/>
                <w:sz w:val="24"/>
                <w:szCs w:val="24"/>
                <w:lang w:val="en-US" w:eastAsia="zh-CN" w:bidi="ar"/>
              </w:rPr>
              <w:t>2022</w:t>
            </w:r>
            <w:r>
              <w:rPr>
                <w:rFonts w:hint="eastAsia" w:ascii="宋体" w:hAnsi="宋体" w:eastAsia="宋体" w:cs="宋体"/>
                <w:color w:val="0C0C0C"/>
                <w:kern w:val="24"/>
                <w:sz w:val="24"/>
                <w:szCs w:val="24"/>
                <w:lang w:val="en-US" w:eastAsia="zh-CN" w:bidi="ar"/>
              </w:rPr>
              <w:t>年芜湖市生态环境状况公报》，“十四五”期间芜湖市列入国家水质考核的</w:t>
            </w:r>
            <w:r>
              <w:rPr>
                <w:rFonts w:hint="default" w:ascii="Times New Roman" w:hAnsi="Times New Roman" w:eastAsia="宋体" w:cs="Times New Roman"/>
                <w:color w:val="0C0C0C"/>
                <w:kern w:val="24"/>
                <w:sz w:val="24"/>
                <w:szCs w:val="24"/>
                <w:lang w:val="en-US" w:eastAsia="zh-CN" w:bidi="ar"/>
              </w:rPr>
              <w:t>10</w:t>
            </w:r>
            <w:r>
              <w:rPr>
                <w:rFonts w:hint="eastAsia" w:ascii="宋体" w:hAnsi="宋体" w:eastAsia="宋体" w:cs="宋体"/>
                <w:color w:val="0C0C0C"/>
                <w:kern w:val="24"/>
                <w:sz w:val="24"/>
                <w:szCs w:val="24"/>
                <w:lang w:val="en-US" w:eastAsia="zh-CN" w:bidi="ar"/>
              </w:rPr>
              <w:t>个地表水断面（长江东西梁山、漳河澛港桥、青弋江宝塔根、黄浒河荻港、裕溪河裕溪口、青山河当涂查湾、裕溪河三汊河、七星河乔木、青山河三里埂、西河入裕溪河口）水质全部达到《地表水环境质量标准》（</w:t>
            </w:r>
            <w:r>
              <w:rPr>
                <w:rFonts w:hint="default" w:ascii="Times New Roman" w:hAnsi="Times New Roman" w:eastAsia="宋体" w:cs="Times New Roman"/>
                <w:color w:val="0C0C0C"/>
                <w:kern w:val="24"/>
                <w:sz w:val="24"/>
                <w:szCs w:val="24"/>
                <w:lang w:val="en-US" w:eastAsia="zh-CN" w:bidi="ar"/>
              </w:rPr>
              <w:t>GB3838</w:t>
            </w: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2002</w:t>
            </w:r>
            <w:r>
              <w:rPr>
                <w:rFonts w:hint="eastAsia" w:ascii="宋体" w:hAnsi="宋体" w:eastAsia="宋体" w:cs="宋体"/>
                <w:color w:val="0C0C0C"/>
                <w:kern w:val="24"/>
                <w:sz w:val="24"/>
                <w:szCs w:val="24"/>
                <w:lang w:val="en-US" w:eastAsia="zh-CN" w:bidi="ar"/>
              </w:rPr>
              <w:t>）Ⅱ类标准，达标率</w:t>
            </w:r>
            <w:r>
              <w:rPr>
                <w:rFonts w:hint="default" w:ascii="Times New Roman" w:hAnsi="Times New Roman" w:eastAsia="宋体" w:cs="Times New Roman"/>
                <w:color w:val="0C0C0C"/>
                <w:kern w:val="24"/>
                <w:sz w:val="24"/>
                <w:szCs w:val="24"/>
                <w:lang w:val="en-US" w:eastAsia="zh-CN" w:bidi="ar"/>
              </w:rPr>
              <w:t>100%</w:t>
            </w:r>
            <w:r>
              <w:rPr>
                <w:rFonts w:hint="eastAsia" w:ascii="宋体" w:hAnsi="宋体" w:eastAsia="宋体" w:cs="宋体"/>
                <w:color w:val="0C0C0C"/>
                <w:kern w:val="24"/>
                <w:sz w:val="24"/>
                <w:szCs w:val="24"/>
                <w:lang w:val="en-US" w:eastAsia="zh-CN" w:bidi="ar"/>
              </w:rPr>
              <w:t>。</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对照《芜湖市水环境分区管控图》</w:t>
            </w:r>
            <w:r>
              <w:rPr>
                <w:rFonts w:hint="eastAsia" w:ascii="宋体" w:hAnsi="宋体" w:eastAsia="宋体" w:cs="宋体"/>
                <w:color w:val="000000"/>
                <w:kern w:val="24"/>
                <w:sz w:val="24"/>
                <w:szCs w:val="24"/>
                <w:lang w:val="en-US" w:eastAsia="zh-CN" w:bidi="ar"/>
              </w:rPr>
              <w:t>（</w:t>
            </w:r>
            <w:r>
              <w:rPr>
                <w:rFonts w:hint="eastAsia" w:ascii="宋体" w:hAnsi="宋体" w:eastAsia="宋体" w:cs="宋体"/>
                <w:color w:val="auto"/>
                <w:kern w:val="24"/>
                <w:sz w:val="24"/>
                <w:szCs w:val="24"/>
                <w:lang w:val="en-US" w:eastAsia="zh-CN" w:bidi="ar"/>
              </w:rPr>
              <w:t>见附图</w:t>
            </w:r>
            <w:r>
              <w:rPr>
                <w:rFonts w:hint="eastAsia" w:cs="Times New Roman"/>
                <w:color w:val="auto"/>
                <w:kern w:val="24"/>
                <w:sz w:val="24"/>
                <w:szCs w:val="24"/>
                <w:lang w:val="en-US" w:eastAsia="zh-CN" w:bidi="ar"/>
              </w:rPr>
              <w:t>8</w:t>
            </w:r>
            <w:r>
              <w:rPr>
                <w:rFonts w:hint="eastAsia" w:ascii="宋体" w:hAnsi="宋体" w:eastAsia="宋体" w:cs="宋体"/>
                <w:color w:val="auto"/>
                <w:kern w:val="24"/>
                <w:sz w:val="24"/>
                <w:szCs w:val="24"/>
                <w:lang w:val="en-US" w:eastAsia="zh-CN" w:bidi="ar"/>
              </w:rPr>
              <w:t>）</w:t>
            </w:r>
            <w:r>
              <w:rPr>
                <w:rFonts w:hint="eastAsia" w:ascii="宋体" w:hAnsi="宋体" w:eastAsia="宋体" w:cs="宋体"/>
                <w:color w:val="0C0C0C"/>
                <w:kern w:val="24"/>
                <w:sz w:val="24"/>
                <w:szCs w:val="24"/>
                <w:lang w:val="en-US" w:eastAsia="zh-CN" w:bidi="ar"/>
              </w:rPr>
              <w:t>，项目所在区域属水环境</w:t>
            </w:r>
            <w:r>
              <w:rPr>
                <w:rFonts w:hint="default" w:ascii="Times New Roman" w:hAnsi="宋体" w:eastAsia="宋体" w:cs="Times New Roman"/>
                <w:color w:val="0C0C0C"/>
                <w:kern w:val="24"/>
                <w:sz w:val="24"/>
                <w:szCs w:val="24"/>
                <w:lang w:val="en-US" w:eastAsia="zh-CN" w:bidi="ar"/>
              </w:rPr>
              <w:t>“</w:t>
            </w:r>
            <w:r>
              <w:rPr>
                <w:rFonts w:hint="eastAsia" w:ascii="宋体" w:hAnsi="宋体" w:cs="宋体"/>
                <w:color w:val="0C0C0C"/>
                <w:kern w:val="24"/>
                <w:sz w:val="24"/>
                <w:szCs w:val="24"/>
                <w:lang w:val="en-US" w:eastAsia="zh-CN" w:bidi="ar"/>
              </w:rPr>
              <w:t>工业</w:t>
            </w:r>
            <w:r>
              <w:rPr>
                <w:rFonts w:hint="eastAsia" w:ascii="宋体" w:hAnsi="宋体" w:eastAsia="宋体" w:cs="宋体"/>
                <w:color w:val="0C0C0C"/>
                <w:kern w:val="24"/>
                <w:sz w:val="24"/>
                <w:szCs w:val="24"/>
                <w:lang w:val="en-US" w:eastAsia="zh-CN" w:bidi="ar"/>
              </w:rPr>
              <w:t>污染重点管控区</w:t>
            </w:r>
            <w:r>
              <w:rPr>
                <w:rFonts w:hint="default" w:ascii="Times New Roman" w:hAnsi="宋体" w:eastAsia="宋体" w:cs="Times New Roman"/>
                <w:color w:val="0C0C0C"/>
                <w:kern w:val="24"/>
                <w:sz w:val="24"/>
                <w:szCs w:val="24"/>
                <w:lang w:val="en-US" w:eastAsia="zh-CN" w:bidi="ar"/>
              </w:rPr>
              <w:t>”。</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根据《芜湖市生态环境分区管控文本》</w:t>
            </w:r>
            <w:r>
              <w:rPr>
                <w:rFonts w:hint="default" w:ascii="Times New Roman" w:hAnsi="宋体" w:eastAsia="宋体" w:cs="Times New Roman"/>
                <w:color w:val="0C0C0C"/>
                <w:kern w:val="24"/>
                <w:sz w:val="24"/>
                <w:szCs w:val="24"/>
                <w:lang w:val="en-US" w:eastAsia="zh-CN" w:bidi="ar"/>
              </w:rPr>
              <w:t>“</w:t>
            </w:r>
            <w:r>
              <w:rPr>
                <w:rFonts w:hint="eastAsia" w:ascii="宋体" w:hAnsi="宋体" w:eastAsia="宋体" w:cs="宋体"/>
                <w:color w:val="0C0C0C"/>
                <w:kern w:val="24"/>
                <w:sz w:val="24"/>
                <w:szCs w:val="24"/>
                <w:lang w:val="en-US" w:eastAsia="zh-CN" w:bidi="ar"/>
              </w:rPr>
              <w:t>重点管控区</w:t>
            </w:r>
            <w:r>
              <w:rPr>
                <w:rFonts w:hint="default" w:ascii="Times New Roman" w:hAnsi="宋体" w:eastAsia="宋体" w:cs="Times New Roman"/>
                <w:color w:val="0C0C0C"/>
                <w:kern w:val="24"/>
                <w:sz w:val="24"/>
                <w:szCs w:val="24"/>
                <w:lang w:val="en-US" w:eastAsia="zh-CN" w:bidi="ar"/>
              </w:rPr>
              <w:t>”：</w:t>
            </w:r>
            <w:r>
              <w:rPr>
                <w:rFonts w:hint="eastAsia" w:ascii="宋体" w:hAnsi="宋体" w:eastAsia="宋体" w:cs="宋体"/>
                <w:color w:val="0C0C0C"/>
                <w:kern w:val="24"/>
                <w:sz w:val="24"/>
                <w:szCs w:val="24"/>
                <w:lang w:val="en-US" w:eastAsia="zh-CN" w:bidi="ar"/>
              </w:rPr>
              <w:t>依据《中华人民共和国水污染防治法》、《水污染防治行动计划》、《安徽省水污染防治工作方案》、《芜湖市水污染防治工作方案》等对重点管控区实施管控；依据《巢湖流域水污染防治条例》对巢湖流域实施管控；依据开发区规划、</w:t>
            </w:r>
            <w:r>
              <w:rPr>
                <w:rFonts w:hint="default" w:ascii="Times New Roman" w:hAnsi="宋体" w:eastAsia="宋体" w:cs="Times New Roman"/>
                <w:color w:val="0C0C0C"/>
                <w:kern w:val="24"/>
                <w:sz w:val="24"/>
                <w:szCs w:val="24"/>
                <w:lang w:val="en-US" w:eastAsia="zh-CN" w:bidi="ar"/>
              </w:rPr>
              <w:t xml:space="preserve"> 规划环评及审查意见相关要求对开发区实施管控；落实《“十四五”生态环境保护规划》、《安徽省“十四五”环境保护规划》、《安徽省“十四五”节能减排实施方案》、《芜湖市“十四五”节能减排实施方案》等要求，新建、改建和扩建项目水污染物实施“等量替代”。</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auto"/>
                <w:kern w:val="24"/>
                <w:sz w:val="24"/>
                <w:szCs w:val="24"/>
              </w:rPr>
            </w:pPr>
            <w:r>
              <w:rPr>
                <w:rFonts w:hint="eastAsia" w:ascii="宋体" w:hAnsi="宋体" w:eastAsia="宋体" w:cs="宋体"/>
                <w:color w:val="0C0C0C"/>
                <w:kern w:val="24"/>
                <w:sz w:val="24"/>
                <w:szCs w:val="24"/>
                <w:lang w:val="en-US" w:eastAsia="zh-CN" w:bidi="ar"/>
              </w:rPr>
              <w:t>符合性分析：本项目用水为生产用水和员工生活用水</w:t>
            </w:r>
            <w:r>
              <w:rPr>
                <w:rFonts w:hint="eastAsia" w:ascii="宋体" w:hAnsi="宋体" w:eastAsia="宋体" w:cs="宋体"/>
                <w:color w:val="auto"/>
                <w:kern w:val="24"/>
                <w:sz w:val="24"/>
                <w:szCs w:val="24"/>
                <w:lang w:val="en-US" w:eastAsia="zh-CN" w:bidi="ar"/>
              </w:rPr>
              <w:t>。脱模剂废水经沉淀池沉淀后经脱模剂回收处理机处理回用不外排；打磨废水经过滤后循环使用不外排；食堂废水经隔油池处理后与其他生活污水再一起经化粪池预处理排入污水管网，接管</w:t>
            </w:r>
            <w:r>
              <w:rPr>
                <w:rFonts w:hint="eastAsia" w:ascii="宋体" w:hAnsi="宋体" w:cs="宋体"/>
                <w:color w:val="auto"/>
                <w:kern w:val="24"/>
                <w:sz w:val="24"/>
                <w:szCs w:val="24"/>
                <w:lang w:val="en-US" w:eastAsia="zh-CN" w:bidi="ar"/>
              </w:rPr>
              <w:t>滨江</w:t>
            </w:r>
            <w:r>
              <w:rPr>
                <w:rFonts w:hint="eastAsia" w:ascii="宋体" w:hAnsi="宋体" w:eastAsia="宋体" w:cs="宋体"/>
                <w:color w:val="auto"/>
                <w:kern w:val="24"/>
                <w:sz w:val="24"/>
                <w:szCs w:val="24"/>
                <w:lang w:val="en-US" w:eastAsia="zh-CN" w:bidi="ar"/>
              </w:rPr>
              <w:t>污水处理厂。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因此，本项目满足水环境质量底线要求。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②大气环境质量底线</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根据芜湖市生态环境局公布的《</w:t>
            </w:r>
            <w:r>
              <w:rPr>
                <w:rFonts w:hint="default" w:ascii="Times New Roman" w:hAnsi="Times New Roman" w:eastAsia="宋体" w:cs="Times New Roman"/>
                <w:color w:val="0C0C0C"/>
                <w:kern w:val="24"/>
                <w:sz w:val="24"/>
                <w:szCs w:val="24"/>
                <w:lang w:val="en-US" w:eastAsia="zh-CN" w:bidi="ar"/>
              </w:rPr>
              <w:t>2022</w:t>
            </w:r>
            <w:r>
              <w:rPr>
                <w:rFonts w:hint="eastAsia" w:ascii="宋体" w:hAnsi="宋体" w:eastAsia="宋体" w:cs="宋体"/>
                <w:color w:val="0C0C0C"/>
                <w:kern w:val="24"/>
                <w:sz w:val="24"/>
                <w:szCs w:val="24"/>
                <w:lang w:val="en-US" w:eastAsia="zh-CN" w:bidi="ar"/>
              </w:rPr>
              <w:t>年芜湖市生态环境状况公报》，芜湖市为环境空气质量不达标区域，超标因子为</w:t>
            </w:r>
            <w:r>
              <w:rPr>
                <w:rFonts w:hint="default" w:ascii="Times New Roman" w:hAnsi="Times New Roman" w:eastAsia="宋体" w:cs="Times New Roman"/>
                <w:color w:val="0C0C0C"/>
                <w:kern w:val="24"/>
                <w:sz w:val="24"/>
                <w:szCs w:val="24"/>
                <w:lang w:val="en-US" w:eastAsia="zh-CN" w:bidi="ar"/>
              </w:rPr>
              <w:t>O3</w:t>
            </w:r>
            <w:r>
              <w:rPr>
                <w:rFonts w:hint="eastAsia" w:ascii="宋体" w:hAnsi="宋体" w:eastAsia="宋体" w:cs="宋体"/>
                <w:color w:val="0C0C0C"/>
                <w:kern w:val="24"/>
                <w:sz w:val="24"/>
                <w:szCs w:val="24"/>
                <w:lang w:val="en-US" w:eastAsia="zh-CN" w:bidi="ar"/>
              </w:rPr>
              <w:t>，根据现状数据引用《安徽砾丰节能环保科技有限责任公司智砂物联循环经济园区项目环境影响报告表》中的大气环境监测数据，</w:t>
            </w:r>
            <w:r>
              <w:rPr>
                <w:rFonts w:hint="default" w:ascii="Times New Roman" w:hAnsi="Times New Roman" w:eastAsia="宋体" w:cs="Times New Roman"/>
                <w:color w:val="0C0C0C"/>
                <w:kern w:val="24"/>
                <w:sz w:val="24"/>
                <w:szCs w:val="24"/>
                <w:lang w:val="en-US" w:eastAsia="zh-CN" w:bidi="ar"/>
              </w:rPr>
              <w:t>TSP</w:t>
            </w:r>
            <w:r>
              <w:rPr>
                <w:rFonts w:hint="eastAsia" w:ascii="宋体" w:hAnsi="宋体" w:eastAsia="宋体" w:cs="宋体"/>
                <w:color w:val="0C0C0C"/>
                <w:kern w:val="24"/>
                <w:sz w:val="24"/>
                <w:szCs w:val="24"/>
                <w:lang w:val="en-US" w:eastAsia="zh-CN" w:bidi="ar"/>
              </w:rPr>
              <w:t>日均浓度值满足《大气污染物综合排放标准详解》中标准值。</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对照《芜湖市大气环境分区管控图》（</w:t>
            </w:r>
            <w:r>
              <w:rPr>
                <w:rFonts w:hint="eastAsia" w:ascii="宋体" w:hAnsi="宋体" w:eastAsia="宋体" w:cs="宋体"/>
                <w:color w:val="auto"/>
                <w:kern w:val="24"/>
                <w:sz w:val="24"/>
                <w:szCs w:val="24"/>
                <w:lang w:val="en-US" w:eastAsia="zh-CN" w:bidi="ar"/>
              </w:rPr>
              <w:t>附图</w:t>
            </w:r>
            <w:r>
              <w:rPr>
                <w:rFonts w:hint="eastAsia" w:cs="Times New Roman"/>
                <w:color w:val="auto"/>
                <w:kern w:val="24"/>
                <w:sz w:val="24"/>
                <w:szCs w:val="24"/>
                <w:lang w:val="en-US" w:eastAsia="zh-CN" w:bidi="ar"/>
              </w:rPr>
              <w:t>9</w:t>
            </w:r>
            <w:r>
              <w:rPr>
                <w:rFonts w:hint="eastAsia" w:ascii="宋体" w:hAnsi="宋体" w:eastAsia="宋体" w:cs="宋体"/>
                <w:color w:val="auto"/>
                <w:kern w:val="24"/>
                <w:sz w:val="24"/>
                <w:szCs w:val="24"/>
                <w:lang w:val="en-US" w:eastAsia="zh-CN" w:bidi="ar"/>
              </w:rPr>
              <w:t>）</w:t>
            </w:r>
            <w:r>
              <w:rPr>
                <w:rFonts w:hint="eastAsia" w:ascii="宋体" w:hAnsi="宋体" w:eastAsia="宋体" w:cs="宋体"/>
                <w:color w:val="0C0C0C"/>
                <w:kern w:val="24"/>
                <w:sz w:val="24"/>
                <w:szCs w:val="24"/>
                <w:lang w:val="en-US" w:eastAsia="zh-CN" w:bidi="ar"/>
              </w:rPr>
              <w:t>，项目所在区域为大气受体敏感重点管控区。</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根据《芜湖市生态环境分区管控文本》“重点管控区</w:t>
            </w:r>
            <w:r>
              <w:rPr>
                <w:rFonts w:hint="default" w:ascii="Times New Roman" w:hAnsi="宋体" w:eastAsia="宋体" w:cs="Times New Roman"/>
                <w:color w:val="0C0C0C"/>
                <w:kern w:val="24"/>
                <w:sz w:val="24"/>
                <w:szCs w:val="24"/>
                <w:lang w:val="en-US" w:eastAsia="zh-CN" w:bidi="ar"/>
              </w:rPr>
              <w:t>”：</w:t>
            </w:r>
            <w:r>
              <w:rPr>
                <w:rFonts w:hint="eastAsia" w:ascii="宋体" w:hAnsi="宋体" w:eastAsia="宋体" w:cs="宋体"/>
                <w:color w:val="0C0C0C"/>
                <w:kern w:val="24"/>
                <w:sz w:val="24"/>
                <w:szCs w:val="24"/>
                <w:lang w:val="en-US" w:eastAsia="zh-CN" w:bidi="ar"/>
              </w:rPr>
              <w:t>落实《安徽省大气污染防治条例》、《</w:t>
            </w:r>
            <w:r>
              <w:rPr>
                <w:rFonts w:hint="default" w:ascii="Times New Roman" w:hAnsi="宋体" w:eastAsia="宋体" w:cs="Times New Roman"/>
                <w:color w:val="0C0C0C"/>
                <w:kern w:val="24"/>
                <w:sz w:val="24"/>
                <w:szCs w:val="24"/>
                <w:lang w:val="en-US" w:eastAsia="zh-CN" w:bidi="ar"/>
              </w:rPr>
              <w:t xml:space="preserve">“十四五”生态环境保护规划》、《安 徽省“十四五”环境保护规划》、《芜湖市“十四五”环境保护规划》、《重点行业挥发性有机物综合治理方案》等要求，严格目标实施计划，加强环境监管，促进生态环境质量好转。若上年度 </w:t>
            </w:r>
            <w:r>
              <w:rPr>
                <w:rFonts w:hint="default" w:ascii="Times New Roman" w:hAnsi="Times New Roman" w:eastAsia="宋体" w:cs="Times New Roman"/>
                <w:color w:val="0C0C0C"/>
                <w:kern w:val="24"/>
                <w:sz w:val="24"/>
                <w:szCs w:val="24"/>
                <w:lang w:val="en-US" w:eastAsia="zh-CN" w:bidi="ar"/>
              </w:rPr>
              <w:t xml:space="preserve">PM2.5 </w:t>
            </w:r>
            <w:r>
              <w:rPr>
                <w:rFonts w:hint="eastAsia" w:ascii="宋体" w:hAnsi="宋体" w:eastAsia="宋体" w:cs="宋体"/>
                <w:color w:val="0C0C0C"/>
                <w:kern w:val="24"/>
                <w:sz w:val="24"/>
                <w:szCs w:val="24"/>
                <w:lang w:val="en-US" w:eastAsia="zh-CN" w:bidi="ar"/>
              </w:rPr>
              <w:t>不达标，新建、改建和扩建项目大气 污染物实施“倍量替代”，执行特别排放标准的行业实施提标升级改造。</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符合性分析：本项目熔化、天然气燃烧经布袋除尘器处理后达标排放，压铸脱模废气经静电油雾净化+两级活性炭后达标排放，打磨粉尘经水帘湿式除尘后达标排放，抛丸粉尘经设备自带除尘器达标排放，食堂油烟经油烟净化器处理后通过管道</w:t>
            </w:r>
            <w:r>
              <w:rPr>
                <w:rFonts w:hint="eastAsia" w:ascii="宋体" w:hAnsi="宋体" w:cs="宋体"/>
                <w:color w:val="0C0C0C"/>
                <w:kern w:val="24"/>
                <w:sz w:val="24"/>
                <w:szCs w:val="24"/>
                <w:lang w:val="en-US" w:eastAsia="zh-CN" w:bidi="ar"/>
              </w:rPr>
              <w:t>室外</w:t>
            </w:r>
            <w:r>
              <w:rPr>
                <w:rFonts w:hint="eastAsia" w:ascii="宋体" w:hAnsi="宋体" w:eastAsia="宋体" w:cs="宋体"/>
                <w:color w:val="0C0C0C"/>
                <w:kern w:val="24"/>
                <w:sz w:val="24"/>
                <w:szCs w:val="24"/>
                <w:lang w:val="en-US" w:eastAsia="zh-CN" w:bidi="ar"/>
              </w:rPr>
              <w:t>排放</w:t>
            </w:r>
            <w:r>
              <w:rPr>
                <w:rFonts w:hint="eastAsia" w:ascii="宋体" w:hAnsi="宋体" w:cs="宋体"/>
                <w:color w:val="0C0C0C"/>
                <w:kern w:val="24"/>
                <w:sz w:val="24"/>
                <w:szCs w:val="24"/>
                <w:lang w:val="en-US" w:eastAsia="zh-CN" w:bidi="ar"/>
              </w:rPr>
              <w:t>，</w:t>
            </w:r>
            <w:r>
              <w:rPr>
                <w:rFonts w:hint="eastAsia" w:ascii="宋体" w:hAnsi="宋体" w:eastAsia="宋体" w:cs="宋体"/>
                <w:color w:val="0C0C0C"/>
                <w:kern w:val="24"/>
                <w:sz w:val="24"/>
                <w:szCs w:val="24"/>
                <w:lang w:val="en-US" w:eastAsia="zh-CN" w:bidi="ar"/>
              </w:rPr>
              <w:t>能够满足相关限值要求，项目实施后污染物排放对周边环境空气质量影响小。</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③土壤环境质量底线</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对照《芜湖市土壤环境风险分区管控图》（见</w:t>
            </w:r>
            <w:r>
              <w:rPr>
                <w:rFonts w:hint="eastAsia" w:ascii="宋体" w:hAnsi="宋体" w:eastAsia="宋体" w:cs="宋体"/>
                <w:color w:val="auto"/>
                <w:kern w:val="24"/>
                <w:sz w:val="24"/>
                <w:szCs w:val="24"/>
                <w:lang w:val="en-US" w:eastAsia="zh-CN" w:bidi="ar"/>
              </w:rPr>
              <w:t>附图</w:t>
            </w:r>
            <w:r>
              <w:rPr>
                <w:rFonts w:hint="eastAsia" w:cs="Times New Roman"/>
                <w:color w:val="auto"/>
                <w:kern w:val="24"/>
                <w:sz w:val="24"/>
                <w:szCs w:val="24"/>
                <w:lang w:val="en-US" w:eastAsia="zh-CN" w:bidi="ar"/>
              </w:rPr>
              <w:t>10</w:t>
            </w:r>
            <w:r>
              <w:rPr>
                <w:rFonts w:hint="eastAsia" w:ascii="宋体" w:hAnsi="宋体" w:eastAsia="宋体" w:cs="宋体"/>
                <w:color w:val="0C0C0C"/>
                <w:kern w:val="24"/>
                <w:sz w:val="24"/>
                <w:szCs w:val="24"/>
                <w:lang w:val="en-US" w:eastAsia="zh-CN" w:bidi="ar"/>
              </w:rPr>
              <w:t>），项目所在区域属</w:t>
            </w:r>
            <w:r>
              <w:rPr>
                <w:rFonts w:hint="default" w:ascii="Times New Roman" w:hAnsi="宋体" w:eastAsia="宋体" w:cs="Times New Roman"/>
                <w:color w:val="0C0C0C"/>
                <w:kern w:val="24"/>
                <w:sz w:val="24"/>
                <w:szCs w:val="24"/>
                <w:lang w:val="en-US" w:eastAsia="zh-CN" w:bidi="ar"/>
              </w:rPr>
              <w:t>“一般管控区”。</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根据《芜湖市生态环境分区管控文本》</w:t>
            </w:r>
            <w:r>
              <w:rPr>
                <w:rFonts w:hint="default" w:ascii="Times New Roman" w:hAnsi="宋体" w:eastAsia="宋体" w:cs="Times New Roman"/>
                <w:color w:val="0C0C0C"/>
                <w:kern w:val="24"/>
                <w:sz w:val="24"/>
                <w:szCs w:val="24"/>
                <w:lang w:val="en-US" w:eastAsia="zh-CN" w:bidi="ar"/>
              </w:rPr>
              <w:t>“一般管控区”：</w:t>
            </w:r>
            <w:r>
              <w:rPr>
                <w:rFonts w:hint="eastAsia" w:ascii="宋体" w:hAnsi="宋体" w:eastAsia="宋体" w:cs="宋体"/>
                <w:color w:val="0C0C0C"/>
                <w:kern w:val="24"/>
                <w:sz w:val="24"/>
                <w:szCs w:val="24"/>
                <w:lang w:val="en-US" w:eastAsia="zh-CN" w:bidi="ar"/>
              </w:rPr>
              <w:t>依据《中华人民共和国土壤污染防治法》、《土壤污染防治行动计划》、《安徽省土壤污染防治工作方案》、《安徽省</w:t>
            </w:r>
            <w:r>
              <w:rPr>
                <w:rFonts w:hint="default" w:ascii="Times New Roman" w:hAnsi="宋体" w:eastAsia="宋体" w:cs="Times New Roman"/>
                <w:color w:val="0C0C0C"/>
                <w:kern w:val="24"/>
                <w:sz w:val="24"/>
                <w:szCs w:val="24"/>
                <w:lang w:val="en-US" w:eastAsia="zh-CN" w:bidi="ar"/>
              </w:rPr>
              <w:t>“十四五”环境保护规划》、《芜湖市土壤污染防治工作方案》等要求及各市土壤污染防治工作方案对一般管控区实施管控。</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符合性分析：本项目属C3392有色金属铸造、C3670汽车零部件及配件制造，项目产品为汽车铝合金零部件，生产过程使用的原料</w:t>
            </w:r>
            <w:r>
              <w:rPr>
                <w:rFonts w:hint="eastAsia" w:ascii="宋体" w:hAnsi="宋体" w:cs="宋体"/>
                <w:color w:val="0C0C0C"/>
                <w:kern w:val="24"/>
                <w:sz w:val="24"/>
                <w:szCs w:val="24"/>
                <w:lang w:val="en-US" w:eastAsia="zh-CN" w:bidi="ar"/>
              </w:rPr>
              <w:t>脱模剂</w:t>
            </w:r>
            <w:r>
              <w:rPr>
                <w:rFonts w:hint="eastAsia" w:ascii="宋体" w:hAnsi="宋体" w:eastAsia="宋体" w:cs="宋体"/>
                <w:color w:val="0C0C0C"/>
                <w:kern w:val="24"/>
                <w:sz w:val="24"/>
                <w:szCs w:val="24"/>
                <w:lang w:val="en-US" w:eastAsia="zh-CN" w:bidi="ar"/>
              </w:rPr>
              <w:t>、</w:t>
            </w:r>
            <w:r>
              <w:rPr>
                <w:rFonts w:hint="eastAsia" w:ascii="宋体" w:hAnsi="宋体" w:cs="宋体"/>
                <w:color w:val="0C0C0C"/>
                <w:kern w:val="24"/>
                <w:sz w:val="24"/>
                <w:szCs w:val="24"/>
                <w:lang w:val="en-US" w:eastAsia="zh-CN" w:bidi="ar"/>
              </w:rPr>
              <w:t>润滑油</w:t>
            </w:r>
            <w:r>
              <w:rPr>
                <w:rFonts w:hint="eastAsia" w:ascii="宋体" w:hAnsi="宋体" w:eastAsia="宋体" w:cs="宋体"/>
                <w:color w:val="0C0C0C"/>
                <w:kern w:val="24"/>
                <w:sz w:val="24"/>
                <w:szCs w:val="24"/>
                <w:lang w:val="en-US" w:eastAsia="zh-CN" w:bidi="ar"/>
              </w:rPr>
              <w:t>、</w:t>
            </w:r>
            <w:r>
              <w:rPr>
                <w:rFonts w:hint="eastAsia" w:ascii="宋体" w:hAnsi="宋体" w:cs="宋体"/>
                <w:color w:val="0C0C0C"/>
                <w:kern w:val="24"/>
                <w:sz w:val="24"/>
                <w:szCs w:val="24"/>
                <w:lang w:val="en-US" w:eastAsia="zh-CN" w:bidi="ar"/>
              </w:rPr>
              <w:t>液压油</w:t>
            </w:r>
            <w:r>
              <w:rPr>
                <w:rFonts w:hint="eastAsia" w:ascii="宋体" w:hAnsi="宋体" w:eastAsia="宋体" w:cs="宋体"/>
                <w:color w:val="0C0C0C"/>
                <w:kern w:val="24"/>
                <w:sz w:val="24"/>
                <w:szCs w:val="24"/>
                <w:lang w:val="en-US" w:eastAsia="zh-CN" w:bidi="ar"/>
              </w:rPr>
              <w:t>，存放在化学品仓库内做重点防渗，因此项目不存在土壤污染途径，因此，不会对周边土壤环境造成明显不利影响。因此，本项目符合土壤环境质量底线要求。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3</w:t>
            </w:r>
            <w:r>
              <w:rPr>
                <w:rFonts w:hint="eastAsia" w:ascii="宋体" w:hAnsi="宋体" w:eastAsia="宋体" w:cs="宋体"/>
                <w:color w:val="0C0C0C"/>
                <w:kern w:val="24"/>
                <w:sz w:val="24"/>
                <w:szCs w:val="24"/>
                <w:lang w:val="en-US" w:eastAsia="zh-CN" w:bidi="ar"/>
              </w:rPr>
              <w:t>）资源利用上线</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根据《长江经济带战略环境评价芜湖市</w:t>
            </w:r>
            <w:r>
              <w:rPr>
                <w:rFonts w:hint="default" w:ascii="Times New Roman" w:hAnsi="宋体" w:eastAsia="宋体" w:cs="Times New Roman"/>
                <w:color w:val="0C0C0C"/>
                <w:kern w:val="24"/>
                <w:sz w:val="24"/>
                <w:szCs w:val="24"/>
                <w:lang w:val="en-US" w:eastAsia="zh-CN" w:bidi="ar"/>
              </w:rPr>
              <w:t>“三线一单”文本》，项目所在地属于水资源一般管控区、土地资源重点管控区、煤炭资源管控区</w:t>
            </w:r>
            <w:r>
              <w:rPr>
                <w:rFonts w:hint="eastAsia" w:ascii="宋体" w:hAnsi="宋体" w:eastAsia="宋体" w:cs="宋体"/>
                <w:color w:val="0C0C0C"/>
                <w:kern w:val="24"/>
                <w:sz w:val="24"/>
                <w:szCs w:val="24"/>
                <w:lang w:val="en-US" w:eastAsia="zh-CN" w:bidi="ar"/>
              </w:rPr>
              <w:t>重点管控区。</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①水资源利用上线符合性分析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一般管控区：落实《国务院办公厅关于印发实行最严格水资源管理制度考核办法的通知》、</w:t>
            </w:r>
            <w:r>
              <w:rPr>
                <w:rFonts w:hint="default" w:ascii="Times New Roman" w:hAnsi="宋体" w:eastAsia="宋体" w:cs="Times New Roman"/>
                <w:color w:val="0C0C0C"/>
                <w:kern w:val="24"/>
                <w:sz w:val="24"/>
                <w:szCs w:val="24"/>
                <w:lang w:val="en-US" w:eastAsia="zh-CN" w:bidi="ar"/>
              </w:rPr>
              <w:t xml:space="preserve"> 《“十四五”水资源消耗总量和强度双控行动方案》、《安徽省“十四五”水资源消耗总量和强度双控工作方案》和《芜湖市“十四五”水资源消耗总量和强度双控工作方案》等要求。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符合性分析：本项目生产过程中生产废水</w:t>
            </w:r>
            <w:r>
              <w:rPr>
                <w:rFonts w:hint="eastAsia" w:ascii="宋体" w:hAnsi="宋体" w:cs="宋体"/>
                <w:color w:val="0C0C0C"/>
                <w:kern w:val="24"/>
                <w:sz w:val="24"/>
                <w:szCs w:val="24"/>
                <w:lang w:val="en-US" w:eastAsia="zh-CN" w:bidi="ar"/>
              </w:rPr>
              <w:t>不外排</w:t>
            </w:r>
            <w:r>
              <w:rPr>
                <w:rFonts w:hint="eastAsia" w:ascii="宋体" w:hAnsi="宋体" w:eastAsia="宋体" w:cs="宋体"/>
                <w:color w:val="0C0C0C"/>
                <w:kern w:val="24"/>
                <w:sz w:val="24"/>
                <w:szCs w:val="24"/>
                <w:lang w:val="en-US" w:eastAsia="zh-CN" w:bidi="ar"/>
              </w:rPr>
              <w:t>，生活用水为自来水，用水量很少，不会对区域水资源造成不利影响。</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②煤炭资源利用上线符合性分析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能源重点管控区：高污染燃料禁燃区内，禁止销售、燃用高污染燃料；禁止新建、扩建燃用高污染燃料的设施（新建、改建集中供热和现有火电厂锅炉改造的除外，但煤炭消</w:t>
            </w:r>
            <w:r>
              <w:rPr>
                <w:rFonts w:hint="default" w:ascii="Times New Roman" w:hAnsi="宋体" w:eastAsia="宋体" w:cs="Times New Roman"/>
                <w:color w:val="0C0C0C"/>
                <w:kern w:val="24"/>
                <w:sz w:val="24"/>
                <w:szCs w:val="24"/>
                <w:lang w:val="en-US" w:eastAsia="zh-CN" w:bidi="ar"/>
              </w:rPr>
              <w:t>费量和污染物排放总量需满足相关规定要求），已建成的，应当改用天然气、液化石油气、电或者其他清洁能源。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符合性分析：本项目生产、生活均不涉及煤炭资源的使用。</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default" w:ascii="Times New Roman" w:hAnsi="宋体" w:eastAsia="宋体" w:cs="Times New Roman"/>
                <w:color w:val="0C0C0C"/>
                <w:kern w:val="24"/>
                <w:sz w:val="24"/>
                <w:szCs w:val="24"/>
                <w:lang w:val="en-US" w:eastAsia="zh-CN" w:bidi="ar"/>
              </w:rPr>
              <w:t>③土地资源利用上线符合性分析：</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土地资源重点管控区：落实《全国国土空间规划纲要（</w:t>
            </w:r>
            <w:r>
              <w:rPr>
                <w:rFonts w:hint="default" w:ascii="Times New Roman" w:hAnsi="Times New Roman" w:eastAsia="宋体" w:cs="Times New Roman"/>
                <w:color w:val="0C0C0C"/>
                <w:kern w:val="24"/>
                <w:sz w:val="24"/>
                <w:szCs w:val="24"/>
                <w:lang w:val="en-US" w:eastAsia="zh-CN" w:bidi="ar"/>
              </w:rPr>
              <w:t xml:space="preserve">2021-2035 </w:t>
            </w:r>
            <w:r>
              <w:rPr>
                <w:rFonts w:hint="eastAsia" w:ascii="宋体" w:hAnsi="宋体" w:eastAsia="宋体" w:cs="宋体"/>
                <w:color w:val="0C0C0C"/>
                <w:kern w:val="24"/>
                <w:sz w:val="24"/>
                <w:szCs w:val="24"/>
                <w:lang w:val="en-US" w:eastAsia="zh-CN" w:bidi="ar"/>
              </w:rPr>
              <w:t xml:space="preserve">年）》、《安徽省国土空间规划 </w:t>
            </w:r>
            <w:r>
              <w:rPr>
                <w:rFonts w:hint="default" w:ascii="Times New Roman" w:hAnsi="Times New Roman" w:eastAsia="宋体" w:cs="Times New Roman"/>
                <w:color w:val="0C0C0C"/>
                <w:kern w:val="24"/>
                <w:sz w:val="24"/>
                <w:szCs w:val="24"/>
                <w:lang w:val="en-US" w:eastAsia="zh-CN" w:bidi="ar"/>
              </w:rPr>
              <w:t xml:space="preserve">(2021-2035 </w:t>
            </w:r>
            <w:r>
              <w:rPr>
                <w:rFonts w:hint="eastAsia" w:ascii="宋体" w:hAnsi="宋体" w:eastAsia="宋体" w:cs="宋体"/>
                <w:color w:val="0C0C0C"/>
                <w:kern w:val="24"/>
                <w:sz w:val="24"/>
                <w:szCs w:val="24"/>
                <w:lang w:val="en-US" w:eastAsia="zh-CN" w:bidi="ar"/>
              </w:rPr>
              <w:t>年</w:t>
            </w:r>
            <w:r>
              <w:rPr>
                <w:rFonts w:hint="default" w:ascii="Times New Roman" w:hAnsi="Times New Roman" w:eastAsia="宋体" w:cs="Times New Roman"/>
                <w:color w:val="0C0C0C"/>
                <w:kern w:val="24"/>
                <w:sz w:val="24"/>
                <w:szCs w:val="24"/>
                <w:lang w:val="en-US" w:eastAsia="zh-CN" w:bidi="ar"/>
              </w:rPr>
              <w:t>)</w:t>
            </w:r>
            <w:r>
              <w:rPr>
                <w:rFonts w:hint="eastAsia" w:ascii="宋体" w:hAnsi="宋体" w:eastAsia="宋体" w:cs="宋体"/>
                <w:color w:val="0C0C0C"/>
                <w:kern w:val="24"/>
                <w:sz w:val="24"/>
                <w:szCs w:val="24"/>
                <w:lang w:val="en-US" w:eastAsia="zh-CN" w:bidi="ar"/>
              </w:rPr>
              <w:t>》、《芜湖市国土空间总体规划（</w:t>
            </w:r>
            <w:r>
              <w:rPr>
                <w:rFonts w:hint="default" w:ascii="Times New Roman" w:hAnsi="Times New Roman" w:eastAsia="宋体" w:cs="Times New Roman"/>
                <w:color w:val="0C0C0C"/>
                <w:kern w:val="24"/>
                <w:sz w:val="24"/>
                <w:szCs w:val="24"/>
                <w:lang w:val="en-US" w:eastAsia="zh-CN" w:bidi="ar"/>
              </w:rPr>
              <w:t xml:space="preserve">2021-2035 </w:t>
            </w:r>
            <w:r>
              <w:rPr>
                <w:rFonts w:hint="eastAsia" w:ascii="宋体" w:hAnsi="宋体" w:eastAsia="宋体" w:cs="宋体"/>
                <w:color w:val="0C0C0C"/>
                <w:kern w:val="24"/>
                <w:sz w:val="24"/>
                <w:szCs w:val="24"/>
                <w:lang w:val="en-US" w:eastAsia="zh-CN" w:bidi="ar"/>
              </w:rPr>
              <w:t>年）》、《自然资源“十四五”规划编制工作方案》、《安徽省“十四五”自然资源保护和利用规划》 等要求。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符合性分析：本项目所在区域占地类型为</w:t>
            </w:r>
            <w:r>
              <w:rPr>
                <w:rFonts w:hint="eastAsia" w:ascii="宋体" w:hAnsi="宋体" w:cs="宋体"/>
                <w:color w:val="0C0C0C"/>
                <w:kern w:val="24"/>
                <w:sz w:val="24"/>
                <w:szCs w:val="24"/>
                <w:lang w:val="en-US" w:eastAsia="zh-CN" w:bidi="ar"/>
              </w:rPr>
              <w:t>工业</w:t>
            </w:r>
            <w:r>
              <w:rPr>
                <w:rFonts w:hint="eastAsia" w:ascii="宋体" w:hAnsi="宋体" w:eastAsia="宋体" w:cs="宋体"/>
                <w:color w:val="0C0C0C"/>
                <w:kern w:val="24"/>
                <w:sz w:val="24"/>
                <w:szCs w:val="24"/>
                <w:lang w:val="en-US" w:eastAsia="zh-CN" w:bidi="ar"/>
              </w:rPr>
              <w:t>用地，项目厂区可用于本项目使用。</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综上，本项目符合资源利用上线要求。</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w:t>
            </w:r>
            <w:r>
              <w:rPr>
                <w:rFonts w:hint="default" w:ascii="Times New Roman" w:hAnsi="Times New Roman" w:eastAsia="宋体" w:cs="Times New Roman"/>
                <w:color w:val="0C0C0C"/>
                <w:kern w:val="24"/>
                <w:sz w:val="24"/>
                <w:szCs w:val="24"/>
                <w:lang w:val="en-US" w:eastAsia="zh-CN" w:bidi="ar"/>
              </w:rPr>
              <w:t>4</w:t>
            </w:r>
            <w:r>
              <w:rPr>
                <w:rFonts w:hint="eastAsia" w:ascii="宋体" w:hAnsi="宋体" w:eastAsia="宋体" w:cs="宋体"/>
                <w:color w:val="0C0C0C"/>
                <w:kern w:val="24"/>
                <w:sz w:val="24"/>
                <w:szCs w:val="24"/>
                <w:lang w:val="en-US" w:eastAsia="zh-CN" w:bidi="ar"/>
              </w:rPr>
              <w:t>）环境准入负面清单</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对照《芜湖市生态环境管控单元图》（见</w:t>
            </w:r>
            <w:r>
              <w:rPr>
                <w:rFonts w:hint="eastAsia" w:ascii="宋体" w:hAnsi="宋体" w:eastAsia="宋体" w:cs="宋体"/>
                <w:color w:val="auto"/>
                <w:kern w:val="24"/>
                <w:sz w:val="24"/>
                <w:szCs w:val="24"/>
                <w:lang w:val="en-US" w:eastAsia="zh-CN" w:bidi="ar"/>
              </w:rPr>
              <w:t>附图</w:t>
            </w:r>
            <w:r>
              <w:rPr>
                <w:rFonts w:hint="default" w:ascii="Times New Roman" w:hAnsi="Times New Roman" w:eastAsia="宋体" w:cs="Times New Roman"/>
                <w:color w:val="auto"/>
                <w:kern w:val="24"/>
                <w:sz w:val="24"/>
                <w:szCs w:val="24"/>
                <w:lang w:val="en-US" w:eastAsia="zh-CN" w:bidi="ar"/>
              </w:rPr>
              <w:t>1</w:t>
            </w:r>
            <w:r>
              <w:rPr>
                <w:rFonts w:hint="eastAsia" w:cs="Times New Roman"/>
                <w:color w:val="auto"/>
                <w:kern w:val="24"/>
                <w:sz w:val="24"/>
                <w:szCs w:val="24"/>
                <w:lang w:val="en-US" w:eastAsia="zh-CN" w:bidi="ar"/>
              </w:rPr>
              <w:t>1</w:t>
            </w:r>
            <w:r>
              <w:rPr>
                <w:rFonts w:hint="eastAsia" w:ascii="宋体" w:hAnsi="宋体" w:eastAsia="宋体" w:cs="宋体"/>
                <w:color w:val="0C0C0C"/>
                <w:kern w:val="24"/>
                <w:sz w:val="24"/>
                <w:szCs w:val="24"/>
                <w:lang w:val="en-US" w:eastAsia="zh-CN" w:bidi="ar"/>
              </w:rPr>
              <w:t>），本项目位于重点管控单元，根据前文分析可知，本项目不属于国家和地方产业政策限制或禁止类发展项目，未列入负面清单，相符。</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left"/>
              <w:rPr>
                <w:rFonts w:hint="default" w:ascii="Times New Roman" w:hAnsi="宋体" w:eastAsia="宋体" w:cs="Times New Roman"/>
                <w:color w:val="0C0C0C"/>
                <w:kern w:val="24"/>
                <w:sz w:val="24"/>
                <w:szCs w:val="24"/>
              </w:rPr>
            </w:pPr>
            <w:r>
              <w:rPr>
                <w:rFonts w:hint="eastAsia" w:ascii="宋体" w:hAnsi="宋体" w:eastAsia="宋体" w:cs="宋体"/>
                <w:color w:val="0C0C0C"/>
                <w:kern w:val="24"/>
                <w:sz w:val="24"/>
                <w:szCs w:val="24"/>
                <w:lang w:val="en-US" w:eastAsia="zh-CN" w:bidi="ar"/>
              </w:rPr>
              <w:t>综上所述，本项目符合</w:t>
            </w:r>
            <w:r>
              <w:rPr>
                <w:rFonts w:hint="default" w:ascii="Times New Roman" w:hAnsi="宋体" w:eastAsia="宋体" w:cs="Times New Roman"/>
                <w:color w:val="0C0C0C"/>
                <w:kern w:val="24"/>
                <w:sz w:val="24"/>
                <w:szCs w:val="24"/>
                <w:lang w:val="en-US" w:eastAsia="zh-CN" w:bidi="ar"/>
              </w:rPr>
              <w:t>“三线一单”的要求。</w:t>
            </w:r>
          </w:p>
          <w:p>
            <w:pPr>
              <w:keepNext w:val="0"/>
              <w:keepLines w:val="0"/>
              <w:suppressLineNumbers w:val="0"/>
              <w:spacing w:before="120" w:beforeLines="50" w:beforeAutospacing="0" w:after="0" w:afterAutospacing="0" w:line="343" w:lineRule="auto"/>
              <w:ind w:left="0" w:right="0" w:firstLine="482" w:firstLineChars="200"/>
              <w:rPr>
                <w:rFonts w:hint="default"/>
                <w:b/>
                <w:bCs/>
                <w:color w:val="0D0D0D" w:themeColor="text1" w:themeTint="F2"/>
                <w:sz w:val="24"/>
                <w14:textFill>
                  <w14:solidFill>
                    <w14:schemeClr w14:val="tx1">
                      <w14:lumMod w14:val="95000"/>
                      <w14:lumOff w14:val="5000"/>
                    </w14:schemeClr>
                  </w14:solidFill>
                </w14:textFill>
              </w:rPr>
            </w:pPr>
            <w:r>
              <w:rPr>
                <w:rFonts w:hint="default"/>
                <w:b/>
                <w:bCs/>
                <w:color w:val="0D0D0D" w:themeColor="text1" w:themeTint="F2"/>
                <w:sz w:val="24"/>
                <w14:textFill>
                  <w14:solidFill>
                    <w14:schemeClr w14:val="tx1">
                      <w14:lumMod w14:val="95000"/>
                      <w14:lumOff w14:val="5000"/>
                    </w14:schemeClr>
                  </w14:solidFill>
                </w14:textFill>
              </w:rPr>
              <w:t>3</w:t>
            </w:r>
            <w:r>
              <w:rPr>
                <w:rFonts w:hint="eastAsia"/>
                <w:b/>
                <w:bCs/>
                <w:color w:val="0D0D0D" w:themeColor="text1" w:themeTint="F2"/>
                <w:sz w:val="24"/>
                <w14:textFill>
                  <w14:solidFill>
                    <w14:schemeClr w14:val="tx1">
                      <w14:lumMod w14:val="95000"/>
                      <w14:lumOff w14:val="5000"/>
                    </w14:schemeClr>
                  </w14:solidFill>
                </w14:textFill>
              </w:rPr>
              <w:t>、</w:t>
            </w:r>
            <w:r>
              <w:rPr>
                <w:rFonts w:hint="default"/>
                <w:b/>
                <w:bCs/>
                <w:color w:val="0D0D0D" w:themeColor="text1" w:themeTint="F2"/>
                <w:sz w:val="24"/>
                <w14:textFill>
                  <w14:solidFill>
                    <w14:schemeClr w14:val="tx1">
                      <w14:lumMod w14:val="95000"/>
                      <w14:lumOff w14:val="5000"/>
                    </w14:schemeClr>
                  </w14:solidFill>
                </w14:textFill>
              </w:rPr>
              <w:t>与“三区三线”相符性分析</w:t>
            </w:r>
          </w:p>
          <w:p>
            <w:pPr>
              <w:keepNext w:val="0"/>
              <w:keepLines w:val="0"/>
              <w:suppressLineNumbers w:val="0"/>
              <w:spacing w:before="0" w:beforeAutospacing="0" w:after="0" w:afterAutospacing="0" w:line="360" w:lineRule="auto"/>
              <w:ind w:left="0" w:right="0" w:firstLine="480"/>
              <w:rPr>
                <w:rFonts w:hint="default"/>
                <w:color w:val="0D0D0D" w:themeColor="text1" w:themeTint="F2"/>
                <w:kern w:val="24"/>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根据《中共中央国务院关于建立国土空间规划体系并监督实施的若干意见》（中发（2019）18号）、自然资源部关于在全国开展</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三区三线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划定工作的函（自然资函（2022）47号），</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三区</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是指城镇空间、农业空间和生态空间，</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是指生态保护红线、永久基本农田保护红线和城镇开发边界。</w:t>
            </w:r>
            <w:r>
              <w:rPr>
                <w:rFonts w:hint="default"/>
                <w:color w:val="0D0D0D" w:themeColor="text1" w:themeTint="F2"/>
                <w:kern w:val="24"/>
                <w:sz w:val="24"/>
                <w14:textFill>
                  <w14:solidFill>
                    <w14:schemeClr w14:val="tx1">
                      <w14:lumMod w14:val="95000"/>
                      <w14:lumOff w14:val="5000"/>
                    </w14:schemeClr>
                  </w14:solidFill>
                </w14:textFill>
              </w:rPr>
              <w:t>根据《安徽省自然资源厅关于印发安徽省</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三区三线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工作方案的通知》</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三区三线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划定成果，本项目占地属于</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三区三线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中划定的城</w:t>
            </w:r>
            <w:r>
              <w:rPr>
                <w:rFonts w:hint="default"/>
                <w:color w:val="0D0D0D" w:themeColor="text1" w:themeTint="F2"/>
                <w:sz w:val="24"/>
                <w14:textFill>
                  <w14:solidFill>
                    <w14:schemeClr w14:val="tx1">
                      <w14:lumMod w14:val="95000"/>
                      <w14:lumOff w14:val="5000"/>
                    </w14:schemeClr>
                  </w14:solidFill>
                </w14:textFill>
              </w:rPr>
              <w:t>镇开发边界以内（见</w:t>
            </w:r>
            <w:r>
              <w:rPr>
                <w:rFonts w:hint="eastAsia"/>
                <w:color w:val="0D0D0D" w:themeColor="text1" w:themeTint="F2"/>
                <w:sz w:val="24"/>
                <w14:textFill>
                  <w14:solidFill>
                    <w14:schemeClr w14:val="tx1">
                      <w14:lumMod w14:val="95000"/>
                      <w14:lumOff w14:val="5000"/>
                    </w14:schemeClr>
                  </w14:solidFill>
                </w14:textFill>
              </w:rPr>
              <w:t>附图</w:t>
            </w:r>
            <w:r>
              <w:rPr>
                <w:rFonts w:hint="eastAsia"/>
                <w:color w:val="0D0D0D" w:themeColor="text1" w:themeTint="F2"/>
                <w:sz w:val="24"/>
                <w:lang w:val="en-US" w:eastAsia="zh-CN"/>
                <w14:textFill>
                  <w14:solidFill>
                    <w14:schemeClr w14:val="tx1">
                      <w14:lumMod w14:val="95000"/>
                      <w14:lumOff w14:val="5000"/>
                    </w14:schemeClr>
                  </w14:solidFill>
                </w14:textFill>
              </w:rPr>
              <w:t>7</w:t>
            </w:r>
            <w:r>
              <w:rPr>
                <w:rFonts w:hint="default"/>
                <w:color w:val="0D0D0D" w:themeColor="text1" w:themeTint="F2"/>
                <w:sz w:val="24"/>
                <w14:textFill>
                  <w14:solidFill>
                    <w14:schemeClr w14:val="tx1">
                      <w14:lumMod w14:val="95000"/>
                      <w14:lumOff w14:val="5000"/>
                    </w14:schemeClr>
                  </w14:solidFill>
                </w14:textFill>
              </w:rPr>
              <w:t>），本项目符合</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三区三线</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相关要求，不涉及生态保护红线</w:t>
            </w:r>
            <w:r>
              <w:rPr>
                <w:rFonts w:hint="default"/>
                <w:color w:val="0D0D0D" w:themeColor="text1" w:themeTint="F2"/>
                <w:kern w:val="24"/>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43" w:lineRule="auto"/>
              <w:ind w:left="0" w:right="0" w:firstLine="482" w:firstLineChars="200"/>
              <w:rPr>
                <w:rFonts w:hint="default"/>
                <w:b/>
                <w:bCs/>
                <w:color w:val="0D0D0D" w:themeColor="text1" w:themeTint="F2"/>
                <w:sz w:val="24"/>
                <w14:textFill>
                  <w14:solidFill>
                    <w14:schemeClr w14:val="tx1">
                      <w14:lumMod w14:val="95000"/>
                      <w14:lumOff w14:val="5000"/>
                    </w14:schemeClr>
                  </w14:solidFill>
                </w14:textFill>
              </w:rPr>
            </w:pPr>
            <w:r>
              <w:rPr>
                <w:rFonts w:hint="default"/>
                <w:b/>
                <w:bCs/>
                <w:color w:val="0D0D0D" w:themeColor="text1" w:themeTint="F2"/>
                <w:sz w:val="24"/>
                <w14:textFill>
                  <w14:solidFill>
                    <w14:schemeClr w14:val="tx1">
                      <w14:lumMod w14:val="95000"/>
                      <w14:lumOff w14:val="5000"/>
                    </w14:schemeClr>
                  </w14:solidFill>
                </w14:textFill>
              </w:rPr>
              <w:t>4</w:t>
            </w:r>
            <w:r>
              <w:rPr>
                <w:rFonts w:hint="eastAsia"/>
                <w:b/>
                <w:bCs/>
                <w:color w:val="0D0D0D" w:themeColor="text1" w:themeTint="F2"/>
                <w:sz w:val="24"/>
                <w14:textFill>
                  <w14:solidFill>
                    <w14:schemeClr w14:val="tx1">
                      <w14:lumMod w14:val="95000"/>
                      <w14:lumOff w14:val="5000"/>
                    </w14:schemeClr>
                  </w14:solidFill>
                </w14:textFill>
              </w:rPr>
              <w:t>、与《关于全面打造水清岸绿产业优美丽长江（芜湖）经济带的实施方案（升级版）》相符性分析</w:t>
            </w:r>
          </w:p>
          <w:p>
            <w:pPr>
              <w:keepNext w:val="0"/>
              <w:keepLines w:val="0"/>
              <w:suppressLineNumbers w:val="0"/>
              <w:autoSpaceDE w:val="0"/>
              <w:autoSpaceDN w:val="0"/>
              <w:spacing w:before="120" w:beforeLines="50" w:beforeAutospacing="0" w:after="0" w:afterAutospacing="0"/>
              <w:ind w:left="0" w:right="0" w:firstLine="482" w:firstLineChars="200"/>
              <w:jc w:val="center"/>
              <w:rPr>
                <w:rFonts w:hint="default" w:hAnsi="宋体"/>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表1-</w:t>
            </w:r>
            <w:r>
              <w:rPr>
                <w:rFonts w:hint="eastAsia"/>
                <w:b/>
                <w:color w:val="0D0D0D" w:themeColor="text1" w:themeTint="F2"/>
                <w:kern w:val="0"/>
                <w:sz w:val="24"/>
                <w:szCs w:val="20"/>
                <w:lang w:val="en-US" w:eastAsia="zh-CN"/>
                <w14:textFill>
                  <w14:solidFill>
                    <w14:schemeClr w14:val="tx1">
                      <w14:lumMod w14:val="95000"/>
                      <w14:lumOff w14:val="5000"/>
                    </w14:schemeClr>
                  </w14:solidFill>
                </w14:textFill>
              </w:rPr>
              <w:t>6</w:t>
            </w:r>
            <w:r>
              <w:rPr>
                <w:rFonts w:hint="default"/>
                <w:b/>
                <w:color w:val="0D0D0D" w:themeColor="text1" w:themeTint="F2"/>
                <w:kern w:val="0"/>
                <w:sz w:val="24"/>
                <w:szCs w:val="20"/>
                <w14:textFill>
                  <w14:solidFill>
                    <w14:schemeClr w14:val="tx1">
                      <w14:lumMod w14:val="95000"/>
                      <w14:lumOff w14:val="5000"/>
                    </w14:schemeClr>
                  </w14:solidFill>
                </w14:textFill>
              </w:rPr>
              <w:t xml:space="preserve">  项目与“</w:t>
            </w:r>
            <w:r>
              <w:rPr>
                <w:rFonts w:hint="eastAsia"/>
                <w:b/>
                <w:bCs/>
                <w:color w:val="0D0D0D" w:themeColor="text1" w:themeTint="F2"/>
                <w:sz w:val="24"/>
                <w14:textFill>
                  <w14:solidFill>
                    <w14:schemeClr w14:val="tx1">
                      <w14:lumMod w14:val="95000"/>
                      <w14:lumOff w14:val="5000"/>
                    </w14:schemeClr>
                  </w14:solidFill>
                </w14:textFill>
              </w:rPr>
              <w:t>关于全面打造水清岸绿产业优美丽长江（芜湖）经济带的实施意见</w:t>
            </w:r>
            <w:r>
              <w:rPr>
                <w:rFonts w:hint="default"/>
                <w:b/>
                <w:color w:val="0D0D0D" w:themeColor="text1" w:themeTint="F2"/>
                <w:kern w:val="0"/>
                <w:sz w:val="24"/>
                <w:szCs w:val="20"/>
                <w14:textFill>
                  <w14:solidFill>
                    <w14:schemeClr w14:val="tx1">
                      <w14:lumMod w14:val="95000"/>
                      <w14:lumOff w14:val="5000"/>
                    </w14:schemeClr>
                  </w14:solidFill>
                </w14:textFill>
              </w:rPr>
              <w:t>”相符性分析</w:t>
            </w:r>
            <w:r>
              <w:rPr>
                <w:rFonts w:hint="eastAsia" w:hAnsi="宋体"/>
                <w:b/>
                <w:color w:val="0D0D0D" w:themeColor="text1" w:themeTint="F2"/>
                <w:kern w:val="0"/>
                <w:sz w:val="24"/>
                <w14:textFill>
                  <w14:solidFill>
                    <w14:schemeClr w14:val="tx1">
                      <w14:lumMod w14:val="95000"/>
                      <w14:lumOff w14:val="5000"/>
                    </w14:schemeClr>
                  </w14:solidFill>
                </w14:textFill>
              </w:rPr>
              <w:t>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02"/>
              <w:gridCol w:w="6336"/>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4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文件内</w:t>
                  </w:r>
                </w:p>
              </w:tc>
              <w:tc>
                <w:tcPr>
                  <w:tcW w:w="425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具体要求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41" w:type="pct"/>
                  <w:shd w:val="clear" w:color="auto" w:fill="auto"/>
                  <w:vAlign w:val="center"/>
                </w:tcPr>
                <w:p>
                  <w:pPr>
                    <w:keepNext w:val="0"/>
                    <w:keepLines w:val="0"/>
                    <w:widowControl/>
                    <w:suppressLineNumbers w:val="0"/>
                    <w:spacing w:before="0" w:beforeAutospacing="0" w:after="0" w:afterAutospacing="0" w:line="320" w:lineRule="atLeast"/>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严禁1公里范围内新建化工项目</w:t>
                  </w:r>
                </w:p>
              </w:tc>
              <w:tc>
                <w:tcPr>
                  <w:tcW w:w="4259" w:type="pct"/>
                  <w:shd w:val="clear" w:color="auto" w:fill="auto"/>
                  <w:vAlign w:val="center"/>
                </w:tcPr>
                <w:p>
                  <w:pPr>
                    <w:keepNext w:val="0"/>
                    <w:keepLines w:val="0"/>
                    <w:widowControl/>
                    <w:suppressLineNumbers w:val="0"/>
                    <w:spacing w:before="0" w:beforeAutospacing="0" w:after="0" w:afterAutospacing="0" w:line="320" w:lineRule="atLeast"/>
                    <w:ind w:left="0" w:right="0" w:firstLine="210" w:firstLineChars="10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禁1公里范围内新建化工项目。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41" w:type="pct"/>
                  <w:shd w:val="clear" w:color="auto" w:fill="auto"/>
                  <w:vAlign w:val="center"/>
                </w:tcPr>
                <w:p>
                  <w:pPr>
                    <w:keepNext w:val="0"/>
                    <w:keepLines w:val="0"/>
                    <w:widowControl/>
                    <w:suppressLineNumbers w:val="0"/>
                    <w:spacing w:before="0" w:beforeAutospacing="0" w:after="0" w:afterAutospacing="0" w:line="320" w:lineRule="atLeast"/>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严控5公里范围内新建重化工重污染项目</w:t>
                  </w:r>
                </w:p>
              </w:tc>
              <w:tc>
                <w:tcPr>
                  <w:tcW w:w="4259" w:type="pct"/>
                  <w:shd w:val="clear" w:color="auto" w:fill="auto"/>
                  <w:vAlign w:val="center"/>
                </w:tcPr>
                <w:p>
                  <w:pPr>
                    <w:keepNext w:val="0"/>
                    <w:keepLines w:val="0"/>
                    <w:widowControl/>
                    <w:suppressLineNumbers w:val="0"/>
                    <w:spacing w:before="0" w:beforeAutospacing="0" w:after="0" w:afterAutospacing="0" w:line="320" w:lineRule="atLeast"/>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控5公里范围内新建重化工重污染项目。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41" w:type="pct"/>
                  <w:shd w:val="clear" w:color="auto" w:fill="auto"/>
                  <w:vAlign w:val="center"/>
                </w:tcPr>
                <w:p>
                  <w:pPr>
                    <w:keepNext w:val="0"/>
                    <w:keepLines w:val="0"/>
                    <w:widowControl/>
                    <w:suppressLineNumbers w:val="0"/>
                    <w:spacing w:before="0" w:beforeAutospacing="0" w:after="0" w:afterAutospacing="0" w:line="320" w:lineRule="atLeast"/>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严管</w:t>
                  </w:r>
                  <w:r>
                    <w:rPr>
                      <w:rFonts w:hint="default"/>
                      <w:color w:val="0D0D0D" w:themeColor="text1" w:themeTint="F2"/>
                      <w:kern w:val="0"/>
                      <w:szCs w:val="21"/>
                      <w14:textFill>
                        <w14:solidFill>
                          <w14:schemeClr w14:val="tx1">
                            <w14:lumMod w14:val="95000"/>
                            <w14:lumOff w14:val="5000"/>
                          </w14:schemeClr>
                        </w14:solidFill>
                      </w14:textFill>
                    </w:rPr>
                    <w:t>15</w:t>
                  </w:r>
                  <w:r>
                    <w:rPr>
                      <w:rFonts w:hint="eastAsia"/>
                      <w:color w:val="0D0D0D" w:themeColor="text1" w:themeTint="F2"/>
                      <w:kern w:val="0"/>
                      <w:szCs w:val="21"/>
                      <w14:textFill>
                        <w14:solidFill>
                          <w14:schemeClr w14:val="tx1">
                            <w14:lumMod w14:val="95000"/>
                            <w14:lumOff w14:val="5000"/>
                          </w14:schemeClr>
                        </w14:solidFill>
                      </w14:textFill>
                    </w:rPr>
                    <w:t>公里范围内新建项目</w:t>
                  </w:r>
                </w:p>
              </w:tc>
              <w:tc>
                <w:tcPr>
                  <w:tcW w:w="4259" w:type="pct"/>
                  <w:shd w:val="clear" w:color="auto" w:fill="auto"/>
                  <w:vAlign w:val="center"/>
                </w:tcPr>
                <w:p>
                  <w:pPr>
                    <w:keepNext w:val="0"/>
                    <w:keepLines w:val="0"/>
                    <w:widowControl/>
                    <w:suppressLineNumbers w:val="0"/>
                    <w:spacing w:before="0" w:beforeAutospacing="0" w:after="0" w:afterAutospacing="0" w:line="320" w:lineRule="atLeast"/>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keepNext w:val="0"/>
              <w:keepLines w:val="0"/>
              <w:suppressLineNumbers w:val="0"/>
              <w:autoSpaceDE w:val="0"/>
              <w:autoSpaceDN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本项目距离长江</w:t>
            </w:r>
            <w:r>
              <w:rPr>
                <w:rFonts w:hint="eastAsia"/>
                <w:color w:val="0D0D0D" w:themeColor="text1" w:themeTint="F2"/>
                <w:kern w:val="0"/>
                <w:sz w:val="24"/>
                <w14:textFill>
                  <w14:solidFill>
                    <w14:schemeClr w14:val="tx1">
                      <w14:lumMod w14:val="95000"/>
                      <w14:lumOff w14:val="5000"/>
                    </w14:schemeClr>
                  </w14:solidFill>
                </w14:textFill>
              </w:rPr>
              <w:t>干流</w:t>
            </w:r>
            <w:r>
              <w:rPr>
                <w:rFonts w:hint="eastAsia"/>
                <w:color w:val="0D0D0D" w:themeColor="text1" w:themeTint="F2"/>
                <w:kern w:val="0"/>
                <w:sz w:val="24"/>
                <w:lang w:val="en-US" w:eastAsia="zh-CN"/>
                <w14:textFill>
                  <w14:solidFill>
                    <w14:schemeClr w14:val="tx1">
                      <w14:lumMod w14:val="95000"/>
                      <w14:lumOff w14:val="5000"/>
                    </w14:schemeClr>
                  </w14:solidFill>
                </w14:textFill>
              </w:rPr>
              <w:t>6.6</w:t>
            </w:r>
            <w:r>
              <w:rPr>
                <w:rFonts w:hint="eastAsia"/>
                <w:color w:val="0D0D0D" w:themeColor="text1" w:themeTint="F2"/>
                <w:kern w:val="0"/>
                <w:sz w:val="24"/>
                <w14:textFill>
                  <w14:solidFill>
                    <w14:schemeClr w14:val="tx1">
                      <w14:lumMod w14:val="95000"/>
                      <w14:lumOff w14:val="5000"/>
                    </w14:schemeClr>
                  </w14:solidFill>
                </w14:textFill>
              </w:rPr>
              <w:t>公里，不</w:t>
            </w:r>
            <w:r>
              <w:rPr>
                <w:rFonts w:hint="default"/>
                <w:color w:val="0D0D0D" w:themeColor="text1" w:themeTint="F2"/>
                <w:kern w:val="0"/>
                <w:sz w:val="24"/>
                <w14:textFill>
                  <w14:solidFill>
                    <w14:schemeClr w14:val="tx1">
                      <w14:lumMod w14:val="95000"/>
                      <w14:lumOff w14:val="5000"/>
                    </w14:schemeClr>
                  </w14:solidFill>
                </w14:textFill>
              </w:rPr>
              <w:t>在长江</w:t>
            </w:r>
            <w:r>
              <w:rPr>
                <w:rFonts w:hint="eastAsia"/>
                <w:color w:val="0D0D0D" w:themeColor="text1" w:themeTint="F2"/>
                <w:kern w:val="0"/>
                <w:sz w:val="24"/>
                <w14:textFill>
                  <w14:solidFill>
                    <w14:schemeClr w14:val="tx1">
                      <w14:lumMod w14:val="95000"/>
                      <w14:lumOff w14:val="5000"/>
                    </w14:schemeClr>
                  </w14:solidFill>
                </w14:textFill>
              </w:rPr>
              <w:t>干支流岸线</w:t>
            </w:r>
            <w:r>
              <w:rPr>
                <w:rFonts w:hint="default"/>
                <w:color w:val="0D0D0D" w:themeColor="text1" w:themeTint="F2"/>
                <w:kern w:val="0"/>
                <w:sz w:val="24"/>
                <w14:textFill>
                  <w14:solidFill>
                    <w14:schemeClr w14:val="tx1">
                      <w14:lumMod w14:val="95000"/>
                      <w14:lumOff w14:val="5000"/>
                    </w14:schemeClr>
                  </w14:solidFill>
                </w14:textFill>
              </w:rPr>
              <w:t>5公里范围内，</w:t>
            </w:r>
            <w:r>
              <w:rPr>
                <w:rFonts w:hint="eastAsia"/>
                <w:color w:val="0D0D0D" w:themeColor="text1" w:themeTint="F2"/>
                <w:kern w:val="0"/>
                <w:sz w:val="24"/>
                <w14:textFill>
                  <w14:solidFill>
                    <w14:schemeClr w14:val="tx1">
                      <w14:lumMod w14:val="95000"/>
                      <w14:lumOff w14:val="5000"/>
                    </w14:schemeClr>
                  </w14:solidFill>
                </w14:textFill>
              </w:rPr>
              <w:t>在长江干流岸线1</w:t>
            </w:r>
            <w:r>
              <w:rPr>
                <w:rFonts w:hint="default"/>
                <w:color w:val="0D0D0D" w:themeColor="text1" w:themeTint="F2"/>
                <w:kern w:val="0"/>
                <w:sz w:val="24"/>
                <w14:textFill>
                  <w14:solidFill>
                    <w14:schemeClr w14:val="tx1">
                      <w14:lumMod w14:val="95000"/>
                      <w14:lumOff w14:val="5000"/>
                    </w14:schemeClr>
                  </w14:solidFill>
                </w14:textFill>
              </w:rPr>
              <w:t>5</w:t>
            </w:r>
            <w:r>
              <w:rPr>
                <w:rFonts w:hint="eastAsia"/>
                <w:color w:val="0D0D0D" w:themeColor="text1" w:themeTint="F2"/>
                <w:kern w:val="0"/>
                <w:sz w:val="24"/>
                <w14:textFill>
                  <w14:solidFill>
                    <w14:schemeClr w14:val="tx1">
                      <w14:lumMod w14:val="95000"/>
                      <w14:lumOff w14:val="5000"/>
                    </w14:schemeClr>
                  </w14:solidFill>
                </w14:textFill>
              </w:rPr>
              <w:t>公里范围内，</w:t>
            </w:r>
            <w:r>
              <w:rPr>
                <w:rFonts w:hint="default"/>
                <w:color w:val="0D0D0D" w:themeColor="text1" w:themeTint="F2"/>
                <w:kern w:val="0"/>
                <w:sz w:val="24"/>
                <w14:textFill>
                  <w14:solidFill>
                    <w14:schemeClr w14:val="tx1">
                      <w14:lumMod w14:val="95000"/>
                      <w14:lumOff w14:val="5000"/>
                    </w14:schemeClr>
                  </w14:solidFill>
                </w14:textFill>
              </w:rPr>
              <w:t>但本项目</w:t>
            </w:r>
            <w:r>
              <w:rPr>
                <w:rFonts w:hint="eastAsia"/>
                <w:color w:val="0D0D0D" w:themeColor="text1" w:themeTint="F2"/>
                <w:kern w:val="0"/>
                <w:sz w:val="24"/>
                <w14:textFill>
                  <w14:solidFill>
                    <w14:schemeClr w14:val="tx1">
                      <w14:lumMod w14:val="95000"/>
                      <w14:lumOff w14:val="5000"/>
                    </w14:schemeClr>
                  </w14:solidFill>
                </w14:textFill>
              </w:rPr>
              <w:t>严格执行《长江经济带发展负面清单指南(试行)》《安徽省长江经济带发展负面清单实施细则(试行)》</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本项目产生的各污染物全部合规达标，符合文件要求。</w:t>
            </w:r>
          </w:p>
          <w:p>
            <w:pPr>
              <w:keepNext w:val="0"/>
              <w:keepLines w:val="0"/>
              <w:suppressLineNumbers w:val="0"/>
              <w:autoSpaceDE w:val="0"/>
              <w:autoSpaceDN w:val="0"/>
              <w:adjustRightInd w:val="0"/>
              <w:spacing w:before="0" w:beforeAutospacing="0" w:after="0" w:afterAutospacing="0" w:line="360" w:lineRule="auto"/>
              <w:ind w:left="0" w:right="0" w:firstLine="482" w:firstLineChars="200"/>
              <w:rPr>
                <w:rFonts w:hint="default" w:hAnsi="宋体"/>
                <w:b/>
                <w:color w:val="0D0D0D" w:themeColor="text1" w:themeTint="F2"/>
                <w:kern w:val="0"/>
                <w:sz w:val="24"/>
                <w14:textFill>
                  <w14:solidFill>
                    <w14:schemeClr w14:val="tx1">
                      <w14:lumMod w14:val="95000"/>
                      <w14:lumOff w14:val="5000"/>
                    </w14:schemeClr>
                  </w14:solidFill>
                </w14:textFill>
              </w:rPr>
            </w:pPr>
            <w:r>
              <w:rPr>
                <w:rFonts w:hint="default" w:hAnsi="宋体"/>
                <w:b/>
                <w:color w:val="0D0D0D" w:themeColor="text1" w:themeTint="F2"/>
                <w:kern w:val="0"/>
                <w:sz w:val="24"/>
                <w14:textFill>
                  <w14:solidFill>
                    <w14:schemeClr w14:val="tx1">
                      <w14:lumMod w14:val="95000"/>
                      <w14:lumOff w14:val="5000"/>
                    </w14:schemeClr>
                  </w14:solidFill>
                </w14:textFill>
              </w:rPr>
              <w:t>5</w:t>
            </w:r>
            <w:r>
              <w:rPr>
                <w:rFonts w:hint="eastAsia" w:hAnsi="宋体"/>
                <w:b/>
                <w:color w:val="0D0D0D" w:themeColor="text1" w:themeTint="F2"/>
                <w:kern w:val="0"/>
                <w:sz w:val="24"/>
                <w14:textFill>
                  <w14:solidFill>
                    <w14:schemeClr w14:val="tx1">
                      <w14:lumMod w14:val="95000"/>
                      <w14:lumOff w14:val="5000"/>
                    </w14:schemeClr>
                  </w14:solidFill>
                </w14:textFill>
              </w:rPr>
              <w:t>、与《中华人民共和国长江保护法》相符性分析</w:t>
            </w:r>
          </w:p>
          <w:p>
            <w:pPr>
              <w:keepNext w:val="0"/>
              <w:keepLines w:val="0"/>
              <w:suppressLineNumbers w:val="0"/>
              <w:spacing w:before="0" w:beforeAutospacing="0" w:after="0" w:afterAutospacing="0"/>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表</w:t>
            </w: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lang w:val="en-US" w:eastAsia="zh-CN"/>
                <w14:textFill>
                  <w14:solidFill>
                    <w14:schemeClr w14:val="tx1">
                      <w14:lumMod w14:val="95000"/>
                      <w14:lumOff w14:val="5000"/>
                    </w14:schemeClr>
                  </w14:solidFill>
                </w14:textFill>
              </w:rPr>
              <w:t>7</w:t>
            </w:r>
            <w:r>
              <w:rPr>
                <w:rFonts w:hint="default"/>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项目与《中华人民共和国长江保护法》要求相符性分析一览表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826"/>
              <w:gridCol w:w="1596"/>
              <w:gridCol w:w="10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244" w:type="pct"/>
                  <w:shd w:val="clear" w:color="auto" w:fill="auto"/>
                  <w:vAlign w:val="center"/>
                </w:tcPr>
                <w:p>
                  <w:pPr>
                    <w:pStyle w:val="123"/>
                    <w:keepNext w:val="0"/>
                    <w:keepLines w:val="0"/>
                    <w:suppressLineNumbers w:val="0"/>
                    <w:spacing w:before="0" w:beforeAutospacing="0" w:after="0" w:afterAutospacing="0"/>
                    <w:ind w:left="0" w:right="0"/>
                    <w:textAlignment w:val="cente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t>文件要求</w:t>
                  </w:r>
                </w:p>
              </w:tc>
              <w:tc>
                <w:tcPr>
                  <w:tcW w:w="1073" w:type="pct"/>
                  <w:shd w:val="clear" w:color="auto" w:fill="auto"/>
                  <w:vAlign w:val="center"/>
                </w:tcPr>
                <w:p>
                  <w:pPr>
                    <w:pStyle w:val="123"/>
                    <w:keepNext w:val="0"/>
                    <w:keepLines w:val="0"/>
                    <w:suppressLineNumbers w:val="0"/>
                    <w:spacing w:before="0" w:beforeAutospacing="0" w:after="0" w:afterAutospacing="0"/>
                    <w:ind w:left="0" w:right="0"/>
                    <w:textAlignment w:val="cente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t>本项目相符性分析</w:t>
                  </w:r>
                </w:p>
              </w:tc>
              <w:tc>
                <w:tcPr>
                  <w:tcW w:w="683" w:type="pct"/>
                  <w:vAlign w:val="center"/>
                </w:tcPr>
                <w:p>
                  <w:pPr>
                    <w:pStyle w:val="123"/>
                    <w:keepNext w:val="0"/>
                    <w:keepLines w:val="0"/>
                    <w:suppressLineNumbers w:val="0"/>
                    <w:spacing w:before="0" w:beforeAutospacing="0" w:after="0" w:afterAutospacing="0"/>
                    <w:ind w:left="0" w:right="0"/>
                    <w:textAlignment w:val="cente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b/>
                      <w:color w:val="0D0D0D" w:themeColor="text1" w:themeTint="F2"/>
                      <w:sz w:val="21"/>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244" w:type="pct"/>
                  <w:shd w:val="clear" w:color="auto" w:fill="auto"/>
                  <w:vAlign w:val="center"/>
                </w:tcPr>
                <w:p>
                  <w:pPr>
                    <w:pStyle w:val="123"/>
                    <w:keepNext w:val="0"/>
                    <w:keepLines w:val="0"/>
                    <w:suppressLineNumbers w:val="0"/>
                    <w:spacing w:before="0" w:beforeAutospacing="0" w:after="0" w:afterAutospacing="0" w:line="320" w:lineRule="atLeast"/>
                    <w:ind w:left="0" w:right="0"/>
                    <w:textAlignment w:val="cente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禁止在长江干支流岸线一公里范围内新建、扩建化工园区和化工项目。禁止在长江干流岸线三公里范围内和重要支流岸线一公里范围内新建、改建、扩建尾矿库；但是以提升安全、生态环境保护水平为目的的改建除外</w:t>
                  </w:r>
                </w:p>
              </w:tc>
              <w:tc>
                <w:tcPr>
                  <w:tcW w:w="1073" w:type="pct"/>
                  <w:shd w:val="clear" w:color="auto" w:fill="auto"/>
                  <w:vAlign w:val="center"/>
                </w:tcPr>
                <w:p>
                  <w:pPr>
                    <w:pStyle w:val="123"/>
                    <w:keepNext w:val="0"/>
                    <w:keepLines w:val="0"/>
                    <w:suppressLineNumbers w:val="0"/>
                    <w:spacing w:before="0" w:beforeAutospacing="0" w:after="0" w:afterAutospacing="0" w:line="320" w:lineRule="atLeast"/>
                    <w:ind w:left="0" w:right="0"/>
                    <w:textAlignment w:val="cente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t>本项目位于</w:t>
                  </w:r>
                </w:p>
                <w:p>
                  <w:pPr>
                    <w:pStyle w:val="123"/>
                    <w:keepNext w:val="0"/>
                    <w:keepLines w:val="0"/>
                    <w:suppressLineNumbers w:val="0"/>
                    <w:spacing w:before="0" w:beforeAutospacing="0" w:after="0" w:afterAutospacing="0" w:line="320" w:lineRule="atLeast"/>
                    <w:ind w:left="0" w:right="0"/>
                    <w:textAlignment w:val="cente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pPr>
                  <w:r>
                    <w:rPr>
                      <w:rFonts w:hint="eastAsia" w:ascii="Times New Roman" w:hAnsi="Times New Roman" w:eastAsia="宋体"/>
                      <w:iCs/>
                      <w:color w:val="0D0D0D" w:themeColor="text1" w:themeTint="F2"/>
                      <w:sz w:val="21"/>
                      <w:szCs w:val="21"/>
                      <w14:textFill>
                        <w14:solidFill>
                          <w14:schemeClr w14:val="tx1">
                            <w14:lumMod w14:val="95000"/>
                            <w14:lumOff w14:val="5000"/>
                          </w14:schemeClr>
                        </w14:solidFill>
                      </w14:textFill>
                    </w:rPr>
                    <w:t>安徽省</w:t>
                  </w:r>
                  <w:r>
                    <w:rPr>
                      <w:rFonts w:hint="eastAsia" w:ascii="Times New Roman" w:hAnsi="Times New Roman" w:eastAsia="宋体"/>
                      <w:iCs/>
                      <w:color w:val="0D0D0D" w:themeColor="text1" w:themeTint="F2"/>
                      <w:sz w:val="21"/>
                      <w:szCs w:val="21"/>
                      <w:lang w:val="en-US" w:eastAsia="zh-CN"/>
                      <w14:textFill>
                        <w14:solidFill>
                          <w14:schemeClr w14:val="tx1">
                            <w14:lumMod w14:val="95000"/>
                            <w14:lumOff w14:val="5000"/>
                          </w14:schemeClr>
                        </w14:solidFill>
                      </w14:textFill>
                    </w:rPr>
                    <w:t>三山经济开发区创业路8号</w:t>
                  </w:r>
                  <w: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t>，距离长江干流岸线三公里</w:t>
                  </w:r>
                  <w:r>
                    <w:rPr>
                      <w:rFonts w:hint="eastAsia" w:ascii="Times New Roman" w:hAnsi="Times New Roman" w:eastAsia="宋体"/>
                      <w:iCs/>
                      <w:color w:val="0D0D0D" w:themeColor="text1" w:themeTint="F2"/>
                      <w:sz w:val="21"/>
                      <w:szCs w:val="21"/>
                      <w14:textFill>
                        <w14:solidFill>
                          <w14:schemeClr w14:val="tx1">
                            <w14:lumMod w14:val="95000"/>
                            <w14:lumOff w14:val="5000"/>
                          </w14:schemeClr>
                        </w14:solidFill>
                      </w14:textFill>
                    </w:rPr>
                    <w:t>外，且本项目不属于</w:t>
                  </w:r>
                  <w: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t>尾矿库</w:t>
                  </w:r>
                  <w:r>
                    <w:rPr>
                      <w:rFonts w:hint="eastAsia" w:ascii="Times New Roman" w:hAnsi="Times New Roman" w:eastAsia="宋体"/>
                      <w:iCs/>
                      <w:color w:val="0D0D0D" w:themeColor="text1" w:themeTint="F2"/>
                      <w:sz w:val="21"/>
                      <w:szCs w:val="21"/>
                      <w14:textFill>
                        <w14:solidFill>
                          <w14:schemeClr w14:val="tx1">
                            <w14:lumMod w14:val="95000"/>
                            <w14:lumOff w14:val="5000"/>
                          </w14:schemeClr>
                        </w14:solidFill>
                      </w14:textFill>
                    </w:rPr>
                    <w:t>项目</w:t>
                  </w:r>
                </w:p>
              </w:tc>
              <w:tc>
                <w:tcPr>
                  <w:tcW w:w="683" w:type="pct"/>
                  <w:vAlign w:val="center"/>
                </w:tcPr>
                <w:p>
                  <w:pPr>
                    <w:pStyle w:val="123"/>
                    <w:keepNext w:val="0"/>
                    <w:keepLines w:val="0"/>
                    <w:suppressLineNumbers w:val="0"/>
                    <w:spacing w:before="0" w:beforeAutospacing="0" w:after="0" w:afterAutospacing="0"/>
                    <w:ind w:left="0" w:right="0"/>
                    <w:textAlignment w:val="cente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pPr>
                  <w:r>
                    <w:rPr>
                      <w:rFonts w:hint="default" w:ascii="Times New Roman" w:hAnsi="Times New Roman" w:eastAsia="宋体"/>
                      <w:iCs/>
                      <w:color w:val="0D0D0D" w:themeColor="text1" w:themeTint="F2"/>
                      <w:sz w:val="21"/>
                      <w:szCs w:val="21"/>
                      <w14:textFill>
                        <w14:solidFill>
                          <w14:schemeClr w14:val="tx1">
                            <w14:lumMod w14:val="95000"/>
                            <w14:lumOff w14:val="5000"/>
                          </w14:schemeClr>
                        </w14:solidFill>
                      </w14:textFill>
                    </w:rPr>
                    <w:t>相符</w:t>
                  </w:r>
                </w:p>
              </w:tc>
            </w:tr>
          </w:tbl>
          <w:p>
            <w:pPr>
              <w:pStyle w:val="76"/>
              <w:keepNext w:val="0"/>
              <w:keepLines w:val="0"/>
              <w:suppressLineNumbers w:val="0"/>
              <w:spacing w:before="0" w:beforeAutospacing="0" w:after="0" w:afterAutospacing="0" w:line="360" w:lineRule="auto"/>
              <w:ind w:left="0" w:right="0" w:firstLine="480" w:firstLineChars="200"/>
              <w:jc w:val="both"/>
              <w:rPr>
                <w:rFonts w:hint="default" w:ascii="Times New Roman" w:hAnsi="宋体"/>
                <w:color w:val="0D0D0D" w:themeColor="text1" w:themeTint="F2"/>
                <w:kern w:val="2"/>
                <w14:textFill>
                  <w14:solidFill>
                    <w14:schemeClr w14:val="tx1">
                      <w14:lumMod w14:val="95000"/>
                      <w14:lumOff w14:val="5000"/>
                    </w14:schemeClr>
                  </w14:solidFill>
                </w14:textFill>
              </w:rPr>
            </w:pPr>
            <w:r>
              <w:rPr>
                <w:rFonts w:hint="eastAsia" w:ascii="Times New Roman" w:hAnsi="宋体"/>
                <w:color w:val="0D0D0D" w:themeColor="text1" w:themeTint="F2"/>
                <w:kern w:val="2"/>
                <w14:textFill>
                  <w14:solidFill>
                    <w14:schemeClr w14:val="tx1">
                      <w14:lumMod w14:val="95000"/>
                      <w14:lumOff w14:val="5000"/>
                    </w14:schemeClr>
                  </w14:solidFill>
                </w14:textFill>
              </w:rPr>
              <w:t>由上表可知，本项目的建设与《中华人民共和国长江保护法》中要求相符。</w:t>
            </w:r>
          </w:p>
          <w:p>
            <w:pPr>
              <w:keepNext w:val="0"/>
              <w:keepLines w:val="0"/>
              <w:suppressLineNumbers w:val="0"/>
              <w:autoSpaceDE w:val="0"/>
              <w:autoSpaceDN w:val="0"/>
              <w:adjustRightInd w:val="0"/>
              <w:spacing w:before="0" w:beforeAutospacing="0" w:after="0" w:afterAutospacing="0" w:line="360" w:lineRule="auto"/>
              <w:ind w:left="0" w:right="0" w:firstLine="482" w:firstLineChars="200"/>
              <w:rPr>
                <w:rFonts w:hint="default" w:hAnsi="宋体"/>
                <w:b/>
                <w:color w:val="0D0D0D" w:themeColor="text1" w:themeTint="F2"/>
                <w:kern w:val="0"/>
                <w:sz w:val="24"/>
                <w14:textFill>
                  <w14:solidFill>
                    <w14:schemeClr w14:val="tx1">
                      <w14:lumMod w14:val="95000"/>
                      <w14:lumOff w14:val="5000"/>
                    </w14:schemeClr>
                  </w14:solidFill>
                </w14:textFill>
              </w:rPr>
            </w:pPr>
            <w:r>
              <w:rPr>
                <w:rFonts w:hint="default" w:hAnsi="宋体"/>
                <w:b/>
                <w:color w:val="0D0D0D" w:themeColor="text1" w:themeTint="F2"/>
                <w:kern w:val="0"/>
                <w:sz w:val="24"/>
                <w14:textFill>
                  <w14:solidFill>
                    <w14:schemeClr w14:val="tx1">
                      <w14:lumMod w14:val="95000"/>
                      <w14:lumOff w14:val="5000"/>
                    </w14:schemeClr>
                  </w14:solidFill>
                </w14:textFill>
              </w:rPr>
              <w:t>6</w:t>
            </w:r>
            <w:r>
              <w:rPr>
                <w:rFonts w:hint="eastAsia" w:hAnsi="宋体"/>
                <w:b/>
                <w:color w:val="0D0D0D" w:themeColor="text1" w:themeTint="F2"/>
                <w:kern w:val="0"/>
                <w:sz w:val="24"/>
                <w14:textFill>
                  <w14:solidFill>
                    <w14:schemeClr w14:val="tx1">
                      <w14:lumMod w14:val="95000"/>
                      <w14:lumOff w14:val="5000"/>
                    </w14:schemeClr>
                  </w14:solidFill>
                </w14:textFill>
              </w:rPr>
              <w:t>、与《长江经济带发展负面清单指南（试行</w:t>
            </w:r>
            <w:r>
              <w:rPr>
                <w:rFonts w:hint="default" w:hAnsi="宋体"/>
                <w:b/>
                <w:color w:val="0D0D0D" w:themeColor="text1" w:themeTint="F2"/>
                <w:kern w:val="0"/>
                <w:sz w:val="24"/>
                <w14:textFill>
                  <w14:solidFill>
                    <w14:schemeClr w14:val="tx1">
                      <w14:lumMod w14:val="95000"/>
                      <w14:lumOff w14:val="5000"/>
                    </w14:schemeClr>
                  </w14:solidFill>
                </w14:textFill>
              </w:rPr>
              <w:t>，2022版</w:t>
            </w:r>
            <w:r>
              <w:rPr>
                <w:rFonts w:hint="eastAsia" w:hAnsi="宋体"/>
                <w:b/>
                <w:color w:val="0D0D0D" w:themeColor="text1" w:themeTint="F2"/>
                <w:kern w:val="0"/>
                <w:sz w:val="24"/>
                <w14:textFill>
                  <w14:solidFill>
                    <w14:schemeClr w14:val="tx1">
                      <w14:lumMod w14:val="95000"/>
                      <w14:lumOff w14:val="5000"/>
                    </w14:schemeClr>
                  </w14:solidFill>
                </w14:textFill>
              </w:rPr>
              <w:t>）》相符性分析</w:t>
            </w:r>
          </w:p>
          <w:p>
            <w:pPr>
              <w:keepNext w:val="0"/>
              <w:keepLines w:val="0"/>
              <w:suppressLineNumbers w:val="0"/>
              <w:spacing w:before="0" w:beforeAutospacing="0" w:after="0" w:afterAutospacing="0"/>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表</w:t>
            </w: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lang w:val="en-US" w:eastAsia="zh-CN"/>
                <w14:textFill>
                  <w14:solidFill>
                    <w14:schemeClr w14:val="tx1">
                      <w14:lumMod w14:val="95000"/>
                      <w14:lumOff w14:val="5000"/>
                    </w14:schemeClr>
                  </w14:solidFill>
                </w14:textFill>
              </w:rPr>
              <w:t>8</w:t>
            </w:r>
            <w:r>
              <w:rPr>
                <w:rFonts w:hint="default"/>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项目与“长江经济带发展负面清单指南（试行，</w:t>
            </w:r>
            <w:r>
              <w:rPr>
                <w:rFonts w:hint="default" w:hAnsi="宋体"/>
                <w:b/>
                <w:color w:val="0D0D0D" w:themeColor="text1" w:themeTint="F2"/>
                <w:kern w:val="0"/>
                <w:sz w:val="24"/>
                <w14:textFill>
                  <w14:solidFill>
                    <w14:schemeClr w14:val="tx1">
                      <w14:lumMod w14:val="95000"/>
                      <w14:lumOff w14:val="5000"/>
                    </w14:schemeClr>
                  </w14:solidFill>
                </w14:textFill>
              </w:rPr>
              <w:t>2022版</w:t>
            </w:r>
            <w:r>
              <w:rPr>
                <w:rFonts w:hint="eastAsia"/>
                <w:b/>
                <w:color w:val="0D0D0D" w:themeColor="text1" w:themeTint="F2"/>
                <w:sz w:val="24"/>
                <w14:textFill>
                  <w14:solidFill>
                    <w14:schemeClr w14:val="tx1">
                      <w14:lumMod w14:val="95000"/>
                      <w14:lumOff w14:val="5000"/>
                    </w14:schemeClr>
                  </w14:solidFill>
                </w14:textFill>
              </w:rPr>
              <w:t>）”符合性分析一览表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552"/>
              <w:gridCol w:w="3838"/>
              <w:gridCol w:w="2294"/>
              <w:gridCol w:w="7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序号</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文件要求</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本项目相符性分析</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1</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禁止建设不符合全国和省级港口布局规划以及港口总体现划的码头项目，禁止建设不符合《长江干线过江通道布局规划》的过长江通道项目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本项目不属于码头项目和过长江通道项目</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2</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禁止在自然保护区核心区、缓冲区的岸线和河段范围内投资建设旅游和生产经营项目。禁止在风景名胜区核心景区的岸线和河段范围内投资建设与风景名胜资源保护无关的项目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本项目不在自然保护区核心区、缓冲区的岸线和河段范围内和风景名胜区核心景区的岸线和河段范围内</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3</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禁止在饮用水水源一级保护区的岸线和河段范围内新建、改建、扩建与供水设施和保护水源无关的项目，以及网箱养殖、</w:t>
                  </w:r>
                  <w:r>
                    <w:rPr>
                      <w:rFonts w:hint="eastAsia"/>
                      <w:color w:val="0D0D0D" w:themeColor="text1" w:themeTint="F2"/>
                      <w:kern w:val="24"/>
                      <w:szCs w:val="21"/>
                      <w14:textFill>
                        <w14:solidFill>
                          <w14:schemeClr w14:val="tx1">
                            <w14:lumMod w14:val="95000"/>
                            <w14:lumOff w14:val="5000"/>
                          </w14:schemeClr>
                        </w14:solidFill>
                      </w14:textFill>
                    </w:rPr>
                    <w:t>畜禽养殖、</w:t>
                  </w:r>
                  <w:r>
                    <w:rPr>
                      <w:rFonts w:hint="default"/>
                      <w:color w:val="0D0D0D" w:themeColor="text1" w:themeTint="F2"/>
                      <w:kern w:val="24"/>
                      <w:szCs w:val="21"/>
                      <w14:textFill>
                        <w14:solidFill>
                          <w14:schemeClr w14:val="tx1">
                            <w14:lumMod w14:val="95000"/>
                            <w14:lumOff w14:val="5000"/>
                          </w14:schemeClr>
                        </w14:solidFill>
                      </w14:textFill>
                    </w:rPr>
                    <w:t>旅游等可能污染饮用水水体的投资建设项目。禁止在饮用水水源二级保护区的岸线和河段范围内新建、改建、扩建排放污染物的投资建设项目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本项目不在饮用水水源一级保护区的岸线和河段范围内和饮用水水源二级保护区的岸线和河段范围内</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4</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本项目不在水产种质资源保护区的岸线和河段范围内和国家湿地公园的岸线和河段范围内</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90"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5</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禁止违法占用、利用长江流域河湖岸线。</w:t>
                  </w:r>
                  <w:r>
                    <w:rPr>
                      <w:rFonts w:hint="default"/>
                      <w:color w:val="0D0D0D" w:themeColor="text1" w:themeTint="F2"/>
                      <w:kern w:val="24"/>
                      <w:szCs w:val="21"/>
                      <w14:textFill>
                        <w14:solidFill>
                          <w14:schemeClr w14:val="tx1">
                            <w14:lumMod w14:val="95000"/>
                            <w14:lumOff w14:val="5000"/>
                          </w14:schemeClr>
                        </w14:solidFill>
                      </w14:textFill>
                    </w:rPr>
                    <w:t>禁止在《长江岸线保护和开发利用总体规划》划定的岸线保护区</w:t>
                  </w:r>
                  <w:r>
                    <w:rPr>
                      <w:rFonts w:hint="eastAsia"/>
                      <w:color w:val="0D0D0D" w:themeColor="text1" w:themeTint="F2"/>
                      <w:kern w:val="24"/>
                      <w:szCs w:val="21"/>
                      <w14:textFill>
                        <w14:solidFill>
                          <w14:schemeClr w14:val="tx1">
                            <w14:lumMod w14:val="95000"/>
                            <w14:lumOff w14:val="5000"/>
                          </w14:schemeClr>
                        </w14:solidFill>
                      </w14:textFill>
                    </w:rPr>
                    <w:t>和保留区</w:t>
                  </w:r>
                  <w:r>
                    <w:rPr>
                      <w:rFonts w:hint="default"/>
                      <w:color w:val="0D0D0D" w:themeColor="text1" w:themeTint="F2"/>
                      <w:kern w:val="24"/>
                      <w:szCs w:val="21"/>
                      <w14:textFill>
                        <w14:solidFill>
                          <w14:schemeClr w14:val="tx1">
                            <w14:lumMod w14:val="95000"/>
                            <w14:lumOff w14:val="5000"/>
                          </w14:schemeClr>
                        </w14:solidFill>
                      </w14:textFill>
                    </w:rPr>
                    <w:t>内投资建设除</w:t>
                  </w:r>
                  <w:r>
                    <w:rPr>
                      <w:rFonts w:hint="eastAsia"/>
                      <w:color w:val="0D0D0D" w:themeColor="text1" w:themeTint="F2"/>
                      <w:kern w:val="24"/>
                      <w:szCs w:val="21"/>
                      <w14:textFill>
                        <w14:solidFill>
                          <w14:schemeClr w14:val="tx1">
                            <w14:lumMod w14:val="95000"/>
                            <w14:lumOff w14:val="5000"/>
                          </w14:schemeClr>
                        </w14:solidFill>
                      </w14:textFill>
                    </w:rPr>
                    <w:t>事关公共安全及公众利益的防洪护岸、河道治理供水、生态环保航道整治、国家重要基础设施以外的项目</w:t>
                  </w:r>
                  <w:r>
                    <w:rPr>
                      <w:rFonts w:hint="default"/>
                      <w:color w:val="0D0D0D" w:themeColor="text1" w:themeTint="F2"/>
                      <w:kern w:val="24"/>
                      <w:szCs w:val="21"/>
                      <w14:textFill>
                        <w14:solidFill>
                          <w14:schemeClr w14:val="tx1">
                            <w14:lumMod w14:val="95000"/>
                            <w14:lumOff w14:val="5000"/>
                          </w14:schemeClr>
                        </w14:solidFill>
                      </w14:textFill>
                    </w:rPr>
                    <w:t>。禁止在《全国重要江河湖泊水功能区划》划定的河段保护区、保留区内投资建设不利于水资源及自然生态保护的项目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本项目不在《长江岸线保护和开发利用总体规划》划定的岸线保护区内和《全国重要江河湖泊水功能区划》划定的河段保护区、保留区内</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6</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禁止未经许可在长江干支流及湖泊新设、改设或扩大排污口</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本项目不涉及新设、改设或扩大排污口</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7</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禁止在“一江一口两湖七河”和3</w:t>
                  </w:r>
                  <w:r>
                    <w:rPr>
                      <w:rFonts w:hint="default"/>
                      <w:color w:val="0D0D0D" w:themeColor="text1" w:themeTint="F2"/>
                      <w:kern w:val="24"/>
                      <w:szCs w:val="21"/>
                      <w14:textFill>
                        <w14:solidFill>
                          <w14:schemeClr w14:val="tx1">
                            <w14:lumMod w14:val="95000"/>
                            <w14:lumOff w14:val="5000"/>
                          </w14:schemeClr>
                        </w14:solidFill>
                      </w14:textFill>
                    </w:rPr>
                    <w:t>32</w:t>
                  </w:r>
                  <w:r>
                    <w:rPr>
                      <w:rFonts w:hint="eastAsia"/>
                      <w:color w:val="0D0D0D" w:themeColor="text1" w:themeTint="F2"/>
                      <w:kern w:val="24"/>
                      <w:szCs w:val="21"/>
                      <w14:textFill>
                        <w14:solidFill>
                          <w14:schemeClr w14:val="tx1">
                            <w14:lumMod w14:val="95000"/>
                            <w14:lumOff w14:val="5000"/>
                          </w14:schemeClr>
                        </w14:solidFill>
                      </w14:textFill>
                    </w:rPr>
                    <w:t>个水生生物保护区开展生产线捕捞</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本项目不属于生产线捕捞</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8</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本项目不属于化工项目，不属于涉及尾矿库、冶炼渣库和磷石膏库的建设</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9</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禁止在合规园区外新建、扩建钢铁、石化、化工、焦化、建材、有色、制浆造纸等高污染项目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本项目不属于钢铁、石化、化工、焦化、建材、有色、制浆造纸等高污染项目</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1</w:t>
                  </w:r>
                  <w:r>
                    <w:rPr>
                      <w:rFonts w:hint="default"/>
                      <w:color w:val="0D0D0D" w:themeColor="text1" w:themeTint="F2"/>
                      <w:kern w:val="24"/>
                      <w:szCs w:val="21"/>
                      <w14:textFill>
                        <w14:solidFill>
                          <w14:schemeClr w14:val="tx1">
                            <w14:lumMod w14:val="95000"/>
                            <w14:lumOff w14:val="5000"/>
                          </w14:schemeClr>
                        </w14:solidFill>
                      </w14:textFill>
                    </w:rPr>
                    <w:t>0</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禁止新建、扩建不符合国家石化、现代煤化工等产业布局规划的项目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本项目不属于石化、现代煤化工等项目</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371"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1</w:t>
                  </w:r>
                  <w:r>
                    <w:rPr>
                      <w:rFonts w:hint="default"/>
                      <w:color w:val="0D0D0D" w:themeColor="text1" w:themeTint="F2"/>
                      <w:kern w:val="24"/>
                      <w:szCs w:val="21"/>
                      <w14:textFill>
                        <w14:solidFill>
                          <w14:schemeClr w14:val="tx1">
                            <w14:lumMod w14:val="95000"/>
                            <w14:lumOff w14:val="5000"/>
                          </w14:schemeClr>
                        </w14:solidFill>
                      </w14:textFill>
                    </w:rPr>
                    <w:t>1</w:t>
                  </w:r>
                </w:p>
              </w:tc>
              <w:tc>
                <w:tcPr>
                  <w:tcW w:w="2580" w:type="pct"/>
                  <w:shd w:val="clear" w:color="auto" w:fill="auto"/>
                  <w:vAlign w:val="center"/>
                </w:tcPr>
                <w:p>
                  <w:pPr>
                    <w:keepNext w:val="0"/>
                    <w:keepLines w:val="0"/>
                    <w:suppressLineNumbers w:val="0"/>
                    <w:spacing w:before="0" w:beforeAutospacing="0" w:after="0" w:afterAutospacing="0" w:line="280" w:lineRule="exact"/>
                    <w:ind w:left="0" w:right="0"/>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禁止新建、扩建法律法规和相关政策明令禁止的落后产能项目。禁止新建、扩建不符合国家产能置换要求的严重过剩产能行业的项目。禁止新建、扩建不符合要求的高耗能高排放项目</w:t>
                  </w:r>
                </w:p>
              </w:tc>
              <w:tc>
                <w:tcPr>
                  <w:tcW w:w="1542" w:type="pct"/>
                  <w:shd w:val="clear" w:color="auto" w:fill="auto"/>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spacing w:val="-2"/>
                      <w:kern w:val="24"/>
                      <w:szCs w:val="21"/>
                      <w14:textFill>
                        <w14:solidFill>
                          <w14:schemeClr w14:val="tx1">
                            <w14:lumMod w14:val="95000"/>
                            <w14:lumOff w14:val="5000"/>
                          </w14:schemeClr>
                        </w14:solidFill>
                      </w14:textFill>
                    </w:rPr>
                  </w:pPr>
                  <w:r>
                    <w:rPr>
                      <w:rFonts w:hint="default"/>
                      <w:color w:val="0D0D0D" w:themeColor="text1" w:themeTint="F2"/>
                      <w:spacing w:val="-2"/>
                      <w:kern w:val="24"/>
                      <w:szCs w:val="21"/>
                      <w14:textFill>
                        <w14:solidFill>
                          <w14:schemeClr w14:val="tx1">
                            <w14:lumMod w14:val="95000"/>
                            <w14:lumOff w14:val="5000"/>
                          </w14:schemeClr>
                        </w14:solidFill>
                      </w14:textFill>
                    </w:rPr>
                    <w:t>对照</w:t>
                  </w:r>
                  <w:r>
                    <w:rPr>
                      <w:rFonts w:hint="default" w:hAnsi="宋体"/>
                      <w:color w:val="0D0D0D" w:themeColor="text1" w:themeTint="F2"/>
                      <w:kern w:val="24"/>
                      <w:szCs w:val="21"/>
                      <w14:textFill>
                        <w14:solidFill>
                          <w14:schemeClr w14:val="tx1">
                            <w14:lumMod w14:val="95000"/>
                            <w14:lumOff w14:val="5000"/>
                          </w14:schemeClr>
                        </w14:solidFill>
                      </w14:textFill>
                    </w:rPr>
                    <w:t>《产业结构调整指导目录</w:t>
                  </w:r>
                  <w:r>
                    <w:rPr>
                      <w:rFonts w:hint="default"/>
                      <w:color w:val="0D0D0D" w:themeColor="text1" w:themeTint="F2"/>
                      <w:szCs w:val="21"/>
                      <w14:textFill>
                        <w14:solidFill>
                          <w14:schemeClr w14:val="tx1">
                            <w14:lumMod w14:val="95000"/>
                            <w14:lumOff w14:val="5000"/>
                          </w14:schemeClr>
                        </w14:solidFill>
                      </w14:textFill>
                    </w:rPr>
                    <w:t>（20</w:t>
                  </w:r>
                  <w:r>
                    <w:rPr>
                      <w:rFonts w:hint="eastAsia"/>
                      <w:color w:val="0D0D0D" w:themeColor="text1" w:themeTint="F2"/>
                      <w:szCs w:val="21"/>
                      <w:lang w:val="en-US" w:eastAsia="zh-CN"/>
                      <w14:textFill>
                        <w14:solidFill>
                          <w14:schemeClr w14:val="tx1">
                            <w14:lumMod w14:val="95000"/>
                            <w14:lumOff w14:val="5000"/>
                          </w14:schemeClr>
                        </w14:solidFill>
                      </w14:textFill>
                    </w:rPr>
                    <w:t>24</w:t>
                  </w:r>
                  <w:r>
                    <w:rPr>
                      <w:rFonts w:hint="default"/>
                      <w:color w:val="0D0D0D" w:themeColor="text1" w:themeTint="F2"/>
                      <w:szCs w:val="21"/>
                      <w14:textFill>
                        <w14:solidFill>
                          <w14:schemeClr w14:val="tx1">
                            <w14:lumMod w14:val="95000"/>
                            <w14:lumOff w14:val="5000"/>
                          </w14:schemeClr>
                        </w14:solidFill>
                      </w14:textFill>
                    </w:rPr>
                    <w:t>年本）</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default"/>
                      <w:color w:val="0D0D0D" w:themeColor="text1" w:themeTint="F2"/>
                      <w:spacing w:val="-2"/>
                      <w:kern w:val="24"/>
                      <w:szCs w:val="21"/>
                      <w14:textFill>
                        <w14:solidFill>
                          <w14:schemeClr w14:val="tx1">
                            <w14:lumMod w14:val="95000"/>
                            <w14:lumOff w14:val="5000"/>
                          </w14:schemeClr>
                        </w14:solidFill>
                      </w14:textFill>
                    </w:rPr>
                    <w:t>，本项目不属于鼓励类，也非限制类和淘汰类，为允许类，因此，本项目的建设符合国家的产业结构调整指导目录要求</w:t>
                  </w:r>
                </w:p>
              </w:tc>
              <w:tc>
                <w:tcPr>
                  <w:tcW w:w="507" w:type="pct"/>
                  <w:vAlign w:val="center"/>
                </w:tcPr>
                <w:p>
                  <w:pPr>
                    <w:keepNext w:val="0"/>
                    <w:keepLines w:val="0"/>
                    <w:suppressLineNumbers w:val="0"/>
                    <w:spacing w:before="0" w:beforeAutospacing="0" w:after="0" w:afterAutospacing="0" w:line="280" w:lineRule="exact"/>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相符</w:t>
                  </w:r>
                </w:p>
              </w:tc>
            </w:tr>
          </w:tbl>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hAnsi="宋体"/>
                <w:b/>
                <w:color w:val="0D0D0D" w:themeColor="text1" w:themeTint="F2"/>
                <w:kern w:val="0"/>
                <w:sz w:val="24"/>
                <w14:textFill>
                  <w14:solidFill>
                    <w14:schemeClr w14:val="tx1">
                      <w14:lumMod w14:val="95000"/>
                      <w14:lumOff w14:val="5000"/>
                    </w14:schemeClr>
                  </w14:solidFill>
                </w14:textFill>
              </w:rPr>
            </w:pPr>
            <w:r>
              <w:rPr>
                <w:rFonts w:hint="default" w:hAnsi="宋体"/>
                <w:b/>
                <w:color w:val="0D0D0D" w:themeColor="text1" w:themeTint="F2"/>
                <w:kern w:val="0"/>
                <w:sz w:val="24"/>
                <w14:textFill>
                  <w14:solidFill>
                    <w14:schemeClr w14:val="tx1">
                      <w14:lumMod w14:val="95000"/>
                      <w14:lumOff w14:val="5000"/>
                    </w14:schemeClr>
                  </w14:solidFill>
                </w14:textFill>
              </w:rPr>
              <w:t>7</w:t>
            </w:r>
            <w:r>
              <w:rPr>
                <w:rFonts w:hint="eastAsia" w:hAnsi="宋体"/>
                <w:b/>
                <w:color w:val="0D0D0D" w:themeColor="text1" w:themeTint="F2"/>
                <w:kern w:val="0"/>
                <w:sz w:val="24"/>
                <w14:textFill>
                  <w14:solidFill>
                    <w14:schemeClr w14:val="tx1">
                      <w14:lumMod w14:val="95000"/>
                      <w14:lumOff w14:val="5000"/>
                    </w14:schemeClr>
                  </w14:solidFill>
                </w14:textFill>
              </w:rPr>
              <w:t>、与芜湖市生态环境保护委员会办公室关于印发《芜湖市</w:t>
            </w:r>
            <w:r>
              <w:rPr>
                <w:rFonts w:hint="default" w:hAnsi="宋体"/>
                <w:b/>
                <w:color w:val="0D0D0D" w:themeColor="text1" w:themeTint="F2"/>
                <w:kern w:val="0"/>
                <w:sz w:val="24"/>
                <w14:textFill>
                  <w14:solidFill>
                    <w14:schemeClr w14:val="tx1">
                      <w14:lumMod w14:val="95000"/>
                      <w14:lumOff w14:val="5000"/>
                    </w14:schemeClr>
                  </w14:solidFill>
                </w14:textFill>
              </w:rPr>
              <w:t xml:space="preserve">2022 </w:t>
            </w:r>
            <w:r>
              <w:rPr>
                <w:rFonts w:hint="eastAsia" w:hAnsi="宋体"/>
                <w:b/>
                <w:color w:val="0D0D0D" w:themeColor="text1" w:themeTint="F2"/>
                <w:kern w:val="0"/>
                <w:sz w:val="24"/>
                <w14:textFill>
                  <w14:solidFill>
                    <w14:schemeClr w14:val="tx1">
                      <w14:lumMod w14:val="95000"/>
                      <w14:lumOff w14:val="5000"/>
                    </w14:schemeClr>
                  </w14:solidFill>
                </w14:textFill>
              </w:rPr>
              <w:t>年大气污染防治工作要点》的通知（芜环委办〔</w:t>
            </w:r>
            <w:r>
              <w:rPr>
                <w:rFonts w:hint="default" w:hAnsi="宋体"/>
                <w:b/>
                <w:color w:val="0D0D0D" w:themeColor="text1" w:themeTint="F2"/>
                <w:kern w:val="0"/>
                <w:sz w:val="24"/>
                <w14:textFill>
                  <w14:solidFill>
                    <w14:schemeClr w14:val="tx1">
                      <w14:lumMod w14:val="95000"/>
                      <w14:lumOff w14:val="5000"/>
                    </w14:schemeClr>
                  </w14:solidFill>
                </w14:textFill>
              </w:rPr>
              <w:t>2022</w:t>
            </w:r>
            <w:r>
              <w:rPr>
                <w:rFonts w:hint="eastAsia" w:hAnsi="宋体"/>
                <w:b/>
                <w:color w:val="0D0D0D" w:themeColor="text1" w:themeTint="F2"/>
                <w:kern w:val="0"/>
                <w:sz w:val="24"/>
                <w14:textFill>
                  <w14:solidFill>
                    <w14:schemeClr w14:val="tx1">
                      <w14:lumMod w14:val="95000"/>
                      <w14:lumOff w14:val="5000"/>
                    </w14:schemeClr>
                  </w14:solidFill>
                </w14:textFill>
              </w:rPr>
              <w:t>〕</w:t>
            </w:r>
            <w:r>
              <w:rPr>
                <w:rFonts w:hint="default" w:hAnsi="宋体"/>
                <w:b/>
                <w:color w:val="0D0D0D" w:themeColor="text1" w:themeTint="F2"/>
                <w:kern w:val="0"/>
                <w:sz w:val="24"/>
                <w14:textFill>
                  <w14:solidFill>
                    <w14:schemeClr w14:val="tx1">
                      <w14:lumMod w14:val="95000"/>
                      <w14:lumOff w14:val="5000"/>
                    </w14:schemeClr>
                  </w14:solidFill>
                </w14:textFill>
              </w:rPr>
              <w:t xml:space="preserve">4 </w:t>
            </w:r>
            <w:r>
              <w:rPr>
                <w:rFonts w:hint="eastAsia" w:hAnsi="宋体"/>
                <w:b/>
                <w:color w:val="0D0D0D" w:themeColor="text1" w:themeTint="F2"/>
                <w:kern w:val="0"/>
                <w:sz w:val="24"/>
                <w14:textFill>
                  <w14:solidFill>
                    <w14:schemeClr w14:val="tx1">
                      <w14:lumMod w14:val="95000"/>
                      <w14:lumOff w14:val="5000"/>
                    </w14:schemeClr>
                  </w14:solidFill>
                </w14:textFill>
              </w:rPr>
              <w:t>号）相符性分析</w:t>
            </w:r>
          </w:p>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1</w:t>
            </w:r>
            <w:r>
              <w:rPr>
                <w:rFonts w:hint="default"/>
                <w:b/>
                <w:color w:val="0D0D0D" w:themeColor="text1" w:themeTint="F2"/>
                <w:sz w:val="24"/>
                <w14:textFill>
                  <w14:solidFill>
                    <w14:schemeClr w14:val="tx1">
                      <w14:lumMod w14:val="95000"/>
                      <w14:lumOff w14:val="5000"/>
                    </w14:schemeClr>
                  </w14:solidFill>
                </w14:textFill>
              </w:rPr>
              <w:t>-</w:t>
            </w:r>
            <w:r>
              <w:rPr>
                <w:rFonts w:hint="eastAsia"/>
                <w:b/>
                <w:color w:val="0D0D0D" w:themeColor="text1" w:themeTint="F2"/>
                <w:sz w:val="24"/>
                <w:lang w:val="en-US" w:eastAsia="zh-CN"/>
                <w14:textFill>
                  <w14:solidFill>
                    <w14:schemeClr w14:val="tx1">
                      <w14:lumMod w14:val="95000"/>
                      <w14:lumOff w14:val="5000"/>
                    </w14:schemeClr>
                  </w14:solidFill>
                </w14:textFill>
              </w:rPr>
              <w:t>9</w:t>
            </w:r>
            <w:r>
              <w:rPr>
                <w:rFonts w:hint="default"/>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项目与《芜湖市</w:t>
            </w:r>
            <w:r>
              <w:rPr>
                <w:rFonts w:hint="default"/>
                <w:b/>
                <w:color w:val="0D0D0D" w:themeColor="text1" w:themeTint="F2"/>
                <w:sz w:val="24"/>
                <w14:textFill>
                  <w14:solidFill>
                    <w14:schemeClr w14:val="tx1">
                      <w14:lumMod w14:val="95000"/>
                      <w14:lumOff w14:val="5000"/>
                    </w14:schemeClr>
                  </w14:solidFill>
                </w14:textFill>
              </w:rPr>
              <w:t xml:space="preserve">2022 </w:t>
            </w:r>
            <w:r>
              <w:rPr>
                <w:rFonts w:hint="eastAsia"/>
                <w:b/>
                <w:color w:val="0D0D0D" w:themeColor="text1" w:themeTint="F2"/>
                <w:sz w:val="24"/>
                <w14:textFill>
                  <w14:solidFill>
                    <w14:schemeClr w14:val="tx1">
                      <w14:lumMod w14:val="95000"/>
                      <w14:lumOff w14:val="5000"/>
                    </w14:schemeClr>
                  </w14:solidFill>
                </w14:textFill>
              </w:rPr>
              <w:t>年大气污染防治工作要点》</w:t>
            </w:r>
            <w:r>
              <w:rPr>
                <w:rFonts w:hint="default"/>
                <w:b/>
                <w:color w:val="0D0D0D" w:themeColor="text1" w:themeTint="F2"/>
                <w:sz w:val="24"/>
                <w14:textFill>
                  <w14:solidFill>
                    <w14:schemeClr w14:val="tx1">
                      <w14:lumMod w14:val="95000"/>
                      <w14:lumOff w14:val="5000"/>
                    </w14:schemeClr>
                  </w14:solidFill>
                </w14:textFill>
              </w:rPr>
              <w:t>符合性分析</w:t>
            </w:r>
            <w:r>
              <w:rPr>
                <w:rFonts w:hint="eastAsia"/>
                <w:b/>
                <w:color w:val="0D0D0D" w:themeColor="text1" w:themeTint="F2"/>
                <w:sz w:val="24"/>
                <w14:textFill>
                  <w14:solidFill>
                    <w14:schemeClr w14:val="tx1">
                      <w14:lumMod w14:val="95000"/>
                      <w14:lumOff w14:val="5000"/>
                    </w14:schemeClr>
                  </w14:solidFill>
                </w14:textFill>
              </w:rPr>
              <w:t>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21"/>
              <w:gridCol w:w="1924"/>
              <w:gridCol w:w="6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33" w:type="dxa"/>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具体要求</w:t>
                  </w:r>
                </w:p>
              </w:tc>
              <w:tc>
                <w:tcPr>
                  <w:tcW w:w="1928" w:type="dxa"/>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default" w:hAnsi="宋体"/>
                      <w:b/>
                      <w:color w:val="0D0D0D" w:themeColor="text1" w:themeTint="F2"/>
                      <w:kern w:val="0"/>
                      <w:szCs w:val="21"/>
                      <w14:textFill>
                        <w14:solidFill>
                          <w14:schemeClr w14:val="tx1">
                            <w14:lumMod w14:val="95000"/>
                            <w14:lumOff w14:val="5000"/>
                          </w14:schemeClr>
                        </w14:solidFill>
                      </w14:textFill>
                    </w:rPr>
                    <w:t>本项目建设</w:t>
                  </w:r>
                  <w:r>
                    <w:rPr>
                      <w:rFonts w:hint="eastAsia" w:hAnsi="宋体"/>
                      <w:b/>
                      <w:color w:val="0D0D0D" w:themeColor="text1" w:themeTint="F2"/>
                      <w:kern w:val="0"/>
                      <w:szCs w:val="21"/>
                      <w14:textFill>
                        <w14:solidFill>
                          <w14:schemeClr w14:val="tx1">
                            <w14:lumMod w14:val="95000"/>
                            <w14:lumOff w14:val="5000"/>
                          </w14:schemeClr>
                        </w14:solidFill>
                      </w14:textFill>
                    </w:rPr>
                    <w:t>情况</w:t>
                  </w:r>
                </w:p>
              </w:tc>
              <w:tc>
                <w:tcPr>
                  <w:tcW w:w="693" w:type="dxa"/>
                  <w:vAlign w:val="center"/>
                </w:tcPr>
                <w:p>
                  <w:pPr>
                    <w:keepNext w:val="0"/>
                    <w:keepLines w:val="0"/>
                    <w:widowControl/>
                    <w:suppressLineNumbers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33"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积极发展清洁能源。坚持实施</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增气减煤</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，提升供应侧非化石能源比重，提高消费侧电力比重，增加天然气供应量，</w:t>
                  </w:r>
                  <w:r>
                    <w:rPr>
                      <w:rFonts w:hint="default" w:hAnsi="宋体"/>
                      <w:color w:val="0D0D0D" w:themeColor="text1" w:themeTint="F2"/>
                      <w:kern w:val="24"/>
                      <w:szCs w:val="21"/>
                      <w14:textFill>
                        <w14:solidFill>
                          <w14:schemeClr w14:val="tx1">
                            <w14:lumMod w14:val="95000"/>
                            <w14:lumOff w14:val="5000"/>
                          </w14:schemeClr>
                        </w14:solidFill>
                      </w14:textFill>
                    </w:rPr>
                    <w:t xml:space="preserve">2022 </w:t>
                  </w:r>
                  <w:r>
                    <w:rPr>
                      <w:rFonts w:hint="eastAsia" w:hAnsi="宋体"/>
                      <w:color w:val="0D0D0D" w:themeColor="text1" w:themeTint="F2"/>
                      <w:kern w:val="24"/>
                      <w:szCs w:val="21"/>
                      <w14:textFill>
                        <w14:solidFill>
                          <w14:schemeClr w14:val="tx1">
                            <w14:lumMod w14:val="95000"/>
                            <w14:lumOff w14:val="5000"/>
                          </w14:schemeClr>
                        </w14:solidFill>
                      </w14:textFill>
                    </w:rPr>
                    <w:t>年底前，新增电能替代电量</w:t>
                  </w:r>
                  <w:r>
                    <w:rPr>
                      <w:rFonts w:hint="default" w:hAnsi="宋体"/>
                      <w:color w:val="0D0D0D" w:themeColor="text1" w:themeTint="F2"/>
                      <w:kern w:val="24"/>
                      <w:szCs w:val="21"/>
                      <w14:textFill>
                        <w14:solidFill>
                          <w14:schemeClr w14:val="tx1">
                            <w14:lumMod w14:val="95000"/>
                            <w14:lumOff w14:val="5000"/>
                          </w14:schemeClr>
                        </w14:solidFill>
                      </w14:textFill>
                    </w:rPr>
                    <w:t>4.97</w:t>
                  </w:r>
                  <w:r>
                    <w:rPr>
                      <w:rFonts w:hint="eastAsia" w:hAnsi="宋体"/>
                      <w:color w:val="0D0D0D" w:themeColor="text1" w:themeTint="F2"/>
                      <w:kern w:val="24"/>
                      <w:szCs w:val="21"/>
                      <w14:textFill>
                        <w14:solidFill>
                          <w14:schemeClr w14:val="tx1">
                            <w14:lumMod w14:val="95000"/>
                            <w14:lumOff w14:val="5000"/>
                          </w14:schemeClr>
                        </w14:solidFill>
                      </w14:textFill>
                    </w:rPr>
                    <w:t>亿千瓦时，天然气供气规模达</w:t>
                  </w:r>
                  <w:r>
                    <w:rPr>
                      <w:rFonts w:hint="default" w:hAnsi="宋体"/>
                      <w:color w:val="0D0D0D" w:themeColor="text1" w:themeTint="F2"/>
                      <w:kern w:val="24"/>
                      <w:szCs w:val="21"/>
                      <w14:textFill>
                        <w14:solidFill>
                          <w14:schemeClr w14:val="tx1">
                            <w14:lumMod w14:val="95000"/>
                            <w14:lumOff w14:val="5000"/>
                          </w14:schemeClr>
                        </w14:solidFill>
                      </w14:textFill>
                    </w:rPr>
                    <w:t xml:space="preserve">5.8 </w:t>
                  </w:r>
                  <w:r>
                    <w:rPr>
                      <w:rFonts w:hint="eastAsia" w:hAnsi="宋体"/>
                      <w:color w:val="0D0D0D" w:themeColor="text1" w:themeTint="F2"/>
                      <w:kern w:val="24"/>
                      <w:szCs w:val="21"/>
                      <w14:textFill>
                        <w14:solidFill>
                          <w14:schemeClr w14:val="tx1">
                            <w14:lumMod w14:val="95000"/>
                            <w14:lumOff w14:val="5000"/>
                          </w14:schemeClr>
                        </w14:solidFill>
                      </w14:textFill>
                    </w:rPr>
                    <w:t>亿立方米。持续推进以煤为燃料的工业炉窑清洁燃料替代改造，提高以电代煤、以气代煤比例。实施可再生能源替代行动，加快建设新型能源供应系统，因地制宜开发水力、光伏发电，鼓励建设太阳能等新能源项目</w:t>
                  </w:r>
                </w:p>
              </w:tc>
              <w:tc>
                <w:tcPr>
                  <w:tcW w:w="1928" w:type="dxa"/>
                  <w:shd w:val="clear" w:color="auto" w:fill="auto"/>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本项目主要使用电能，由市政供给。不使用燃煤</w:t>
                  </w:r>
                </w:p>
              </w:tc>
              <w:tc>
                <w:tcPr>
                  <w:tcW w:w="693"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33"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加快产业结构转型升级。全面排查</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两高</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项目，实施清单管理、分类处置、动态监控，对不符合规定的坚决停批停建，科学稳妥推进符合要求的拟建项目。依法依规淘汰落后产能和化解过剩产能，严禁新增钢铁、焦化、水泥熟料、平板玻璃、电解铝等产能</w:t>
                  </w:r>
                </w:p>
              </w:tc>
              <w:tc>
                <w:tcPr>
                  <w:tcW w:w="1928"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本项目为</w:t>
                  </w: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有色金属铸造、</w:t>
                  </w:r>
                  <w:r>
                    <w:rPr>
                      <w:rFonts w:hint="eastAsia" w:hAnsi="宋体"/>
                      <w:color w:val="0D0D0D" w:themeColor="text1" w:themeTint="F2"/>
                      <w:kern w:val="24"/>
                      <w:szCs w:val="21"/>
                      <w14:textFill>
                        <w14:solidFill>
                          <w14:schemeClr w14:val="tx1">
                            <w14:lumMod w14:val="95000"/>
                            <w14:lumOff w14:val="5000"/>
                          </w14:schemeClr>
                        </w14:solidFill>
                      </w14:textFill>
                    </w:rPr>
                    <w:t>汽车零部件及配件制造业。不属于钢铁、焦化、水泥熟料、平板玻璃、电解铝等过剩产能行业</w:t>
                  </w:r>
                </w:p>
              </w:tc>
              <w:tc>
                <w:tcPr>
                  <w:tcW w:w="693"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bl>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hAnsi="宋体"/>
                <w:b/>
                <w:color w:val="0D0D0D" w:themeColor="text1" w:themeTint="F2"/>
                <w:kern w:val="0"/>
                <w:sz w:val="24"/>
                <w14:textFill>
                  <w14:solidFill>
                    <w14:schemeClr w14:val="tx1">
                      <w14:lumMod w14:val="95000"/>
                      <w14:lumOff w14:val="5000"/>
                    </w14:schemeClr>
                  </w14:solidFill>
                </w14:textFill>
              </w:rPr>
            </w:pPr>
            <w:r>
              <w:rPr>
                <w:rFonts w:hint="default" w:hAnsi="宋体"/>
                <w:b/>
                <w:color w:val="0D0D0D" w:themeColor="text1" w:themeTint="F2"/>
                <w:kern w:val="0"/>
                <w:sz w:val="24"/>
                <w14:textFill>
                  <w14:solidFill>
                    <w14:schemeClr w14:val="tx1">
                      <w14:lumMod w14:val="95000"/>
                      <w14:lumOff w14:val="5000"/>
                    </w14:schemeClr>
                  </w14:solidFill>
                </w14:textFill>
              </w:rPr>
              <w:t>8</w:t>
            </w:r>
            <w:r>
              <w:rPr>
                <w:rFonts w:hint="eastAsia" w:hAnsi="宋体"/>
                <w:b/>
                <w:color w:val="0D0D0D" w:themeColor="text1" w:themeTint="F2"/>
                <w:kern w:val="0"/>
                <w:sz w:val="24"/>
                <w14:textFill>
                  <w14:solidFill>
                    <w14:schemeClr w14:val="tx1">
                      <w14:lumMod w14:val="95000"/>
                      <w14:lumOff w14:val="5000"/>
                    </w14:schemeClr>
                  </w14:solidFill>
                </w14:textFill>
              </w:rPr>
              <w:t>、与“深入打好污染防治攻坚战”、“安徽省</w:t>
            </w:r>
            <w:r>
              <w:rPr>
                <w:rFonts w:hint="default" w:hAnsi="宋体"/>
                <w:b/>
                <w:color w:val="0D0D0D" w:themeColor="text1" w:themeTint="F2"/>
                <w:kern w:val="0"/>
                <w:sz w:val="24"/>
                <w14:textFill>
                  <w14:solidFill>
                    <w14:schemeClr w14:val="tx1">
                      <w14:lumMod w14:val="95000"/>
                      <w14:lumOff w14:val="5000"/>
                    </w14:schemeClr>
                  </w14:solidFill>
                </w14:textFill>
              </w:rPr>
              <w:t>2021</w:t>
            </w:r>
            <w:r>
              <w:rPr>
                <w:rFonts w:hint="eastAsia" w:hAnsi="宋体"/>
                <w:b/>
                <w:color w:val="0D0D0D" w:themeColor="text1" w:themeTint="F2"/>
                <w:kern w:val="0"/>
                <w:sz w:val="24"/>
                <w14:textFill>
                  <w14:solidFill>
                    <w14:schemeClr w14:val="tx1">
                      <w14:lumMod w14:val="95000"/>
                      <w14:lumOff w14:val="5000"/>
                    </w14:schemeClr>
                  </w14:solidFill>
                </w14:textFill>
              </w:rPr>
              <w:t>年应对气候变化和大气污染防治重点工作任务”、“秋冬季大气污染综合治理攻坚行动方案”、“重点行业挥发性有机物综合治理方案”等文件相符性分析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根据国务院</w:t>
            </w:r>
            <w:r>
              <w:rPr>
                <w:rFonts w:hint="default"/>
                <w:color w:val="0D0D0D" w:themeColor="text1" w:themeTint="F2"/>
                <w:sz w:val="24"/>
                <w14:textFill>
                  <w14:solidFill>
                    <w14:schemeClr w14:val="tx1">
                      <w14:lumMod w14:val="95000"/>
                      <w14:lumOff w14:val="5000"/>
                    </w14:schemeClr>
                  </w14:solidFill>
                </w14:textFill>
              </w:rPr>
              <w:t>2021</w:t>
            </w:r>
            <w:r>
              <w:rPr>
                <w:rFonts w:hint="eastAsia"/>
                <w:color w:val="0D0D0D" w:themeColor="text1" w:themeTint="F2"/>
                <w:sz w:val="24"/>
                <w14:textFill>
                  <w14:solidFill>
                    <w14:schemeClr w14:val="tx1">
                      <w14:lumMod w14:val="95000"/>
                      <w14:lumOff w14:val="5000"/>
                    </w14:schemeClr>
                  </w14:solidFill>
                </w14:textFill>
              </w:rPr>
              <w:t>年</w:t>
            </w:r>
            <w:r>
              <w:rPr>
                <w:rFonts w:hint="default"/>
                <w:color w:val="0D0D0D" w:themeColor="text1" w:themeTint="F2"/>
                <w:sz w:val="24"/>
                <w14:textFill>
                  <w14:solidFill>
                    <w14:schemeClr w14:val="tx1">
                      <w14:lumMod w14:val="95000"/>
                      <w14:lumOff w14:val="5000"/>
                    </w14:schemeClr>
                  </w14:solidFill>
                </w14:textFill>
              </w:rPr>
              <w:t>11</w:t>
            </w:r>
            <w:r>
              <w:rPr>
                <w:rFonts w:hint="eastAsia"/>
                <w:color w:val="0D0D0D" w:themeColor="text1" w:themeTint="F2"/>
                <w:sz w:val="24"/>
                <w14:textFill>
                  <w14:solidFill>
                    <w14:schemeClr w14:val="tx1">
                      <w14:lumMod w14:val="95000"/>
                      <w14:lumOff w14:val="5000"/>
                    </w14:schemeClr>
                  </w14:solidFill>
                </w14:textFill>
              </w:rPr>
              <w:t>月</w:t>
            </w:r>
            <w:r>
              <w:rPr>
                <w:rFonts w:hint="default"/>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14:textFill>
                  <w14:solidFill>
                    <w14:schemeClr w14:val="tx1">
                      <w14:lumMod w14:val="95000"/>
                      <w14:lumOff w14:val="5000"/>
                    </w14:schemeClr>
                  </w14:solidFill>
                </w14:textFill>
              </w:rPr>
              <w:t>日发布的《关于深入打好污染防治攻坚</w:t>
            </w:r>
          </w:p>
          <w:p>
            <w:pPr>
              <w:keepNext w:val="0"/>
              <w:keepLines w:val="0"/>
              <w:suppressLineNumbers w:val="0"/>
              <w:autoSpaceDE w:val="0"/>
              <w:autoSpaceDN w:val="0"/>
              <w:adjustRightInd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战的意见》、安徽省大气办于</w:t>
            </w:r>
            <w:r>
              <w:rPr>
                <w:rFonts w:hint="default"/>
                <w:color w:val="0D0D0D" w:themeColor="text1" w:themeTint="F2"/>
                <w:sz w:val="24"/>
                <w14:textFill>
                  <w14:solidFill>
                    <w14:schemeClr w14:val="tx1">
                      <w14:lumMod w14:val="95000"/>
                      <w14:lumOff w14:val="5000"/>
                    </w14:schemeClr>
                  </w14:solidFill>
                </w14:textFill>
              </w:rPr>
              <w:t>2021</w:t>
            </w:r>
            <w:r>
              <w:rPr>
                <w:rFonts w:hint="eastAsia"/>
                <w:color w:val="0D0D0D" w:themeColor="text1" w:themeTint="F2"/>
                <w:sz w:val="24"/>
                <w14:textFill>
                  <w14:solidFill>
                    <w14:schemeClr w14:val="tx1">
                      <w14:lumMod w14:val="95000"/>
                      <w14:lumOff w14:val="5000"/>
                    </w14:schemeClr>
                  </w14:solidFill>
                </w14:textFill>
              </w:rPr>
              <w:t>年</w:t>
            </w:r>
            <w:r>
              <w:rPr>
                <w:rFonts w:hint="default"/>
                <w:color w:val="0D0D0D" w:themeColor="text1" w:themeTint="F2"/>
                <w:sz w:val="24"/>
                <w14:textFill>
                  <w14:solidFill>
                    <w14:schemeClr w14:val="tx1">
                      <w14:lumMod w14:val="95000"/>
                      <w14:lumOff w14:val="5000"/>
                    </w14:schemeClr>
                  </w14:solidFill>
                </w14:textFill>
              </w:rPr>
              <w:t>3</w:t>
            </w:r>
            <w:r>
              <w:rPr>
                <w:rFonts w:hint="eastAsia"/>
                <w:color w:val="0D0D0D" w:themeColor="text1" w:themeTint="F2"/>
                <w:sz w:val="24"/>
                <w14:textFill>
                  <w14:solidFill>
                    <w14:schemeClr w14:val="tx1">
                      <w14:lumMod w14:val="95000"/>
                      <w14:lumOff w14:val="5000"/>
                    </w14:schemeClr>
                  </w14:solidFill>
                </w14:textFill>
              </w:rPr>
              <w:t>月</w:t>
            </w:r>
            <w:r>
              <w:rPr>
                <w:rFonts w:hint="default"/>
                <w:color w:val="0D0D0D" w:themeColor="text1" w:themeTint="F2"/>
                <w:sz w:val="24"/>
                <w14:textFill>
                  <w14:solidFill>
                    <w14:schemeClr w14:val="tx1">
                      <w14:lumMod w14:val="95000"/>
                      <w14:lumOff w14:val="5000"/>
                    </w14:schemeClr>
                  </w14:solidFill>
                </w14:textFill>
              </w:rPr>
              <w:t>26</w:t>
            </w:r>
            <w:r>
              <w:rPr>
                <w:rFonts w:hint="eastAsia"/>
                <w:color w:val="0D0D0D" w:themeColor="text1" w:themeTint="F2"/>
                <w:sz w:val="24"/>
                <w14:textFill>
                  <w14:solidFill>
                    <w14:schemeClr w14:val="tx1">
                      <w14:lumMod w14:val="95000"/>
                      <w14:lumOff w14:val="5000"/>
                    </w14:schemeClr>
                  </w14:solidFill>
                </w14:textFill>
              </w:rPr>
              <w:t>日发布的关于印发《安徽</w:t>
            </w:r>
          </w:p>
          <w:p>
            <w:pPr>
              <w:keepNext w:val="0"/>
              <w:keepLines w:val="0"/>
              <w:suppressLineNumbers w:val="0"/>
              <w:autoSpaceDE w:val="0"/>
              <w:autoSpaceDN w:val="0"/>
              <w:adjustRightInd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省</w:t>
            </w:r>
            <w:r>
              <w:rPr>
                <w:rFonts w:hint="default"/>
                <w:color w:val="0D0D0D" w:themeColor="text1" w:themeTint="F2"/>
                <w:sz w:val="24"/>
                <w14:textFill>
                  <w14:solidFill>
                    <w14:schemeClr w14:val="tx1">
                      <w14:lumMod w14:val="95000"/>
                      <w14:lumOff w14:val="5000"/>
                    </w14:schemeClr>
                  </w14:solidFill>
                </w14:textFill>
              </w:rPr>
              <w:t>2021</w:t>
            </w:r>
            <w:r>
              <w:rPr>
                <w:rFonts w:hint="eastAsia"/>
                <w:color w:val="0D0D0D" w:themeColor="text1" w:themeTint="F2"/>
                <w:sz w:val="24"/>
                <w14:textFill>
                  <w14:solidFill>
                    <w14:schemeClr w14:val="tx1">
                      <w14:lumMod w14:val="95000"/>
                      <w14:lumOff w14:val="5000"/>
                    </w14:schemeClr>
                  </w14:solidFill>
                </w14:textFill>
              </w:rPr>
              <w:t>应对气候变化和大气污染防治重点工作任务》的通知（皖大气办</w:t>
            </w:r>
          </w:p>
          <w:p>
            <w:pPr>
              <w:keepNext w:val="0"/>
              <w:keepLines w:val="0"/>
              <w:suppressLineNumbers w:val="0"/>
              <w:autoSpaceDE w:val="0"/>
              <w:autoSpaceDN w:val="0"/>
              <w:adjustRightInd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2021</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3</w:t>
            </w:r>
            <w:r>
              <w:rPr>
                <w:rFonts w:hint="eastAsia"/>
                <w:color w:val="0D0D0D" w:themeColor="text1" w:themeTint="F2"/>
                <w:sz w:val="24"/>
                <w14:textFill>
                  <w14:solidFill>
                    <w14:schemeClr w14:val="tx1">
                      <w14:lumMod w14:val="95000"/>
                      <w14:lumOff w14:val="5000"/>
                    </w14:schemeClr>
                  </w14:solidFill>
                </w14:textFill>
              </w:rPr>
              <w:t>号）、生态环境部《重点行业挥发性有机物综合治理方案》（环大气</w:t>
            </w:r>
            <w:r>
              <w:rPr>
                <w:rFonts w:hint="default"/>
                <w:color w:val="0D0D0D" w:themeColor="text1" w:themeTint="F2"/>
                <w:sz w:val="24"/>
                <w14:textFill>
                  <w14:solidFill>
                    <w14:schemeClr w14:val="tx1">
                      <w14:lumMod w14:val="95000"/>
                      <w14:lumOff w14:val="5000"/>
                    </w14:schemeClr>
                  </w14:solidFill>
                </w14:textFill>
              </w:rPr>
              <w:t>[2019]53</w:t>
            </w:r>
            <w:r>
              <w:rPr>
                <w:rFonts w:hint="eastAsia"/>
                <w:color w:val="0D0D0D" w:themeColor="text1" w:themeTint="F2"/>
                <w:sz w:val="24"/>
                <w14:textFill>
                  <w14:solidFill>
                    <w14:schemeClr w14:val="tx1">
                      <w14:lumMod w14:val="95000"/>
                      <w14:lumOff w14:val="5000"/>
                    </w14:schemeClr>
                  </w14:solidFill>
                </w14:textFill>
              </w:rPr>
              <w:t>号）、生态环境部《关于加快解决当前挥发性有机物治理突出问题的通知》（环大气</w:t>
            </w:r>
            <w:r>
              <w:rPr>
                <w:rFonts w:hint="default"/>
                <w:color w:val="0D0D0D" w:themeColor="text1" w:themeTint="F2"/>
                <w:sz w:val="24"/>
                <w14:textFill>
                  <w14:solidFill>
                    <w14:schemeClr w14:val="tx1">
                      <w14:lumMod w14:val="95000"/>
                      <w14:lumOff w14:val="5000"/>
                    </w14:schemeClr>
                  </w14:solidFill>
                </w14:textFill>
              </w:rPr>
              <w:t>[2021]65</w:t>
            </w:r>
            <w:r>
              <w:rPr>
                <w:rFonts w:hint="eastAsia"/>
                <w:color w:val="0D0D0D" w:themeColor="text1" w:themeTint="F2"/>
                <w:sz w:val="24"/>
                <w14:textFill>
                  <w14:solidFill>
                    <w14:schemeClr w14:val="tx1">
                      <w14:lumMod w14:val="95000"/>
                      <w14:lumOff w14:val="5000"/>
                    </w14:schemeClr>
                  </w14:solidFill>
                </w14:textFill>
              </w:rPr>
              <w:t>号）、《芜湖市</w:t>
            </w:r>
            <w:r>
              <w:rPr>
                <w:rFonts w:hint="default"/>
                <w:color w:val="0D0D0D" w:themeColor="text1" w:themeTint="F2"/>
                <w:sz w:val="24"/>
                <w14:textFill>
                  <w14:solidFill>
                    <w14:schemeClr w14:val="tx1">
                      <w14:lumMod w14:val="95000"/>
                      <w14:lumOff w14:val="5000"/>
                    </w14:schemeClr>
                  </w14:solidFill>
                </w14:textFill>
              </w:rPr>
              <w:t>2021</w:t>
            </w:r>
            <w:r>
              <w:rPr>
                <w:rFonts w:hint="eastAsia"/>
                <w:color w:val="0D0D0D" w:themeColor="text1" w:themeTint="F2"/>
                <w:sz w:val="24"/>
                <w14:textFill>
                  <w14:solidFill>
                    <w14:schemeClr w14:val="tx1">
                      <w14:lumMod w14:val="95000"/>
                      <w14:lumOff w14:val="5000"/>
                    </w14:schemeClr>
                  </w14:solidFill>
                </w14:textFill>
              </w:rPr>
              <w:t>年挥发性有机物污染治理攻坚行动方案》（芜大气办</w:t>
            </w:r>
            <w:r>
              <w:rPr>
                <w:rFonts w:hint="default"/>
                <w:color w:val="0D0D0D" w:themeColor="text1" w:themeTint="F2"/>
                <w:sz w:val="24"/>
                <w14:textFill>
                  <w14:solidFill>
                    <w14:schemeClr w14:val="tx1">
                      <w14:lumMod w14:val="95000"/>
                      <w14:lumOff w14:val="5000"/>
                    </w14:schemeClr>
                  </w14:solidFill>
                </w14:textFill>
              </w:rPr>
              <w:t>[2021]7</w:t>
            </w:r>
            <w:r>
              <w:rPr>
                <w:rFonts w:hint="eastAsia"/>
                <w:color w:val="0D0D0D" w:themeColor="text1" w:themeTint="F2"/>
                <w:sz w:val="24"/>
                <w14:textFill>
                  <w14:solidFill>
                    <w14:schemeClr w14:val="tx1">
                      <w14:lumMod w14:val="95000"/>
                      <w14:lumOff w14:val="5000"/>
                    </w14:schemeClr>
                  </w14:solidFill>
                </w14:textFill>
              </w:rPr>
              <w:t>号）进行分析，具体见下表。</w:t>
            </w:r>
          </w:p>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t>表</w:t>
            </w:r>
            <w:r>
              <w:rPr>
                <w:rFonts w:hint="eastAsia"/>
                <w:b/>
                <w:color w:val="0D0D0D" w:themeColor="text1" w:themeTint="F2"/>
                <w:sz w:val="24"/>
                <w14:textFill>
                  <w14:solidFill>
                    <w14:schemeClr w14:val="tx1">
                      <w14:lumMod w14:val="95000"/>
                      <w14:lumOff w14:val="5000"/>
                    </w14:schemeClr>
                  </w14:solidFill>
                </w14:textFill>
              </w:rPr>
              <w:t>1</w:t>
            </w: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lang w:val="en-US" w:eastAsia="zh-CN"/>
                <w14:textFill>
                  <w14:solidFill>
                    <w14:schemeClr w14:val="tx1">
                      <w14:lumMod w14:val="95000"/>
                      <w14:lumOff w14:val="5000"/>
                    </w14:schemeClr>
                  </w14:solidFill>
                </w14:textFill>
              </w:rPr>
              <w:t>0</w:t>
            </w:r>
            <w:r>
              <w:rPr>
                <w:rFonts w:hint="default"/>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项目与国家、省有关污染防治方案及实施意见</w:t>
            </w:r>
            <w:r>
              <w:rPr>
                <w:rFonts w:hint="default"/>
                <w:b/>
                <w:color w:val="0D0D0D" w:themeColor="text1" w:themeTint="F2"/>
                <w:sz w:val="24"/>
                <w14:textFill>
                  <w14:solidFill>
                    <w14:schemeClr w14:val="tx1">
                      <w14:lumMod w14:val="95000"/>
                      <w14:lumOff w14:val="5000"/>
                    </w14:schemeClr>
                  </w14:solidFill>
                </w14:textFill>
              </w:rPr>
              <w:t>符合性分析</w:t>
            </w:r>
            <w:r>
              <w:rPr>
                <w:rFonts w:hint="eastAsia"/>
                <w:b/>
                <w:color w:val="0D0D0D" w:themeColor="text1" w:themeTint="F2"/>
                <w:sz w:val="24"/>
                <w14:textFill>
                  <w14:solidFill>
                    <w14:schemeClr w14:val="tx1">
                      <w14:lumMod w14:val="95000"/>
                      <w14:lumOff w14:val="5000"/>
                    </w14:schemeClr>
                  </w14:solidFill>
                </w14:textFill>
              </w:rPr>
              <w:t>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101"/>
              <w:gridCol w:w="2645"/>
              <w:gridCol w:w="6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具体要求</w:t>
                  </w:r>
                </w:p>
              </w:tc>
              <w:tc>
                <w:tcPr>
                  <w:tcW w:w="2642" w:type="dxa"/>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default" w:hAnsi="宋体"/>
                      <w:b/>
                      <w:color w:val="0D0D0D" w:themeColor="text1" w:themeTint="F2"/>
                      <w:kern w:val="0"/>
                      <w:szCs w:val="21"/>
                      <w14:textFill>
                        <w14:solidFill>
                          <w14:schemeClr w14:val="tx1">
                            <w14:lumMod w14:val="95000"/>
                            <w14:lumOff w14:val="5000"/>
                          </w14:schemeClr>
                        </w14:solidFill>
                      </w14:textFill>
                    </w:rPr>
                    <w:t>本项目建设</w:t>
                  </w:r>
                  <w:r>
                    <w:rPr>
                      <w:rFonts w:hint="eastAsia" w:hAnsi="宋体"/>
                      <w:b/>
                      <w:color w:val="0D0D0D" w:themeColor="text1" w:themeTint="F2"/>
                      <w:kern w:val="0"/>
                      <w:szCs w:val="21"/>
                      <w14:textFill>
                        <w14:solidFill>
                          <w14:schemeClr w14:val="tx1">
                            <w14:lumMod w14:val="95000"/>
                            <w14:lumOff w14:val="5000"/>
                          </w14:schemeClr>
                        </w14:solidFill>
                      </w14:textFill>
                    </w:rPr>
                    <w:t>情况</w:t>
                  </w:r>
                </w:p>
              </w:tc>
              <w:tc>
                <w:tcPr>
                  <w:tcW w:w="691" w:type="dxa"/>
                  <w:vAlign w:val="center"/>
                </w:tcPr>
                <w:p>
                  <w:pPr>
                    <w:keepNext w:val="0"/>
                    <w:keepLines w:val="0"/>
                    <w:widowControl/>
                    <w:suppressLineNumbers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0" w:type="dxa"/>
                  <w:gridSpan w:val="3"/>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国务院《关于深入打好污染防治攻坚战的意见》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（七）坚决遏制高耗能高排放项目盲目发展。重点区域严禁新增钢铁、焦化、水泥熟料、平板玻璃、电解铝、氧化铝、煤化工产能；严格执行钢铁、水泥、平板玻璃等行业产能置换实施办法</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本项目生产不涉及新增钢铁、焦化、水泥熟料、平板玻璃、电解铝、氧化铝、煤化工产能过剩项目</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九）加强生态环境分区管控。将生态保护红线、环境质量底线、资源利用上线的硬约束落实到环境管控单元，建立差别化的生态环境准入清单，加强“三线一单”成果在政策制定、环境准入、园区管理、执法监管等方面的应用</w:t>
                  </w:r>
                </w:p>
              </w:tc>
              <w:tc>
                <w:tcPr>
                  <w:tcW w:w="2642" w:type="dxa"/>
                  <w:shd w:val="clear" w:color="auto" w:fill="auto"/>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本项目符合芜湖市“三线一单”生态环境分区管控等生态环境分区管控要求）</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0" w:type="dxa"/>
                  <w:gridSpan w:val="3"/>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《安徽省</w:t>
                  </w:r>
                  <w:r>
                    <w:rPr>
                      <w:rFonts w:hint="default" w:hAnsi="宋体"/>
                      <w:b/>
                      <w:color w:val="0D0D0D" w:themeColor="text1" w:themeTint="F2"/>
                      <w:kern w:val="0"/>
                      <w:szCs w:val="21"/>
                      <w14:textFill>
                        <w14:solidFill>
                          <w14:schemeClr w14:val="tx1">
                            <w14:lumMod w14:val="95000"/>
                            <w14:lumOff w14:val="5000"/>
                          </w14:schemeClr>
                        </w14:solidFill>
                      </w14:textFill>
                    </w:rPr>
                    <w:t>2021</w:t>
                  </w:r>
                  <w:r>
                    <w:rPr>
                      <w:rFonts w:hint="eastAsia" w:hAnsi="宋体"/>
                      <w:b/>
                      <w:color w:val="0D0D0D" w:themeColor="text1" w:themeTint="F2"/>
                      <w:kern w:val="0"/>
                      <w:szCs w:val="21"/>
                      <w14:textFill>
                        <w14:solidFill>
                          <w14:schemeClr w14:val="tx1">
                            <w14:lumMod w14:val="95000"/>
                            <w14:lumOff w14:val="5000"/>
                          </w14:schemeClr>
                        </w14:solidFill>
                      </w14:textFill>
                    </w:rPr>
                    <w:t>应对气候变化和大气污染防治重点工作任务》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一）坚决遏制“两高”项目盲目发展深入贯彻落实党中央、国务院关于坚决遏制“两高”项目盲目发展相关决策部署，按照生态环境部《关于加强高耗能、高排放建设项目生态环境源头防控的指导意见》等文件要求，以石化、化工、煤化工、焦化、钢铁、建材、有色、煤电等行业为重</w:t>
                  </w:r>
                </w:p>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点，</w:t>
                  </w:r>
                  <w:r>
                    <w:rPr>
                      <w:rFonts w:hint="default" w:hAnsi="宋体"/>
                      <w:color w:val="0D0D0D" w:themeColor="text1" w:themeTint="F2"/>
                      <w:kern w:val="24"/>
                      <w:szCs w:val="21"/>
                      <w14:textFill>
                        <w14:solidFill>
                          <w14:schemeClr w14:val="tx1">
                            <w14:lumMod w14:val="95000"/>
                            <w14:lumOff w14:val="5000"/>
                          </w14:schemeClr>
                        </w14:solidFill>
                      </w14:textFill>
                    </w:rPr>
                    <w:t xml:space="preserve"> </w:t>
                  </w:r>
                  <w:r>
                    <w:rPr>
                      <w:rFonts w:hint="eastAsia" w:hAnsi="宋体"/>
                      <w:color w:val="0D0D0D" w:themeColor="text1" w:themeTint="F2"/>
                      <w:kern w:val="24"/>
                      <w:szCs w:val="21"/>
                      <w14:textFill>
                        <w14:solidFill>
                          <w14:schemeClr w14:val="tx1">
                            <w14:lumMod w14:val="95000"/>
                            <w14:lumOff w14:val="5000"/>
                          </w14:schemeClr>
                        </w14:solidFill>
                      </w14:textFill>
                    </w:rPr>
                    <w:t>全面梳理排查拟建、在建和存量“两高”项目，对“两高”</w:t>
                  </w:r>
                  <w:r>
                    <w:rPr>
                      <w:rFonts w:hint="default" w:hAnsi="宋体"/>
                      <w:color w:val="0D0D0D" w:themeColor="text1" w:themeTint="F2"/>
                      <w:kern w:val="24"/>
                      <w:szCs w:val="21"/>
                      <w14:textFill>
                        <w14:solidFill>
                          <w14:schemeClr w14:val="tx1">
                            <w14:lumMod w14:val="95000"/>
                            <w14:lumOff w14:val="5000"/>
                          </w14:schemeClr>
                        </w14:solidFill>
                      </w14:textFill>
                    </w:rPr>
                    <w:t xml:space="preserve"> </w:t>
                  </w:r>
                  <w:r>
                    <w:rPr>
                      <w:rFonts w:hint="eastAsia" w:hAnsi="宋体"/>
                      <w:color w:val="0D0D0D" w:themeColor="text1" w:themeTint="F2"/>
                      <w:kern w:val="24"/>
                      <w:szCs w:val="21"/>
                      <w14:textFill>
                        <w14:solidFill>
                          <w14:schemeClr w14:val="tx1">
                            <w14:lumMod w14:val="95000"/>
                            <w14:lumOff w14:val="5000"/>
                          </w14:schemeClr>
                        </w14:solidFill>
                      </w14:textFill>
                    </w:rPr>
                    <w:t>项目实行清单管理，进行分类处置、动态监控。严格落实能耗“双控”、产能置换、污染物区域削减、煤炭减量替代等要求。对标国内外产品能效、环保先进水平，推动在建和拟建“两高”项目能效、环保水平提升，推进存量“两高”项目改造升级</w:t>
                  </w:r>
                </w:p>
              </w:tc>
              <w:tc>
                <w:tcPr>
                  <w:tcW w:w="2642" w:type="dxa"/>
                  <w:shd w:val="clear" w:color="auto" w:fill="auto"/>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本项目不属于国家发改委</w:t>
                  </w:r>
                </w:p>
                <w:p>
                  <w:pPr>
                    <w:keepNext w:val="0"/>
                    <w:keepLines w:val="0"/>
                    <w:suppressLineNumbers w:val="0"/>
                    <w:autoSpaceDE w:val="0"/>
                    <w:autoSpaceDN w:val="0"/>
                    <w:adjustRightInd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暂定的煤电、石化、煤化工、钢铁、焦化、建材、有色、化工等</w:t>
                  </w:r>
                  <w:r>
                    <w:rPr>
                      <w:rFonts w:hint="default" w:hAnsi="宋体"/>
                      <w:color w:val="0D0D0D" w:themeColor="text1" w:themeTint="F2"/>
                      <w:kern w:val="24"/>
                      <w:szCs w:val="21"/>
                      <w14:textFill>
                        <w14:solidFill>
                          <w14:schemeClr w14:val="tx1">
                            <w14:lumMod w14:val="95000"/>
                            <w14:lumOff w14:val="5000"/>
                          </w14:schemeClr>
                        </w14:solidFill>
                      </w14:textFill>
                    </w:rPr>
                    <w:t>8</w:t>
                  </w:r>
                  <w:r>
                    <w:rPr>
                      <w:rFonts w:hint="eastAsia" w:hAnsi="宋体"/>
                      <w:color w:val="0D0D0D" w:themeColor="text1" w:themeTint="F2"/>
                      <w:kern w:val="24"/>
                      <w:szCs w:val="21"/>
                      <w14:textFill>
                        <w14:solidFill>
                          <w14:schemeClr w14:val="tx1">
                            <w14:lumMod w14:val="95000"/>
                            <w14:lumOff w14:val="5000"/>
                          </w14:schemeClr>
                        </w14:solidFill>
                      </w14:textFill>
                    </w:rPr>
                    <w:t>个“两高”行业</w:t>
                  </w:r>
                </w:p>
              </w:tc>
              <w:tc>
                <w:tcPr>
                  <w:tcW w:w="691" w:type="dxa"/>
                  <w:vAlign w:val="center"/>
                </w:tcPr>
                <w:p>
                  <w:pPr>
                    <w:keepNext w:val="0"/>
                    <w:keepLines w:val="0"/>
                    <w:widowControl/>
                    <w:suppressLineNumbers w:val="0"/>
                    <w:snapToGrid w:val="0"/>
                    <w:spacing w:before="0" w:beforeAutospacing="0" w:after="0" w:afterAutospacing="0"/>
                    <w:ind w:left="-105" w:leftChars="-50" w:right="-105" w:rightChars="-50"/>
                    <w:jc w:val="center"/>
                    <w:rPr>
                      <w:rFonts w:hint="default"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（四）持续开展</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整治攻坚行动开展</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治理示范项目推选，引导推动低</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替代、无组织排放管控、末端治理升级改造、运维能力提升等技术创新，以先进促后进</w:t>
                  </w:r>
                </w:p>
              </w:tc>
              <w:tc>
                <w:tcPr>
                  <w:tcW w:w="2642" w:type="dxa"/>
                  <w:shd w:val="clear" w:color="auto" w:fill="auto"/>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auto"/>
                      <w:kern w:val="24"/>
                      <w:szCs w:val="21"/>
                    </w:rPr>
                    <w:t>项目</w:t>
                  </w:r>
                  <w:r>
                    <w:rPr>
                      <w:rFonts w:hint="eastAsia" w:hAnsi="宋体"/>
                      <w:color w:val="auto"/>
                      <w:kern w:val="24"/>
                      <w:szCs w:val="21"/>
                      <w:lang w:val="en-US" w:eastAsia="zh-CN"/>
                    </w:rPr>
                    <w:t>压铸脱模废气经静电油雾净化+两级活性炭吸附装置处理</w:t>
                  </w:r>
                  <w:r>
                    <w:rPr>
                      <w:rFonts w:hint="eastAsia" w:hAnsi="宋体"/>
                      <w:color w:val="auto"/>
                      <w:kern w:val="24"/>
                      <w:szCs w:val="21"/>
                    </w:rPr>
                    <w:t>，减少</w:t>
                  </w:r>
                  <w:r>
                    <w:rPr>
                      <w:rFonts w:hint="default" w:hAnsi="宋体"/>
                      <w:color w:val="auto"/>
                      <w:kern w:val="24"/>
                      <w:szCs w:val="21"/>
                    </w:rPr>
                    <w:t>V</w:t>
                  </w:r>
                  <w:r>
                    <w:rPr>
                      <w:rFonts w:hint="default" w:hAnsi="宋体"/>
                      <w:color w:val="0D0D0D" w:themeColor="text1" w:themeTint="F2"/>
                      <w:kern w:val="24"/>
                      <w:szCs w:val="21"/>
                      <w14:textFill>
                        <w14:solidFill>
                          <w14:schemeClr w14:val="tx1">
                            <w14:lumMod w14:val="95000"/>
                            <w14:lumOff w14:val="5000"/>
                          </w14:schemeClr>
                        </w14:solidFill>
                      </w14:textFill>
                    </w:rPr>
                    <w:t>OCs</w:t>
                  </w:r>
                  <w:r>
                    <w:rPr>
                      <w:rFonts w:hint="eastAsia" w:hAnsi="宋体"/>
                      <w:color w:val="0D0D0D" w:themeColor="text1" w:themeTint="F2"/>
                      <w:kern w:val="24"/>
                      <w:szCs w:val="21"/>
                      <w14:textFill>
                        <w14:solidFill>
                          <w14:schemeClr w14:val="tx1">
                            <w14:lumMod w14:val="95000"/>
                            <w14:lumOff w14:val="5000"/>
                          </w14:schemeClr>
                        </w14:solidFill>
                      </w14:textFill>
                    </w:rPr>
                    <w:t>排放</w:t>
                  </w:r>
                </w:p>
              </w:tc>
              <w:tc>
                <w:tcPr>
                  <w:tcW w:w="691" w:type="dxa"/>
                  <w:vAlign w:val="center"/>
                </w:tcPr>
                <w:p>
                  <w:pPr>
                    <w:keepNext w:val="0"/>
                    <w:keepLines w:val="0"/>
                    <w:widowControl/>
                    <w:suppressLineNumbers w:val="0"/>
                    <w:snapToGrid w:val="0"/>
                    <w:spacing w:before="0" w:beforeAutospacing="0" w:after="0" w:afterAutospacing="0"/>
                    <w:ind w:left="-105" w:leftChars="-50" w:right="-105" w:rightChars="-5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0" w:type="dxa"/>
                  <w:gridSpan w:val="3"/>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生态环境部《重点行业挥发性有机物综合治理方案》（环大气</w:t>
                  </w:r>
                  <w:r>
                    <w:rPr>
                      <w:rFonts w:hint="default" w:hAnsi="宋体"/>
                      <w:b/>
                      <w:color w:val="0D0D0D" w:themeColor="text1" w:themeTint="F2"/>
                      <w:kern w:val="0"/>
                      <w:szCs w:val="21"/>
                      <w14:textFill>
                        <w14:solidFill>
                          <w14:schemeClr w14:val="tx1">
                            <w14:lumMod w14:val="95000"/>
                            <w14:lumOff w14:val="5000"/>
                          </w14:schemeClr>
                        </w14:solidFill>
                      </w14:textFill>
                    </w:rPr>
                    <w:t xml:space="preserve">[2019]53 </w:t>
                  </w:r>
                  <w:r>
                    <w:rPr>
                      <w:rFonts w:hint="eastAsia" w:hAnsi="宋体"/>
                      <w:b/>
                      <w:color w:val="0D0D0D" w:themeColor="text1" w:themeTint="F2"/>
                      <w:kern w:val="0"/>
                      <w:szCs w:val="21"/>
                      <w14:textFill>
                        <w14:solidFill>
                          <w14:schemeClr w14:val="tx1">
                            <w14:lumMod w14:val="95000"/>
                            <w14:lumOff w14:val="5000"/>
                          </w14:schemeClr>
                        </w14:solidFill>
                      </w14:textFill>
                    </w:rPr>
                    <w:t>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全面加强无组织排放控制。通过采取设备与场所密闭、工艺改进、废气有效收集等措施，削减</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无组织排放</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w:t>
                  </w: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压铸脱模</w:t>
                  </w:r>
                  <w:r>
                    <w:rPr>
                      <w:rFonts w:hint="default" w:hAnsi="宋体"/>
                      <w:color w:val="0D0D0D" w:themeColor="text1" w:themeTint="F2"/>
                      <w:kern w:val="24"/>
                      <w:szCs w:val="21"/>
                      <w14:textFill>
                        <w14:solidFill>
                          <w14:schemeClr w14:val="tx1">
                            <w14:lumMod w14:val="95000"/>
                            <w14:lumOff w14:val="5000"/>
                          </w14:schemeClr>
                        </w14:solidFill>
                      </w14:textFill>
                    </w:rPr>
                    <w:t>会产生有机废气，</w:t>
                  </w: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由</w:t>
                  </w:r>
                  <w:r>
                    <w:rPr>
                      <w:rFonts w:hint="default" w:hAnsi="宋体"/>
                      <w:color w:val="0D0D0D" w:themeColor="text1" w:themeTint="F2"/>
                      <w:kern w:val="24"/>
                      <w:szCs w:val="21"/>
                      <w14:textFill>
                        <w14:solidFill>
                          <w14:schemeClr w14:val="tx1">
                            <w14:lumMod w14:val="95000"/>
                            <w14:lumOff w14:val="5000"/>
                          </w14:schemeClr>
                        </w14:solidFill>
                      </w14:textFill>
                    </w:rPr>
                    <w:t>上方的集气罩收集</w:t>
                  </w:r>
                  <w:r>
                    <w:rPr>
                      <w:rFonts w:hint="eastAsia" w:hAnsi="宋体"/>
                      <w:color w:val="0D0D0D" w:themeColor="text1" w:themeTint="F2"/>
                      <w:kern w:val="24"/>
                      <w:szCs w:val="21"/>
                      <w14:textFill>
                        <w14:solidFill>
                          <w14:schemeClr w14:val="tx1">
                            <w14:lumMod w14:val="95000"/>
                            <w14:lumOff w14:val="5000"/>
                          </w14:schemeClr>
                        </w14:solidFill>
                      </w14:textFill>
                    </w:rPr>
                    <w:t>来削减</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无组织排放</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推进建设适宜高效的治污施。鼓励企业采用多种技术的组合工艺，提高</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治理效率。低浓度、大风量废气，宜采用沸石转轮吸附、活性炭吸附、减增浓等浓缩技术，提高</w:t>
                  </w:r>
                  <w:r>
                    <w:rPr>
                      <w:rFonts w:hint="default" w:hAnsi="宋体"/>
                      <w:color w:val="0D0D0D" w:themeColor="text1" w:themeTint="F2"/>
                      <w:kern w:val="24"/>
                      <w:szCs w:val="21"/>
                      <w14:textFill>
                        <w14:solidFill>
                          <w14:schemeClr w14:val="tx1">
                            <w14:lumMod w14:val="95000"/>
                            <w14:lumOff w14:val="5000"/>
                          </w14:schemeClr>
                        </w14:solidFill>
                      </w14:textFill>
                    </w:rPr>
                    <w:t xml:space="preserve">VOCs </w:t>
                  </w:r>
                  <w:r>
                    <w:rPr>
                      <w:rFonts w:hint="eastAsia" w:hAnsi="宋体"/>
                      <w:color w:val="0D0D0D" w:themeColor="text1" w:themeTint="F2"/>
                      <w:kern w:val="24"/>
                      <w:szCs w:val="21"/>
                      <w14:textFill>
                        <w14:solidFill>
                          <w14:schemeClr w14:val="tx1">
                            <w14:lumMod w14:val="95000"/>
                            <w14:lumOff w14:val="5000"/>
                          </w14:schemeClr>
                        </w14:solidFill>
                      </w14:textFill>
                    </w:rPr>
                    <w:t>浓度后净化处理；高浓度废气，优先进行溶剂回收，难以回收的，宜采用高温焚烧、催化燃烧等技术。油气（溶剂）回收宜采用冷凝</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吸附、吸附</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吸收、膜分离</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吸附等技术。低温等离子、光催化、光氧化技术主要适用于恶臭异味等治理；生物法主要适用于低浓度</w:t>
                  </w:r>
                  <w:r>
                    <w:rPr>
                      <w:rFonts w:hint="default" w:hAnsi="宋体"/>
                      <w:color w:val="0D0D0D" w:themeColor="text1" w:themeTint="F2"/>
                      <w:kern w:val="24"/>
                      <w:szCs w:val="21"/>
                      <w14:textFill>
                        <w14:solidFill>
                          <w14:schemeClr w14:val="tx1">
                            <w14:lumMod w14:val="95000"/>
                            <w14:lumOff w14:val="5000"/>
                          </w14:schemeClr>
                        </w14:solidFill>
                      </w14:textFill>
                    </w:rPr>
                    <w:t xml:space="preserve">VOCs </w:t>
                  </w:r>
                  <w:r>
                    <w:rPr>
                      <w:rFonts w:hint="eastAsia" w:hAnsi="宋体"/>
                      <w:color w:val="0D0D0D" w:themeColor="text1" w:themeTint="F2"/>
                      <w:kern w:val="24"/>
                      <w:szCs w:val="21"/>
                      <w14:textFill>
                        <w14:solidFill>
                          <w14:schemeClr w14:val="tx1">
                            <w14:lumMod w14:val="95000"/>
                            <w14:lumOff w14:val="5000"/>
                          </w14:schemeClr>
                        </w14:solidFill>
                      </w14:textFill>
                    </w:rPr>
                    <w:t>废气治理和恶臭异味治理。非水溶性的</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废气禁止采用水或水溶液喷淋</w:t>
                  </w:r>
                </w:p>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吸收处理</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auto"/>
                      <w:kern w:val="24"/>
                      <w:szCs w:val="21"/>
                    </w:rPr>
                    <w:t>项目</w:t>
                  </w:r>
                  <w:r>
                    <w:rPr>
                      <w:rFonts w:hint="eastAsia" w:hAnsi="宋体"/>
                      <w:color w:val="auto"/>
                      <w:kern w:val="24"/>
                      <w:szCs w:val="21"/>
                      <w:lang w:val="en-US" w:eastAsia="zh-CN"/>
                    </w:rPr>
                    <w:t>压铸脱模废气经静电油雾净化+两级活性炭吸附装置处理</w:t>
                  </w:r>
                  <w:r>
                    <w:rPr>
                      <w:rFonts w:hint="eastAsia" w:hAnsi="宋体"/>
                      <w:color w:val="auto"/>
                      <w:kern w:val="24"/>
                      <w:szCs w:val="21"/>
                    </w:rPr>
                    <w:t>，属于可行的治理</w:t>
                  </w:r>
                  <w:r>
                    <w:rPr>
                      <w:rFonts w:hint="eastAsia" w:hAnsi="宋体"/>
                      <w:color w:val="0D0D0D" w:themeColor="text1" w:themeTint="F2"/>
                      <w:kern w:val="24"/>
                      <w:szCs w:val="21"/>
                      <w14:textFill>
                        <w14:solidFill>
                          <w14:schemeClr w14:val="tx1">
                            <w14:lumMod w14:val="95000"/>
                            <w14:lumOff w14:val="5000"/>
                          </w14:schemeClr>
                        </w14:solidFill>
                      </w14:textFill>
                    </w:rPr>
                    <w:t>技术</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实行重点排放源排放浓度与去除效率双重控制。车间或生产设施收集排放的废气，</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初始排放速率大于等于</w:t>
                  </w:r>
                  <w:r>
                    <w:rPr>
                      <w:rFonts w:hint="default" w:hAnsi="宋体"/>
                      <w:color w:val="0D0D0D" w:themeColor="text1" w:themeTint="F2"/>
                      <w:kern w:val="24"/>
                      <w:szCs w:val="21"/>
                      <w14:textFill>
                        <w14:solidFill>
                          <w14:schemeClr w14:val="tx1">
                            <w14:lumMod w14:val="95000"/>
                            <w14:lumOff w14:val="5000"/>
                          </w14:schemeClr>
                        </w14:solidFill>
                      </w14:textFill>
                    </w:rPr>
                    <w:t>3</w:t>
                  </w:r>
                  <w:r>
                    <w:rPr>
                      <w:rFonts w:hint="eastAsia" w:hAnsi="宋体"/>
                      <w:color w:val="0D0D0D" w:themeColor="text1" w:themeTint="F2"/>
                      <w:kern w:val="24"/>
                      <w:szCs w:val="21"/>
                      <w14:textFill>
                        <w14:solidFill>
                          <w14:schemeClr w14:val="tx1">
                            <w14:lumMod w14:val="95000"/>
                            <w14:lumOff w14:val="5000"/>
                          </w14:schemeClr>
                        </w14:solidFill>
                      </w14:textFill>
                    </w:rPr>
                    <w:t>千克</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小时、重点区域大于等于</w:t>
                  </w:r>
                  <w:r>
                    <w:rPr>
                      <w:rFonts w:hint="default" w:hAnsi="宋体"/>
                      <w:color w:val="0D0D0D" w:themeColor="text1" w:themeTint="F2"/>
                      <w:kern w:val="24"/>
                      <w:szCs w:val="21"/>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千克</w:t>
                  </w:r>
                  <w:r>
                    <w:rPr>
                      <w:rFonts w:hint="default"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24"/>
                      <w:szCs w:val="21"/>
                      <w14:textFill>
                        <w14:solidFill>
                          <w14:schemeClr w14:val="tx1">
                            <w14:lumMod w14:val="95000"/>
                            <w14:lumOff w14:val="5000"/>
                          </w14:schemeClr>
                        </w14:solidFill>
                      </w14:textFill>
                    </w:rPr>
                    <w:t>小时的，应加大控制力度，除确保排放浓度稳定达标外，还应实行去除效率控制，去除效率不低于</w:t>
                  </w:r>
                  <w:r>
                    <w:rPr>
                      <w:rFonts w:hint="default" w:hAnsi="宋体"/>
                      <w:color w:val="0D0D0D" w:themeColor="text1" w:themeTint="F2"/>
                      <w:kern w:val="24"/>
                      <w:szCs w:val="21"/>
                      <w14:textFill>
                        <w14:solidFill>
                          <w14:schemeClr w14:val="tx1">
                            <w14:lumMod w14:val="95000"/>
                            <w14:lumOff w14:val="5000"/>
                          </w14:schemeClr>
                        </w14:solidFill>
                      </w14:textFill>
                    </w:rPr>
                    <w:t>80%</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本项目含有机废气的排气筒（D</w:t>
                  </w:r>
                  <w:r>
                    <w:rPr>
                      <w:rFonts w:hint="default" w:hAnsi="宋体"/>
                      <w:color w:val="0D0D0D" w:themeColor="text1" w:themeTint="F2"/>
                      <w:kern w:val="24"/>
                      <w:szCs w:val="21"/>
                      <w14:textFill>
                        <w14:solidFill>
                          <w14:schemeClr w14:val="tx1">
                            <w14:lumMod w14:val="95000"/>
                            <w14:lumOff w14:val="5000"/>
                          </w14:schemeClr>
                        </w14:solidFill>
                      </w14:textFill>
                    </w:rPr>
                    <w:t>A00</w:t>
                  </w: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2</w:t>
                  </w:r>
                  <w:r>
                    <w:rPr>
                      <w:rFonts w:hint="eastAsia" w:hAnsi="宋体"/>
                      <w:color w:val="0D0D0D" w:themeColor="text1" w:themeTint="F2"/>
                      <w:kern w:val="24"/>
                      <w:szCs w:val="21"/>
                      <w14:textFill>
                        <w14:solidFill>
                          <w14:schemeClr w14:val="tx1">
                            <w14:lumMod w14:val="95000"/>
                            <w14:lumOff w14:val="5000"/>
                          </w14:schemeClr>
                        </w14:solidFill>
                      </w14:textFill>
                    </w:rPr>
                    <w:t>）非甲烷总烃有组织初始速率分别为</w:t>
                  </w:r>
                  <w:r>
                    <w:rPr>
                      <w:rFonts w:hint="eastAsia"/>
                      <w:color w:val="0D0D0D" w:themeColor="text1" w:themeTint="F2"/>
                      <w:szCs w:val="21"/>
                      <w:lang w:val="en-US" w:eastAsia="zh-CN"/>
                      <w14:textFill>
                        <w14:solidFill>
                          <w14:schemeClr w14:val="tx1">
                            <w14:lumMod w14:val="95000"/>
                            <w14:lumOff w14:val="5000"/>
                          </w14:schemeClr>
                        </w14:solidFill>
                      </w14:textFill>
                    </w:rPr>
                    <w:t>0.219</w:t>
                  </w:r>
                  <w:r>
                    <w:rPr>
                      <w:rFonts w:hint="default"/>
                      <w:color w:val="0D0D0D" w:themeColor="text1" w:themeTint="F2"/>
                      <w:szCs w:val="21"/>
                      <w14:textFill>
                        <w14:solidFill>
                          <w14:schemeClr w14:val="tx1">
                            <w14:lumMod w14:val="95000"/>
                            <w14:lumOff w14:val="5000"/>
                          </w14:schemeClr>
                        </w14:solidFill>
                      </w14:textFill>
                    </w:rPr>
                    <w:t xml:space="preserve"> kg/h</w:t>
                  </w:r>
                  <w:r>
                    <w:rPr>
                      <w:rFonts w:hint="eastAsia" w:hAnsi="宋体"/>
                      <w:color w:val="0D0D0D" w:themeColor="text1" w:themeTint="F2"/>
                      <w:kern w:val="24"/>
                      <w:szCs w:val="21"/>
                      <w14:textFill>
                        <w14:solidFill>
                          <w14:schemeClr w14:val="tx1">
                            <w14:lumMod w14:val="95000"/>
                            <w14:lumOff w14:val="5000"/>
                          </w14:schemeClr>
                        </w14:solidFill>
                      </w14:textFill>
                    </w:rPr>
                    <w:t>，D</w:t>
                  </w:r>
                  <w:r>
                    <w:rPr>
                      <w:rFonts w:hint="eastAsia" w:hAnsi="宋体"/>
                      <w:color w:val="auto"/>
                      <w:kern w:val="24"/>
                      <w:szCs w:val="21"/>
                    </w:rPr>
                    <w:t>A00</w:t>
                  </w:r>
                  <w:r>
                    <w:rPr>
                      <w:rFonts w:hint="eastAsia" w:hAnsi="宋体"/>
                      <w:color w:val="auto"/>
                      <w:kern w:val="24"/>
                      <w:szCs w:val="21"/>
                      <w:lang w:val="en-US" w:eastAsia="zh-CN"/>
                    </w:rPr>
                    <w:t>2</w:t>
                  </w:r>
                  <w:r>
                    <w:rPr>
                      <w:rFonts w:hint="eastAsia" w:hAnsi="宋体"/>
                      <w:color w:val="auto"/>
                      <w:kern w:val="24"/>
                      <w:szCs w:val="21"/>
                    </w:rPr>
                    <w:t>有机废气经集气罩收集+</w:t>
                  </w:r>
                  <w:r>
                    <w:rPr>
                      <w:rFonts w:hint="eastAsia" w:hAnsi="宋体"/>
                      <w:color w:val="auto"/>
                      <w:kern w:val="24"/>
                      <w:szCs w:val="21"/>
                      <w:lang w:val="en-US" w:eastAsia="zh-CN"/>
                    </w:rPr>
                    <w:t>静电油雾净化+两级活性炭吸附</w:t>
                  </w:r>
                  <w:r>
                    <w:rPr>
                      <w:rFonts w:hint="eastAsia"/>
                      <w:color w:val="auto"/>
                      <w:szCs w:val="21"/>
                    </w:rPr>
                    <w:t>处理</w:t>
                  </w:r>
                  <w:r>
                    <w:rPr>
                      <w:rFonts w:hint="eastAsia"/>
                      <w:color w:val="auto"/>
                      <w:szCs w:val="21"/>
                      <w:lang w:eastAsia="zh-CN"/>
                    </w:rPr>
                    <w:t>，</w:t>
                  </w:r>
                  <w:r>
                    <w:rPr>
                      <w:rFonts w:hint="eastAsia" w:hAnsi="宋体"/>
                      <w:color w:val="auto"/>
                      <w:kern w:val="24"/>
                      <w:szCs w:val="21"/>
                    </w:rPr>
                    <w:t>非甲烷总烃有组织排放能达</w:t>
                  </w:r>
                  <w:r>
                    <w:rPr>
                      <w:rFonts w:hint="eastAsia" w:hAnsi="宋体"/>
                      <w:color w:val="auto"/>
                      <w:kern w:val="24"/>
                      <w:szCs w:val="21"/>
                      <w:highlight w:val="none"/>
                    </w:rPr>
                    <w:t>到</w:t>
                  </w:r>
                  <w:r>
                    <w:rPr>
                      <w:rFonts w:hint="default"/>
                      <w:color w:val="auto"/>
                      <w:szCs w:val="21"/>
                      <w:highlight w:val="none"/>
                      <w:lang w:val="en-US" w:eastAsia="zh-CN"/>
                    </w:rPr>
                    <w:t>《大气污染物综合排放</w:t>
                  </w:r>
                  <w:r>
                    <w:rPr>
                      <w:rFonts w:hint="default"/>
                      <w:color w:val="0D0D0D" w:themeColor="text1" w:themeTint="F2"/>
                      <w:szCs w:val="21"/>
                      <w:highlight w:val="none"/>
                      <w:lang w:val="en-US" w:eastAsia="zh-CN"/>
                      <w14:textFill>
                        <w14:solidFill>
                          <w14:schemeClr w14:val="tx1">
                            <w14:lumMod w14:val="95000"/>
                            <w14:lumOff w14:val="5000"/>
                          </w14:schemeClr>
                        </w14:solidFill>
                      </w14:textFill>
                    </w:rPr>
                    <w:t>标准》</w:t>
                  </w:r>
                  <w:r>
                    <w:rPr>
                      <w:rFonts w:hint="default"/>
                      <w:color w:val="0D0D0D" w:themeColor="text1" w:themeTint="F2"/>
                      <w:szCs w:val="21"/>
                      <w:lang w:val="en-US" w:eastAsia="zh-CN"/>
                      <w14:textFill>
                        <w14:solidFill>
                          <w14:schemeClr w14:val="tx1">
                            <w14:lumMod w14:val="95000"/>
                            <w14:lumOff w14:val="5000"/>
                          </w14:schemeClr>
                        </w14:solidFill>
                      </w14:textFill>
                    </w:rPr>
                    <w:t>（GB16297-1996）表 2</w:t>
                  </w:r>
                  <w:r>
                    <w:rPr>
                      <w:rFonts w:hint="eastAsia"/>
                      <w:color w:val="0D0D0D" w:themeColor="text1" w:themeTint="F2"/>
                      <w:szCs w:val="21"/>
                      <w14:textFill>
                        <w14:solidFill>
                          <w14:schemeClr w14:val="tx1">
                            <w14:lumMod w14:val="95000"/>
                            <w14:lumOff w14:val="5000"/>
                          </w14:schemeClr>
                        </w14:solidFill>
                      </w14:textFill>
                    </w:rPr>
                    <w:t>排放</w:t>
                  </w:r>
                  <w:r>
                    <w:rPr>
                      <w:rFonts w:hint="eastAsia"/>
                      <w:color w:val="0D0D0D" w:themeColor="text1" w:themeTint="F2"/>
                      <w:szCs w:val="21"/>
                      <w:lang w:val="zh-CN"/>
                      <w14:textFill>
                        <w14:solidFill>
                          <w14:schemeClr w14:val="tx1">
                            <w14:lumMod w14:val="95000"/>
                            <w14:lumOff w14:val="5000"/>
                          </w14:schemeClr>
                        </w14:solidFill>
                      </w14:textFill>
                    </w:rPr>
                    <w:t>标准</w:t>
                  </w:r>
                  <w:r>
                    <w:rPr>
                      <w:rFonts w:hint="default" w:ascii="Calibri"/>
                      <w:color w:val="0D0D0D" w:themeColor="text1" w:themeTint="F2"/>
                      <w:szCs w:val="21"/>
                      <w:lang w:val="zh-CN"/>
                      <w14:textFill>
                        <w14:solidFill>
                          <w14:schemeClr w14:val="tx1">
                            <w14:lumMod w14:val="95000"/>
                            <w14:lumOff w14:val="5000"/>
                          </w14:schemeClr>
                        </w14:solidFill>
                      </w14:textFill>
                    </w:rPr>
                    <w:t>限值要求</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0" w:type="dxa"/>
                  <w:gridSpan w:val="3"/>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生态环境部《关于加快解决当前挥发性有机物治理突出问题的通知》（环大气</w:t>
                  </w:r>
                </w:p>
                <w:p>
                  <w:pPr>
                    <w:keepNext w:val="0"/>
                    <w:keepLines w:val="0"/>
                    <w:widowControl/>
                    <w:suppressLineNumbers w:val="0"/>
                    <w:snapToGrid w:val="0"/>
                    <w:spacing w:before="0" w:beforeAutospacing="0" w:after="0" w:afterAutospacing="0"/>
                    <w:ind w:left="0" w:right="0"/>
                    <w:jc w:val="center"/>
                    <w:rPr>
                      <w:rFonts w:hint="default" w:hAnsi="宋体"/>
                      <w:color w:val="0D0D0D" w:themeColor="text1" w:themeTint="F2"/>
                      <w:kern w:val="0"/>
                      <w:szCs w:val="21"/>
                      <w14:textFill>
                        <w14:solidFill>
                          <w14:schemeClr w14:val="tx1">
                            <w14:lumMod w14:val="95000"/>
                            <w14:lumOff w14:val="5000"/>
                          </w14:schemeClr>
                        </w14:solidFill>
                      </w14:textFill>
                    </w:rPr>
                  </w:pPr>
                  <w:r>
                    <w:rPr>
                      <w:rFonts w:hint="default" w:hAnsi="宋体"/>
                      <w:b/>
                      <w:color w:val="0D0D0D" w:themeColor="text1" w:themeTint="F2"/>
                      <w:kern w:val="0"/>
                      <w:szCs w:val="21"/>
                      <w14:textFill>
                        <w14:solidFill>
                          <w14:schemeClr w14:val="tx1">
                            <w14:lumMod w14:val="95000"/>
                            <w14:lumOff w14:val="5000"/>
                          </w14:schemeClr>
                        </w14:solidFill>
                      </w14:textFill>
                    </w:rPr>
                    <w:t xml:space="preserve">[2021]65 </w:t>
                  </w:r>
                  <w:r>
                    <w:rPr>
                      <w:rFonts w:hint="eastAsia" w:hAnsi="宋体"/>
                      <w:b/>
                      <w:color w:val="0D0D0D" w:themeColor="text1" w:themeTint="F2"/>
                      <w:kern w:val="0"/>
                      <w:szCs w:val="21"/>
                      <w14:textFill>
                        <w14:solidFill>
                          <w14:schemeClr w14:val="tx1">
                            <w14:lumMod w14:val="95000"/>
                            <w14:lumOff w14:val="5000"/>
                          </w14:schemeClr>
                        </w14:solidFill>
                      </w14:textFill>
                    </w:rPr>
                    <w:t>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废气收集设施治理要求：产生</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的生产环节优先采用密闭设备、在密闭空间中操作或采用全密闭集气罩收集方式，并保持负压运行。对采用局部收集方式的企业，距废气收集系统排风罩开口面最远处的</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无组织排放位置控制风速不</w:t>
                  </w:r>
                </w:p>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低于</w:t>
                  </w:r>
                  <w:r>
                    <w:rPr>
                      <w:rFonts w:hint="default" w:hAnsi="宋体"/>
                      <w:color w:val="0D0D0D" w:themeColor="text1" w:themeTint="F2"/>
                      <w:kern w:val="24"/>
                      <w:szCs w:val="21"/>
                      <w14:textFill>
                        <w14:solidFill>
                          <w14:schemeClr w14:val="tx1">
                            <w14:lumMod w14:val="95000"/>
                            <w14:lumOff w14:val="5000"/>
                          </w14:schemeClr>
                        </w14:solidFill>
                      </w14:textFill>
                    </w:rPr>
                    <w:t>0.3m/s</w:t>
                  </w:r>
                  <w:r>
                    <w:rPr>
                      <w:rFonts w:hint="eastAsia" w:hAnsi="宋体"/>
                      <w:color w:val="0D0D0D" w:themeColor="text1" w:themeTint="F2"/>
                      <w:kern w:val="24"/>
                      <w:szCs w:val="21"/>
                      <w14:textFill>
                        <w14:solidFill>
                          <w14:schemeClr w14:val="tx1">
                            <w14:lumMod w14:val="95000"/>
                            <w14:lumOff w14:val="5000"/>
                          </w14:schemeClr>
                        </w14:solidFill>
                      </w14:textFill>
                    </w:rPr>
                    <w:t>；废气收集系统的输送管道应密闭、无破损。使用</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质量占比大于等于</w:t>
                  </w:r>
                  <w:r>
                    <w:rPr>
                      <w:rFonts w:hint="default" w:hAnsi="宋体"/>
                      <w:color w:val="0D0D0D" w:themeColor="text1" w:themeTint="F2"/>
                      <w:kern w:val="24"/>
                      <w:szCs w:val="21"/>
                      <w14:textFill>
                        <w14:solidFill>
                          <w14:schemeClr w14:val="tx1">
                            <w14:lumMod w14:val="95000"/>
                            <w14:lumOff w14:val="5000"/>
                          </w14:schemeClr>
                        </w14:solidFill>
                      </w14:textFill>
                    </w:rPr>
                    <w:t>10%</w:t>
                  </w:r>
                  <w:r>
                    <w:rPr>
                      <w:rFonts w:hint="eastAsia" w:hAnsi="宋体"/>
                      <w:color w:val="0D0D0D" w:themeColor="text1" w:themeTint="F2"/>
                      <w:kern w:val="24"/>
                      <w:szCs w:val="21"/>
                      <w14:textFill>
                        <w14:solidFill>
                          <w14:schemeClr w14:val="tx1">
                            <w14:lumMod w14:val="95000"/>
                            <w14:lumOff w14:val="5000"/>
                          </w14:schemeClr>
                        </w14:solidFill>
                      </w14:textFill>
                    </w:rPr>
                    <w:t>的涂料、油墨、胶粘剂、稀释剂、清洗剂等物料存储、调配、转移、输送等环节应密闭</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00000" w:themeColor="text1"/>
                      <w:kern w:val="0"/>
                      <w:szCs w:val="21"/>
                      <w14:textFill>
                        <w14:solidFill>
                          <w14:schemeClr w14:val="tx1"/>
                        </w14:solidFill>
                      </w14:textFill>
                    </w:rPr>
                    <w:t>VOCs无组织排放位置控制风速</w:t>
                  </w:r>
                  <w:r>
                    <w:rPr>
                      <w:rFonts w:hint="eastAsia" w:hAnsi="宋体"/>
                      <w:color w:val="000000" w:themeColor="text1"/>
                      <w:kern w:val="0"/>
                      <w:szCs w:val="21"/>
                      <w:lang w:val="en-US" w:eastAsia="zh-CN"/>
                      <w14:textFill>
                        <w14:solidFill>
                          <w14:schemeClr w14:val="tx1"/>
                        </w14:solidFill>
                      </w14:textFill>
                    </w:rPr>
                    <w:t>为</w:t>
                  </w:r>
                  <w:r>
                    <w:rPr>
                      <w:rFonts w:hint="eastAsia" w:hAnsi="宋体"/>
                      <w:color w:val="000000" w:themeColor="text1"/>
                      <w:kern w:val="0"/>
                      <w:szCs w:val="21"/>
                      <w:highlight w:val="none"/>
                      <w14:textFill>
                        <w14:solidFill>
                          <w14:schemeClr w14:val="tx1"/>
                        </w14:solidFill>
                      </w14:textFill>
                    </w:rPr>
                    <w:t>0.</w:t>
                  </w:r>
                  <w:r>
                    <w:rPr>
                      <w:rFonts w:hint="eastAsia" w:hAnsi="宋体"/>
                      <w:color w:val="000000" w:themeColor="text1"/>
                      <w:kern w:val="0"/>
                      <w:szCs w:val="21"/>
                      <w:highlight w:val="none"/>
                      <w:lang w:val="en-US" w:eastAsia="zh-CN"/>
                      <w14:textFill>
                        <w14:solidFill>
                          <w14:schemeClr w14:val="tx1"/>
                        </w14:solidFill>
                      </w14:textFill>
                    </w:rPr>
                    <w:t>7</w:t>
                  </w:r>
                  <w:r>
                    <w:rPr>
                      <w:rFonts w:hint="eastAsia" w:hAnsi="宋体"/>
                      <w:color w:val="000000" w:themeColor="text1"/>
                      <w:kern w:val="0"/>
                      <w:szCs w:val="21"/>
                      <w:highlight w:val="none"/>
                      <w14:textFill>
                        <w14:solidFill>
                          <w14:schemeClr w14:val="tx1"/>
                        </w14:solidFill>
                      </w14:textFill>
                    </w:rPr>
                    <w:t>m/s</w:t>
                  </w:r>
                  <w:r>
                    <w:rPr>
                      <w:rFonts w:hint="eastAsia" w:hAnsi="宋体"/>
                      <w:color w:val="000000" w:themeColor="text1"/>
                      <w:kern w:val="0"/>
                      <w:szCs w:val="21"/>
                      <w:highlight w:val="none"/>
                      <w:lang w:eastAsia="zh-CN"/>
                      <w14:textFill>
                        <w14:solidFill>
                          <w14:schemeClr w14:val="tx1"/>
                        </w14:solidFill>
                      </w14:textFill>
                    </w:rPr>
                    <w:t>。</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有机废气治理设施要求：新建治理设施或对现有治理设施实施改造，应依据排放废气特征、</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组分及浓度生产工况等，合理选择治理技术；对治理难度大、单一治理工艺难以稳定达标的，宜采用多种技术的组合工艺；除恶臭异味治理外，一般不使用低温等离子、光催化、光氧化等技术。</w:t>
                  </w:r>
                </w:p>
                <w:p>
                  <w:pPr>
                    <w:keepNext w:val="0"/>
                    <w:keepLines w:val="0"/>
                    <w:suppressLineNumbers w:val="0"/>
                    <w:spacing w:before="0" w:beforeAutospacing="0" w:after="0" w:afterAutospacing="0"/>
                    <w:ind w:left="0" w:right="0" w:firstLine="435"/>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加强运行维护管理，做到治理设施较生产设备“先启后停”，在治理设施达到正常运行条件后方可启动生产设备，在生产设备停止、残留</w:t>
                  </w:r>
                  <w:r>
                    <w:rPr>
                      <w:rFonts w:hint="default" w:hAnsi="宋体"/>
                      <w:color w:val="0D0D0D" w:themeColor="text1" w:themeTint="F2"/>
                      <w:kern w:val="24"/>
                      <w:szCs w:val="21"/>
                      <w14:textFill>
                        <w14:solidFill>
                          <w14:schemeClr w14:val="tx1">
                            <w14:lumMod w14:val="95000"/>
                            <w14:lumOff w14:val="5000"/>
                          </w14:schemeClr>
                        </w14:solidFill>
                      </w14:textFill>
                    </w:rPr>
                    <w:t xml:space="preserve">VOCs </w:t>
                  </w:r>
                  <w:r>
                    <w:rPr>
                      <w:rFonts w:hint="eastAsia" w:hAnsi="宋体"/>
                      <w:color w:val="0D0D0D" w:themeColor="text1" w:themeTint="F2"/>
                      <w:kern w:val="24"/>
                      <w:szCs w:val="21"/>
                      <w14:textFill>
                        <w14:solidFill>
                          <w14:schemeClr w14:val="tx1">
                            <w14:lumMod w14:val="95000"/>
                            <w14:lumOff w14:val="5000"/>
                          </w14:schemeClr>
                        </w14:solidFill>
                      </w14:textFill>
                    </w:rPr>
                    <w:t>废气收集处理完后，方可停运治理设施；及时清理、更换吸附剂、吸收剂、催化剂、蓄热体、过滤棉、灯管、电器元件等治理设施耗材，确保设施能够稳定高效运行；做好生产设备和治理设施启停机时间、检维修情况、治理设施耗材维护更换、处置情况等台账记录；对于</w:t>
                  </w:r>
                  <w:r>
                    <w:rPr>
                      <w:rFonts w:hint="default" w:hAnsi="宋体"/>
                      <w:color w:val="0D0D0D" w:themeColor="text1" w:themeTint="F2"/>
                      <w:kern w:val="24"/>
                      <w:szCs w:val="21"/>
                      <w14:textFill>
                        <w14:solidFill>
                          <w14:schemeClr w14:val="tx1">
                            <w14:lumMod w14:val="95000"/>
                            <w14:lumOff w14:val="5000"/>
                          </w14:schemeClr>
                        </w14:solidFill>
                      </w14:textFill>
                    </w:rPr>
                    <w:t xml:space="preserve">VOCs </w:t>
                  </w:r>
                  <w:r>
                    <w:rPr>
                      <w:rFonts w:hint="eastAsia" w:hAnsi="宋体"/>
                      <w:color w:val="0D0D0D" w:themeColor="text1" w:themeTint="F2"/>
                      <w:kern w:val="24"/>
                      <w:szCs w:val="21"/>
                      <w14:textFill>
                        <w14:solidFill>
                          <w14:schemeClr w14:val="tx1">
                            <w14:lumMod w14:val="95000"/>
                            <w14:lumOff w14:val="5000"/>
                          </w14:schemeClr>
                        </w14:solidFill>
                      </w14:textFill>
                    </w:rPr>
                    <w:t>治理设施产生的废过滤棉、废催化剂、废吸附剂、废吸收剂、废有机溶剂等，应及时清运，属于危险废物的应交有资质的单位处理处置。</w:t>
                  </w:r>
                </w:p>
                <w:p>
                  <w:pPr>
                    <w:keepNext w:val="0"/>
                    <w:keepLines w:val="0"/>
                    <w:suppressLineNumbers w:val="0"/>
                    <w:spacing w:before="0" w:beforeAutospacing="0" w:after="0" w:afterAutospacing="0"/>
                    <w:ind w:left="0" w:right="0" w:firstLine="435"/>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w:t>
                  </w:r>
                  <w:r>
                    <w:rPr>
                      <w:rFonts w:hint="default" w:hAnsi="宋体"/>
                      <w:color w:val="0D0D0D" w:themeColor="text1" w:themeTint="F2"/>
                      <w:kern w:val="24"/>
                      <w:szCs w:val="21"/>
                      <w14:textFill>
                        <w14:solidFill>
                          <w14:schemeClr w14:val="tx1">
                            <w14:lumMod w14:val="95000"/>
                            <w14:lumOff w14:val="5000"/>
                          </w14:schemeClr>
                        </w14:solidFill>
                      </w14:textFill>
                    </w:rPr>
                    <w:t>800 mg/g</w:t>
                  </w:r>
                  <w:r>
                    <w:rPr>
                      <w:rFonts w:hint="eastAsia" w:hAnsi="宋体"/>
                      <w:color w:val="0D0D0D" w:themeColor="text1" w:themeTint="F2"/>
                      <w:kern w:val="24"/>
                      <w:szCs w:val="21"/>
                      <w14:textFill>
                        <w14:solidFill>
                          <w14:schemeClr w14:val="tx1">
                            <w14:lumMod w14:val="95000"/>
                            <w14:lumOff w14:val="5000"/>
                          </w14:schemeClr>
                        </w14:solidFill>
                      </w14:textFill>
                    </w:rPr>
                    <w:t>；采用蜂窝活性炭作为吸附剂时，其碘值不宜低于</w:t>
                  </w:r>
                  <w:r>
                    <w:rPr>
                      <w:rFonts w:hint="default" w:hAnsi="宋体"/>
                      <w:color w:val="0D0D0D" w:themeColor="text1" w:themeTint="F2"/>
                      <w:kern w:val="24"/>
                      <w:szCs w:val="21"/>
                      <w14:textFill>
                        <w14:solidFill>
                          <w14:schemeClr w14:val="tx1">
                            <w14:lumMod w14:val="95000"/>
                            <w14:lumOff w14:val="5000"/>
                          </w14:schemeClr>
                        </w14:solidFill>
                      </w14:textFill>
                    </w:rPr>
                    <w:t>650 mg/g</w:t>
                  </w:r>
                  <w:r>
                    <w:rPr>
                      <w:rFonts w:hint="eastAsia" w:hAnsi="宋体"/>
                      <w:color w:val="0D0D0D" w:themeColor="text1" w:themeTint="F2"/>
                      <w:kern w:val="24"/>
                      <w:szCs w:val="21"/>
                      <w14:textFill>
                        <w14:solidFill>
                          <w14:schemeClr w14:val="tx1">
                            <w14:lumMod w14:val="95000"/>
                            <w14:lumOff w14:val="5000"/>
                          </w14:schemeClr>
                        </w14:solidFill>
                      </w14:textFill>
                    </w:rPr>
                    <w:t>；采用活性炭纤维作为吸附剂时，其比表面积不低于</w:t>
                  </w:r>
                  <w:r>
                    <w:rPr>
                      <w:rFonts w:hint="default" w:hAnsi="宋体"/>
                      <w:color w:val="0D0D0D" w:themeColor="text1" w:themeTint="F2"/>
                      <w:kern w:val="24"/>
                      <w:szCs w:val="21"/>
                      <w14:textFill>
                        <w14:solidFill>
                          <w14:schemeClr w14:val="tx1">
                            <w14:lumMod w14:val="95000"/>
                            <w14:lumOff w14:val="5000"/>
                          </w14:schemeClr>
                        </w14:solidFill>
                      </w14:textFill>
                    </w:rPr>
                    <w:t>1100 m</w:t>
                  </w:r>
                  <w:r>
                    <w:rPr>
                      <w:rFonts w:hint="default" w:hAnsi="宋体"/>
                      <w:color w:val="0D0D0D" w:themeColor="text1" w:themeTint="F2"/>
                      <w:kern w:val="24"/>
                      <w:szCs w:val="21"/>
                      <w:vertAlign w:val="superscript"/>
                      <w14:textFill>
                        <w14:solidFill>
                          <w14:schemeClr w14:val="tx1">
                            <w14:lumMod w14:val="95000"/>
                            <w14:lumOff w14:val="5000"/>
                          </w14:schemeClr>
                        </w14:solidFill>
                      </w14:textFill>
                    </w:rPr>
                    <w:t>2</w:t>
                  </w:r>
                  <w:r>
                    <w:rPr>
                      <w:rFonts w:hint="default" w:hAnsi="宋体"/>
                      <w:color w:val="0D0D0D" w:themeColor="text1" w:themeTint="F2"/>
                      <w:kern w:val="24"/>
                      <w:szCs w:val="21"/>
                      <w14:textFill>
                        <w14:solidFill>
                          <w14:schemeClr w14:val="tx1">
                            <w14:lumMod w14:val="95000"/>
                            <w14:lumOff w14:val="5000"/>
                          </w14:schemeClr>
                        </w14:solidFill>
                      </w14:textFill>
                    </w:rPr>
                    <w:t>/g</w:t>
                  </w:r>
                  <w:r>
                    <w:rPr>
                      <w:rFonts w:hint="eastAsia" w:hAnsi="宋体"/>
                      <w:color w:val="0D0D0D" w:themeColor="text1" w:themeTint="F2"/>
                      <w:kern w:val="24"/>
                      <w:szCs w:val="21"/>
                      <w14:textFill>
                        <w14:solidFill>
                          <w14:schemeClr w14:val="tx1">
                            <w14:lumMod w14:val="95000"/>
                            <w14:lumOff w14:val="5000"/>
                          </w14:schemeClr>
                        </w14:solidFill>
                      </w14:textFill>
                    </w:rPr>
                    <w:t>（</w:t>
                  </w:r>
                  <w:r>
                    <w:rPr>
                      <w:rFonts w:hint="default" w:hAnsi="宋体"/>
                      <w:color w:val="0D0D0D" w:themeColor="text1" w:themeTint="F2"/>
                      <w:kern w:val="24"/>
                      <w:szCs w:val="21"/>
                      <w14:textFill>
                        <w14:solidFill>
                          <w14:schemeClr w14:val="tx1">
                            <w14:lumMod w14:val="95000"/>
                            <w14:lumOff w14:val="5000"/>
                          </w14:schemeClr>
                        </w14:solidFill>
                      </w14:textFill>
                    </w:rPr>
                    <w:t xml:space="preserve">BET </w:t>
                  </w:r>
                  <w:r>
                    <w:rPr>
                      <w:rFonts w:hint="eastAsia" w:hAnsi="宋体"/>
                      <w:color w:val="0D0D0D" w:themeColor="text1" w:themeTint="F2"/>
                      <w:kern w:val="24"/>
                      <w:szCs w:val="21"/>
                      <w14:textFill>
                        <w14:solidFill>
                          <w14:schemeClr w14:val="tx1">
                            <w14:lumMod w14:val="95000"/>
                            <w14:lumOff w14:val="5000"/>
                          </w14:schemeClr>
                        </w14:solidFill>
                      </w14:textFill>
                    </w:rPr>
                    <w:t>法）。一次性活性炭吸附工艺宜采用颗粒活性炭作为吸附剂。活性炭、活性炭纤维产品销售时应提供产品质量证明材料</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auto"/>
                      <w:kern w:val="24"/>
                      <w:szCs w:val="21"/>
                    </w:rPr>
                    <w:t>本项目</w:t>
                  </w:r>
                  <w:r>
                    <w:rPr>
                      <w:rFonts w:hint="eastAsia" w:hAnsi="宋体"/>
                      <w:color w:val="auto"/>
                      <w:kern w:val="24"/>
                      <w:szCs w:val="21"/>
                      <w:lang w:val="en-US" w:eastAsia="zh-CN"/>
                    </w:rPr>
                    <w:t>压铸脱模废气</w:t>
                  </w:r>
                  <w:r>
                    <w:rPr>
                      <w:rFonts w:hint="eastAsia" w:hAnsi="宋体"/>
                      <w:color w:val="auto"/>
                      <w:kern w:val="24"/>
                      <w:szCs w:val="21"/>
                    </w:rPr>
                    <w:t>经静电油雾净化</w:t>
                  </w:r>
                  <w:r>
                    <w:rPr>
                      <w:rFonts w:hint="eastAsia" w:hAnsi="宋体"/>
                      <w:color w:val="auto"/>
                      <w:kern w:val="24"/>
                      <w:szCs w:val="21"/>
                      <w:lang w:val="en-US" w:eastAsia="zh-CN"/>
                    </w:rPr>
                    <w:t>+</w:t>
                  </w:r>
                  <w:r>
                    <w:rPr>
                      <w:rFonts w:hint="eastAsia" w:hAnsi="宋体"/>
                      <w:color w:val="auto"/>
                      <w:kern w:val="24"/>
                      <w:szCs w:val="21"/>
                    </w:rPr>
                    <w:t>两级活性炭处理。吸附法属于可行的末端治理技术；采用蜂窝活性炭作为吸附剂，其</w:t>
                  </w:r>
                  <w:r>
                    <w:rPr>
                      <w:rFonts w:hint="eastAsia" w:hAnsi="宋体"/>
                      <w:color w:val="0D0D0D" w:themeColor="text1" w:themeTint="F2"/>
                      <w:kern w:val="24"/>
                      <w:szCs w:val="21"/>
                      <w14:textFill>
                        <w14:solidFill>
                          <w14:schemeClr w14:val="tx1">
                            <w14:lumMod w14:val="95000"/>
                            <w14:lumOff w14:val="5000"/>
                          </w14:schemeClr>
                        </w14:solidFill>
                      </w14:textFill>
                    </w:rPr>
                    <w:t>碘值要求不低</w:t>
                  </w:r>
                  <w:r>
                    <w:rPr>
                      <w:rFonts w:hint="default" w:hAnsi="宋体"/>
                      <w:color w:val="0D0D0D" w:themeColor="text1" w:themeTint="F2"/>
                      <w:kern w:val="24"/>
                      <w:szCs w:val="21"/>
                      <w14:textFill>
                        <w14:solidFill>
                          <w14:schemeClr w14:val="tx1">
                            <w14:lumMod w14:val="95000"/>
                            <w14:lumOff w14:val="5000"/>
                          </w14:schemeClr>
                        </w14:solidFill>
                      </w14:textFill>
                    </w:rPr>
                    <w:t>800 mg/g</w:t>
                  </w:r>
                  <w:r>
                    <w:rPr>
                      <w:rFonts w:hint="eastAsia" w:hAnsi="宋体"/>
                      <w:color w:val="0D0D0D" w:themeColor="text1" w:themeTint="F2"/>
                      <w:kern w:val="24"/>
                      <w:szCs w:val="21"/>
                      <w14:textFill>
                        <w14:solidFill>
                          <w14:schemeClr w14:val="tx1">
                            <w14:lumMod w14:val="95000"/>
                            <w14:lumOff w14:val="5000"/>
                          </w14:schemeClr>
                        </w14:solidFill>
                      </w14:textFill>
                    </w:rPr>
                    <w:t>，活性炭足额填充，及其更换。废气停留时间、温度、颗粒物浓度满足《吸附法工业有机废气治理工程技术规范》（</w:t>
                  </w:r>
                  <w:r>
                    <w:rPr>
                      <w:rFonts w:hint="default" w:hAnsi="宋体"/>
                      <w:color w:val="0D0D0D" w:themeColor="text1" w:themeTint="F2"/>
                      <w:kern w:val="24"/>
                      <w:szCs w:val="21"/>
                      <w14:textFill>
                        <w14:solidFill>
                          <w14:schemeClr w14:val="tx1">
                            <w14:lumMod w14:val="95000"/>
                            <w14:lumOff w14:val="5000"/>
                          </w14:schemeClr>
                        </w14:solidFill>
                      </w14:textFill>
                    </w:rPr>
                    <w:t>HJ2026-2013</w:t>
                  </w:r>
                  <w:r>
                    <w:rPr>
                      <w:rFonts w:hint="eastAsia" w:hAnsi="宋体"/>
                      <w:color w:val="0D0D0D" w:themeColor="text1" w:themeTint="F2"/>
                      <w:kern w:val="24"/>
                      <w:szCs w:val="21"/>
                      <w14:textFill>
                        <w14:solidFill>
                          <w14:schemeClr w14:val="tx1">
                            <w14:lumMod w14:val="95000"/>
                            <w14:lumOff w14:val="5000"/>
                          </w14:schemeClr>
                        </w14:solidFill>
                      </w14:textFill>
                    </w:rPr>
                    <w:t>）；活性炭吸附饱和后更换下来的废活性炭收集后密封存放于专用容器内，于危废暂存间暂存，定期委托有资质单位处理处置。项目运营期要求加强运行维护管理，确保活性炭吸附设施运行效率</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30" w:type="dxa"/>
                  <w:gridSpan w:val="3"/>
                  <w:shd w:val="clear" w:color="auto" w:fill="auto"/>
                  <w:vAlign w:val="center"/>
                </w:tcPr>
                <w:p>
                  <w:pPr>
                    <w:keepNext w:val="0"/>
                    <w:keepLines w:val="0"/>
                    <w:widowControl/>
                    <w:suppressLineNumbers w:val="0"/>
                    <w:snapToGrid w:val="0"/>
                    <w:spacing w:before="0" w:beforeAutospacing="0" w:after="0" w:afterAutospacing="0"/>
                    <w:ind w:left="0" w:right="0"/>
                    <w:jc w:val="center"/>
                    <w:rPr>
                      <w:rFonts w:hint="default" w:hAnsi="宋体"/>
                      <w:b/>
                      <w:color w:val="0D0D0D" w:themeColor="text1" w:themeTint="F2"/>
                      <w:kern w:val="0"/>
                      <w:szCs w:val="21"/>
                      <w14:textFill>
                        <w14:solidFill>
                          <w14:schemeClr w14:val="tx1">
                            <w14:lumMod w14:val="95000"/>
                            <w14:lumOff w14:val="5000"/>
                          </w14:schemeClr>
                        </w14:solidFill>
                      </w14:textFill>
                    </w:rPr>
                  </w:pPr>
                  <w:r>
                    <w:rPr>
                      <w:rFonts w:hint="eastAsia" w:hAnsi="宋体"/>
                      <w:b/>
                      <w:color w:val="0D0D0D" w:themeColor="text1" w:themeTint="F2"/>
                      <w:kern w:val="0"/>
                      <w:szCs w:val="21"/>
                      <w14:textFill>
                        <w14:solidFill>
                          <w14:schemeClr w14:val="tx1">
                            <w14:lumMod w14:val="95000"/>
                            <w14:lumOff w14:val="5000"/>
                          </w14:schemeClr>
                        </w14:solidFill>
                      </w14:textFill>
                    </w:rPr>
                    <w:t>《芜湖市</w:t>
                  </w:r>
                  <w:r>
                    <w:rPr>
                      <w:rFonts w:hint="default" w:hAnsi="宋体"/>
                      <w:b/>
                      <w:color w:val="0D0D0D" w:themeColor="text1" w:themeTint="F2"/>
                      <w:kern w:val="0"/>
                      <w:szCs w:val="21"/>
                      <w14:textFill>
                        <w14:solidFill>
                          <w14:schemeClr w14:val="tx1">
                            <w14:lumMod w14:val="95000"/>
                            <w14:lumOff w14:val="5000"/>
                          </w14:schemeClr>
                        </w14:solidFill>
                      </w14:textFill>
                    </w:rPr>
                    <w:t>2021</w:t>
                  </w:r>
                  <w:r>
                    <w:rPr>
                      <w:rFonts w:hint="eastAsia" w:hAnsi="宋体"/>
                      <w:b/>
                      <w:color w:val="0D0D0D" w:themeColor="text1" w:themeTint="F2"/>
                      <w:kern w:val="0"/>
                      <w:szCs w:val="21"/>
                      <w14:textFill>
                        <w14:solidFill>
                          <w14:schemeClr w14:val="tx1">
                            <w14:lumMod w14:val="95000"/>
                            <w14:lumOff w14:val="5000"/>
                          </w14:schemeClr>
                        </w14:solidFill>
                      </w14:textFill>
                    </w:rPr>
                    <w:t>年挥发性有机物污染治理攻坚行动方案》（芜大气办</w:t>
                  </w:r>
                  <w:r>
                    <w:rPr>
                      <w:rFonts w:hint="default" w:hAnsi="宋体"/>
                      <w:b/>
                      <w:color w:val="0D0D0D" w:themeColor="text1" w:themeTint="F2"/>
                      <w:kern w:val="0"/>
                      <w:szCs w:val="21"/>
                      <w14:textFill>
                        <w14:solidFill>
                          <w14:schemeClr w14:val="tx1">
                            <w14:lumMod w14:val="95000"/>
                            <w14:lumOff w14:val="5000"/>
                          </w14:schemeClr>
                        </w14:solidFill>
                      </w14:textFill>
                    </w:rPr>
                    <w:t>[2021]7</w:t>
                  </w:r>
                  <w:r>
                    <w:rPr>
                      <w:rFonts w:hint="eastAsia" w:hAnsi="宋体"/>
                      <w:b/>
                      <w:color w:val="0D0D0D" w:themeColor="text1" w:themeTint="F2"/>
                      <w:kern w:val="0"/>
                      <w:szCs w:val="21"/>
                      <w14:textFill>
                        <w14:solidFill>
                          <w14:schemeClr w14:val="tx1">
                            <w14:lumMod w14:val="95000"/>
                            <w14:lumOff w14:val="5000"/>
                          </w14:schemeClr>
                        </w14:solidFill>
                      </w14:textFill>
                    </w:rPr>
                    <w:t>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97"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开展“三率”治理效果帮扶指导。以年度治理项目为重点，对企业</w:t>
                  </w:r>
                  <w:r>
                    <w:rPr>
                      <w:rFonts w:hint="default" w:hAnsi="宋体"/>
                      <w:color w:val="0D0D0D" w:themeColor="text1" w:themeTint="F2"/>
                      <w:kern w:val="24"/>
                      <w:szCs w:val="21"/>
                      <w14:textFill>
                        <w14:solidFill>
                          <w14:schemeClr w14:val="tx1">
                            <w14:lumMod w14:val="95000"/>
                            <w14:lumOff w14:val="5000"/>
                          </w14:schemeClr>
                        </w14:solidFill>
                      </w14:textFill>
                    </w:rPr>
                    <w:t>VOCs</w:t>
                  </w:r>
                  <w:r>
                    <w:rPr>
                      <w:rFonts w:hint="eastAsia" w:hAnsi="宋体"/>
                      <w:color w:val="0D0D0D" w:themeColor="text1" w:themeTint="F2"/>
                      <w:kern w:val="24"/>
                      <w:szCs w:val="21"/>
                      <w14:textFill>
                        <w14:solidFill>
                          <w14:schemeClr w14:val="tx1">
                            <w14:lumMod w14:val="95000"/>
                            <w14:lumOff w14:val="5000"/>
                          </w14:schemeClr>
                        </w14:solidFill>
                      </w14:textFill>
                    </w:rPr>
                    <w:t>废气收集效率、治理设施同步运行效率和去除效率开展帮扶指导，重点关注单一采用光氧化、光催化、低温等离子、一次性活性炭吸附、喷淋吸附等相对低效工艺的治理设施的运行结果，建立管理台账，对采用简易治理工艺的企业开展抽测并形成抽测报告，</w:t>
                  </w:r>
                  <w:r>
                    <w:rPr>
                      <w:rFonts w:hint="default" w:hAnsi="宋体"/>
                      <w:color w:val="0D0D0D" w:themeColor="text1" w:themeTint="F2"/>
                      <w:kern w:val="24"/>
                      <w:szCs w:val="21"/>
                      <w14:textFill>
                        <w14:solidFill>
                          <w14:schemeClr w14:val="tx1">
                            <w14:lumMod w14:val="95000"/>
                            <w14:lumOff w14:val="5000"/>
                          </w14:schemeClr>
                        </w14:solidFill>
                      </w14:textFill>
                    </w:rPr>
                    <w:t>6</w:t>
                  </w:r>
                  <w:r>
                    <w:rPr>
                      <w:rFonts w:hint="eastAsia" w:hAnsi="宋体"/>
                      <w:color w:val="0D0D0D" w:themeColor="text1" w:themeTint="F2"/>
                      <w:kern w:val="24"/>
                      <w:szCs w:val="21"/>
                      <w14:textFill>
                        <w14:solidFill>
                          <w14:schemeClr w14:val="tx1">
                            <w14:lumMod w14:val="95000"/>
                            <w14:lumOff w14:val="5000"/>
                          </w14:schemeClr>
                        </w14:solidFill>
                      </w14:textFill>
                    </w:rPr>
                    <w:t>月—</w:t>
                  </w:r>
                  <w:r>
                    <w:rPr>
                      <w:rFonts w:hint="default" w:hAnsi="宋体"/>
                      <w:color w:val="0D0D0D" w:themeColor="text1" w:themeTint="F2"/>
                      <w:kern w:val="24"/>
                      <w:szCs w:val="21"/>
                      <w14:textFill>
                        <w14:solidFill>
                          <w14:schemeClr w14:val="tx1">
                            <w14:lumMod w14:val="95000"/>
                            <w14:lumOff w14:val="5000"/>
                          </w14:schemeClr>
                        </w14:solidFill>
                      </w14:textFill>
                    </w:rPr>
                    <w:t>9</w:t>
                  </w:r>
                  <w:r>
                    <w:rPr>
                      <w:rFonts w:hint="eastAsia" w:hAnsi="宋体"/>
                      <w:color w:val="0D0D0D" w:themeColor="text1" w:themeTint="F2"/>
                      <w:kern w:val="24"/>
                      <w:szCs w:val="21"/>
                      <w14:textFill>
                        <w14:solidFill>
                          <w14:schemeClr w14:val="tx1">
                            <w14:lumMod w14:val="95000"/>
                            <w14:lumOff w14:val="5000"/>
                          </w14:schemeClr>
                        </w14:solidFill>
                      </w14:textFill>
                    </w:rPr>
                    <w:t>月之间持续开展。督促复核条件的企业成一轮活性炭更换工作，</w:t>
                  </w:r>
                  <w:r>
                    <w:rPr>
                      <w:rFonts w:hint="default" w:hAnsi="宋体"/>
                      <w:color w:val="0D0D0D" w:themeColor="text1" w:themeTint="F2"/>
                      <w:kern w:val="24"/>
                      <w:szCs w:val="21"/>
                      <w14:textFill>
                        <w14:solidFill>
                          <w14:schemeClr w14:val="tx1">
                            <w14:lumMod w14:val="95000"/>
                            <w14:lumOff w14:val="5000"/>
                          </w14:schemeClr>
                        </w14:solidFill>
                      </w14:textFill>
                    </w:rPr>
                    <w:t>7</w:t>
                  </w:r>
                  <w:r>
                    <w:rPr>
                      <w:rFonts w:hint="eastAsia" w:hAnsi="宋体"/>
                      <w:color w:val="0D0D0D" w:themeColor="text1" w:themeTint="F2"/>
                      <w:kern w:val="24"/>
                      <w:szCs w:val="21"/>
                      <w14:textFill>
                        <w14:solidFill>
                          <w14:schemeClr w14:val="tx1">
                            <w14:lumMod w14:val="95000"/>
                            <w14:lumOff w14:val="5000"/>
                          </w14:schemeClr>
                        </w14:solidFill>
                      </w14:textFill>
                    </w:rPr>
                    <w:t>月</w:t>
                  </w:r>
                  <w:r>
                    <w:rPr>
                      <w:rFonts w:hint="default" w:hAnsi="宋体"/>
                      <w:color w:val="0D0D0D" w:themeColor="text1" w:themeTint="F2"/>
                      <w:kern w:val="24"/>
                      <w:szCs w:val="21"/>
                      <w14:textFill>
                        <w14:solidFill>
                          <w14:schemeClr w14:val="tx1">
                            <w14:lumMod w14:val="95000"/>
                            <w14:lumOff w14:val="5000"/>
                          </w14:schemeClr>
                        </w14:solidFill>
                      </w14:textFill>
                    </w:rPr>
                    <w:t>31</w:t>
                  </w:r>
                  <w:r>
                    <w:rPr>
                      <w:rFonts w:hint="eastAsia" w:hAnsi="宋体"/>
                      <w:color w:val="0D0D0D" w:themeColor="text1" w:themeTint="F2"/>
                      <w:kern w:val="24"/>
                      <w:szCs w:val="21"/>
                      <w14:textFill>
                        <w14:solidFill>
                          <w14:schemeClr w14:val="tx1">
                            <w14:lumMod w14:val="95000"/>
                            <w14:lumOff w14:val="5000"/>
                          </w14:schemeClr>
                        </w14:solidFill>
                      </w14:textFill>
                    </w:rPr>
                    <w:t>日前完成</w:t>
                  </w:r>
                </w:p>
              </w:tc>
              <w:tc>
                <w:tcPr>
                  <w:tcW w:w="2642" w:type="dxa"/>
                  <w:shd w:val="clear" w:color="auto" w:fill="auto"/>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auto"/>
                      <w:kern w:val="24"/>
                      <w:szCs w:val="21"/>
                    </w:rPr>
                    <w:t>项目</w:t>
                  </w:r>
                  <w:r>
                    <w:rPr>
                      <w:rFonts w:hint="eastAsia" w:hAnsi="宋体"/>
                      <w:color w:val="auto"/>
                      <w:kern w:val="24"/>
                      <w:szCs w:val="21"/>
                      <w:highlight w:val="none"/>
                      <w:lang w:val="en-US" w:eastAsia="zh-CN"/>
                    </w:rPr>
                    <w:t>压铸脱模废气</w:t>
                  </w:r>
                  <w:r>
                    <w:rPr>
                      <w:rFonts w:hint="eastAsia" w:hAnsi="宋体"/>
                      <w:color w:val="auto"/>
                      <w:kern w:val="24"/>
                      <w:szCs w:val="21"/>
                      <w:highlight w:val="none"/>
                    </w:rPr>
                    <w:t>经</w:t>
                  </w:r>
                  <w:r>
                    <w:rPr>
                      <w:rFonts w:hint="eastAsia" w:hAnsi="宋体"/>
                      <w:color w:val="auto"/>
                      <w:kern w:val="24"/>
                      <w:szCs w:val="21"/>
                      <w:highlight w:val="none"/>
                      <w:lang w:val="en-US" w:eastAsia="zh-CN"/>
                    </w:rPr>
                    <w:t>静电油雾净化+</w:t>
                  </w:r>
                  <w:r>
                    <w:rPr>
                      <w:rFonts w:hint="eastAsia" w:hAnsi="宋体"/>
                      <w:color w:val="auto"/>
                      <w:kern w:val="24"/>
                      <w:szCs w:val="21"/>
                      <w:highlight w:val="none"/>
                    </w:rPr>
                    <w:t>两级活性炭处理</w:t>
                  </w:r>
                  <w:r>
                    <w:rPr>
                      <w:rFonts w:hint="eastAsia" w:hAnsi="宋体"/>
                      <w:color w:val="auto"/>
                      <w:kern w:val="24"/>
                      <w:szCs w:val="21"/>
                    </w:rPr>
                    <w:t>。吸附法</w:t>
                  </w:r>
                  <w:r>
                    <w:rPr>
                      <w:rFonts w:hint="eastAsia" w:hAnsi="宋体"/>
                      <w:color w:val="auto"/>
                      <w:kern w:val="24"/>
                      <w:szCs w:val="21"/>
                      <w:lang w:val="en-US" w:eastAsia="zh-CN"/>
                    </w:rPr>
                    <w:t>《铸造工业大气污染防治可行技术指南》（HJ1292-2023）</w:t>
                  </w:r>
                  <w:r>
                    <w:rPr>
                      <w:rFonts w:hint="eastAsia" w:hAnsi="宋体"/>
                      <w:color w:val="auto"/>
                      <w:kern w:val="24"/>
                      <w:szCs w:val="21"/>
                    </w:rPr>
                    <w:t>中建</w:t>
                  </w:r>
                  <w:r>
                    <w:rPr>
                      <w:rFonts w:hint="eastAsia" w:hAnsi="宋体"/>
                      <w:color w:val="0D0D0D" w:themeColor="text1" w:themeTint="F2"/>
                      <w:kern w:val="24"/>
                      <w:szCs w:val="21"/>
                      <w14:textFill>
                        <w14:solidFill>
                          <w14:schemeClr w14:val="tx1">
                            <w14:lumMod w14:val="95000"/>
                            <w14:lumOff w14:val="5000"/>
                          </w14:schemeClr>
                        </w14:solidFill>
                      </w14:textFill>
                    </w:rPr>
                    <w:t>议</w:t>
                  </w: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的</w:t>
                  </w:r>
                  <w:r>
                    <w:rPr>
                      <w:rFonts w:hint="eastAsia" w:hAnsi="宋体"/>
                      <w:color w:val="0D0D0D" w:themeColor="text1" w:themeTint="F2"/>
                      <w:kern w:val="24"/>
                      <w:szCs w:val="21"/>
                      <w14:textFill>
                        <w14:solidFill>
                          <w14:schemeClr w14:val="tx1">
                            <w14:lumMod w14:val="95000"/>
                            <w14:lumOff w14:val="5000"/>
                          </w14:schemeClr>
                        </w14:solidFill>
                      </w14:textFill>
                    </w:rPr>
                    <w:t>治理措施</w:t>
                  </w:r>
                </w:p>
              </w:tc>
              <w:tc>
                <w:tcPr>
                  <w:tcW w:w="691" w:type="dxa"/>
                  <w:vAlign w:val="center"/>
                </w:tcPr>
                <w:p>
                  <w:pPr>
                    <w:keepNext w:val="0"/>
                    <w:keepLines w:val="0"/>
                    <w:widowControl/>
                    <w:suppressLineNumbers w:val="0"/>
                    <w:snapToGrid w:val="0"/>
                    <w:spacing w:before="0" w:beforeAutospacing="0" w:after="0" w:afterAutospacing="0"/>
                    <w:ind w:left="0" w:right="0"/>
                    <w:jc w:val="center"/>
                    <w:rPr>
                      <w:rFonts w:hint="default"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符合</w:t>
                  </w:r>
                </w:p>
              </w:tc>
            </w:tr>
          </w:tbl>
          <w:p>
            <w:pPr>
              <w:keepNext w:val="0"/>
              <w:keepLines w:val="0"/>
              <w:widowControl w:val="0"/>
              <w:suppressLineNumbers w:val="0"/>
              <w:spacing w:before="0" w:beforeAutospacing="0" w:after="0" w:afterAutospacing="0" w:line="360" w:lineRule="auto"/>
              <w:ind w:left="0" w:right="0" w:firstLine="482" w:firstLineChars="200"/>
              <w:jc w:val="both"/>
              <w:rPr>
                <w:rFonts w:hint="default" w:ascii="Times New Roman" w:hAnsi="Times New Roman" w:eastAsia="宋体" w:cs="Times New Roman"/>
                <w:b/>
                <w:bCs w:val="0"/>
                <w:color w:val="0C0C0C"/>
                <w:kern w:val="2"/>
                <w:sz w:val="24"/>
                <w:szCs w:val="24"/>
              </w:rPr>
            </w:pPr>
            <w:r>
              <w:rPr>
                <w:rFonts w:hint="default" w:ascii="Times New Roman" w:hAnsi="Times New Roman" w:eastAsia="宋体" w:cs="Times New Roman"/>
                <w:b/>
                <w:bCs w:val="0"/>
                <w:color w:val="0C0C0C"/>
                <w:kern w:val="2"/>
                <w:sz w:val="24"/>
                <w:szCs w:val="24"/>
                <w:lang w:val="en-US" w:eastAsia="zh-CN" w:bidi="ar"/>
              </w:rPr>
              <w:t>9</w:t>
            </w:r>
            <w:r>
              <w:rPr>
                <w:rFonts w:hint="eastAsia" w:ascii="宋体" w:hAnsi="宋体" w:eastAsia="宋体" w:cs="宋体"/>
                <w:b/>
                <w:bCs w:val="0"/>
                <w:color w:val="0C0C0C"/>
                <w:kern w:val="2"/>
                <w:sz w:val="24"/>
                <w:szCs w:val="24"/>
                <w:lang w:val="en-US" w:eastAsia="zh-CN" w:bidi="ar"/>
              </w:rPr>
              <w:t>、与《挥发性有机物无组织排放控制标准》（</w:t>
            </w:r>
            <w:r>
              <w:rPr>
                <w:rFonts w:hint="default" w:ascii="Times New Roman" w:hAnsi="Times New Roman" w:eastAsia="宋体" w:cs="Times New Roman"/>
                <w:b/>
                <w:bCs w:val="0"/>
                <w:color w:val="0C0C0C"/>
                <w:kern w:val="2"/>
                <w:sz w:val="24"/>
                <w:szCs w:val="24"/>
                <w:lang w:val="en-US" w:eastAsia="zh-CN" w:bidi="ar"/>
              </w:rPr>
              <w:t>GB37822-2019</w:t>
            </w:r>
            <w:r>
              <w:rPr>
                <w:rFonts w:hint="eastAsia" w:ascii="宋体" w:hAnsi="宋体" w:eastAsia="宋体" w:cs="宋体"/>
                <w:b/>
                <w:bCs w:val="0"/>
                <w:color w:val="0C0C0C"/>
                <w:kern w:val="2"/>
                <w:sz w:val="24"/>
                <w:szCs w:val="24"/>
                <w:lang w:val="en-US" w:eastAsia="zh-CN" w:bidi="ar"/>
              </w:rPr>
              <w:t>）相符性分析</w:t>
            </w:r>
          </w:p>
          <w:p>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bCs w:val="0"/>
                <w:color w:val="0C0C0C"/>
                <w:kern w:val="2"/>
                <w:sz w:val="24"/>
                <w:szCs w:val="24"/>
              </w:rPr>
            </w:pPr>
            <w:r>
              <w:rPr>
                <w:rFonts w:hint="eastAsia" w:ascii="宋体" w:hAnsi="宋体" w:eastAsia="宋体" w:cs="宋体"/>
                <w:b/>
                <w:bCs w:val="0"/>
                <w:color w:val="0C0C0C"/>
                <w:kern w:val="2"/>
                <w:sz w:val="24"/>
                <w:szCs w:val="24"/>
                <w:lang w:val="en-US" w:eastAsia="zh-CN" w:bidi="ar"/>
              </w:rPr>
              <w:t>表</w:t>
            </w:r>
            <w:r>
              <w:rPr>
                <w:rFonts w:hint="default" w:ascii="Times New Roman" w:hAnsi="Times New Roman" w:eastAsia="宋体" w:cs="Times New Roman"/>
                <w:b/>
                <w:bCs w:val="0"/>
                <w:color w:val="0C0C0C"/>
                <w:kern w:val="2"/>
                <w:sz w:val="24"/>
                <w:szCs w:val="24"/>
                <w:lang w:val="en-US" w:eastAsia="zh-CN" w:bidi="ar"/>
              </w:rPr>
              <w:t>1-1</w:t>
            </w:r>
            <w:r>
              <w:rPr>
                <w:rFonts w:hint="eastAsia" w:cs="Times New Roman"/>
                <w:b/>
                <w:bCs w:val="0"/>
                <w:color w:val="0C0C0C"/>
                <w:kern w:val="2"/>
                <w:sz w:val="24"/>
                <w:szCs w:val="24"/>
                <w:lang w:val="en-US" w:eastAsia="zh-CN" w:bidi="ar"/>
              </w:rPr>
              <w:t>1</w:t>
            </w:r>
            <w:r>
              <w:rPr>
                <w:rFonts w:hint="default" w:ascii="Times New Roman" w:hAnsi="Times New Roman" w:eastAsia="宋体" w:cs="Times New Roman"/>
                <w:b/>
                <w:bCs w:val="0"/>
                <w:color w:val="0C0C0C"/>
                <w:kern w:val="2"/>
                <w:sz w:val="24"/>
                <w:szCs w:val="24"/>
                <w:lang w:val="en-US" w:eastAsia="zh-CN" w:bidi="ar"/>
              </w:rPr>
              <w:t xml:space="preserve"> </w:t>
            </w:r>
            <w:r>
              <w:rPr>
                <w:rFonts w:hint="eastAsia" w:ascii="Times New Roman" w:hAnsi="Times New Roman" w:eastAsia="宋体" w:cs="Times New Roman"/>
                <w:b/>
                <w:bCs w:val="0"/>
                <w:color w:val="0C0C0C"/>
                <w:kern w:val="2"/>
                <w:sz w:val="24"/>
                <w:szCs w:val="24"/>
                <w:lang w:val="en-US" w:eastAsia="zh-CN" w:bidi="ar"/>
              </w:rPr>
              <w:t xml:space="preserve"> </w:t>
            </w:r>
            <w:r>
              <w:rPr>
                <w:rFonts w:hint="eastAsia" w:ascii="宋体" w:hAnsi="宋体" w:eastAsia="宋体" w:cs="宋体"/>
                <w:b/>
                <w:bCs w:val="0"/>
                <w:color w:val="0C0C0C"/>
                <w:kern w:val="2"/>
                <w:sz w:val="24"/>
                <w:szCs w:val="24"/>
                <w:lang w:val="en-US" w:eastAsia="zh-CN" w:bidi="ar"/>
              </w:rPr>
              <w:t>与《挥发性有机物无组织排放控制标准》相符性分析</w:t>
            </w:r>
          </w:p>
          <w:tbl>
            <w:tblPr>
              <w:tblStyle w:val="59"/>
              <w:tblW w:w="5000"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687"/>
              <w:gridCol w:w="2685"/>
              <w:gridCol w:w="1066"/>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文件内容</w:t>
                  </w:r>
                </w:p>
              </w:tc>
              <w:tc>
                <w:tcPr>
                  <w:tcW w:w="1805" w:type="pc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本项目建设情况</w:t>
                  </w:r>
                </w:p>
              </w:tc>
              <w:tc>
                <w:tcPr>
                  <w:tcW w:w="716" w:type="pct"/>
                  <w:tcBorders>
                    <w:top w:val="single" w:color="auto" w:sz="12"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相符性</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物料应储存于密闭的容器、包装袋、储罐、储库、料仓中。</w:t>
                  </w:r>
                </w:p>
                <w:p>
                  <w:pPr>
                    <w:pStyle w:val="54"/>
                    <w:keepNext w:val="0"/>
                    <w:keepLines w:val="0"/>
                    <w:widowControl w:val="0"/>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 xml:space="preserve">5.1.2 </w:t>
                  </w:r>
                  <w:r>
                    <w:rPr>
                      <w:rFonts w:hint="eastAsia" w:ascii="宋体" w:hAnsi="宋体" w:eastAsia="宋体" w:cs="宋体"/>
                      <w:color w:val="0C0C0C"/>
                      <w:kern w:val="0"/>
                      <w:sz w:val="21"/>
                      <w:szCs w:val="21"/>
                      <w:lang w:val="en-US" w:eastAsia="zh-CN" w:bidi="ar"/>
                    </w:rPr>
                    <w:t>盛装</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物料的容器或包装袋应存放于室内，或存放于设置有雨棚、遮阳和防渗设施的专用场地。盛装</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物料的容器或包装袋在非取用状态时应加盖、封口，保持密闭。</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本项目涉及</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物料</w:t>
                  </w:r>
                  <w:r>
                    <w:rPr>
                      <w:rFonts w:hint="eastAsia" w:ascii="宋体" w:hAnsi="宋体" w:eastAsia="宋体" w:cs="宋体"/>
                      <w:color w:val="0C0C0C"/>
                      <w:kern w:val="2"/>
                      <w:sz w:val="21"/>
                      <w:szCs w:val="21"/>
                      <w:lang w:val="en-US" w:eastAsia="zh-CN" w:bidi="ar"/>
                    </w:rPr>
                    <w:t>原料为</w:t>
                  </w:r>
                  <w:r>
                    <w:rPr>
                      <w:rFonts w:hint="eastAsia" w:ascii="宋体" w:hAnsi="宋体" w:cs="宋体"/>
                      <w:color w:val="0C0C0C"/>
                      <w:kern w:val="2"/>
                      <w:sz w:val="21"/>
                      <w:szCs w:val="21"/>
                      <w:lang w:val="en-US" w:eastAsia="zh-CN" w:bidi="ar"/>
                    </w:rPr>
                    <w:t>脱模剂</w:t>
                  </w:r>
                  <w:r>
                    <w:rPr>
                      <w:rFonts w:hint="eastAsia" w:ascii="宋体" w:hAnsi="宋体" w:eastAsia="宋体" w:cs="宋体"/>
                      <w:color w:val="0C0C0C"/>
                      <w:kern w:val="2"/>
                      <w:sz w:val="21"/>
                      <w:szCs w:val="21"/>
                      <w:lang w:val="en-US" w:eastAsia="zh-CN" w:bidi="ar"/>
                    </w:rPr>
                    <w:t>，</w:t>
                  </w:r>
                  <w:r>
                    <w:rPr>
                      <w:rFonts w:hint="eastAsia" w:ascii="宋体" w:hAnsi="宋体" w:eastAsia="宋体" w:cs="宋体"/>
                      <w:bCs/>
                      <w:color w:val="0C0C0C"/>
                      <w:kern w:val="0"/>
                      <w:sz w:val="21"/>
                      <w:szCs w:val="21"/>
                      <w:lang w:val="en-US" w:eastAsia="zh-CN" w:bidi="ar"/>
                    </w:rPr>
                    <w:t>化学性质稳定，</w:t>
                  </w:r>
                  <w:r>
                    <w:rPr>
                      <w:rFonts w:hint="eastAsia" w:ascii="宋体" w:hAnsi="宋体" w:eastAsia="宋体" w:cs="宋体"/>
                      <w:color w:val="0C0C0C"/>
                      <w:kern w:val="2"/>
                      <w:sz w:val="21"/>
                      <w:szCs w:val="21"/>
                      <w:lang w:val="en-US" w:eastAsia="zh-CN" w:bidi="ar"/>
                    </w:rPr>
                    <w:t>常温下不挥发，并且在密闭的包装袋内保存</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pStyle w:val="54"/>
                    <w:keepNext w:val="0"/>
                    <w:keepLines w:val="0"/>
                    <w:widowControl w:val="0"/>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 xml:space="preserve">7.3.1 </w:t>
                  </w:r>
                  <w:r>
                    <w:rPr>
                      <w:rFonts w:hint="eastAsia" w:ascii="宋体" w:hAnsi="宋体" w:eastAsia="宋体" w:cs="宋体"/>
                      <w:color w:val="0C0C0C"/>
                      <w:kern w:val="0"/>
                      <w:sz w:val="21"/>
                      <w:szCs w:val="21"/>
                      <w:lang w:val="en-US" w:eastAsia="zh-CN" w:bidi="ar"/>
                    </w:rPr>
                    <w:t>企业应建立台账，记录含</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原辅材料和含</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产品的名称、使用量、回收量、废弃量、去向以及</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含量等信息。台账保存期限不少于</w:t>
                  </w:r>
                  <w:r>
                    <w:rPr>
                      <w:rFonts w:hint="default" w:ascii="Times New Roman" w:hAnsi="Times New Roman" w:eastAsia="宋体" w:cs="Times New Roman"/>
                      <w:color w:val="0C0C0C"/>
                      <w:kern w:val="0"/>
                      <w:sz w:val="21"/>
                      <w:szCs w:val="21"/>
                      <w:lang w:val="en-US" w:eastAsia="zh-CN" w:bidi="ar"/>
                    </w:rPr>
                    <w:t>3</w:t>
                  </w:r>
                  <w:r>
                    <w:rPr>
                      <w:rFonts w:hint="eastAsia" w:ascii="宋体" w:hAnsi="宋体" w:eastAsia="宋体" w:cs="宋体"/>
                      <w:color w:val="0C0C0C"/>
                      <w:kern w:val="0"/>
                      <w:sz w:val="21"/>
                      <w:szCs w:val="21"/>
                      <w:lang w:val="en-US" w:eastAsia="zh-CN" w:bidi="ar"/>
                    </w:rPr>
                    <w:t>年。</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环评要求：建设单位实际生产过程中建立</w:t>
                  </w:r>
                  <w:r>
                    <w:rPr>
                      <w:rFonts w:hint="default" w:ascii="Times New Roman" w:hAnsi="Times New Roman" w:eastAsia="宋体" w:cs="Times New Roman"/>
                      <w:color w:val="0C0C0C"/>
                      <w:kern w:val="2"/>
                      <w:sz w:val="21"/>
                      <w:szCs w:val="21"/>
                      <w:lang w:val="en-US" w:eastAsia="zh-CN" w:bidi="ar"/>
                    </w:rPr>
                    <w:t>VOCs</w:t>
                  </w:r>
                  <w:r>
                    <w:rPr>
                      <w:rFonts w:hint="eastAsia" w:ascii="宋体" w:hAnsi="宋体" w:eastAsia="宋体" w:cs="宋体"/>
                      <w:color w:val="0C0C0C"/>
                      <w:kern w:val="2"/>
                      <w:sz w:val="21"/>
                      <w:szCs w:val="21"/>
                      <w:lang w:val="en-US" w:eastAsia="zh-CN" w:bidi="ar"/>
                    </w:rPr>
                    <w:t>台账，详细记录含</w:t>
                  </w:r>
                  <w:r>
                    <w:rPr>
                      <w:rFonts w:hint="default" w:ascii="Times New Roman" w:hAnsi="Times New Roman" w:eastAsia="宋体" w:cs="Times New Roman"/>
                      <w:color w:val="0C0C0C"/>
                      <w:kern w:val="2"/>
                      <w:sz w:val="21"/>
                      <w:szCs w:val="21"/>
                      <w:lang w:val="en-US" w:eastAsia="zh-CN" w:bidi="ar"/>
                    </w:rPr>
                    <w:t>VOCs</w:t>
                  </w:r>
                  <w:r>
                    <w:rPr>
                      <w:rFonts w:hint="eastAsia" w:ascii="宋体" w:hAnsi="宋体" w:eastAsia="宋体" w:cs="宋体"/>
                      <w:color w:val="0C0C0C"/>
                      <w:kern w:val="2"/>
                      <w:sz w:val="21"/>
                      <w:szCs w:val="21"/>
                      <w:lang w:val="en-US" w:eastAsia="zh-CN" w:bidi="ar"/>
                    </w:rPr>
                    <w:t>原辅材料等相关信息，并要求台账保留至少</w:t>
                  </w:r>
                  <w:r>
                    <w:rPr>
                      <w:rFonts w:hint="default" w:ascii="Times New Roman" w:hAnsi="Times New Roman" w:eastAsia="宋体" w:cs="Times New Roman"/>
                      <w:color w:val="0C0C0C"/>
                      <w:kern w:val="2"/>
                      <w:sz w:val="21"/>
                      <w:szCs w:val="21"/>
                      <w:lang w:val="en-US" w:eastAsia="zh-CN" w:bidi="ar"/>
                    </w:rPr>
                    <w:t>5</w:t>
                  </w:r>
                  <w:r>
                    <w:rPr>
                      <w:rFonts w:hint="eastAsia" w:ascii="宋体" w:hAnsi="宋体" w:eastAsia="宋体" w:cs="宋体"/>
                      <w:color w:val="0C0C0C"/>
                      <w:kern w:val="2"/>
                      <w:sz w:val="21"/>
                      <w:szCs w:val="21"/>
                      <w:lang w:val="en-US" w:eastAsia="zh-CN" w:bidi="ar"/>
                    </w:rPr>
                    <w:t>年</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pStyle w:val="54"/>
                    <w:keepNext w:val="0"/>
                    <w:keepLines w:val="0"/>
                    <w:widowControl w:val="0"/>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10.1.2VOCs</w:t>
                  </w:r>
                  <w:r>
                    <w:rPr>
                      <w:rFonts w:hint="eastAsia" w:ascii="宋体" w:hAnsi="宋体" w:eastAsia="宋体" w:cs="宋体"/>
                      <w:color w:val="0C0C0C"/>
                      <w:kern w:val="0"/>
                      <w:sz w:val="21"/>
                      <w:szCs w:val="21"/>
                      <w:lang w:val="en-US" w:eastAsia="zh-CN" w:bidi="ar"/>
                    </w:rPr>
                    <w:t>废气收集处理系统应与生产工艺设备同步运行。</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废气收集处理系统发生故障或检修时，对应的生产工艺设备应停止运行，待检修完毕后同步投入使用；生产工艺设备不能停止运行或不能及时停止运行的，应设置废气应急处理设施或采取其他替代措施。</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环评要求：</w:t>
                  </w:r>
                  <w:r>
                    <w:rPr>
                      <w:rFonts w:hint="default" w:ascii="Times New Roman" w:hAnsi="Times New Roman" w:eastAsia="宋体" w:cs="Times New Roman"/>
                      <w:color w:val="0C0C0C"/>
                      <w:kern w:val="2"/>
                      <w:sz w:val="21"/>
                      <w:szCs w:val="21"/>
                      <w:lang w:val="en-US" w:eastAsia="zh-CN" w:bidi="ar"/>
                    </w:rPr>
                    <w:t>VOCs</w:t>
                  </w:r>
                  <w:r>
                    <w:rPr>
                      <w:rFonts w:hint="eastAsia" w:ascii="宋体" w:hAnsi="宋体" w:eastAsia="宋体" w:cs="宋体"/>
                      <w:color w:val="0C0C0C"/>
                      <w:kern w:val="2"/>
                      <w:sz w:val="21"/>
                      <w:szCs w:val="21"/>
                      <w:lang w:val="en-US" w:eastAsia="zh-CN" w:bidi="ar"/>
                    </w:rPr>
                    <w:t>废气收集处理系统与生产工艺设备同步运行。若</w:t>
                  </w:r>
                  <w:r>
                    <w:rPr>
                      <w:rFonts w:hint="default" w:ascii="Times New Roman" w:hAnsi="Times New Roman" w:eastAsia="宋体" w:cs="Times New Roman"/>
                      <w:color w:val="0C0C0C"/>
                      <w:kern w:val="2"/>
                      <w:sz w:val="21"/>
                      <w:szCs w:val="21"/>
                      <w:lang w:val="en-US" w:eastAsia="zh-CN" w:bidi="ar"/>
                    </w:rPr>
                    <w:t>VOCs</w:t>
                  </w:r>
                  <w:r>
                    <w:rPr>
                      <w:rFonts w:hint="eastAsia" w:ascii="宋体" w:hAnsi="宋体" w:eastAsia="宋体" w:cs="宋体"/>
                      <w:color w:val="0C0C0C"/>
                      <w:kern w:val="2"/>
                      <w:sz w:val="21"/>
                      <w:szCs w:val="21"/>
                      <w:lang w:val="en-US" w:eastAsia="zh-CN" w:bidi="ar"/>
                    </w:rPr>
                    <w:t>废气收集处理系统发生故障或检修时，对应的生产工艺设备应停止运行</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2"/>
                      <w:sz w:val="21"/>
                      <w:szCs w:val="21"/>
                      <w:lang w:val="en-US" w:eastAsia="zh-CN" w:bidi="ar"/>
                    </w:rPr>
                    <w:t xml:space="preserve">10.2.1 </w:t>
                  </w:r>
                  <w:r>
                    <w:rPr>
                      <w:rFonts w:hint="eastAsia" w:ascii="宋体" w:hAnsi="宋体" w:eastAsia="宋体" w:cs="宋体"/>
                      <w:color w:val="0C0C0C"/>
                      <w:kern w:val="2"/>
                      <w:sz w:val="21"/>
                      <w:szCs w:val="21"/>
                      <w:lang w:val="en-US" w:eastAsia="zh-CN" w:bidi="ar"/>
                    </w:rPr>
                    <w:t>企业应考虑生产工艺、操作方式、废气性质、处理方法等因素，对</w:t>
                  </w:r>
                  <w:r>
                    <w:rPr>
                      <w:rFonts w:hint="default" w:ascii="Times New Roman" w:hAnsi="Times New Roman" w:eastAsia="宋体" w:cs="Times New Roman"/>
                      <w:color w:val="0C0C0C"/>
                      <w:kern w:val="2"/>
                      <w:sz w:val="21"/>
                      <w:szCs w:val="21"/>
                      <w:lang w:val="en-US" w:eastAsia="zh-CN" w:bidi="ar"/>
                    </w:rPr>
                    <w:t>VOCs</w:t>
                  </w:r>
                  <w:r>
                    <w:rPr>
                      <w:rFonts w:hint="eastAsia" w:ascii="宋体" w:hAnsi="宋体" w:eastAsia="宋体" w:cs="宋体"/>
                      <w:color w:val="0C0C0C"/>
                      <w:kern w:val="2"/>
                      <w:sz w:val="21"/>
                      <w:szCs w:val="21"/>
                      <w:lang w:val="en-US" w:eastAsia="zh-CN" w:bidi="ar"/>
                    </w:rPr>
                    <w:t>废气进行分类收集。</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项目</w:t>
                  </w:r>
                  <w:r>
                    <w:rPr>
                      <w:rFonts w:hint="default" w:ascii="Times New Roman" w:hAnsi="Times New Roman" w:eastAsia="宋体" w:cs="Times New Roman"/>
                      <w:color w:val="auto"/>
                      <w:kern w:val="2"/>
                      <w:sz w:val="21"/>
                      <w:szCs w:val="21"/>
                      <w:lang w:val="en-US" w:eastAsia="zh-CN" w:bidi="ar"/>
                    </w:rPr>
                    <w:t>DA00</w:t>
                  </w:r>
                  <w:r>
                    <w:rPr>
                      <w:rFonts w:hint="eastAsia" w:cs="Times New Roman"/>
                      <w:color w:val="auto"/>
                      <w:kern w:val="2"/>
                      <w:sz w:val="21"/>
                      <w:szCs w:val="21"/>
                      <w:lang w:val="en-US" w:eastAsia="zh-CN" w:bidi="ar"/>
                    </w:rPr>
                    <w:t>2</w:t>
                  </w:r>
                  <w:r>
                    <w:rPr>
                      <w:rFonts w:hint="eastAsia" w:ascii="宋体" w:hAnsi="宋体" w:eastAsia="宋体" w:cs="宋体"/>
                      <w:color w:val="auto"/>
                      <w:kern w:val="2"/>
                      <w:sz w:val="21"/>
                      <w:szCs w:val="21"/>
                      <w:lang w:val="en-US" w:eastAsia="zh-CN" w:bidi="ar"/>
                    </w:rPr>
                    <w:t>有机废气收集后引至</w:t>
                  </w:r>
                  <w:r>
                    <w:rPr>
                      <w:rFonts w:hint="eastAsia" w:ascii="宋体" w:hAnsi="宋体" w:cs="宋体"/>
                      <w:color w:val="auto"/>
                      <w:kern w:val="2"/>
                      <w:sz w:val="21"/>
                      <w:szCs w:val="21"/>
                      <w:lang w:val="en-US" w:eastAsia="zh-CN" w:bidi="ar"/>
                    </w:rPr>
                    <w:t>静电油雾净化</w:t>
                  </w:r>
                  <w:r>
                    <w:rPr>
                      <w:rFonts w:hint="default" w:ascii="Times New Roman" w:hAnsi="Times New Roman" w:eastAsia="宋体" w:cs="Times New Roman"/>
                      <w:color w:val="auto"/>
                      <w:kern w:val="2"/>
                      <w:sz w:val="21"/>
                      <w:szCs w:val="21"/>
                      <w:lang w:val="en-US" w:eastAsia="zh-CN" w:bidi="ar"/>
                    </w:rPr>
                    <w:t>+</w:t>
                  </w:r>
                  <w:r>
                    <w:rPr>
                      <w:rFonts w:hint="eastAsia" w:ascii="宋体" w:hAnsi="宋体" w:eastAsia="宋体" w:cs="宋体"/>
                      <w:color w:val="auto"/>
                      <w:kern w:val="2"/>
                      <w:sz w:val="21"/>
                      <w:szCs w:val="21"/>
                      <w:lang w:val="en-US" w:eastAsia="zh-CN" w:bidi="ar"/>
                    </w:rPr>
                    <w:t>两级活性炭</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2"/>
                      <w:sz w:val="21"/>
                      <w:szCs w:val="21"/>
                      <w:lang w:val="en-US" w:eastAsia="zh-CN" w:bidi="ar"/>
                    </w:rPr>
                    <w:t>10.3.1 VOCs</w:t>
                  </w:r>
                  <w:r>
                    <w:rPr>
                      <w:rFonts w:hint="eastAsia" w:ascii="宋体" w:hAnsi="宋体" w:eastAsia="宋体" w:cs="宋体"/>
                      <w:color w:val="0C0C0C"/>
                      <w:kern w:val="2"/>
                      <w:sz w:val="21"/>
                      <w:szCs w:val="21"/>
                      <w:lang w:val="en-US" w:eastAsia="zh-CN" w:bidi="ar"/>
                    </w:rPr>
                    <w:t>废气收集处理系统污染物排放应符合</w:t>
                  </w:r>
                  <w:r>
                    <w:rPr>
                      <w:rFonts w:hint="default" w:ascii="Times New Roman" w:hAnsi="Times New Roman" w:eastAsia="宋体" w:cs="Times New Roman"/>
                      <w:color w:val="0C0C0C"/>
                      <w:kern w:val="2"/>
                      <w:sz w:val="21"/>
                      <w:szCs w:val="21"/>
                      <w:lang w:val="en-US" w:eastAsia="zh-CN" w:bidi="ar"/>
                    </w:rPr>
                    <w:t>GB16297</w:t>
                  </w:r>
                  <w:r>
                    <w:rPr>
                      <w:rFonts w:hint="eastAsia" w:ascii="宋体" w:hAnsi="宋体" w:eastAsia="宋体" w:cs="宋体"/>
                      <w:color w:val="0C0C0C"/>
                      <w:kern w:val="2"/>
                      <w:sz w:val="21"/>
                      <w:szCs w:val="21"/>
                      <w:lang w:val="en-US" w:eastAsia="zh-CN" w:bidi="ar"/>
                    </w:rPr>
                    <w:t>或相关行业排放标准的规定。</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bidi="ar"/>
                    </w:rPr>
                  </w:pPr>
                  <w:r>
                    <w:rPr>
                      <w:rFonts w:hint="eastAsia" w:ascii="宋体" w:hAnsi="宋体" w:eastAsia="宋体" w:cs="宋体"/>
                      <w:color w:val="auto"/>
                      <w:kern w:val="2"/>
                      <w:sz w:val="21"/>
                      <w:szCs w:val="21"/>
                      <w:lang w:val="en-US" w:eastAsia="zh-CN" w:bidi="ar"/>
                    </w:rPr>
                    <w:t xml:space="preserve">项目有机废气排放满足《大气污染物综合排放标准》 </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rPr>
                  </w:pPr>
                  <w:r>
                    <w:rPr>
                      <w:rFonts w:hint="eastAsia" w:ascii="宋体" w:hAnsi="宋体" w:eastAsia="宋体" w:cs="宋体"/>
                      <w:color w:val="auto"/>
                      <w:kern w:val="2"/>
                      <w:sz w:val="21"/>
                      <w:szCs w:val="21"/>
                      <w:lang w:val="en-US" w:eastAsia="zh-CN" w:bidi="ar"/>
                    </w:rPr>
                    <w:t>（GB16297-1996）表 2排放标准</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pStyle w:val="54"/>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10.3.2</w:t>
                  </w:r>
                  <w:r>
                    <w:rPr>
                      <w:rFonts w:hint="eastAsia" w:ascii="宋体" w:hAnsi="宋体" w:eastAsia="宋体" w:cs="宋体"/>
                      <w:color w:val="0C0C0C"/>
                      <w:kern w:val="0"/>
                      <w:sz w:val="21"/>
                      <w:szCs w:val="21"/>
                      <w:lang w:val="en-US" w:eastAsia="zh-CN" w:bidi="ar"/>
                    </w:rPr>
                    <w:t>收集的废气中</w:t>
                  </w:r>
                  <w:r>
                    <w:rPr>
                      <w:rFonts w:hint="default" w:ascii="Times New Roman" w:hAnsi="Times New Roman" w:eastAsia="宋体" w:cs="Times New Roman"/>
                      <w:color w:val="0C0C0C"/>
                      <w:kern w:val="0"/>
                      <w:sz w:val="21"/>
                      <w:szCs w:val="21"/>
                      <w:lang w:val="en-US" w:eastAsia="zh-CN" w:bidi="ar"/>
                    </w:rPr>
                    <w:t>NMHC</w:t>
                  </w:r>
                  <w:r>
                    <w:rPr>
                      <w:rFonts w:hint="eastAsia" w:ascii="宋体" w:hAnsi="宋体" w:eastAsia="宋体" w:cs="宋体"/>
                      <w:color w:val="0C0C0C"/>
                      <w:kern w:val="0"/>
                      <w:sz w:val="21"/>
                      <w:szCs w:val="21"/>
                      <w:lang w:val="en-US" w:eastAsia="zh-CN" w:bidi="ar"/>
                    </w:rPr>
                    <w:t>初始排放速率</w:t>
                  </w:r>
                  <w:r>
                    <w:rPr>
                      <w:rFonts w:hint="default" w:ascii="Times New Roman" w:hAnsi="Times New Roman" w:eastAsia="宋体" w:cs="Times New Roman"/>
                      <w:color w:val="0C0C0C"/>
                      <w:kern w:val="0"/>
                      <w:sz w:val="21"/>
                      <w:szCs w:val="21"/>
                      <w:lang w:val="en-US" w:eastAsia="zh-CN" w:bidi="ar"/>
                    </w:rPr>
                    <w:t>≥3 kg/h</w:t>
                  </w:r>
                  <w:r>
                    <w:rPr>
                      <w:rFonts w:hint="eastAsia" w:ascii="宋体" w:hAnsi="宋体" w:eastAsia="宋体" w:cs="宋体"/>
                      <w:color w:val="0C0C0C"/>
                      <w:kern w:val="0"/>
                      <w:sz w:val="21"/>
                      <w:szCs w:val="21"/>
                      <w:lang w:val="en-US" w:eastAsia="zh-CN" w:bidi="ar"/>
                    </w:rPr>
                    <w:t>时，应配置</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处理设施，处理效率不应低于</w:t>
                  </w:r>
                  <w:r>
                    <w:rPr>
                      <w:rFonts w:hint="default" w:ascii="Times New Roman" w:hAnsi="Times New Roman" w:eastAsia="宋体" w:cs="Times New Roman"/>
                      <w:color w:val="0C0C0C"/>
                      <w:kern w:val="0"/>
                      <w:sz w:val="21"/>
                      <w:szCs w:val="21"/>
                      <w:lang w:val="en-US" w:eastAsia="zh-CN" w:bidi="ar"/>
                    </w:rPr>
                    <w:t>80%</w:t>
                  </w:r>
                  <w:r>
                    <w:rPr>
                      <w:rFonts w:hint="eastAsia" w:ascii="宋体" w:hAnsi="宋体" w:eastAsia="宋体" w:cs="宋体"/>
                      <w:color w:val="0C0C0C"/>
                      <w:kern w:val="0"/>
                      <w:sz w:val="21"/>
                      <w:szCs w:val="21"/>
                      <w:lang w:val="en-US" w:eastAsia="zh-CN" w:bidi="ar"/>
                    </w:rPr>
                    <w:t>；对于重点地区，收集的废气中</w:t>
                  </w:r>
                  <w:r>
                    <w:rPr>
                      <w:rFonts w:hint="default" w:ascii="Times New Roman" w:hAnsi="Times New Roman" w:eastAsia="宋体" w:cs="Times New Roman"/>
                      <w:color w:val="0C0C0C"/>
                      <w:kern w:val="0"/>
                      <w:sz w:val="21"/>
                      <w:szCs w:val="21"/>
                      <w:lang w:val="en-US" w:eastAsia="zh-CN" w:bidi="ar"/>
                    </w:rPr>
                    <w:t>NMHC</w:t>
                  </w:r>
                  <w:r>
                    <w:rPr>
                      <w:rFonts w:hint="eastAsia" w:ascii="宋体" w:hAnsi="宋体" w:eastAsia="宋体" w:cs="宋体"/>
                      <w:color w:val="0C0C0C"/>
                      <w:kern w:val="0"/>
                      <w:sz w:val="21"/>
                      <w:szCs w:val="21"/>
                      <w:lang w:val="en-US" w:eastAsia="zh-CN" w:bidi="ar"/>
                    </w:rPr>
                    <w:t>初始排放速率</w:t>
                  </w:r>
                  <w:r>
                    <w:rPr>
                      <w:rFonts w:hint="default" w:ascii="Times New Roman" w:hAnsi="Times New Roman" w:eastAsia="宋体" w:cs="Times New Roman"/>
                      <w:color w:val="0C0C0C"/>
                      <w:kern w:val="0"/>
                      <w:sz w:val="21"/>
                      <w:szCs w:val="21"/>
                      <w:lang w:val="en-US" w:eastAsia="zh-CN" w:bidi="ar"/>
                    </w:rPr>
                    <w:t>≥2 kg/h</w:t>
                  </w:r>
                  <w:r>
                    <w:rPr>
                      <w:rFonts w:hint="eastAsia" w:ascii="宋体" w:hAnsi="宋体" w:eastAsia="宋体" w:cs="宋体"/>
                      <w:color w:val="0C0C0C"/>
                      <w:kern w:val="0"/>
                      <w:sz w:val="21"/>
                      <w:szCs w:val="21"/>
                      <w:lang w:val="en-US" w:eastAsia="zh-CN" w:bidi="ar"/>
                    </w:rPr>
                    <w:t>时，应配置</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处理设施，处理效率不应低于</w:t>
                  </w:r>
                  <w:r>
                    <w:rPr>
                      <w:rFonts w:hint="default" w:ascii="Times New Roman" w:hAnsi="Times New Roman" w:eastAsia="宋体" w:cs="Times New Roman"/>
                      <w:color w:val="0C0C0C"/>
                      <w:kern w:val="0"/>
                      <w:sz w:val="21"/>
                      <w:szCs w:val="21"/>
                      <w:lang w:val="en-US" w:eastAsia="zh-CN" w:bidi="ar"/>
                    </w:rPr>
                    <w:t>80%</w:t>
                  </w:r>
                  <w:r>
                    <w:rPr>
                      <w:rFonts w:hint="eastAsia" w:ascii="宋体" w:hAnsi="宋体" w:eastAsia="宋体" w:cs="宋体"/>
                      <w:color w:val="0C0C0C"/>
                      <w:kern w:val="0"/>
                      <w:sz w:val="21"/>
                      <w:szCs w:val="21"/>
                      <w:lang w:val="en-US" w:eastAsia="zh-CN" w:bidi="ar"/>
                    </w:rPr>
                    <w:t>；采用的原辅材料符合国家有关低</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含量产品规定的除外。</w:t>
                  </w:r>
                </w:p>
              </w:tc>
              <w:tc>
                <w:tcPr>
                  <w:tcW w:w="180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项目产生的有机废气中</w:t>
                  </w:r>
                  <w:r>
                    <w:rPr>
                      <w:rFonts w:hint="default" w:ascii="Times New Roman" w:hAnsi="Times New Roman" w:eastAsia="宋体" w:cs="Times New Roman"/>
                      <w:color w:val="0C0C0C"/>
                      <w:kern w:val="2"/>
                      <w:sz w:val="21"/>
                      <w:szCs w:val="21"/>
                      <w:lang w:val="en-US" w:eastAsia="zh-CN" w:bidi="ar"/>
                    </w:rPr>
                    <w:t>NMHC</w:t>
                  </w:r>
                  <w:r>
                    <w:rPr>
                      <w:rFonts w:hint="eastAsia" w:ascii="宋体" w:hAnsi="宋体" w:eastAsia="宋体" w:cs="宋体"/>
                      <w:color w:val="0C0C0C"/>
                      <w:kern w:val="2"/>
                      <w:sz w:val="21"/>
                      <w:szCs w:val="21"/>
                      <w:lang w:val="en-US" w:eastAsia="zh-CN" w:bidi="ar"/>
                    </w:rPr>
                    <w:t>初始排放速率分别为</w:t>
                  </w:r>
                  <w:r>
                    <w:rPr>
                      <w:rFonts w:hint="eastAsia" w:cs="Times New Roman"/>
                      <w:color w:val="0C0C0C"/>
                      <w:kern w:val="2"/>
                      <w:sz w:val="21"/>
                      <w:szCs w:val="21"/>
                      <w:lang w:val="en-US" w:eastAsia="zh-CN" w:bidi="ar"/>
                    </w:rPr>
                    <w:t>0.219</w:t>
                  </w:r>
                  <w:r>
                    <w:rPr>
                      <w:rFonts w:hint="default" w:ascii="Times New Roman" w:hAnsi="Times New Roman" w:eastAsia="宋体" w:cs="Times New Roman"/>
                      <w:color w:val="0C0C0C"/>
                      <w:kern w:val="2"/>
                      <w:sz w:val="21"/>
                      <w:szCs w:val="21"/>
                      <w:lang w:val="en-US" w:eastAsia="zh-CN" w:bidi="ar"/>
                    </w:rPr>
                    <w:t xml:space="preserve"> kg/h</w:t>
                  </w:r>
                  <w:r>
                    <w:rPr>
                      <w:rFonts w:hint="eastAsia" w:ascii="宋体" w:hAnsi="宋体" w:eastAsia="宋体" w:cs="宋体"/>
                      <w:color w:val="0C0C0C"/>
                      <w:kern w:val="2"/>
                      <w:sz w:val="21"/>
                      <w:szCs w:val="21"/>
                      <w:lang w:val="en-US" w:eastAsia="zh-CN" w:bidi="ar"/>
                    </w:rPr>
                    <w:t>，收集后有组织排放，废气均采用两级活性炭处理，处理效率</w:t>
                  </w:r>
                  <w:r>
                    <w:rPr>
                      <w:rFonts w:hint="default" w:ascii="Times New Roman" w:hAnsi="Times New Roman" w:eastAsia="宋体" w:cs="Times New Roman"/>
                      <w:color w:val="0C0C0C"/>
                      <w:kern w:val="2"/>
                      <w:sz w:val="21"/>
                      <w:szCs w:val="21"/>
                      <w:lang w:val="en-US" w:eastAsia="zh-CN" w:bidi="ar"/>
                    </w:rPr>
                    <w:t>90%</w:t>
                  </w:r>
                </w:p>
              </w:tc>
              <w:tc>
                <w:tcPr>
                  <w:tcW w:w="716"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 xml:space="preserve">10.3.4 </w:t>
                  </w:r>
                  <w:r>
                    <w:rPr>
                      <w:rFonts w:hint="eastAsia" w:ascii="宋体" w:hAnsi="宋体" w:eastAsia="宋体" w:cs="宋体"/>
                      <w:color w:val="0C0C0C"/>
                      <w:kern w:val="0"/>
                      <w:sz w:val="21"/>
                      <w:szCs w:val="21"/>
                      <w:lang w:val="en-US" w:eastAsia="zh-CN" w:bidi="ar"/>
                    </w:rPr>
                    <w:t xml:space="preserve">排气筒高度不低于 </w:t>
                  </w:r>
                  <w:r>
                    <w:rPr>
                      <w:rFonts w:hint="default" w:ascii="Times New Roman" w:hAnsi="Times New Roman" w:eastAsia="宋体" w:cs="Times New Roman"/>
                      <w:color w:val="0C0C0C"/>
                      <w:kern w:val="0"/>
                      <w:sz w:val="21"/>
                      <w:szCs w:val="21"/>
                      <w:lang w:val="en-US" w:eastAsia="zh-CN" w:bidi="ar"/>
                    </w:rPr>
                    <w:t>15 m</w:t>
                  </w:r>
                  <w:r>
                    <w:rPr>
                      <w:rFonts w:hint="eastAsia" w:ascii="宋体" w:hAnsi="宋体" w:eastAsia="宋体" w:cs="宋体"/>
                      <w:color w:val="0C0C0C"/>
                      <w:kern w:val="0"/>
                      <w:sz w:val="21"/>
                      <w:szCs w:val="21"/>
                      <w:lang w:val="en-US" w:eastAsia="zh-CN" w:bidi="ar"/>
                    </w:rPr>
                    <w:t>（因安全考虑或有特殊工艺要求的除外），具体高度以及与周围建筑物的相对高度关系应根据环境影响评价文件确定。</w:t>
                  </w:r>
                </w:p>
              </w:tc>
              <w:tc>
                <w:tcPr>
                  <w:tcW w:w="1805"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项目设置的排气筒高度满足</w:t>
                  </w:r>
                  <w:r>
                    <w:rPr>
                      <w:rFonts w:hint="default" w:ascii="Times New Roman" w:hAnsi="Times New Roman" w:eastAsia="宋体" w:cs="Times New Roman"/>
                      <w:color w:val="0C0C0C"/>
                      <w:kern w:val="2"/>
                      <w:sz w:val="21"/>
                      <w:szCs w:val="21"/>
                      <w:lang w:val="en-US" w:eastAsia="zh-CN" w:bidi="ar"/>
                    </w:rPr>
                    <w:t>15m</w:t>
                  </w:r>
                  <w:r>
                    <w:rPr>
                      <w:rFonts w:hint="eastAsia" w:ascii="宋体" w:hAnsi="宋体" w:eastAsia="宋体" w:cs="宋体"/>
                      <w:color w:val="0C0C0C"/>
                      <w:kern w:val="2"/>
                      <w:sz w:val="21"/>
                      <w:szCs w:val="21"/>
                      <w:lang w:val="en-US" w:eastAsia="zh-CN" w:bidi="ar"/>
                    </w:rPr>
                    <w:t>的高度要求</w:t>
                  </w:r>
                </w:p>
              </w:tc>
              <w:tc>
                <w:tcPr>
                  <w:tcW w:w="716" w:type="pct"/>
                  <w:tcBorders>
                    <w:top w:val="single" w:color="auto" w:sz="4" w:space="0"/>
                    <w:left w:val="single" w:color="auto" w:sz="4" w:space="0"/>
                    <w:bottom w:val="single" w:color="auto" w:sz="12"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bl>
          <w:p>
            <w:pPr>
              <w:keepNext w:val="0"/>
              <w:keepLines w:val="0"/>
              <w:widowControl w:val="0"/>
              <w:suppressLineNumbers w:val="0"/>
              <w:spacing w:before="0" w:beforeAutospacing="0" w:after="0" w:afterAutospacing="0" w:line="360" w:lineRule="auto"/>
              <w:ind w:left="0" w:right="0" w:firstLine="482" w:firstLineChars="200"/>
              <w:jc w:val="both"/>
              <w:rPr>
                <w:rFonts w:hint="eastAsia" w:ascii="Times New Roman" w:hAnsi="Times New Roman" w:eastAsia="宋体" w:cs="Times New Roman"/>
                <w:b/>
                <w:bCs w:val="0"/>
                <w:color w:val="0C0C0C"/>
                <w:kern w:val="2"/>
                <w:sz w:val="24"/>
                <w:szCs w:val="24"/>
              </w:rPr>
            </w:pPr>
            <w:r>
              <w:rPr>
                <w:rFonts w:hint="default" w:ascii="Times New Roman" w:hAnsi="Times New Roman" w:eastAsia="宋体" w:cs="Times New Roman"/>
                <w:b/>
                <w:bCs w:val="0"/>
                <w:color w:val="0C0C0C"/>
                <w:kern w:val="2"/>
                <w:sz w:val="24"/>
                <w:szCs w:val="24"/>
                <w:lang w:val="en-US" w:eastAsia="zh-CN" w:bidi="ar"/>
              </w:rPr>
              <w:t>1</w:t>
            </w:r>
            <w:r>
              <w:rPr>
                <w:rFonts w:hint="eastAsia" w:cs="Times New Roman"/>
                <w:b/>
                <w:bCs w:val="0"/>
                <w:color w:val="0C0C0C"/>
                <w:kern w:val="2"/>
                <w:sz w:val="24"/>
                <w:szCs w:val="24"/>
                <w:lang w:val="en-US" w:eastAsia="zh-CN" w:bidi="ar"/>
              </w:rPr>
              <w:t>0</w:t>
            </w:r>
            <w:r>
              <w:rPr>
                <w:rFonts w:hint="eastAsia" w:ascii="宋体" w:hAnsi="宋体" w:eastAsia="宋体" w:cs="宋体"/>
                <w:b/>
                <w:bCs w:val="0"/>
                <w:color w:val="0C0C0C"/>
                <w:kern w:val="2"/>
                <w:sz w:val="24"/>
                <w:szCs w:val="24"/>
                <w:lang w:val="en-US" w:eastAsia="zh-CN" w:bidi="ar"/>
              </w:rPr>
              <w:t>、与“关于印发《安徽省低挥发性有机物含量原辅材料替代工作方案》的通知(皖环发[2024]1号)”相符性分析</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C0C0C"/>
                <w:kern w:val="2"/>
                <w:sz w:val="24"/>
                <w:szCs w:val="24"/>
              </w:rPr>
            </w:pPr>
            <w:r>
              <w:rPr>
                <w:rFonts w:hint="eastAsia" w:ascii="宋体" w:hAnsi="宋体" w:eastAsia="宋体" w:cs="宋体"/>
                <w:b/>
                <w:bCs w:val="0"/>
                <w:color w:val="0C0C0C"/>
                <w:kern w:val="2"/>
                <w:sz w:val="24"/>
                <w:szCs w:val="24"/>
                <w:lang w:val="en-US" w:eastAsia="zh-CN" w:bidi="ar"/>
              </w:rPr>
              <w:t>表</w:t>
            </w:r>
            <w:r>
              <w:rPr>
                <w:rFonts w:hint="default" w:ascii="Times New Roman" w:hAnsi="Times New Roman" w:eastAsia="宋体" w:cs="Times New Roman"/>
                <w:b/>
                <w:bCs w:val="0"/>
                <w:color w:val="0C0C0C"/>
                <w:kern w:val="2"/>
                <w:sz w:val="24"/>
                <w:szCs w:val="24"/>
                <w:lang w:val="en-US" w:eastAsia="zh-CN" w:bidi="ar"/>
              </w:rPr>
              <w:t>1-1</w:t>
            </w:r>
            <w:r>
              <w:rPr>
                <w:rFonts w:hint="eastAsia" w:cs="Times New Roman"/>
                <w:b/>
                <w:bCs w:val="0"/>
                <w:color w:val="0C0C0C"/>
                <w:kern w:val="2"/>
                <w:sz w:val="24"/>
                <w:szCs w:val="24"/>
                <w:lang w:val="en-US" w:eastAsia="zh-CN" w:bidi="ar"/>
              </w:rPr>
              <w:t>2</w:t>
            </w:r>
            <w:r>
              <w:rPr>
                <w:rFonts w:hint="default" w:ascii="Times New Roman" w:hAnsi="Times New Roman" w:eastAsia="宋体" w:cs="Times New Roman"/>
                <w:b/>
                <w:bCs w:val="0"/>
                <w:color w:val="0C0C0C"/>
                <w:kern w:val="2"/>
                <w:sz w:val="24"/>
                <w:szCs w:val="24"/>
                <w:lang w:val="en-US" w:eastAsia="zh-CN" w:bidi="ar"/>
              </w:rPr>
              <w:t xml:space="preserve"> </w:t>
            </w:r>
            <w:r>
              <w:rPr>
                <w:rFonts w:hint="eastAsia" w:ascii="Times New Roman" w:hAnsi="Times New Roman" w:eastAsia="宋体" w:cs="Times New Roman"/>
                <w:b/>
                <w:bCs w:val="0"/>
                <w:color w:val="0C0C0C"/>
                <w:kern w:val="2"/>
                <w:sz w:val="24"/>
                <w:szCs w:val="24"/>
                <w:lang w:val="en-US" w:eastAsia="zh-CN" w:bidi="ar"/>
              </w:rPr>
              <w:t xml:space="preserve"> </w:t>
            </w:r>
            <w:r>
              <w:rPr>
                <w:rFonts w:hint="eastAsia" w:ascii="宋体" w:hAnsi="宋体" w:eastAsia="宋体" w:cs="宋体"/>
                <w:b/>
                <w:bCs w:val="0"/>
                <w:color w:val="0C0C0C"/>
                <w:kern w:val="2"/>
                <w:sz w:val="24"/>
                <w:szCs w:val="24"/>
                <w:lang w:val="en-US" w:eastAsia="zh-CN" w:bidi="ar"/>
              </w:rPr>
              <w:t>与“关于印发《安徽省低挥发性有机物含量原辅材料替代工作方案》的通知(皖环发[2024]1号)”相符性分析</w:t>
            </w:r>
          </w:p>
          <w:tbl>
            <w:tblPr>
              <w:tblStyle w:val="59"/>
              <w:tblW w:w="5000"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687"/>
              <w:gridCol w:w="2685"/>
              <w:gridCol w:w="1066"/>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78" w:type="pct"/>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文件内容</w:t>
                  </w:r>
                </w:p>
              </w:tc>
              <w:tc>
                <w:tcPr>
                  <w:tcW w:w="1804" w:type="pct"/>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本项目建设情况</w:t>
                  </w:r>
                </w:p>
              </w:tc>
              <w:tc>
                <w:tcPr>
                  <w:tcW w:w="716" w:type="pct"/>
                  <w:tcBorders>
                    <w:top w:val="single" w:color="auto" w:sz="12"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相符性</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pStyle w:val="54"/>
                    <w:keepNext w:val="0"/>
                    <w:keepLines w:val="0"/>
                    <w:widowControl w:val="0"/>
                    <w:suppressLineNumbers w:val="0"/>
                    <w:spacing w:before="0" w:beforeAutospacing="0" w:after="0" w:afterAutospacing="0"/>
                    <w:ind w:left="0" w:right="0"/>
                    <w:jc w:val="left"/>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加强替代管理。工业涂装、包装印刷、竹木加工、家具制造、汽车修理与维护、鞋和皮革制品制造等重点行业企业，要按照《低挥发性有机物含量原辅材料源头替代技术指引(试行)》要求，开展低VOCs 原辅材料和生产方式替代，优化管控台账及档案管理，持续提升环境管理水平。各地要根据《关于深入开展挥发性有机物污染治理工作的通知》(皖大气办〔2021〕4号)要求，在认真梳理2021至2023年度VOCs源头削减治理项目清单基础上，对涉VOCs重点行业和使用溶剂型涂料、油墨、胶粘剂、清洗剂以及涉及有机化工生产的产业集群进行再排查，将含VOCs原辅材料使用企业全面纳入源头替代企业排查台账，对具备替代条件的，加强调度指导;对无法替代的，要开展论证核实，严格把关并逐一说明。</w:t>
                  </w:r>
                </w:p>
              </w:tc>
              <w:tc>
                <w:tcPr>
                  <w:tcW w:w="1804"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本项目涉及</w:t>
                  </w:r>
                  <w:r>
                    <w:rPr>
                      <w:rFonts w:hint="default" w:ascii="Times New Roman" w:hAnsi="Times New Roman" w:eastAsia="宋体" w:cs="Times New Roman"/>
                      <w:color w:val="0C0C0C"/>
                      <w:kern w:val="0"/>
                      <w:sz w:val="21"/>
                      <w:szCs w:val="21"/>
                      <w:lang w:val="en-US" w:eastAsia="zh-CN" w:bidi="ar"/>
                    </w:rPr>
                    <w:t>VOCs</w:t>
                  </w:r>
                  <w:r>
                    <w:rPr>
                      <w:rFonts w:hint="eastAsia" w:ascii="宋体" w:hAnsi="宋体" w:eastAsia="宋体" w:cs="宋体"/>
                      <w:color w:val="0C0C0C"/>
                      <w:kern w:val="0"/>
                      <w:sz w:val="21"/>
                      <w:szCs w:val="21"/>
                      <w:lang w:val="en-US" w:eastAsia="zh-CN" w:bidi="ar"/>
                    </w:rPr>
                    <w:t>物料</w:t>
                  </w:r>
                  <w:r>
                    <w:rPr>
                      <w:rFonts w:hint="eastAsia" w:ascii="宋体" w:hAnsi="宋体" w:eastAsia="宋体" w:cs="宋体"/>
                      <w:color w:val="0C0C0C"/>
                      <w:kern w:val="2"/>
                      <w:sz w:val="21"/>
                      <w:szCs w:val="21"/>
                      <w:lang w:val="en-US" w:eastAsia="zh-CN" w:bidi="ar"/>
                    </w:rPr>
                    <w:t>原料为</w:t>
                  </w:r>
                  <w:r>
                    <w:rPr>
                      <w:rFonts w:hint="eastAsia" w:ascii="宋体" w:hAnsi="宋体" w:cs="宋体"/>
                      <w:color w:val="0C0C0C"/>
                      <w:kern w:val="2"/>
                      <w:sz w:val="21"/>
                      <w:szCs w:val="21"/>
                      <w:lang w:val="en-US" w:eastAsia="zh-CN" w:bidi="ar"/>
                    </w:rPr>
                    <w:t>脱模剂</w:t>
                  </w:r>
                  <w:r>
                    <w:rPr>
                      <w:rFonts w:hint="eastAsia" w:ascii="宋体" w:hAnsi="宋体" w:eastAsia="宋体" w:cs="宋体"/>
                      <w:color w:val="0C0C0C"/>
                      <w:kern w:val="2"/>
                      <w:sz w:val="21"/>
                      <w:szCs w:val="21"/>
                      <w:lang w:val="en-US" w:eastAsia="zh-CN" w:bidi="ar"/>
                    </w:rPr>
                    <w:t>，</w:t>
                  </w:r>
                  <w:r>
                    <w:rPr>
                      <w:rFonts w:hint="eastAsia" w:ascii="宋体" w:hAnsi="宋体" w:eastAsia="宋体" w:cs="宋体"/>
                      <w:bCs/>
                      <w:color w:val="0C0C0C"/>
                      <w:kern w:val="0"/>
                      <w:sz w:val="21"/>
                      <w:szCs w:val="21"/>
                      <w:lang w:val="en-US" w:eastAsia="zh-CN" w:bidi="ar"/>
                    </w:rPr>
                    <w:t>化学性质稳定，</w:t>
                  </w:r>
                  <w:r>
                    <w:rPr>
                      <w:rFonts w:hint="eastAsia" w:ascii="宋体" w:hAnsi="宋体" w:eastAsia="宋体" w:cs="宋体"/>
                      <w:color w:val="0C0C0C"/>
                      <w:kern w:val="2"/>
                      <w:sz w:val="21"/>
                      <w:szCs w:val="21"/>
                      <w:lang w:val="en-US" w:eastAsia="zh-CN" w:bidi="ar"/>
                    </w:rPr>
                    <w:t>常温下不挥发，并且在密闭的包装袋内保存。</w:t>
                  </w:r>
                </w:p>
              </w:tc>
              <w:tc>
                <w:tcPr>
                  <w:tcW w:w="716" w:type="pc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相符</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2478" w:type="pct"/>
                  <w:tcBorders>
                    <w:top w:val="single" w:color="auto" w:sz="4" w:space="0"/>
                    <w:left w:val="nil"/>
                    <w:bottom w:val="single" w:color="auto" w:sz="4" w:space="0"/>
                    <w:right w:val="single" w:color="auto" w:sz="4" w:space="0"/>
                  </w:tcBorders>
                  <w:shd w:val="clear" w:color="auto" w:fill="auto"/>
                  <w:vAlign w:val="center"/>
                </w:tcPr>
                <w:p>
                  <w:pPr>
                    <w:pStyle w:val="54"/>
                    <w:keepNext w:val="0"/>
                    <w:keepLines w:val="0"/>
                    <w:widowControl w:val="0"/>
                    <w:suppressLineNumbers w:val="0"/>
                    <w:spacing w:before="0" w:beforeAutospacing="0" w:after="0" w:afterAutospacing="0"/>
                    <w:ind w:left="0" w:right="0"/>
                    <w:jc w:val="left"/>
                    <w:rPr>
                      <w:rFonts w:hint="eastAsia" w:ascii="宋体" w:hAnsi="宋体" w:eastAsia="宋体" w:cs="宋体"/>
                      <w:color w:val="0C0C0C"/>
                      <w:kern w:val="0"/>
                      <w:sz w:val="21"/>
                      <w:szCs w:val="21"/>
                    </w:rPr>
                  </w:pPr>
                  <w:r>
                    <w:rPr>
                      <w:rFonts w:hint="eastAsia" w:ascii="宋体" w:hAnsi="宋体" w:eastAsia="宋体" w:cs="宋体"/>
                      <w:color w:val="0C0C0C"/>
                      <w:kern w:val="0"/>
                      <w:sz w:val="21"/>
                      <w:szCs w:val="21"/>
                      <w:lang w:val="en-US" w:eastAsia="zh-CN" w:bidi="ar"/>
                    </w:rPr>
                    <w:t>严格项目准入。根据《低挥发性有机化合物含量涂料产品技术要求》要求,进一步完善VOCs排放管控地方标准建设，细化相关行业涂料种类及各项污染物指标限值，编制实施固定源挥发性有机物综合排放标准和制鞋、汽修、木材等行业大气污染物排放标准。禁止建设生产和使用高VOCs含量的溶剂型涂料、油墨、胶黏剂等项目，全省工业涂装、包装印刷等重点行业和涂料、油墨等生产企业的新（改、扩）建项目需满足低(无) VOCs含量限值要求。省内市场上流通的水性涂料等低VOCs含量涂料产品，执行《低挥发性有机化合物含量涂料产品技术要求》，应在包装标志或产品说明上标明符合标准的分类、产品类别及产品类型(或施涂方式)。</w:t>
                  </w:r>
                </w:p>
              </w:tc>
              <w:tc>
                <w:tcPr>
                  <w:tcW w:w="1804"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C0C0C"/>
                      <w:kern w:val="2"/>
                      <w:sz w:val="21"/>
                      <w:szCs w:val="21"/>
                    </w:rPr>
                  </w:pPr>
                  <w:r>
                    <w:rPr>
                      <w:rFonts w:hint="eastAsia" w:ascii="宋体" w:hAnsi="宋体" w:eastAsia="宋体" w:cs="宋体"/>
                      <w:color w:val="0C0C0C"/>
                      <w:kern w:val="2"/>
                      <w:sz w:val="21"/>
                      <w:szCs w:val="21"/>
                      <w:lang w:val="en-US" w:eastAsia="zh-CN" w:bidi="ar"/>
                    </w:rPr>
                    <w:t>本项目不使用高VOCs含量的溶剂型涂料、油墨、胶黏剂等</w:t>
                  </w:r>
                </w:p>
              </w:tc>
              <w:tc>
                <w:tcPr>
                  <w:tcW w:w="716" w:type="pct"/>
                  <w:tcBorders>
                    <w:top w:val="single" w:color="auto" w:sz="4" w:space="0"/>
                    <w:left w:val="nil"/>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color w:val="0C0C0C"/>
                      <w:kern w:val="2"/>
                      <w:sz w:val="21"/>
                      <w:szCs w:val="21"/>
                    </w:rPr>
                  </w:pPr>
                </w:p>
              </w:tc>
            </w:tr>
          </w:tbl>
          <w:p>
            <w:pPr>
              <w:pStyle w:val="54"/>
              <w:keepNext w:val="0"/>
              <w:keepLines w:val="0"/>
              <w:widowControl w:val="0"/>
              <w:suppressLineNumbers w:val="0"/>
              <w:spacing w:before="0" w:beforeAutospacing="0" w:after="0" w:afterAutospacing="0" w:line="360" w:lineRule="auto"/>
              <w:ind w:left="0" w:right="0" w:firstLine="482" w:firstLineChars="200"/>
              <w:jc w:val="both"/>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11、与《铸造企业规范条件》（T/CFA 0310021-2023）符合性分析</w:t>
            </w:r>
          </w:p>
          <w:p>
            <w:pPr>
              <w:keepNext w:val="0"/>
              <w:keepLines w:val="0"/>
              <w:widowControl w:val="0"/>
              <w:suppressLineNumbers w:val="0"/>
              <w:spacing w:before="0" w:beforeAutospacing="0" w:after="0" w:afterAutospacing="0" w:line="360" w:lineRule="auto"/>
              <w:ind w:left="0" w:right="0"/>
              <w:jc w:val="center"/>
              <w:rPr>
                <w:rFonts w:hint="default" w:ascii="Times New Roman" w:hAnsi="Times New Roman" w:eastAsia="黑体" w:cs="Times New Roman"/>
                <w:b/>
                <w:bCs w:val="0"/>
                <w:kern w:val="2"/>
                <w:sz w:val="24"/>
                <w:szCs w:val="24"/>
              </w:rPr>
            </w:pPr>
            <w:r>
              <w:rPr>
                <w:rFonts w:hint="eastAsia" w:ascii="宋体" w:hAnsi="宋体" w:eastAsia="宋体" w:cs="宋体"/>
                <w:b/>
                <w:bCs w:val="0"/>
                <w:kern w:val="2"/>
                <w:sz w:val="24"/>
                <w:szCs w:val="24"/>
                <w:lang w:val="en-US" w:eastAsia="zh-CN" w:bidi="ar"/>
              </w:rPr>
              <w:t>表1-13  与《铸造企业规范条件》相符性分析</w:t>
            </w:r>
          </w:p>
          <w:tbl>
            <w:tblPr>
              <w:tblStyle w:val="59"/>
              <w:tblW w:w="5000" w:type="pct"/>
              <w:jc w:val="center"/>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92"/>
              <w:gridCol w:w="2344"/>
              <w:gridCol w:w="80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相关要求</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相符性分析</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相符性</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企业的布局及厂址的确定应符合国家相关法律法规、产业政策以及各地方政府装备制造业和铸造行业的总体规划要求。企业生产场所应依法取得土地使用权并符合土地使用性质。</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本项目用地属于工业用地，符合园区总体规划要求。</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0"/>
                      <w:sz w:val="21"/>
                      <w:szCs w:val="21"/>
                      <w:lang w:val="en-US" w:eastAsia="zh-CN" w:bidi="ar"/>
                    </w:rPr>
                    <w:t>符合</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7"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企业应根据生产铸件的材质、品种、批量，合理选择低污染、低排放、低能耗、经济高效的铸造工艺。企业不应使用国家明令淘汰的生产工艺。不应采用粘土砂干型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芯、油砂制芯、七〇砂制型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芯等落后铸造工艺；粘土砂批量铸件生产企业不应采用手工造型；水玻璃熔模精密铸造企业模壳硬化不应采用</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氯化铵硬化工艺；铝合金、锌合金等有色金属熔炼不应采用六氯乙烷等有毒有害的精炼剂。</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 xml:space="preserve">本项目采用压铸成型工艺，不属于明令淘汰生产工艺。 </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0"/>
                      <w:sz w:val="21"/>
                      <w:szCs w:val="21"/>
                      <w:lang w:val="en-US" w:eastAsia="zh-CN" w:bidi="ar"/>
                    </w:rPr>
                    <w:t>符合</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7"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企业不应使用国家明令淘汰的生产装备，如：无芯工频感应电炉、</w:t>
                  </w:r>
                  <w:r>
                    <w:rPr>
                      <w:rFonts w:hint="default" w:ascii="Times New Roman" w:hAnsi="Times New Roman" w:eastAsia="宋体" w:cs="Times New Roman"/>
                      <w:kern w:val="2"/>
                      <w:sz w:val="21"/>
                      <w:szCs w:val="21"/>
                      <w:lang w:val="en-US" w:eastAsia="zh-CN" w:bidi="ar"/>
                    </w:rPr>
                    <w:t>0.25</w:t>
                  </w:r>
                  <w:r>
                    <w:rPr>
                      <w:rFonts w:hint="eastAsia" w:ascii="宋体" w:hAnsi="宋体" w:eastAsia="宋体" w:cs="宋体"/>
                      <w:kern w:val="2"/>
                      <w:sz w:val="21"/>
                      <w:szCs w:val="21"/>
                      <w:lang w:val="en-US" w:eastAsia="zh-CN" w:bidi="ar"/>
                    </w:rPr>
                    <w:t>吨及以上无磁轭的铝壳中频感应电炉等。现有企业的冲天炉熔化率不应小于</w:t>
                  </w:r>
                  <w:r>
                    <w:rPr>
                      <w:rFonts w:hint="default" w:ascii="Times New Roman" w:hAnsi="Times New Roman" w:eastAsia="宋体" w:cs="Times New Roman"/>
                      <w:kern w:val="2"/>
                      <w:sz w:val="21"/>
                      <w:szCs w:val="21"/>
                      <w:lang w:val="en-US" w:eastAsia="zh-CN" w:bidi="ar"/>
                    </w:rPr>
                    <w:t>5</w:t>
                  </w:r>
                  <w:r>
                    <w:rPr>
                      <w:rFonts w:hint="eastAsia" w:ascii="宋体" w:hAnsi="宋体" w:eastAsia="宋体" w:cs="宋体"/>
                      <w:kern w:val="2"/>
                      <w:sz w:val="21"/>
                      <w:szCs w:val="21"/>
                      <w:lang w:val="en-US" w:eastAsia="zh-CN" w:bidi="ar"/>
                    </w:rPr>
                    <w:t>吨</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小时（环保重点区域铸造企业冲天炉熔化率应大于</w:t>
                  </w:r>
                  <w:r>
                    <w:rPr>
                      <w:rFonts w:hint="default" w:ascii="Times New Roman" w:hAnsi="Times New Roman" w:eastAsia="宋体" w:cs="Times New Roman"/>
                      <w:kern w:val="2"/>
                      <w:sz w:val="21"/>
                      <w:szCs w:val="21"/>
                      <w:lang w:val="en-US" w:eastAsia="zh-CN" w:bidi="ar"/>
                    </w:rPr>
                    <w:t>5</w:t>
                  </w:r>
                  <w:r>
                    <w:rPr>
                      <w:rFonts w:hint="eastAsia" w:ascii="宋体" w:hAnsi="宋体" w:eastAsia="宋体" w:cs="宋体"/>
                      <w:kern w:val="2"/>
                      <w:sz w:val="21"/>
                      <w:szCs w:val="21"/>
                      <w:lang w:val="en-US" w:eastAsia="zh-CN" w:bidi="ar"/>
                    </w:rPr>
                    <w:t>吨</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小时）。新建企业不应采用燃油加热熔化炉；非环保重点区域新建铸造企业的冲天炉熔化率应不小于</w:t>
                  </w:r>
                  <w:r>
                    <w:rPr>
                      <w:rFonts w:hint="default" w:ascii="Times New Roman" w:hAnsi="Times New Roman" w:eastAsia="宋体" w:cs="Times New Roman"/>
                      <w:kern w:val="2"/>
                      <w:sz w:val="21"/>
                      <w:szCs w:val="21"/>
                      <w:lang w:val="en-US" w:eastAsia="zh-CN" w:bidi="ar"/>
                    </w:rPr>
                    <w:t xml:space="preserve">7 </w:t>
                  </w:r>
                  <w:r>
                    <w:rPr>
                      <w:rFonts w:hint="eastAsia" w:ascii="宋体" w:hAnsi="宋体" w:eastAsia="宋体" w:cs="宋体"/>
                      <w:kern w:val="2"/>
                      <w:sz w:val="21"/>
                      <w:szCs w:val="21"/>
                      <w:lang w:val="en-US" w:eastAsia="zh-CN" w:bidi="ar"/>
                    </w:rPr>
                    <w:t>吨</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小时；</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项目采用天然气熔化炉，不属于明令淘汰的生产装备。</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0"/>
                      <w:sz w:val="21"/>
                      <w:szCs w:val="21"/>
                      <w:lang w:val="en-US" w:eastAsia="zh-CN" w:bidi="ar"/>
                    </w:rPr>
                    <w:t>符合</w:t>
                  </w:r>
                </w:p>
              </w:tc>
            </w:tr>
          </w:tbl>
          <w:p>
            <w:pPr>
              <w:pStyle w:val="54"/>
              <w:keepNext w:val="0"/>
              <w:keepLines w:val="0"/>
              <w:widowControl w:val="0"/>
              <w:suppressLineNumbers w:val="0"/>
              <w:spacing w:before="0" w:beforeAutospacing="0" w:after="0" w:afterAutospacing="0" w:line="360" w:lineRule="auto"/>
              <w:ind w:left="0" w:right="0" w:firstLine="482" w:firstLineChars="200"/>
              <w:jc w:val="both"/>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12、与《关于推动铸造和锻压行业高质量发展的指导意见》（工信部联通装【2023】40号）符合性分析</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表1-14  与《关于推动铸造和锻压行业高质量发展的指导意见》相符性分析</w:t>
            </w:r>
          </w:p>
          <w:tbl>
            <w:tblPr>
              <w:tblStyle w:val="59"/>
              <w:tblW w:w="5000" w:type="pct"/>
              <w:jc w:val="center"/>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92"/>
              <w:gridCol w:w="2344"/>
              <w:gridCol w:w="802"/>
            </w:tblGrid>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相关要求</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相符性分析</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相符性</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发展先进铸造工艺与装备。</w:t>
                  </w:r>
                  <w:r>
                    <w:rPr>
                      <w:rFonts w:hint="eastAsia" w:ascii="宋体" w:hAnsi="宋体" w:eastAsia="宋体" w:cs="宋体"/>
                      <w:kern w:val="2"/>
                      <w:sz w:val="21"/>
                      <w:szCs w:val="21"/>
                      <w:lang w:val="en-US" w:eastAsia="zh-CN" w:bidi="ar"/>
                    </w:rPr>
                    <w:t>重点发展高紧实度粘土砂自动化造型、高效自硬砂铸造、精密组芯造型、壳型铸造、离心铸造、金属型铸造、铁模覆砂、消失模</w:t>
                  </w:r>
                  <w:r>
                    <w:rPr>
                      <w:rFonts w:hint="default" w:ascii="Times New Roman" w:hAnsi="Times New Roman" w:eastAsia="宋体" w:cs="Times New Roman"/>
                      <w:kern w:val="2"/>
                      <w:sz w:val="21"/>
                      <w:szCs w:val="21"/>
                      <w:lang w:val="en-US" w:eastAsia="zh-CN" w:bidi="ar"/>
                    </w:rPr>
                    <w:t>/V</w:t>
                  </w:r>
                  <w:r>
                    <w:rPr>
                      <w:rFonts w:hint="eastAsia" w:ascii="宋体" w:hAnsi="宋体" w:eastAsia="宋体" w:cs="宋体"/>
                      <w:kern w:val="2"/>
                      <w:sz w:val="21"/>
                      <w:szCs w:val="21"/>
                      <w:lang w:val="en-US" w:eastAsia="zh-CN" w:bidi="ar"/>
                    </w:rPr>
                    <w:t>法</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实型铸造、轻合金高压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挤压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差压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低压</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半固态</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调压铸造、硅溶胶熔模铸造、短流程铸造、砂型</w:t>
                  </w:r>
                  <w:r>
                    <w:rPr>
                      <w:rFonts w:hint="default" w:ascii="Times New Roman" w:hAnsi="Times New Roman" w:eastAsia="宋体" w:cs="Times New Roman"/>
                      <w:kern w:val="2"/>
                      <w:sz w:val="21"/>
                      <w:szCs w:val="21"/>
                      <w:lang w:val="en-US" w:eastAsia="zh-CN" w:bidi="ar"/>
                    </w:rPr>
                    <w:t>3D</w:t>
                  </w:r>
                  <w:r>
                    <w:rPr>
                      <w:rFonts w:hint="eastAsia" w:ascii="宋体" w:hAnsi="宋体" w:eastAsia="宋体" w:cs="宋体"/>
                      <w:kern w:val="2"/>
                      <w:sz w:val="21"/>
                      <w:szCs w:val="21"/>
                      <w:lang w:val="en-US" w:eastAsia="zh-CN" w:bidi="ar"/>
                    </w:rPr>
                    <w:t>打印等先进铸造工艺与装备。</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kern w:val="2"/>
                      <w:sz w:val="21"/>
                      <w:szCs w:val="21"/>
                      <w:lang w:val="en-US" w:eastAsia="zh-CN" w:bidi="ar"/>
                    </w:rPr>
                    <w:t xml:space="preserve">本项目产品为铝合金压铸件，均属于轻合金高压铸造工艺，属于先进铸造工艺。 </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符合</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b/>
                      <w:bCs w:val="0"/>
                      <w:kern w:val="2"/>
                      <w:sz w:val="21"/>
                      <w:szCs w:val="21"/>
                      <w:lang w:val="en-US" w:eastAsia="zh-CN" w:bidi="ar"/>
                    </w:rPr>
                    <w:t>推进产业结构优化。</w:t>
                  </w:r>
                  <w:r>
                    <w:rPr>
                      <w:rFonts w:hint="eastAsia" w:ascii="宋体" w:hAnsi="宋体" w:eastAsia="宋体" w:cs="宋体"/>
                      <w:kern w:val="2"/>
                      <w:sz w:val="21"/>
                      <w:szCs w:val="21"/>
                      <w:lang w:val="en-US" w:eastAsia="zh-CN" w:bidi="ar"/>
                    </w:rPr>
                    <w:t>严格执行节能、环保、质量、安全技术等相关法律法规标准和《产业结构调整指导目录》等政策，依法依规淘汰工艺装备落后、污染物排放不达标、生产安全无保障的落后产能。鼓励大气污染防治重点区域加大淘汰落后力度。铸造企业不得采用无芯工频感应电炉、无磁轭（</w:t>
                  </w:r>
                  <w:r>
                    <w:rPr>
                      <w:rFonts w:hint="eastAsia" w:ascii="Times New Roman" w:hAnsi="Times New Roman" w:eastAsia="宋体" w:cs="Times New Roman"/>
                      <w:kern w:val="2"/>
                      <w:sz w:val="21"/>
                      <w:szCs w:val="21"/>
                      <w:lang w:val="en-US" w:eastAsia="zh-CN" w:bidi="ar"/>
                    </w:rPr>
                    <w:t>≥</w:t>
                  </w:r>
                  <w:r>
                    <w:rPr>
                      <w:rFonts w:hint="default" w:ascii="Times New Roman" w:hAnsi="Times New Roman" w:eastAsia="宋体" w:cs="Times New Roman"/>
                      <w:kern w:val="2"/>
                      <w:sz w:val="21"/>
                      <w:szCs w:val="21"/>
                      <w:lang w:val="en-US" w:eastAsia="zh-CN" w:bidi="ar"/>
                    </w:rPr>
                    <w:t>0.25</w:t>
                  </w:r>
                  <w:r>
                    <w:rPr>
                      <w:rFonts w:hint="eastAsia" w:ascii="宋体" w:hAnsi="宋体" w:eastAsia="宋体" w:cs="宋体"/>
                      <w:kern w:val="2"/>
                      <w:sz w:val="21"/>
                      <w:szCs w:val="21"/>
                      <w:lang w:val="en-US" w:eastAsia="zh-CN" w:bidi="ar"/>
                    </w:rPr>
                    <w:t>吨）铝壳中频感应电炉、水玻璃熔模精密铸造氯化铵硬化模壳、铝合金六氯乙烷精炼等淘汰类工艺和装备。加快存量项目升级改造，推进企业合理选择低污染、低能耗、经济高效的先进工艺技术，提升行业竞争能力。强化铸造和锻压与装备制造业协同布局，引导具备条件的企业入园集聚发展，提升产业链供应链协同配套能力，构建布局合理、错位互补、供需联动、协同发展的产业格局。</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项目生产工艺和生产设备不属于淘汰落后工艺和装备，项目采取本环评建议措施后可实现达标排放。 生产过程采用天然气熔化炉，不属于电炉。</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符合</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r>
                    <w:rPr>
                      <w:rFonts w:hint="eastAsia" w:ascii="宋体" w:hAnsi="宋体" w:eastAsia="宋体" w:cs="宋体"/>
                      <w:b/>
                      <w:bCs w:val="0"/>
                      <w:kern w:val="2"/>
                      <w:sz w:val="21"/>
                      <w:szCs w:val="21"/>
                      <w:lang w:val="en-US" w:eastAsia="zh-CN" w:bidi="ar"/>
                    </w:rPr>
                    <w:t>加快绿色低碳转型</w:t>
                  </w:r>
                  <w:r>
                    <w:rPr>
                      <w:rFonts w:hint="eastAsia" w:ascii="宋体" w:hAnsi="宋体" w:eastAsia="宋体" w:cs="宋体"/>
                      <w:kern w:val="2"/>
                      <w:sz w:val="21"/>
                      <w:szCs w:val="21"/>
                      <w:lang w:val="en-US" w:eastAsia="zh-CN" w:bidi="ar"/>
                    </w:rPr>
                    <w:t>。推进绿色方式贯穿铸造和锻压生产全流程，开发绿色原辅材料、推广绿色工艺、建设绿色工厂、发展绿色园区，深入推进园区循环化改造。推动企业依法披露环境信息，接受社会监督。积极开展清洁生产，做好节能监察执法、节能诊断服务工作，深入挖掘节能潜力。鼓励企业采用高效节能熔炼、热处理等设备，提高余热利用水平。推广短流程铸造，鼓励铸造行业冲天炉（</w:t>
                  </w:r>
                  <w:r>
                    <w:rPr>
                      <w:rFonts w:hint="default" w:ascii="Times New Roman" w:hAnsi="Times New Roman" w:eastAsia="宋体" w:cs="Times New Roman"/>
                      <w:kern w:val="2"/>
                      <w:sz w:val="21"/>
                      <w:szCs w:val="21"/>
                      <w:lang w:val="en-US" w:eastAsia="zh-CN" w:bidi="ar"/>
                    </w:rPr>
                    <w:t>10</w:t>
                  </w:r>
                  <w:r>
                    <w:rPr>
                      <w:rFonts w:hint="eastAsia" w:ascii="宋体" w:hAnsi="宋体" w:eastAsia="宋体" w:cs="宋体"/>
                      <w:kern w:val="2"/>
                      <w:sz w:val="21"/>
                      <w:szCs w:val="21"/>
                      <w:lang w:val="en-US" w:eastAsia="zh-CN" w:bidi="ar"/>
                    </w:rPr>
                    <w:t>吨</w:t>
                  </w: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小时及以下）改为电炉。</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 xml:space="preserve">企业采用天然气作为热源，采用压铸成型工艺，不使用铸造砂，压铸件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锯切修整产生的部分 边角料可回用生产。</w:t>
                  </w:r>
                </w:p>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kern w:val="2"/>
                      <w:sz w:val="21"/>
                      <w:szCs w:val="21"/>
                    </w:rPr>
                  </w:pP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符合</w:t>
                  </w:r>
                </w:p>
              </w:tc>
            </w:tr>
            <w:tr>
              <w:tblPrEx>
                <w:tblBorders>
                  <w:top w:val="single" w:color="auto" w:sz="4" w:space="0"/>
                  <w:left w:val="none" w:color="auto" w:sz="6" w:space="0"/>
                  <w:bottom w:val="single" w:color="auto" w:sz="4" w:space="0"/>
                  <w:right w:val="none" w:color="auto" w:sz="6"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29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b/>
                      <w:bCs w:val="0"/>
                      <w:kern w:val="2"/>
                      <w:sz w:val="21"/>
                      <w:szCs w:val="21"/>
                      <w:lang w:val="en-US" w:eastAsia="zh-CN" w:bidi="ar"/>
                    </w:rPr>
                    <w:t>提升环保治理水平</w:t>
                  </w:r>
                  <w:r>
                    <w:rPr>
                      <w:rFonts w:hint="eastAsia" w:ascii="宋体" w:hAnsi="宋体" w:eastAsia="宋体" w:cs="宋体"/>
                      <w:kern w:val="2"/>
                      <w:sz w:val="21"/>
                      <w:szCs w:val="21"/>
                      <w:lang w:val="en-US" w:eastAsia="zh-CN" w:bidi="ar"/>
                    </w:rPr>
                    <w:t>。依法申领排污许可证，严格持证排污、按证排污并按排污许可证规定落实自行监测、台账记录、执行报告、信息公开等要求。铸造企业严格执行《铸造工业大气污染物排放标准》（</w:t>
                  </w:r>
                  <w:r>
                    <w:rPr>
                      <w:rFonts w:hint="default" w:ascii="Times New Roman" w:hAnsi="Times New Roman" w:eastAsia="宋体" w:cs="Times New Roman"/>
                      <w:kern w:val="2"/>
                      <w:sz w:val="21"/>
                      <w:szCs w:val="21"/>
                      <w:lang w:val="en-US" w:eastAsia="zh-CN" w:bidi="ar"/>
                    </w:rPr>
                    <w:t>GB 39726</w:t>
                  </w:r>
                  <w:r>
                    <w:rPr>
                      <w:rFonts w:hint="eastAsia" w:ascii="宋体" w:hAnsi="宋体" w:eastAsia="宋体" w:cs="宋体"/>
                      <w:kern w:val="2"/>
                      <w:sz w:val="21"/>
                      <w:szCs w:val="21"/>
                      <w:lang w:val="en-US" w:eastAsia="zh-CN" w:bidi="ar"/>
                    </w:rPr>
                    <w:t>）及地方排放标准，加强无组织排放控制，不能稳定达标排放的，限期完成设施升级改造，不具备改造条件及改造后仍不能达标的，依法依规进行淘汰。</w:t>
                  </w:r>
                </w:p>
              </w:tc>
              <w:tc>
                <w:tcPr>
                  <w:tcW w:w="23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项目建成投产前依法办理排污许可证，承诺按证排污并按排污许可证规定落实自行监测、台账记录、执行报告、信息公开等要求。企业严格执行《铸造工业大气污染物排放标准》（</w:t>
                  </w:r>
                  <w:r>
                    <w:rPr>
                      <w:rFonts w:hint="default" w:ascii="Times New Roman" w:hAnsi="Times New Roman" w:eastAsia="宋体" w:cs="Times New Roman"/>
                      <w:kern w:val="2"/>
                      <w:sz w:val="21"/>
                      <w:szCs w:val="21"/>
                      <w:lang w:val="en-US" w:eastAsia="zh-CN" w:bidi="ar"/>
                    </w:rPr>
                    <w:t>GB 39726</w:t>
                  </w:r>
                  <w:r>
                    <w:rPr>
                      <w:rFonts w:hint="eastAsia" w:ascii="宋体" w:hAnsi="宋体" w:eastAsia="宋体" w:cs="宋体"/>
                      <w:kern w:val="2"/>
                      <w:sz w:val="21"/>
                      <w:szCs w:val="21"/>
                      <w:lang w:val="en-US" w:eastAsia="zh-CN" w:bidi="ar"/>
                    </w:rPr>
                    <w:t>）及地方排放标准，加强无组织排放控制</w:t>
                  </w:r>
                </w:p>
              </w:tc>
              <w:tc>
                <w:tcPr>
                  <w:tcW w:w="801" w:type="dxa"/>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符合</w:t>
                  </w:r>
                </w:p>
              </w:tc>
            </w:tr>
          </w:tbl>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p>
          <w:p>
            <w:pPr>
              <w:keepNext w:val="0"/>
              <w:keepLines w:val="0"/>
              <w:suppressLineNumbers w:val="0"/>
              <w:autoSpaceDE w:val="0"/>
              <w:autoSpaceDN w:val="0"/>
              <w:adjustRightInd w:val="0"/>
              <w:spacing w:before="0" w:beforeAutospacing="0" w:after="0" w:afterAutospacing="0"/>
              <w:ind w:left="0" w:right="0"/>
              <w:rPr>
                <w:rFonts w:hint="default"/>
                <w:color w:val="0D0D0D" w:themeColor="text1" w:themeTint="F2"/>
                <w:sz w:val="24"/>
                <w14:textFill>
                  <w14:solidFill>
                    <w14:schemeClr w14:val="tx1">
                      <w14:lumMod w14:val="95000"/>
                      <w14:lumOff w14:val="5000"/>
                    </w14:schemeClr>
                  </w14:solidFill>
                </w14:textFill>
              </w:rPr>
            </w:pPr>
          </w:p>
        </w:tc>
      </w:tr>
    </w:tbl>
    <w:p>
      <w:pPr>
        <w:pStyle w:val="23"/>
        <w:bidi w:val="0"/>
        <w:rPr>
          <w:rFonts w:hint="eastAsia"/>
          <w:lang w:val="en-US" w:eastAsia="zh-CN"/>
        </w:rPr>
      </w:pPr>
      <w:r>
        <w:rPr>
          <w:rFonts w:hint="eastAsia"/>
          <w:lang w:val="en-US" w:eastAsia="zh-CN"/>
        </w:rPr>
        <w:t xml:space="preserve"> </w:t>
      </w:r>
    </w:p>
    <w:p>
      <w:pPr>
        <w:pStyle w:val="24"/>
        <w:bidi w:val="0"/>
        <w:rPr>
          <w:rFonts w:hint="eastAsia"/>
          <w:lang w:val="en-US" w:eastAsia="zh-CN"/>
        </w:rPr>
      </w:pPr>
    </w:p>
    <w:p>
      <w:pPr>
        <w:pStyle w:val="24"/>
        <w:bidi w:val="0"/>
        <w:rPr>
          <w:rFonts w:hint="eastAsia"/>
          <w:lang w:val="en-US" w:eastAsia="zh-CN"/>
        </w:rPr>
      </w:pPr>
    </w:p>
    <w:p>
      <w:pPr>
        <w:pStyle w:val="24"/>
        <w:bidi w:val="0"/>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4"/>
        <w:bidi w:val="0"/>
        <w:jc w:val="center"/>
        <w:rPr>
          <w:rFonts w:hint="eastAsia" w:ascii="Times New Roman" w:hAnsi="Times New Roman" w:eastAsia="宋体" w:cs="Times New Roman"/>
          <w:b/>
          <w:snapToGrid w:val="0"/>
          <w:color w:val="0D0D0D" w:themeColor="text1" w:themeTint="F2"/>
          <w:kern w:val="0"/>
          <w:szCs w:val="30"/>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b/>
          <w:snapToGrid w:val="0"/>
          <w:color w:val="0D0D0D" w:themeColor="text1" w:themeTint="F2"/>
          <w:kern w:val="0"/>
          <w:sz w:val="30"/>
          <w:szCs w:val="30"/>
          <w:lang w:val="en-US" w:eastAsia="zh-CN" w:bidi="ar-SA"/>
          <w14:textFill>
            <w14:solidFill>
              <w14:schemeClr w14:val="tx1">
                <w14:lumMod w14:val="95000"/>
                <w14:lumOff w14:val="5000"/>
              </w14:schemeClr>
            </w14:solidFill>
          </w14:textFill>
        </w:rPr>
        <w:t>二、建设项目工程分析</w:t>
      </w:r>
    </w:p>
    <w:tbl>
      <w:tblPr>
        <w:tblStyle w:val="59"/>
        <w:tblpPr w:leftFromText="180" w:rightFromText="180" w:vertAnchor="text" w:tblpXSpec="center" w:tblpY="1"/>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2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165" w:hRule="atLeast"/>
        </w:trPr>
        <w:tc>
          <w:tcPr>
            <w:tcW w:w="82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建设内容</w:t>
            </w:r>
          </w:p>
        </w:tc>
        <w:tc>
          <w:tcPr>
            <w:tcW w:w="8235" w:type="dxa"/>
          </w:tcPr>
          <w:p>
            <w:pPr>
              <w:keepNext w:val="0"/>
              <w:keepLines w:val="0"/>
              <w:suppressLineNumbers w:val="0"/>
              <w:spacing w:before="120" w:beforeLines="50" w:beforeAutospacing="0" w:after="0" w:afterAutospacing="0" w:line="360" w:lineRule="auto"/>
              <w:ind w:left="0" w:right="0" w:firstLine="555"/>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14:textFill>
                  <w14:solidFill>
                    <w14:schemeClr w14:val="tx1">
                      <w14:lumMod w14:val="95000"/>
                      <w14:lumOff w14:val="5000"/>
                    </w14:schemeClr>
                  </w14:solidFill>
                </w14:textFill>
              </w:rPr>
              <w:t>、企业概况及项目背景</w:t>
            </w:r>
          </w:p>
          <w:p>
            <w:pPr>
              <w:keepNext w:val="0"/>
              <w:keepLines w:val="0"/>
              <w:suppressLineNumbers w:val="0"/>
              <w:spacing w:before="0" w:beforeAutospacing="0" w:after="0" w:afterAutospacing="0" w:line="360" w:lineRule="auto"/>
              <w:ind w:left="0" w:right="0" w:firstLine="480" w:firstLineChars="200"/>
              <w:rPr>
                <w:rFonts w:hint="default" w:hAnsi="宋体"/>
                <w:color w:val="0D0D0D" w:themeColor="text1" w:themeTint="F2"/>
                <w:kern w:val="24"/>
                <w:sz w:val="24"/>
                <w:szCs w:val="20"/>
                <w14:textFill>
                  <w14:solidFill>
                    <w14:schemeClr w14:val="tx1">
                      <w14:lumMod w14:val="95000"/>
                      <w14:lumOff w14:val="5000"/>
                    </w14:schemeClr>
                  </w14:solidFill>
                </w14:textFill>
              </w:rPr>
            </w:pPr>
            <w:r>
              <w:rPr>
                <w:rFonts w:hint="eastAsia" w:cs="宋体"/>
                <w:bCs/>
                <w:color w:val="0D0D0D" w:themeColor="text1" w:themeTint="F2"/>
                <w:kern w:val="0"/>
                <w:sz w:val="24"/>
                <w14:textFill>
                  <w14:solidFill>
                    <w14:schemeClr w14:val="tx1">
                      <w14:lumMod w14:val="95000"/>
                      <w14:lumOff w14:val="5000"/>
                    </w14:schemeClr>
                  </w14:solidFill>
                </w14:textFill>
              </w:rPr>
              <w:t>芜湖</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意斯特精机</w:t>
            </w:r>
            <w:r>
              <w:rPr>
                <w:rFonts w:hint="eastAsia" w:cs="宋体"/>
                <w:bCs/>
                <w:color w:val="0D0D0D" w:themeColor="text1" w:themeTint="F2"/>
                <w:kern w:val="0"/>
                <w:sz w:val="24"/>
                <w14:textFill>
                  <w14:solidFill>
                    <w14:schemeClr w14:val="tx1">
                      <w14:lumMod w14:val="95000"/>
                      <w14:lumOff w14:val="5000"/>
                    </w14:schemeClr>
                  </w14:solidFill>
                </w14:textFill>
              </w:rPr>
              <w:t>有限公司成立于20</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15</w:t>
            </w:r>
            <w:r>
              <w:rPr>
                <w:rFonts w:hint="eastAsia" w:cs="宋体"/>
                <w:bCs/>
                <w:color w:val="0D0D0D" w:themeColor="text1" w:themeTint="F2"/>
                <w:kern w:val="0"/>
                <w:sz w:val="24"/>
                <w14:textFill>
                  <w14:solidFill>
                    <w14:schemeClr w14:val="tx1">
                      <w14:lumMod w14:val="95000"/>
                      <w14:lumOff w14:val="5000"/>
                    </w14:schemeClr>
                  </w14:solidFill>
                </w14:textFill>
              </w:rPr>
              <w:t>年</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06</w:t>
            </w:r>
            <w:r>
              <w:rPr>
                <w:rFonts w:hint="eastAsia" w:cs="宋体"/>
                <w:bCs/>
                <w:color w:val="0D0D0D" w:themeColor="text1" w:themeTint="F2"/>
                <w:kern w:val="0"/>
                <w:sz w:val="24"/>
                <w14:textFill>
                  <w14:solidFill>
                    <w14:schemeClr w14:val="tx1">
                      <w14:lumMod w14:val="95000"/>
                      <w14:lumOff w14:val="5000"/>
                    </w14:schemeClr>
                  </w14:solidFill>
                </w14:textFill>
              </w:rPr>
              <w:t>月</w:t>
            </w:r>
            <w:r>
              <w:rPr>
                <w:rFonts w:hint="default" w:cs="宋体"/>
                <w:bCs/>
                <w:color w:val="0D0D0D" w:themeColor="text1" w:themeTint="F2"/>
                <w:kern w:val="0"/>
                <w:sz w:val="24"/>
                <w14:textFill>
                  <w14:solidFill>
                    <w14:schemeClr w14:val="tx1">
                      <w14:lumMod w14:val="95000"/>
                      <w14:lumOff w14:val="5000"/>
                    </w14:schemeClr>
                  </w14:solidFill>
                </w14:textFill>
              </w:rPr>
              <w:t>2</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3</w:t>
            </w:r>
            <w:r>
              <w:rPr>
                <w:rFonts w:hint="eastAsia" w:cs="宋体"/>
                <w:bCs/>
                <w:color w:val="0D0D0D" w:themeColor="text1" w:themeTint="F2"/>
                <w:kern w:val="0"/>
                <w:sz w:val="24"/>
                <w14:textFill>
                  <w14:solidFill>
                    <w14:schemeClr w14:val="tx1">
                      <w14:lumMod w14:val="95000"/>
                      <w14:lumOff w14:val="5000"/>
                    </w14:schemeClr>
                  </w14:solidFill>
                </w14:textFill>
              </w:rPr>
              <w:t>日，经营范围包括</w:t>
            </w:r>
            <w:r>
              <w:rPr>
                <w:rFonts w:hint="default"/>
                <w:color w:val="0D0D0D" w:themeColor="text1" w:themeTint="F2"/>
                <w:sz w:val="24"/>
                <w14:textFill>
                  <w14:solidFill>
                    <w14:schemeClr w14:val="tx1">
                      <w14:lumMod w14:val="95000"/>
                      <w14:lumOff w14:val="5000"/>
                    </w14:schemeClr>
                  </w14:solidFill>
                </w14:textFill>
              </w:rPr>
              <w:t>铸造机械及自动化设备的设计、生产及销售；农业机械研发、生产及销售；有色金属的压铸及削切加工；汽车零部件及发动机动力总成类的产品制造及销售</w:t>
            </w:r>
            <w:r>
              <w:rPr>
                <w:rFonts w:hint="eastAsia" w:cs="宋体"/>
                <w:bCs/>
                <w:color w:val="0D0D0D" w:themeColor="text1" w:themeTint="F2"/>
                <w:kern w:val="0"/>
                <w:sz w:val="24"/>
                <w14:textFill>
                  <w14:solidFill>
                    <w14:schemeClr w14:val="tx1">
                      <w14:lumMod w14:val="95000"/>
                      <w14:lumOff w14:val="5000"/>
                    </w14:schemeClr>
                  </w14:solidFill>
                </w14:textFill>
              </w:rPr>
              <w:t>。芜湖</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意斯特精机</w:t>
            </w:r>
            <w:r>
              <w:rPr>
                <w:rFonts w:hint="eastAsia" w:cs="宋体"/>
                <w:bCs/>
                <w:color w:val="0D0D0D" w:themeColor="text1" w:themeTint="F2"/>
                <w:kern w:val="0"/>
                <w:sz w:val="24"/>
                <w14:textFill>
                  <w14:solidFill>
                    <w14:schemeClr w14:val="tx1">
                      <w14:lumMod w14:val="95000"/>
                      <w14:lumOff w14:val="5000"/>
                    </w14:schemeClr>
                  </w14:solidFill>
                </w14:textFill>
              </w:rPr>
              <w:t>有限公司</w:t>
            </w:r>
            <w:r>
              <w:rPr>
                <w:rFonts w:hint="default" w:cs="宋体"/>
                <w:bCs/>
                <w:color w:val="0D0D0D" w:themeColor="text1" w:themeTint="F2"/>
                <w:kern w:val="0"/>
                <w:sz w:val="24"/>
                <w14:textFill>
                  <w14:solidFill>
                    <w14:schemeClr w14:val="tx1">
                      <w14:lumMod w14:val="95000"/>
                      <w14:lumOff w14:val="5000"/>
                    </w14:schemeClr>
                  </w14:solidFill>
                </w14:textFill>
              </w:rPr>
              <w:t>总投资</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2000</w:t>
            </w:r>
            <w:r>
              <w:rPr>
                <w:rFonts w:hint="default" w:cs="宋体"/>
                <w:bCs/>
                <w:color w:val="0D0D0D" w:themeColor="text1" w:themeTint="F2"/>
                <w:kern w:val="0"/>
                <w:sz w:val="24"/>
                <w14:textFill>
                  <w14:solidFill>
                    <w14:schemeClr w14:val="tx1">
                      <w14:lumMod w14:val="95000"/>
                      <w14:lumOff w14:val="5000"/>
                    </w14:schemeClr>
                  </w14:solidFill>
                </w14:textFill>
              </w:rPr>
              <w:t>万元</w:t>
            </w:r>
            <w:r>
              <w:rPr>
                <w:rFonts w:hint="eastAsia" w:cs="宋体"/>
                <w:bCs/>
                <w:color w:val="0D0D0D" w:themeColor="text1" w:themeTint="F2"/>
                <w:kern w:val="0"/>
                <w:sz w:val="24"/>
                <w14:textFill>
                  <w14:solidFill>
                    <w14:schemeClr w14:val="tx1">
                      <w14:lumMod w14:val="95000"/>
                      <w14:lumOff w14:val="5000"/>
                    </w14:schemeClr>
                  </w14:solidFill>
                </w14:textFill>
              </w:rPr>
              <w:t>新建“</w:t>
            </w:r>
            <w:r>
              <w:rPr>
                <w:rFonts w:hint="eastAsia"/>
                <w:color w:val="0D0D0D" w:themeColor="text1" w:themeTint="F2"/>
                <w:sz w:val="24"/>
                <w:lang w:val="en-US" w:eastAsia="zh-CN"/>
                <w14:textFill>
                  <w14:solidFill>
                    <w14:schemeClr w14:val="tx1">
                      <w14:lumMod w14:val="95000"/>
                      <w14:lumOff w14:val="5000"/>
                    </w14:schemeClr>
                  </w14:solidFill>
                </w14:textFill>
              </w:rPr>
              <w:t>年产20万件汽车铝合金零部件项目</w:t>
            </w:r>
            <w:r>
              <w:rPr>
                <w:rFonts w:hint="eastAsia" w:cs="宋体"/>
                <w:bCs/>
                <w:color w:val="0D0D0D" w:themeColor="text1" w:themeTint="F2"/>
                <w:kern w:val="0"/>
                <w:sz w:val="24"/>
                <w14:textFill>
                  <w14:solidFill>
                    <w14:schemeClr w14:val="tx1">
                      <w14:lumMod w14:val="95000"/>
                      <w14:lumOff w14:val="5000"/>
                    </w14:schemeClr>
                  </w14:solidFill>
                </w14:textFill>
              </w:rPr>
              <w:t>”，</w:t>
            </w:r>
            <w:r>
              <w:rPr>
                <w:rFonts w:hint="default"/>
                <w:color w:val="auto"/>
                <w:sz w:val="24"/>
              </w:rPr>
              <w:t>202</w:t>
            </w:r>
            <w:r>
              <w:rPr>
                <w:rFonts w:hint="eastAsia"/>
                <w:color w:val="auto"/>
                <w:sz w:val="24"/>
                <w:lang w:val="en-US" w:eastAsia="zh-CN"/>
              </w:rPr>
              <w:t>3</w:t>
            </w:r>
            <w:r>
              <w:rPr>
                <w:rFonts w:hint="default"/>
                <w:color w:val="auto"/>
                <w:sz w:val="24"/>
              </w:rPr>
              <w:t>年</w:t>
            </w:r>
            <w:r>
              <w:rPr>
                <w:rFonts w:hint="eastAsia"/>
                <w:color w:val="auto"/>
                <w:sz w:val="24"/>
                <w:lang w:val="en-US" w:eastAsia="zh-CN"/>
              </w:rPr>
              <w:t>12</w:t>
            </w:r>
            <w:r>
              <w:rPr>
                <w:rFonts w:hint="default"/>
                <w:color w:val="auto"/>
                <w:sz w:val="24"/>
              </w:rPr>
              <w:t>月</w:t>
            </w:r>
            <w:r>
              <w:rPr>
                <w:rFonts w:hint="eastAsia"/>
                <w:color w:val="auto"/>
                <w:sz w:val="24"/>
                <w:lang w:val="en-US" w:eastAsia="zh-CN"/>
              </w:rPr>
              <w:t>5</w:t>
            </w:r>
            <w:r>
              <w:rPr>
                <w:rFonts w:hint="default"/>
                <w:color w:val="auto"/>
                <w:sz w:val="24"/>
              </w:rPr>
              <w:t>日</w:t>
            </w:r>
            <w:r>
              <w:rPr>
                <w:rFonts w:hint="eastAsia"/>
                <w:color w:val="auto"/>
                <w:sz w:val="24"/>
                <w:lang w:val="en-US" w:eastAsia="zh-CN"/>
              </w:rPr>
              <w:t>安徽</w:t>
            </w:r>
            <w:r>
              <w:rPr>
                <w:rFonts w:hint="default"/>
                <w:color w:val="auto"/>
                <w:sz w:val="24"/>
                <w:lang w:val="en-US" w:eastAsia="zh-CN"/>
              </w:rPr>
              <w:t>芜湖</w:t>
            </w:r>
            <w:r>
              <w:rPr>
                <w:rFonts w:hint="eastAsia"/>
                <w:color w:val="auto"/>
                <w:sz w:val="24"/>
                <w:lang w:val="en-US" w:eastAsia="zh-CN"/>
              </w:rPr>
              <w:t>三山经济开发区管委</w:t>
            </w:r>
            <w:r>
              <w:rPr>
                <w:rFonts w:hint="default"/>
                <w:color w:val="auto"/>
                <w:sz w:val="24"/>
                <w:lang w:val="en-US" w:eastAsia="zh-CN"/>
              </w:rPr>
              <w:t>会</w:t>
            </w:r>
            <w:r>
              <w:rPr>
                <w:rFonts w:hint="default"/>
                <w:color w:val="auto"/>
                <w:sz w:val="24"/>
              </w:rPr>
              <w:t>对项目进行备案（</w:t>
            </w:r>
            <w:r>
              <w:rPr>
                <w:rFonts w:hint="eastAsia"/>
                <w:color w:val="auto"/>
                <w:sz w:val="24"/>
                <w:lang w:val="en-US" w:eastAsia="zh-CN"/>
              </w:rPr>
              <w:t>三经发备</w:t>
            </w:r>
            <w:r>
              <w:rPr>
                <w:rFonts w:hint="default"/>
                <w:color w:val="auto"/>
                <w:sz w:val="24"/>
                <w:lang w:val="en-US" w:eastAsia="zh-CN"/>
              </w:rPr>
              <w:t>〔202</w:t>
            </w:r>
            <w:r>
              <w:rPr>
                <w:rFonts w:hint="eastAsia"/>
                <w:color w:val="auto"/>
                <w:sz w:val="24"/>
                <w:lang w:val="en-US" w:eastAsia="zh-CN"/>
              </w:rPr>
              <w:t>3</w:t>
            </w:r>
            <w:r>
              <w:rPr>
                <w:rFonts w:hint="default"/>
                <w:color w:val="auto"/>
                <w:sz w:val="24"/>
                <w:lang w:val="en-US" w:eastAsia="zh-CN"/>
              </w:rPr>
              <w:t>〕</w:t>
            </w:r>
            <w:r>
              <w:rPr>
                <w:rFonts w:hint="eastAsia"/>
                <w:color w:val="auto"/>
                <w:sz w:val="24"/>
                <w:lang w:val="en-US" w:eastAsia="zh-CN"/>
              </w:rPr>
              <w:t>17</w:t>
            </w:r>
            <w:r>
              <w:rPr>
                <w:rFonts w:hint="default"/>
                <w:color w:val="auto"/>
                <w:sz w:val="24"/>
                <w:lang w:val="en-US" w:eastAsia="zh-CN"/>
              </w:rPr>
              <w:t xml:space="preserve"> 号</w:t>
            </w:r>
            <w:r>
              <w:rPr>
                <w:rFonts w:hint="default"/>
                <w:color w:val="auto"/>
                <w:sz w:val="24"/>
              </w:rPr>
              <w:t>）</w:t>
            </w:r>
            <w:r>
              <w:rPr>
                <w:rFonts w:hint="eastAsia" w:hAnsi="宋体"/>
                <w:color w:val="auto"/>
                <w:kern w:val="24"/>
                <w:sz w:val="24"/>
                <w:szCs w:val="20"/>
              </w:rPr>
              <w:t>。</w:t>
            </w: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根据《中华人民共和国环境保护法》和《中华人民共和国环境影响评价法》及相关法律法规的规定，本项目应进行环境影响评价。对照</w:t>
            </w:r>
            <w:r>
              <w:rPr>
                <w:rFonts w:hint="default"/>
                <w:color w:val="0D0D0D" w:themeColor="text1" w:themeTint="F2"/>
                <w:sz w:val="24"/>
                <w14:textFill>
                  <w14:solidFill>
                    <w14:schemeClr w14:val="tx1">
                      <w14:lumMod w14:val="95000"/>
                      <w14:lumOff w14:val="5000"/>
                    </w14:schemeClr>
                  </w14:solidFill>
                </w14:textFill>
              </w:rPr>
              <w:t>《建设项目环境影响评价分类管理名录》（生态环境部令第1号）</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本项目属于</w:t>
            </w:r>
            <w:r>
              <w:rPr>
                <w:rFonts w:hint="default"/>
                <w:color w:val="0D0D0D" w:themeColor="text1" w:themeTint="F2"/>
                <w:sz w:val="24"/>
                <w:lang w:val="en-US" w:eastAsia="zh-CN"/>
                <w14:textFill>
                  <w14:solidFill>
                    <w14:schemeClr w14:val="tx1">
                      <w14:lumMod w14:val="95000"/>
                      <w14:lumOff w14:val="5000"/>
                    </w14:schemeClr>
                  </w14:solidFill>
                </w14:textFill>
              </w:rPr>
              <w:t>三十</w:t>
            </w:r>
            <w:r>
              <w:rPr>
                <w:rFonts w:hint="eastAsia"/>
                <w:color w:val="0D0D0D" w:themeColor="text1" w:themeTint="F2"/>
                <w:sz w:val="24"/>
                <w:lang w:eastAsia="zh-CN"/>
                <w14:textFill>
                  <w14:solidFill>
                    <w14:schemeClr w14:val="tx1">
                      <w14:lumMod w14:val="95000"/>
                      <w14:lumOff w14:val="5000"/>
                    </w14:schemeClr>
                  </w14:solidFill>
                </w14:textFill>
              </w:rPr>
              <w:t>“</w:t>
            </w:r>
            <w:r>
              <w:rPr>
                <w:rFonts w:hint="default"/>
                <w:color w:val="0D0D0D" w:themeColor="text1" w:themeTint="F2"/>
                <w:sz w:val="24"/>
                <w:lang w:val="en-US" w:eastAsia="zh-CN"/>
                <w14:textFill>
                  <w14:solidFill>
                    <w14:schemeClr w14:val="tx1">
                      <w14:lumMod w14:val="95000"/>
                      <w14:lumOff w14:val="5000"/>
                    </w14:schemeClr>
                  </w14:solidFill>
                </w14:textFill>
              </w:rPr>
              <w:t>金属制品业 33</w:t>
            </w:r>
            <w:r>
              <w:rPr>
                <w:rFonts w:hint="eastAsia"/>
                <w:color w:val="0D0D0D" w:themeColor="text1" w:themeTint="F2"/>
                <w:sz w:val="24"/>
                <w:lang w:eastAsia="zh-CN"/>
                <w14:textFill>
                  <w14:solidFill>
                    <w14:schemeClr w14:val="tx1">
                      <w14:lumMod w14:val="95000"/>
                      <w14:lumOff w14:val="5000"/>
                    </w14:schemeClr>
                  </w14:solidFill>
                </w14:textFill>
              </w:rPr>
              <w:t>”—“</w:t>
            </w:r>
            <w:r>
              <w:rPr>
                <w:rFonts w:hint="default"/>
                <w:color w:val="0D0D0D" w:themeColor="text1" w:themeTint="F2"/>
                <w:sz w:val="24"/>
                <w:lang w:val="en-US" w:eastAsia="zh-CN"/>
                <w14:textFill>
                  <w14:solidFill>
                    <w14:schemeClr w14:val="tx1">
                      <w14:lumMod w14:val="95000"/>
                      <w14:lumOff w14:val="5000"/>
                    </w14:schemeClr>
                  </w14:solidFill>
                </w14:textFill>
              </w:rPr>
              <w:t>铸造及其他金属制品制造339</w:t>
            </w:r>
            <w:r>
              <w:rPr>
                <w:rFonts w:hint="eastAsia"/>
                <w:color w:val="0D0D0D" w:themeColor="text1" w:themeTint="F2"/>
                <w:sz w:val="24"/>
                <w:lang w:val="en-US" w:eastAsia="zh-CN"/>
                <w14:textFill>
                  <w14:solidFill>
                    <w14:schemeClr w14:val="tx1">
                      <w14:lumMod w14:val="95000"/>
                      <w14:lumOff w14:val="5000"/>
                    </w14:schemeClr>
                  </w14:solidFill>
                </w14:textFill>
              </w:rPr>
              <w:t>”中的“</w:t>
            </w:r>
            <w:r>
              <w:rPr>
                <w:rFonts w:hint="default"/>
                <w:color w:val="0D0D0D" w:themeColor="text1" w:themeTint="F2"/>
                <w:sz w:val="24"/>
                <w:lang w:val="en-US" w:eastAsia="zh-CN"/>
                <w14:textFill>
                  <w14:solidFill>
                    <w14:schemeClr w14:val="tx1">
                      <w14:lumMod w14:val="95000"/>
                      <w14:lumOff w14:val="5000"/>
                    </w14:schemeClr>
                  </w14:solidFill>
                </w14:textFill>
              </w:rPr>
              <w:t>其</w:t>
            </w:r>
            <w:r>
              <w:rPr>
                <w:rFonts w:hint="eastAsia"/>
                <w:color w:val="0D0D0D" w:themeColor="text1" w:themeTint="F2"/>
                <w:sz w:val="24"/>
                <w:lang w:val="en-US" w:eastAsia="zh-CN"/>
                <w14:textFill>
                  <w14:solidFill>
                    <w14:schemeClr w14:val="tx1">
                      <w14:lumMod w14:val="95000"/>
                      <w14:lumOff w14:val="5000"/>
                    </w14:schemeClr>
                  </w14:solidFill>
                </w14:textFill>
              </w:rPr>
              <w:t>他其他（仅分割、焊接、组装的除外）”</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三十三</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汽车制造</w:t>
            </w:r>
            <w:r>
              <w:rPr>
                <w:rFonts w:hint="default"/>
                <w:color w:val="0D0D0D" w:themeColor="text1" w:themeTint="F2"/>
                <w:kern w:val="0"/>
                <w:sz w:val="24"/>
                <w14:textFill>
                  <w14:solidFill>
                    <w14:schemeClr w14:val="tx1">
                      <w14:lumMod w14:val="95000"/>
                      <w14:lumOff w14:val="5000"/>
                    </w14:schemeClr>
                  </w14:solidFill>
                </w14:textFill>
              </w:rPr>
              <w:t>业36</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汽车零部件及配件制造</w:t>
            </w:r>
            <w:r>
              <w:rPr>
                <w:rFonts w:hint="default"/>
                <w:color w:val="0D0D0D" w:themeColor="text1" w:themeTint="F2"/>
                <w:kern w:val="0"/>
                <w:sz w:val="24"/>
                <w14:textFill>
                  <w14:solidFill>
                    <w14:schemeClr w14:val="tx1">
                      <w14:lumMod w14:val="95000"/>
                      <w14:lumOff w14:val="5000"/>
                    </w14:schemeClr>
                  </w14:solidFill>
                </w14:textFill>
              </w:rPr>
              <w:t>367</w:t>
            </w:r>
            <w:r>
              <w:rPr>
                <w:rFonts w:hint="eastAsia"/>
                <w:color w:val="0D0D0D" w:themeColor="text1" w:themeTint="F2"/>
                <w:sz w:val="24"/>
                <w14:textFill>
                  <w14:solidFill>
                    <w14:schemeClr w14:val="tx1">
                      <w14:lumMod w14:val="95000"/>
                      <w14:lumOff w14:val="5000"/>
                    </w14:schemeClr>
                  </w14:solidFill>
                </w14:textFill>
              </w:rPr>
              <w:t>”中的“其他（年用非溶剂型低V</w:t>
            </w:r>
            <w:r>
              <w:rPr>
                <w:rFonts w:hint="default"/>
                <w:color w:val="0D0D0D" w:themeColor="text1" w:themeTint="F2"/>
                <w:sz w:val="24"/>
                <w14:textFill>
                  <w14:solidFill>
                    <w14:schemeClr w14:val="tx1">
                      <w14:lumMod w14:val="95000"/>
                      <w14:lumOff w14:val="5000"/>
                    </w14:schemeClr>
                  </w14:solidFill>
                </w14:textFill>
              </w:rPr>
              <w:t>OCs</w:t>
            </w:r>
            <w:r>
              <w:rPr>
                <w:rFonts w:hint="eastAsia"/>
                <w:color w:val="0D0D0D" w:themeColor="text1" w:themeTint="F2"/>
                <w:sz w:val="24"/>
                <w14:textFill>
                  <w14:solidFill>
                    <w14:schemeClr w14:val="tx1">
                      <w14:lumMod w14:val="95000"/>
                      <w14:lumOff w14:val="5000"/>
                    </w14:schemeClr>
                  </w14:solidFill>
                </w14:textFill>
              </w:rPr>
              <w:t>含量涂料1</w:t>
            </w:r>
            <w:r>
              <w:rPr>
                <w:rFonts w:hint="default"/>
                <w:color w:val="0D0D0D" w:themeColor="text1" w:themeTint="F2"/>
                <w:sz w:val="24"/>
                <w14:textFill>
                  <w14:solidFill>
                    <w14:schemeClr w14:val="tx1">
                      <w14:lumMod w14:val="95000"/>
                      <w14:lumOff w14:val="5000"/>
                    </w14:schemeClr>
                  </w14:solidFill>
                </w14:textFill>
              </w:rPr>
              <w:t>0</w:t>
            </w:r>
            <w:r>
              <w:rPr>
                <w:rFonts w:hint="eastAsia"/>
                <w:color w:val="0D0D0D" w:themeColor="text1" w:themeTint="F2"/>
                <w:sz w:val="24"/>
                <w14:textFill>
                  <w14:solidFill>
                    <w14:schemeClr w14:val="tx1">
                      <w14:lumMod w14:val="95000"/>
                      <w14:lumOff w14:val="5000"/>
                    </w14:schemeClr>
                  </w14:solidFill>
                </w14:textFill>
              </w:rPr>
              <w:t>吨以下的除外）”，应编制报告表。</w:t>
            </w:r>
            <w:r>
              <w:rPr>
                <w:rFonts w:hint="eastAsia" w:cs="宋体"/>
                <w:bCs/>
                <w:color w:val="0D0D0D" w:themeColor="text1" w:themeTint="F2"/>
                <w:kern w:val="0"/>
                <w:sz w:val="24"/>
                <w14:textFill>
                  <w14:solidFill>
                    <w14:schemeClr w14:val="tx1">
                      <w14:lumMod w14:val="95000"/>
                      <w14:lumOff w14:val="5000"/>
                    </w14:schemeClr>
                  </w14:solidFill>
                </w14:textFill>
              </w:rPr>
              <w:t>芜湖</w:t>
            </w:r>
            <w:r>
              <w:rPr>
                <w:rFonts w:hint="eastAsia" w:cs="宋体"/>
                <w:bCs/>
                <w:color w:val="0D0D0D" w:themeColor="text1" w:themeTint="F2"/>
                <w:kern w:val="0"/>
                <w:sz w:val="24"/>
                <w:lang w:val="en-US" w:eastAsia="zh-CN"/>
                <w14:textFill>
                  <w14:solidFill>
                    <w14:schemeClr w14:val="tx1">
                      <w14:lumMod w14:val="95000"/>
                      <w14:lumOff w14:val="5000"/>
                    </w14:schemeClr>
                  </w14:solidFill>
                </w14:textFill>
              </w:rPr>
              <w:t>意斯特精机</w:t>
            </w:r>
            <w:r>
              <w:rPr>
                <w:rFonts w:hint="eastAsia" w:cs="宋体"/>
                <w:bCs/>
                <w:color w:val="0D0D0D" w:themeColor="text1" w:themeTint="F2"/>
                <w:kern w:val="0"/>
                <w:sz w:val="24"/>
                <w14:textFill>
                  <w14:solidFill>
                    <w14:schemeClr w14:val="tx1">
                      <w14:lumMod w14:val="95000"/>
                      <w14:lumOff w14:val="5000"/>
                    </w14:schemeClr>
                  </w14:solidFill>
                </w14:textFill>
              </w:rPr>
              <w:t>有限公司</w:t>
            </w:r>
            <w:r>
              <w:rPr>
                <w:rFonts w:hint="eastAsia"/>
                <w:color w:val="auto"/>
                <w:sz w:val="24"/>
              </w:rPr>
              <w:t>委</w:t>
            </w:r>
            <w:r>
              <w:rPr>
                <w:rFonts w:hint="eastAsia"/>
                <w:color w:val="0D0D0D" w:themeColor="text1" w:themeTint="F2"/>
                <w:sz w:val="24"/>
                <w14:textFill>
                  <w14:solidFill>
                    <w14:schemeClr w14:val="tx1">
                      <w14:lumMod w14:val="95000"/>
                      <w14:lumOff w14:val="5000"/>
                    </w14:schemeClr>
                  </w14:solidFill>
                </w14:textFill>
              </w:rPr>
              <w:t>托我公司承担其环境影响评价工作。接受委托后，我公司立即组织有关技术人员进行现场踏勘、收集资料，依据国家有关法规文件和环境影响评价导则，编制了该项目环境影响报告表。</w:t>
            </w:r>
          </w:p>
          <w:p>
            <w:pPr>
              <w:keepNext w:val="0"/>
              <w:keepLines w:val="0"/>
              <w:widowControl w:val="0"/>
              <w:suppressLineNumbers w:val="0"/>
              <w:spacing w:before="0" w:beforeLines="0" w:beforeAutospacing="0" w:after="0" w:afterLines="0" w:afterAutospacing="0" w:line="360" w:lineRule="auto"/>
              <w:ind w:left="0" w:right="0"/>
              <w:jc w:val="center"/>
              <w:rPr>
                <w:rFonts w:hint="eastAsia" w:ascii="Times New Roman" w:hAnsi="Times New Roman" w:eastAsia="宋体" w:cs="Times New Roman"/>
                <w:b/>
                <w:bCs w:val="0"/>
                <w:kern w:val="0"/>
                <w:sz w:val="24"/>
                <w:szCs w:val="24"/>
              </w:rPr>
            </w:pPr>
            <w:r>
              <w:rPr>
                <w:rFonts w:hint="eastAsia" w:ascii="宋体" w:hAnsi="宋体" w:eastAsia="宋体" w:cs="宋体"/>
                <w:b/>
                <w:bCs w:val="0"/>
                <w:kern w:val="0"/>
                <w:sz w:val="24"/>
                <w:szCs w:val="24"/>
                <w:lang w:val="en-US" w:eastAsia="zh-CN" w:bidi="ar"/>
              </w:rPr>
              <w:t>表</w:t>
            </w:r>
            <w:r>
              <w:rPr>
                <w:rFonts w:hint="default" w:ascii="Times New Roman" w:hAnsi="Times New Roman" w:eastAsia="宋体" w:cs="Times New Roman"/>
                <w:b/>
                <w:bCs w:val="0"/>
                <w:kern w:val="0"/>
                <w:sz w:val="24"/>
                <w:szCs w:val="24"/>
                <w:lang w:val="en-US" w:eastAsia="zh-CN" w:bidi="ar"/>
              </w:rPr>
              <w:t xml:space="preserve">2-1  </w:t>
            </w:r>
            <w:r>
              <w:rPr>
                <w:rFonts w:hint="eastAsia" w:ascii="宋体" w:hAnsi="宋体" w:eastAsia="宋体" w:cs="宋体"/>
                <w:b/>
                <w:bCs w:val="0"/>
                <w:kern w:val="0"/>
                <w:sz w:val="24"/>
                <w:szCs w:val="24"/>
                <w:lang w:val="en-US" w:eastAsia="zh-CN" w:bidi="ar"/>
              </w:rPr>
              <w:t>项目环境影响评价文件类别判定</w:t>
            </w:r>
          </w:p>
          <w:tbl>
            <w:tblPr>
              <w:tblStyle w:val="59"/>
              <w:tblW w:w="4993" w:type="pct"/>
              <w:tblInd w:w="108" w:type="dxa"/>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543"/>
              <w:gridCol w:w="1617"/>
              <w:gridCol w:w="2974"/>
              <w:gridCol w:w="1698"/>
              <w:gridCol w:w="1167"/>
            </w:tblGrid>
            <w:tr>
              <w:tblPrEx>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23" w:hRule="atLeast"/>
              </w:trPr>
              <w:tc>
                <w:tcPr>
                  <w:tcW w:w="2160" w:type="dxa"/>
                  <w:gridSpan w:val="2"/>
                  <w:tcBorders>
                    <w:top w:val="single" w:color="000000" w:sz="12" w:space="0"/>
                    <w:left w:val="nil"/>
                    <w:bottom w:val="single" w:color="auto" w:sz="4"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2" w:beforeLines="0" w:beforeAutospacing="0" w:after="0" w:afterLines="0" w:afterAutospacing="0" w:line="267" w:lineRule="exact"/>
                    <w:ind w:left="1241" w:right="0"/>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环评类别</w:t>
                  </w:r>
                </w:p>
                <w:p>
                  <w:pPr>
                    <w:pStyle w:val="54"/>
                    <w:keepNext w:val="0"/>
                    <w:keepLines w:val="0"/>
                    <w:widowControl w:val="0"/>
                    <w:suppressLineNumbers w:val="0"/>
                    <w:autoSpaceDE w:val="0"/>
                    <w:autoSpaceDN w:val="0"/>
                    <w:spacing w:before="58" w:beforeLines="0" w:beforeAutospacing="0" w:after="0" w:afterLines="0" w:afterAutospacing="0" w:line="267" w:lineRule="exact"/>
                    <w:ind w:left="215" w:right="0"/>
                    <w:jc w:val="left"/>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项目类别</w:t>
                  </w:r>
                </w:p>
              </w:tc>
              <w:tc>
                <w:tcPr>
                  <w:tcW w:w="2973" w:type="dxa"/>
                  <w:tcBorders>
                    <w:top w:val="single" w:color="000000" w:sz="12" w:space="0"/>
                    <w:left w:val="nil"/>
                    <w:bottom w:val="single" w:color="auto" w:sz="4"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107" w:beforeLines="0" w:beforeAutospacing="0" w:after="0" w:afterLines="0" w:afterAutospacing="0"/>
                    <w:ind w:left="84" w:right="76"/>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报告书</w:t>
                  </w:r>
                </w:p>
              </w:tc>
              <w:tc>
                <w:tcPr>
                  <w:tcW w:w="1698" w:type="dxa"/>
                  <w:tcBorders>
                    <w:top w:val="single" w:color="000000" w:sz="12" w:space="0"/>
                    <w:left w:val="nil"/>
                    <w:bottom w:val="single" w:color="auto" w:sz="4" w:space="0"/>
                    <w:right w:val="single" w:color="auto" w:sz="4" w:space="0"/>
                  </w:tcBorders>
                  <w:shd w:val="clear" w:color="auto" w:fill="A5A5A5"/>
                  <w:vAlign w:val="center"/>
                </w:tcPr>
                <w:p>
                  <w:pPr>
                    <w:pStyle w:val="54"/>
                    <w:keepNext w:val="0"/>
                    <w:keepLines w:val="0"/>
                    <w:widowControl w:val="0"/>
                    <w:suppressLineNumbers w:val="0"/>
                    <w:autoSpaceDE w:val="0"/>
                    <w:autoSpaceDN w:val="0"/>
                    <w:spacing w:before="107" w:beforeLines="0" w:beforeAutospacing="0" w:after="0" w:afterLines="0" w:afterAutospacing="0"/>
                    <w:ind w:left="111" w:right="101"/>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报告表</w:t>
                  </w:r>
                </w:p>
              </w:tc>
              <w:tc>
                <w:tcPr>
                  <w:tcW w:w="1167" w:type="dxa"/>
                  <w:tcBorders>
                    <w:top w:val="single" w:color="000000" w:sz="12" w:space="0"/>
                    <w:left w:val="nil"/>
                    <w:bottom w:val="single" w:color="auto" w:sz="4" w:space="0"/>
                    <w:right w:val="nil"/>
                  </w:tcBorders>
                  <w:shd w:val="clear" w:color="auto" w:fill="FFFFFF"/>
                  <w:vAlign w:val="center"/>
                </w:tcPr>
                <w:p>
                  <w:pPr>
                    <w:pStyle w:val="54"/>
                    <w:keepNext w:val="0"/>
                    <w:keepLines w:val="0"/>
                    <w:widowControl w:val="0"/>
                    <w:suppressLineNumbers w:val="0"/>
                    <w:autoSpaceDE w:val="0"/>
                    <w:autoSpaceDN w:val="0"/>
                    <w:spacing w:before="107" w:beforeLines="0" w:beforeAutospacing="0" w:after="0" w:afterLines="0" w:afterAutospacing="0"/>
                    <w:ind w:left="182" w:right="176"/>
                    <w:jc w:val="center"/>
                    <w:rPr>
                      <w:rFonts w:hint="eastAsia" w:ascii="宋体" w:hAnsi="宋体" w:eastAsia="宋体" w:cs="宋体"/>
                      <w:b/>
                      <w:bCs w:val="0"/>
                      <w:kern w:val="0"/>
                      <w:sz w:val="21"/>
                      <w:szCs w:val="21"/>
                    </w:rPr>
                  </w:pPr>
                  <w:r>
                    <w:rPr>
                      <w:rFonts w:hint="eastAsia" w:ascii="宋体" w:hAnsi="宋体" w:eastAsia="宋体" w:cs="宋体"/>
                      <w:b/>
                      <w:bCs w:val="0"/>
                      <w:kern w:val="0"/>
                      <w:sz w:val="21"/>
                      <w:szCs w:val="21"/>
                      <w:lang w:val="en-US" w:eastAsia="zh-CN" w:bidi="ar"/>
                    </w:rPr>
                    <w:t>登记表</w:t>
                  </w:r>
                </w:p>
              </w:tc>
            </w:tr>
            <w:tr>
              <w:tblPrEx>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08" w:hRule="atLeast"/>
              </w:trPr>
              <w:tc>
                <w:tcPr>
                  <w:tcW w:w="7998" w:type="dxa"/>
                  <w:gridSpan w:val="5"/>
                  <w:tcBorders>
                    <w:top w:val="single" w:color="auto" w:sz="4" w:space="0"/>
                    <w:left w:val="nil"/>
                    <w:bottom w:val="single" w:color="auto" w:sz="4" w:space="0"/>
                    <w:right w:val="nil"/>
                  </w:tcBorders>
                  <w:shd w:val="clear" w:color="auto" w:fill="FFFFFF"/>
                  <w:vAlign w:val="center"/>
                </w:tcPr>
                <w:p>
                  <w:pPr>
                    <w:pStyle w:val="54"/>
                    <w:keepNext w:val="0"/>
                    <w:keepLines w:val="0"/>
                    <w:widowControl w:val="0"/>
                    <w:suppressLineNumbers w:val="0"/>
                    <w:autoSpaceDE w:val="0"/>
                    <w:autoSpaceDN w:val="0"/>
                    <w:spacing w:before="1" w:beforeLines="0" w:beforeAutospacing="0" w:after="0" w:afterLines="0" w:afterAutospacing="0"/>
                    <w:ind w:left="106" w:right="0"/>
                    <w:jc w:val="left"/>
                    <w:rPr>
                      <w:rFonts w:hint="default" w:ascii="Times New Roman" w:hAnsi="宋体" w:cs="宋体"/>
                      <w:kern w:val="0"/>
                      <w:sz w:val="21"/>
                      <w:szCs w:val="21"/>
                    </w:rPr>
                  </w:pPr>
                  <w:r>
                    <w:rPr>
                      <w:rFonts w:hint="eastAsia" w:ascii="宋体" w:hAnsi="宋体" w:eastAsia="宋体" w:cs="宋体"/>
                      <w:kern w:val="0"/>
                      <w:sz w:val="21"/>
                      <w:szCs w:val="21"/>
                      <w:lang w:val="en-US" w:eastAsia="zh-CN" w:bidi="ar"/>
                    </w:rPr>
                    <w:t>三十三、汽车制造业36</w:t>
                  </w:r>
                </w:p>
              </w:tc>
            </w:tr>
            <w:tr>
              <w:tblPrEx>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652" w:hRule="atLeast"/>
              </w:trPr>
              <w:tc>
                <w:tcPr>
                  <w:tcW w:w="504" w:type="dxa"/>
                  <w:tcBorders>
                    <w:top w:val="single" w:color="auto" w:sz="4" w:space="0"/>
                    <w:left w:val="nil"/>
                    <w:bottom w:val="single" w:color="auto" w:sz="4"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1" w:beforeLines="0" w:beforeAutospacing="0" w:after="0" w:afterLines="0" w:afterAutospacing="0"/>
                    <w:ind w:left="0" w:right="0"/>
                    <w:jc w:val="center"/>
                    <w:rPr>
                      <w:rFonts w:hint="eastAsia" w:ascii="Times New Roman" w:hAnsi="宋体" w:eastAsia="宋体" w:cs="宋体"/>
                      <w:kern w:val="0"/>
                      <w:sz w:val="21"/>
                      <w:szCs w:val="21"/>
                    </w:rPr>
                  </w:pPr>
                  <w:r>
                    <w:rPr>
                      <w:rFonts w:hint="default" w:ascii="Times New Roman" w:hAnsi="Times New Roman" w:eastAsia="宋体" w:cs="Times New Roman"/>
                      <w:kern w:val="0"/>
                      <w:sz w:val="21"/>
                      <w:szCs w:val="21"/>
                      <w:lang w:val="en-US" w:eastAsia="zh-CN" w:bidi="ar"/>
                    </w:rPr>
                    <w:t>71</w:t>
                  </w:r>
                </w:p>
              </w:tc>
              <w:tc>
                <w:tcPr>
                  <w:tcW w:w="1656" w:type="dxa"/>
                  <w:tcBorders>
                    <w:top w:val="single" w:color="auto" w:sz="4" w:space="0"/>
                    <w:left w:val="nil"/>
                    <w:bottom w:val="single" w:color="auto" w:sz="4"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58" w:beforeLines="0" w:beforeAutospacing="0" w:after="0" w:afterLines="0" w:afterAutospacing="0"/>
                    <w:ind w:left="205" w:right="0"/>
                    <w:jc w:val="center"/>
                    <w:rPr>
                      <w:rFonts w:hint="default" w:ascii="Times New Roman" w:hAnsi="宋体" w:cs="宋体"/>
                      <w:kern w:val="0"/>
                      <w:sz w:val="21"/>
                      <w:szCs w:val="21"/>
                    </w:rPr>
                  </w:pPr>
                  <w:r>
                    <w:rPr>
                      <w:rFonts w:hint="eastAsia" w:ascii="宋体" w:hAnsi="宋体" w:eastAsia="宋体" w:cs="宋体"/>
                      <w:kern w:val="0"/>
                      <w:sz w:val="21"/>
                      <w:szCs w:val="21"/>
                      <w:lang w:val="en-US" w:eastAsia="zh-CN" w:bidi="ar"/>
                    </w:rPr>
                    <w:t>汽车整车制造361；汽车用发动机制造362；改装汽车制造363；低速汽车制造364；电车制造365；汽车车身、挂车制造366；汽车零部件及配件制造367</w:t>
                  </w:r>
                </w:p>
              </w:tc>
              <w:tc>
                <w:tcPr>
                  <w:tcW w:w="2973" w:type="dxa"/>
                  <w:tcBorders>
                    <w:top w:val="single" w:color="auto" w:sz="4" w:space="0"/>
                    <w:left w:val="nil"/>
                    <w:bottom w:val="single" w:color="auto" w:sz="4"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72" w:beforeLines="0" w:beforeAutospacing="0" w:after="0" w:afterLines="0" w:afterAutospacing="0"/>
                    <w:ind w:left="157"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汽车整车制造（仅组装的除外）；汽车用发动机制造（仅组装的除外）；有电镀工艺的；年用溶剂型涂料（含稀释剂）10吨及以上的</w:t>
                  </w:r>
                </w:p>
              </w:tc>
              <w:tc>
                <w:tcPr>
                  <w:tcW w:w="1698" w:type="dxa"/>
                  <w:tcBorders>
                    <w:top w:val="single" w:color="auto" w:sz="4" w:space="0"/>
                    <w:left w:val="nil"/>
                    <w:bottom w:val="single" w:color="auto" w:sz="4" w:space="0"/>
                    <w:right w:val="single" w:color="auto" w:sz="4" w:space="0"/>
                  </w:tcBorders>
                  <w:shd w:val="clear" w:color="auto" w:fill="A5A5A5"/>
                  <w:vAlign w:val="center"/>
                </w:tcPr>
                <w:p>
                  <w:pPr>
                    <w:pStyle w:val="54"/>
                    <w:keepNext w:val="0"/>
                    <w:keepLines w:val="0"/>
                    <w:widowControl w:val="0"/>
                    <w:suppressLineNumbers w:val="0"/>
                    <w:autoSpaceDE w:val="0"/>
                    <w:autoSpaceDN w:val="0"/>
                    <w:spacing w:before="58" w:beforeLines="0" w:beforeAutospacing="0" w:after="0" w:afterLines="0" w:afterAutospacing="0"/>
                    <w:ind w:left="111" w:right="104"/>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其他（年用非溶剂型低VOCs含量涂料10吨以下的除外）</w:t>
                  </w:r>
                </w:p>
              </w:tc>
              <w:tc>
                <w:tcPr>
                  <w:tcW w:w="1167" w:type="dxa"/>
                  <w:tcBorders>
                    <w:top w:val="single" w:color="auto" w:sz="4" w:space="0"/>
                    <w:left w:val="nil"/>
                    <w:bottom w:val="single" w:color="auto" w:sz="4" w:space="0"/>
                    <w:right w:val="nil"/>
                  </w:tcBorders>
                  <w:shd w:val="clear" w:color="auto" w:fill="FFFFFF"/>
                  <w:vAlign w:val="center"/>
                </w:tcPr>
                <w:p>
                  <w:pPr>
                    <w:pStyle w:val="54"/>
                    <w:keepNext w:val="0"/>
                    <w:keepLines w:val="0"/>
                    <w:widowControl w:val="0"/>
                    <w:suppressLineNumbers w:val="0"/>
                    <w:autoSpaceDE w:val="0"/>
                    <w:autoSpaceDN w:val="0"/>
                    <w:spacing w:before="58" w:beforeLines="0" w:beforeAutospacing="0" w:after="0" w:afterLines="0" w:afterAutospacing="0"/>
                    <w:ind w:left="11" w:right="0"/>
                    <w:jc w:val="center"/>
                    <w:rPr>
                      <w:rFonts w:hint="default" w:ascii="Times New Roman" w:hAnsi="宋体" w:cs="宋体"/>
                      <w:kern w:val="0"/>
                      <w:sz w:val="21"/>
                      <w:szCs w:val="21"/>
                    </w:rPr>
                  </w:pPr>
                  <w:r>
                    <w:rPr>
                      <w:rFonts w:hint="default" w:ascii="Times New Roman" w:hAnsi="Times New Roman" w:eastAsia="宋体" w:cs="Times New Roman"/>
                      <w:kern w:val="0"/>
                      <w:sz w:val="21"/>
                      <w:szCs w:val="21"/>
                      <w:lang w:val="en-US" w:eastAsia="zh-CN" w:bidi="ar"/>
                    </w:rPr>
                    <w:t>/</w:t>
                  </w:r>
                </w:p>
              </w:tc>
            </w:tr>
            <w:tr>
              <w:tblPrEx>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82" w:hRule="atLeast"/>
              </w:trPr>
              <w:tc>
                <w:tcPr>
                  <w:tcW w:w="7998" w:type="dxa"/>
                  <w:gridSpan w:val="5"/>
                  <w:tcBorders>
                    <w:top w:val="single" w:color="auto" w:sz="4" w:space="0"/>
                    <w:left w:val="nil"/>
                    <w:bottom w:val="single" w:color="auto" w:sz="4" w:space="0"/>
                    <w:right w:val="nil"/>
                  </w:tcBorders>
                  <w:shd w:val="clear" w:color="auto" w:fill="FFFFFF"/>
                  <w:vAlign w:val="center"/>
                </w:tcPr>
                <w:p>
                  <w:pPr>
                    <w:pStyle w:val="54"/>
                    <w:keepNext w:val="0"/>
                    <w:keepLines w:val="0"/>
                    <w:widowControl w:val="0"/>
                    <w:suppressLineNumbers w:val="0"/>
                    <w:autoSpaceDE w:val="0"/>
                    <w:autoSpaceDN w:val="0"/>
                    <w:spacing w:before="58" w:beforeLines="0" w:beforeAutospacing="0" w:after="0" w:afterLines="0" w:afterAutospacing="0"/>
                    <w:ind w:left="11" w:right="0"/>
                    <w:jc w:val="left"/>
                    <w:rPr>
                      <w:rFonts w:hint="default" w:ascii="Times New Roman" w:hAnsi="宋体" w:cs="宋体"/>
                      <w:kern w:val="0"/>
                      <w:sz w:val="21"/>
                      <w:szCs w:val="21"/>
                    </w:rPr>
                  </w:pPr>
                  <w:r>
                    <w:rPr>
                      <w:rFonts w:hint="eastAsia" w:ascii="宋体" w:hAnsi="宋体" w:eastAsia="宋体" w:cs="宋体"/>
                      <w:kern w:val="0"/>
                      <w:sz w:val="21"/>
                      <w:szCs w:val="21"/>
                      <w:lang w:val="en-US" w:eastAsia="zh-CN" w:bidi="ar"/>
                    </w:rPr>
                    <w:t>三十、金属制品业33</w:t>
                  </w:r>
                </w:p>
              </w:tc>
            </w:tr>
            <w:tr>
              <w:tblPrEx>
                <w:tblBorders>
                  <w:top w:val="single" w:color="000000" w:sz="12" w:space="0"/>
                  <w:left w:val="single" w:color="auto" w:sz="4" w:space="0"/>
                  <w:bottom w:val="single" w:color="000000" w:sz="12"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1734" w:hRule="atLeast"/>
              </w:trPr>
              <w:tc>
                <w:tcPr>
                  <w:tcW w:w="504" w:type="dxa"/>
                  <w:tcBorders>
                    <w:top w:val="single" w:color="auto" w:sz="4" w:space="0"/>
                    <w:left w:val="nil"/>
                    <w:bottom w:val="single" w:color="000000" w:sz="12"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1" w:beforeLines="0" w:beforeAutospacing="0" w:after="0" w:afterLines="0" w:afterAutospacing="0"/>
                    <w:ind w:left="0" w:right="0"/>
                    <w:jc w:val="center"/>
                    <w:rPr>
                      <w:rFonts w:hint="default" w:ascii="Times New Roman" w:hAnsi="宋体" w:eastAsia="宋体" w:cs="宋体"/>
                      <w:kern w:val="0"/>
                      <w:sz w:val="21"/>
                      <w:szCs w:val="21"/>
                      <w:lang w:val="en-US"/>
                    </w:rPr>
                  </w:pPr>
                  <w:r>
                    <w:rPr>
                      <w:rFonts w:hint="eastAsia" w:ascii="Times New Roman" w:hAnsi="Times New Roman" w:eastAsia="宋体" w:cs="Times New Roman"/>
                      <w:kern w:val="0"/>
                      <w:sz w:val="21"/>
                      <w:szCs w:val="21"/>
                      <w:lang w:val="en-US" w:eastAsia="zh-CN" w:bidi="ar"/>
                    </w:rPr>
                    <w:t>68</w:t>
                  </w:r>
                </w:p>
              </w:tc>
              <w:tc>
                <w:tcPr>
                  <w:tcW w:w="1656" w:type="dxa"/>
                  <w:tcBorders>
                    <w:top w:val="single" w:color="auto" w:sz="4" w:space="0"/>
                    <w:left w:val="nil"/>
                    <w:bottom w:val="single" w:color="000000" w:sz="12"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58" w:beforeLines="0" w:beforeAutospacing="0" w:after="0" w:afterLines="0" w:afterAutospacing="0"/>
                    <w:ind w:left="205"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铸造及其他金属制品制造339</w:t>
                  </w:r>
                </w:p>
              </w:tc>
              <w:tc>
                <w:tcPr>
                  <w:tcW w:w="2973" w:type="dxa"/>
                  <w:tcBorders>
                    <w:top w:val="single" w:color="auto" w:sz="4" w:space="0"/>
                    <w:left w:val="nil"/>
                    <w:bottom w:val="single" w:color="000000" w:sz="12" w:space="0"/>
                    <w:right w:val="single" w:color="auto" w:sz="4" w:space="0"/>
                  </w:tcBorders>
                  <w:shd w:val="clear" w:color="auto" w:fill="FFFFFF"/>
                  <w:vAlign w:val="center"/>
                </w:tcPr>
                <w:p>
                  <w:pPr>
                    <w:pStyle w:val="54"/>
                    <w:keepNext w:val="0"/>
                    <w:keepLines w:val="0"/>
                    <w:widowControl w:val="0"/>
                    <w:suppressLineNumbers w:val="0"/>
                    <w:autoSpaceDE w:val="0"/>
                    <w:autoSpaceDN w:val="0"/>
                    <w:spacing w:before="72" w:beforeLines="0" w:beforeAutospacing="0" w:after="0" w:afterLines="0" w:afterAutospacing="0"/>
                    <w:ind w:left="157" w:right="0"/>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黑色金属铸造年产10万吨及以上的；有色金属铸造年产10万吨及以上的</w:t>
                  </w:r>
                </w:p>
              </w:tc>
              <w:tc>
                <w:tcPr>
                  <w:tcW w:w="1698" w:type="dxa"/>
                  <w:tcBorders>
                    <w:top w:val="single" w:color="auto" w:sz="4" w:space="0"/>
                    <w:left w:val="nil"/>
                    <w:bottom w:val="single" w:color="000000" w:sz="12" w:space="0"/>
                    <w:right w:val="single" w:color="auto" w:sz="4" w:space="0"/>
                  </w:tcBorders>
                  <w:shd w:val="clear" w:color="auto" w:fill="A5A5A5"/>
                  <w:vAlign w:val="center"/>
                </w:tcPr>
                <w:p>
                  <w:pPr>
                    <w:pStyle w:val="54"/>
                    <w:keepNext w:val="0"/>
                    <w:keepLines w:val="0"/>
                    <w:widowControl w:val="0"/>
                    <w:suppressLineNumbers w:val="0"/>
                    <w:autoSpaceDE w:val="0"/>
                    <w:autoSpaceDN w:val="0"/>
                    <w:spacing w:before="58" w:beforeLines="0" w:beforeAutospacing="0" w:after="0" w:afterLines="0" w:afterAutospacing="0"/>
                    <w:ind w:left="111" w:right="104"/>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bidi="ar"/>
                    </w:rPr>
                    <w:t>其他（仅分割、焊接、组装的除外）</w:t>
                  </w:r>
                </w:p>
              </w:tc>
              <w:tc>
                <w:tcPr>
                  <w:tcW w:w="1167" w:type="dxa"/>
                  <w:tcBorders>
                    <w:top w:val="single" w:color="auto" w:sz="4" w:space="0"/>
                    <w:left w:val="nil"/>
                    <w:bottom w:val="single" w:color="000000" w:sz="12" w:space="0"/>
                    <w:right w:val="nil"/>
                  </w:tcBorders>
                  <w:shd w:val="clear" w:color="auto" w:fill="FFFFFF"/>
                  <w:vAlign w:val="center"/>
                </w:tcPr>
                <w:p>
                  <w:pPr>
                    <w:pStyle w:val="54"/>
                    <w:keepNext w:val="0"/>
                    <w:keepLines w:val="0"/>
                    <w:widowControl w:val="0"/>
                    <w:suppressLineNumbers w:val="0"/>
                    <w:autoSpaceDE w:val="0"/>
                    <w:autoSpaceDN w:val="0"/>
                    <w:spacing w:before="58" w:beforeLines="0" w:beforeAutospacing="0" w:after="0" w:afterLines="0" w:afterAutospacing="0"/>
                    <w:ind w:left="11" w:right="0"/>
                    <w:jc w:val="center"/>
                    <w:rPr>
                      <w:rFonts w:hint="eastAsia" w:ascii="Times New Roman" w:hAnsi="宋体" w:eastAsia="宋体" w:cs="宋体"/>
                      <w:kern w:val="0"/>
                      <w:sz w:val="21"/>
                      <w:szCs w:val="21"/>
                    </w:rPr>
                  </w:pPr>
                  <w:r>
                    <w:rPr>
                      <w:rFonts w:hint="default" w:ascii="Times New Roman" w:hAnsi="Times New Roman" w:eastAsia="宋体" w:cs="Times New Roman"/>
                      <w:kern w:val="0"/>
                      <w:sz w:val="21"/>
                      <w:szCs w:val="21"/>
                      <w:lang w:val="en-US" w:eastAsia="zh-CN" w:bidi="ar"/>
                    </w:rPr>
                    <w:t>/</w:t>
                  </w:r>
                </w:p>
              </w:tc>
            </w:tr>
          </w:tbl>
          <w:p>
            <w:pPr>
              <w:pStyle w:val="24"/>
              <w:keepNext w:val="0"/>
              <w:keepLines w:val="0"/>
              <w:suppressLineNumbers w:val="0"/>
              <w:spacing w:beforeAutospacing="0" w:afterAutospacing="0"/>
              <w:ind w:left="0"/>
              <w:rPr>
                <w:rFonts w:hint="default"/>
              </w:rPr>
            </w:pP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对照《国民经济行业分类》（2017 年版），本项目属于 C3392 有色金属铸造，对照《固定污染源排污许可分类管理名录》（2019 年版）中相关内容，属于《名录》第二十八项“金属制品业 33”中“82 铸造及其他金属制品制造 339”，属于排污许可中“简化管理”。根据《安徽省生态环境厅关于统筹做好固定污染源排污许可日常监管工作的通知》（皖环发[2021]7 号）要求，属于现行《固定污染源排污许可分类管理名录》内重点管理和简化管理的行业，建设单位在组织编制建设项目环境影响报告书（表）时，可结合相应行业排污许可证申请与核发技术规范，在环评文件中一并明确“建设项目环境影响评价与排污许可联动”内容。因此本报告表在附件中填写了建设项目环境影响评价与排污许可联动相关内容。企业应根据现行《固定污染源排污许可分类管理名录》要求，在实施排污前完成建设项目排污许可证的申请。</w:t>
            </w:r>
          </w:p>
          <w:p>
            <w:pPr>
              <w:pStyle w:val="58"/>
              <w:keepNext w:val="0"/>
              <w:keepLines w:val="0"/>
              <w:suppressLineNumbers w:val="0"/>
              <w:spacing w:before="0" w:beforeAutospacing="0" w:afterAutospacing="0"/>
              <w:ind w:right="0"/>
              <w:jc w:val="center"/>
              <w:rPr>
                <w:rFonts w:hint="default" w:ascii="宋体" w:eastAsia="宋体"/>
                <w:b/>
                <w:kern w:val="2"/>
                <w:sz w:val="24"/>
                <w:szCs w:val="24"/>
              </w:rPr>
            </w:pPr>
            <w:r>
              <w:rPr>
                <w:rFonts w:hint="default" w:ascii="宋体" w:eastAsia="宋体"/>
                <w:b/>
                <w:kern w:val="2"/>
                <w:sz w:val="24"/>
                <w:szCs w:val="24"/>
              </w:rPr>
              <w:t>表2-2  固定污染源排污许可分类管理名录对照表</w:t>
            </w:r>
          </w:p>
          <w:tbl>
            <w:tblPr>
              <w:tblStyle w:val="59"/>
              <w:tblW w:w="799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896"/>
              <w:gridCol w:w="1760"/>
              <w:gridCol w:w="2089"/>
              <w:gridCol w:w="16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572"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b/>
                      <w:sz w:val="21"/>
                      <w:szCs w:val="21"/>
                    </w:rPr>
                  </w:pPr>
                  <w:r>
                    <w:rPr>
                      <w:rFonts w:hint="default" w:ascii="宋体" w:eastAsia="宋体"/>
                      <w:b/>
                      <w:sz w:val="21"/>
                      <w:szCs w:val="21"/>
                    </w:rPr>
                    <w:t>序号</w:t>
                  </w:r>
                </w:p>
              </w:tc>
              <w:tc>
                <w:tcPr>
                  <w:tcW w:w="1896"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b/>
                      <w:sz w:val="21"/>
                      <w:szCs w:val="21"/>
                    </w:rPr>
                  </w:pPr>
                  <w:r>
                    <w:rPr>
                      <w:rFonts w:hint="default" w:ascii="宋体" w:eastAsia="宋体"/>
                      <w:b/>
                      <w:sz w:val="21"/>
                      <w:szCs w:val="21"/>
                    </w:rPr>
                    <w:t>行业类别</w:t>
                  </w:r>
                </w:p>
              </w:tc>
              <w:tc>
                <w:tcPr>
                  <w:tcW w:w="1760" w:type="dxa"/>
                  <w:tcBorders>
                    <w:tl2br w:val="nil"/>
                    <w:tr2bl w:val="nil"/>
                  </w:tcBorders>
                  <w:shd w:val="clear" w:color="auto" w:fill="FFFFFF"/>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b/>
                      <w:sz w:val="21"/>
                      <w:szCs w:val="21"/>
                    </w:rPr>
                  </w:pPr>
                  <w:r>
                    <w:rPr>
                      <w:rFonts w:hint="default" w:ascii="宋体" w:eastAsia="宋体"/>
                      <w:b/>
                      <w:sz w:val="21"/>
                      <w:szCs w:val="21"/>
                    </w:rPr>
                    <w:t>重点管理</w:t>
                  </w:r>
                </w:p>
              </w:tc>
              <w:tc>
                <w:tcPr>
                  <w:tcW w:w="2089" w:type="dxa"/>
                  <w:tcBorders>
                    <w:tl2br w:val="nil"/>
                    <w:tr2bl w:val="nil"/>
                  </w:tcBorders>
                  <w:shd w:val="clear" w:color="auto" w:fill="A4A4A4"/>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b/>
                      <w:bCs w:val="0"/>
                      <w:sz w:val="21"/>
                      <w:szCs w:val="21"/>
                      <w:shd w:val="clear" w:color="auto" w:fill="auto"/>
                    </w:rPr>
                  </w:pPr>
                  <w:r>
                    <w:rPr>
                      <w:rFonts w:hint="default" w:ascii="宋体" w:eastAsia="宋体"/>
                      <w:b/>
                      <w:bCs w:val="0"/>
                      <w:sz w:val="21"/>
                      <w:szCs w:val="21"/>
                      <w:shd w:val="clear" w:color="auto" w:fill="auto"/>
                    </w:rPr>
                    <w:t>简化管理</w:t>
                  </w:r>
                </w:p>
              </w:tc>
              <w:tc>
                <w:tcPr>
                  <w:tcW w:w="1680"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b/>
                      <w:sz w:val="21"/>
                      <w:szCs w:val="21"/>
                      <w:shd w:val="clear" w:color="auto" w:fill="auto"/>
                    </w:rPr>
                  </w:pPr>
                  <w:r>
                    <w:rPr>
                      <w:rFonts w:hint="default" w:ascii="宋体" w:eastAsia="宋体"/>
                      <w:b/>
                      <w:sz w:val="21"/>
                      <w:szCs w:val="21"/>
                      <w:shd w:val="clear" w:color="auto" w:fill="auto"/>
                    </w:rPr>
                    <w:t>登记管理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7997" w:type="dxa"/>
                  <w:gridSpan w:val="5"/>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rPr>
                      <w:rFonts w:hint="default" w:ascii="宋体" w:eastAsia="宋体"/>
                      <w:b/>
                      <w:sz w:val="21"/>
                      <w:szCs w:val="21"/>
                    </w:rPr>
                  </w:pPr>
                  <w:r>
                    <w:rPr>
                      <w:rFonts w:hint="default" w:ascii="宋体" w:eastAsia="宋体"/>
                      <w:b/>
                      <w:kern w:val="0"/>
                      <w:sz w:val="21"/>
                      <w:szCs w:val="21"/>
                    </w:rPr>
                    <w:t>三十一、汽车制造业 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4" w:hRule="atLeast"/>
              </w:trPr>
              <w:tc>
                <w:tcPr>
                  <w:tcW w:w="572"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eastAsia="宋体"/>
                      <w:sz w:val="21"/>
                      <w:szCs w:val="21"/>
                    </w:rPr>
                  </w:pPr>
                  <w:r>
                    <w:rPr>
                      <w:rFonts w:hint="default" w:ascii="宋体" w:eastAsia="宋体"/>
                      <w:sz w:val="21"/>
                      <w:szCs w:val="21"/>
                    </w:rPr>
                    <w:t>85</w:t>
                  </w:r>
                </w:p>
              </w:tc>
              <w:tc>
                <w:tcPr>
                  <w:tcW w:w="1896" w:type="dxa"/>
                  <w:tcBorders>
                    <w:tl2br w:val="nil"/>
                    <w:tr2bl w:val="nil"/>
                  </w:tcBorders>
                  <w:shd w:val="clear" w:color="auto" w:fill="auto"/>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汽车整车制造361，汽车用发动机制造362，改装汽车制造363，低速汽车制造364，电车制造365，汽车车身、挂车制造366，汽车零部件及配件制造367</w:t>
                  </w:r>
                </w:p>
              </w:tc>
              <w:tc>
                <w:tcPr>
                  <w:tcW w:w="1760" w:type="dxa"/>
                  <w:tcBorders>
                    <w:tl2br w:val="nil"/>
                    <w:tr2bl w:val="nil"/>
                  </w:tcBorders>
                  <w:shd w:val="clear" w:color="auto" w:fill="FFFFFF"/>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纳入重点排污单位名录的</w:t>
                  </w:r>
                </w:p>
              </w:tc>
              <w:tc>
                <w:tcPr>
                  <w:tcW w:w="2089" w:type="dxa"/>
                  <w:tcBorders>
                    <w:tl2br w:val="nil"/>
                    <w:tr2bl w:val="nil"/>
                  </w:tcBorders>
                  <w:shd w:val="clear" w:color="auto" w:fill="auto"/>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shd w:val="clear"/>
                    </w:rPr>
                    <w:t>除重点管理以外的汽车整车制造361，除重点管理以外的年使用10吨及以上溶剂型涂料或者胶粘剂（含稀释剂、固化剂、清洗溶剂）的汽车用发动机制造362、改装汽车制造363、低速汽车制造364、电车制造365、汽车车身、挂车制造366、汽车零部件及配件制造367</w:t>
                  </w:r>
                </w:p>
              </w:tc>
              <w:tc>
                <w:tcPr>
                  <w:tcW w:w="1680" w:type="dxa"/>
                  <w:tcBorders>
                    <w:tl2br w:val="nil"/>
                    <w:tr2bl w:val="nil"/>
                  </w:tcBorders>
                  <w:shd w:val="clear" w:color="auto" w:fill="A4A4A4" w:themeFill="background1" w:themeFillShade="A5"/>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7997" w:type="dxa"/>
                  <w:gridSpan w:val="5"/>
                  <w:tcBorders>
                    <w:tl2br w:val="nil"/>
                    <w:tr2bl w:val="nil"/>
                  </w:tcBorders>
                  <w:noWrap w:val="0"/>
                  <w:vAlign w:val="center"/>
                </w:tcPr>
                <w:p>
                  <w:pPr>
                    <w:keepNext w:val="0"/>
                    <w:keepLines w:val="0"/>
                    <w:suppressLineNumbers w:val="0"/>
                    <w:snapToGrid w:val="0"/>
                    <w:spacing w:before="0" w:beforeAutospacing="0" w:after="0" w:afterAutospacing="0"/>
                    <w:ind w:left="0" w:right="0"/>
                    <w:jc w:val="left"/>
                    <w:rPr>
                      <w:rFonts w:hint="default" w:ascii="宋体" w:eastAsia="宋体"/>
                      <w:sz w:val="21"/>
                      <w:szCs w:val="21"/>
                    </w:rPr>
                  </w:pPr>
                  <w:r>
                    <w:rPr>
                      <w:rFonts w:hint="default" w:ascii="宋体" w:eastAsia="宋体"/>
                      <w:b/>
                      <w:kern w:val="0"/>
                      <w:sz w:val="21"/>
                      <w:szCs w:val="21"/>
                    </w:rPr>
                    <w:t>二十八、金属制品业 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81" w:hRule="atLeast"/>
              </w:trPr>
              <w:tc>
                <w:tcPr>
                  <w:tcW w:w="572" w:type="dxa"/>
                  <w:tcBorders>
                    <w:tl2br w:val="nil"/>
                    <w:tr2bl w:val="nil"/>
                  </w:tcBorders>
                  <w:shd w:val="clear" w:color="auto" w:fill="auto"/>
                  <w:noWrap w:val="0"/>
                  <w:vAlign w:val="center"/>
                </w:tcPr>
                <w:p>
                  <w:pPr>
                    <w:keepNext w:val="0"/>
                    <w:keepLines w:val="0"/>
                    <w:suppressLineNumbers w:val="0"/>
                    <w:adjustRightInd w:val="0"/>
                    <w:snapToGrid w:val="0"/>
                    <w:spacing w:before="0" w:beforeAutospacing="0" w:after="0" w:afterAutospacing="0"/>
                    <w:ind w:left="0" w:right="0"/>
                    <w:jc w:val="center"/>
                    <w:rPr>
                      <w:rFonts w:hint="default" w:eastAsia="宋体"/>
                      <w:sz w:val="21"/>
                      <w:szCs w:val="21"/>
                      <w:lang w:val="en-US" w:eastAsia="zh-CN"/>
                    </w:rPr>
                  </w:pPr>
                  <w:r>
                    <w:rPr>
                      <w:rFonts w:hint="eastAsia" w:ascii="宋体" w:eastAsia="宋体"/>
                      <w:sz w:val="21"/>
                      <w:szCs w:val="21"/>
                      <w:lang w:val="en-US" w:eastAsia="zh-CN"/>
                    </w:rPr>
                    <w:t>82</w:t>
                  </w:r>
                </w:p>
              </w:tc>
              <w:tc>
                <w:tcPr>
                  <w:tcW w:w="1896" w:type="dxa"/>
                  <w:tcBorders>
                    <w:tl2br w:val="nil"/>
                    <w:tr2bl w:val="nil"/>
                  </w:tcBorders>
                  <w:shd w:val="clear" w:color="auto" w:fill="auto"/>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铸造及其他金属制品制造339</w:t>
                  </w:r>
                </w:p>
              </w:tc>
              <w:tc>
                <w:tcPr>
                  <w:tcW w:w="1760" w:type="dxa"/>
                  <w:tcBorders>
                    <w:tl2br w:val="nil"/>
                    <w:tr2bl w:val="nil"/>
                  </w:tcBorders>
                  <w:shd w:val="clear" w:color="auto" w:fill="FFFFFF"/>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黑色金属铸造3391（使用冲天炉的），有色金属铸造3392（生产铅基及铅青铜铸件的）</w:t>
                  </w:r>
                </w:p>
              </w:tc>
              <w:tc>
                <w:tcPr>
                  <w:tcW w:w="2089" w:type="dxa"/>
                  <w:tcBorders>
                    <w:tl2br w:val="nil"/>
                    <w:tr2bl w:val="nil"/>
                  </w:tcBorders>
                  <w:shd w:val="clear" w:color="auto" w:fill="A4A4A4"/>
                  <w:noWrap w:val="0"/>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ascii="宋体" w:eastAsia="宋体"/>
                      <w:kern w:val="0"/>
                      <w:sz w:val="21"/>
                      <w:szCs w:val="21"/>
                    </w:rPr>
                  </w:pPr>
                  <w:r>
                    <w:rPr>
                      <w:rFonts w:hint="default" w:ascii="宋体" w:eastAsia="宋体"/>
                      <w:kern w:val="0"/>
                      <w:sz w:val="21"/>
                      <w:szCs w:val="21"/>
                    </w:rPr>
                    <w:t>除重点管理以外的黑色金属铸造3391、有色金属铸造3392</w:t>
                  </w:r>
                </w:p>
              </w:tc>
              <w:tc>
                <w:tcPr>
                  <w:tcW w:w="1680" w:type="dxa"/>
                  <w:tcBorders>
                    <w:tl2br w:val="nil"/>
                    <w:tr2bl w:val="nil"/>
                  </w:tcBorders>
                  <w:noWrap w:val="0"/>
                  <w:vAlign w:val="center"/>
                </w:tcPr>
                <w:p>
                  <w:pPr>
                    <w:keepNext w:val="0"/>
                    <w:keepLines w:val="0"/>
                    <w:suppressLineNumbers w:val="0"/>
                    <w:snapToGrid w:val="0"/>
                    <w:spacing w:before="0" w:beforeAutospacing="0" w:after="0" w:afterAutospacing="0"/>
                    <w:ind w:left="0" w:right="0"/>
                    <w:jc w:val="center"/>
                    <w:rPr>
                      <w:rFonts w:hint="default" w:ascii="宋体" w:eastAsia="宋体"/>
                      <w:sz w:val="21"/>
                      <w:szCs w:val="21"/>
                      <w:shd w:val="pct10" w:color="auto" w:fill="FFFFFF"/>
                    </w:rPr>
                  </w:pPr>
                  <w:r>
                    <w:rPr>
                      <w:rFonts w:hint="default" w:ascii="宋体" w:eastAsia="宋体"/>
                      <w:sz w:val="21"/>
                      <w:szCs w:val="21"/>
                    </w:rPr>
                    <w:t>其他</w:t>
                  </w:r>
                </w:p>
              </w:tc>
            </w:tr>
          </w:tbl>
          <w:p>
            <w:pPr>
              <w:pStyle w:val="24"/>
              <w:keepNext w:val="0"/>
              <w:keepLines w:val="0"/>
              <w:suppressLineNumbers w:val="0"/>
              <w:spacing w:beforeAutospacing="0" w:afterAutospacing="0"/>
              <w:ind w:left="0"/>
              <w:rPr>
                <w:rFonts w:hint="eastAsia"/>
              </w:rPr>
            </w:pP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2、产品方案</w:t>
            </w:r>
          </w:p>
          <w:p>
            <w:pPr>
              <w:keepNext w:val="0"/>
              <w:keepLines w:val="0"/>
              <w:suppressLineNumbers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项目产品方案见下表</w:t>
            </w:r>
            <w:r>
              <w:rPr>
                <w:rFonts w:hint="eastAsia"/>
                <w:color w:val="0D0D0D" w:themeColor="text1" w:themeTint="F2"/>
                <w:kern w:val="0"/>
                <w:sz w:val="24"/>
                <w14:textFill>
                  <w14:solidFill>
                    <w14:schemeClr w14:val="tx1">
                      <w14:lumMod w14:val="95000"/>
                      <w14:lumOff w14:val="5000"/>
                    </w14:schemeClr>
                  </w14:solidFill>
                </w14:textFill>
              </w:rPr>
              <w:t>2-</w:t>
            </w:r>
            <w:r>
              <w:rPr>
                <w:rFonts w:hint="eastAsia"/>
                <w:color w:val="0D0D0D" w:themeColor="text1" w:themeTint="F2"/>
                <w:kern w:val="0"/>
                <w:sz w:val="24"/>
                <w:lang w:val="en-US" w:eastAsia="zh-CN"/>
                <w14:textFill>
                  <w14:solidFill>
                    <w14:schemeClr w14:val="tx1">
                      <w14:lumMod w14:val="95000"/>
                      <w14:lumOff w14:val="5000"/>
                    </w14:schemeClr>
                  </w14:solidFill>
                </w14:textFill>
              </w:rPr>
              <w:t>3</w:t>
            </w:r>
            <w:r>
              <w:rPr>
                <w:rFonts w:hint="default"/>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ind w:left="0" w:right="0" w:firstLine="482" w:firstLineChars="200"/>
              <w:jc w:val="center"/>
              <w:rPr>
                <w:rFonts w:hint="default" w:hAnsi="宋体"/>
                <w:b/>
                <w:color w:val="0D0D0D" w:themeColor="text1" w:themeTint="F2"/>
                <w:kern w:val="24"/>
                <w:sz w:val="24"/>
                <w14:textFill>
                  <w14:solidFill>
                    <w14:schemeClr w14:val="tx1">
                      <w14:lumMod w14:val="95000"/>
                      <w14:lumOff w14:val="5000"/>
                    </w14:schemeClr>
                  </w14:solidFill>
                </w14:textFill>
              </w:rPr>
            </w:pPr>
            <w:r>
              <w:rPr>
                <w:rFonts w:hint="default" w:hAnsi="宋体"/>
                <w:b/>
                <w:color w:val="0D0D0D" w:themeColor="text1" w:themeTint="F2"/>
                <w:kern w:val="24"/>
                <w:sz w:val="24"/>
                <w14:textFill>
                  <w14:solidFill>
                    <w14:schemeClr w14:val="tx1">
                      <w14:lumMod w14:val="95000"/>
                      <w14:lumOff w14:val="5000"/>
                    </w14:schemeClr>
                  </w14:solidFill>
                </w14:textFill>
              </w:rPr>
              <w:t>表</w:t>
            </w:r>
            <w:r>
              <w:rPr>
                <w:rFonts w:hint="eastAsia" w:hAnsi="宋体"/>
                <w:b/>
                <w:color w:val="0D0D0D" w:themeColor="text1" w:themeTint="F2"/>
                <w:kern w:val="24"/>
                <w:sz w:val="24"/>
                <w14:textFill>
                  <w14:solidFill>
                    <w14:schemeClr w14:val="tx1">
                      <w14:lumMod w14:val="95000"/>
                      <w14:lumOff w14:val="5000"/>
                    </w14:schemeClr>
                  </w14:solidFill>
                </w14:textFill>
              </w:rPr>
              <w:t>2-</w:t>
            </w:r>
            <w:r>
              <w:rPr>
                <w:rFonts w:hint="eastAsia" w:hAnsi="宋体"/>
                <w:b/>
                <w:color w:val="0D0D0D" w:themeColor="text1" w:themeTint="F2"/>
                <w:kern w:val="24"/>
                <w:sz w:val="24"/>
                <w:lang w:val="en-US" w:eastAsia="zh-CN"/>
                <w14:textFill>
                  <w14:solidFill>
                    <w14:schemeClr w14:val="tx1">
                      <w14:lumMod w14:val="95000"/>
                      <w14:lumOff w14:val="5000"/>
                    </w14:schemeClr>
                  </w14:solidFill>
                </w14:textFill>
              </w:rPr>
              <w:t>3</w:t>
            </w:r>
            <w:r>
              <w:rPr>
                <w:rFonts w:hint="default" w:hAnsi="宋体"/>
                <w:b/>
                <w:color w:val="0D0D0D" w:themeColor="text1" w:themeTint="F2"/>
                <w:kern w:val="24"/>
                <w:sz w:val="24"/>
                <w14:textFill>
                  <w14:solidFill>
                    <w14:schemeClr w14:val="tx1">
                      <w14:lumMod w14:val="95000"/>
                      <w14:lumOff w14:val="5000"/>
                    </w14:schemeClr>
                  </w14:solidFill>
                </w14:textFill>
              </w:rPr>
              <w:t xml:space="preserve"> </w:t>
            </w:r>
            <w:r>
              <w:rPr>
                <w:rFonts w:hint="eastAsia" w:hAnsi="宋体"/>
                <w:b/>
                <w:color w:val="0D0D0D" w:themeColor="text1" w:themeTint="F2"/>
                <w:kern w:val="24"/>
                <w:sz w:val="24"/>
                <w14:textFill>
                  <w14:solidFill>
                    <w14:schemeClr w14:val="tx1">
                      <w14:lumMod w14:val="95000"/>
                      <w14:lumOff w14:val="5000"/>
                    </w14:schemeClr>
                  </w14:solidFill>
                </w14:textFill>
              </w:rPr>
              <w:t>项目</w:t>
            </w:r>
            <w:r>
              <w:rPr>
                <w:rFonts w:hint="default" w:hAnsi="宋体"/>
                <w:b/>
                <w:color w:val="0D0D0D" w:themeColor="text1" w:themeTint="F2"/>
                <w:kern w:val="24"/>
                <w:sz w:val="24"/>
                <w14:textFill>
                  <w14:solidFill>
                    <w14:schemeClr w14:val="tx1">
                      <w14:lumMod w14:val="95000"/>
                      <w14:lumOff w14:val="5000"/>
                    </w14:schemeClr>
                  </w14:solidFill>
                </w14:textFill>
              </w:rPr>
              <w:t>产品方案及生产规模</w:t>
            </w:r>
            <w:r>
              <w:rPr>
                <w:rFonts w:hint="eastAsia" w:hAnsi="宋体"/>
                <w:b/>
                <w:color w:val="0D0D0D" w:themeColor="text1" w:themeTint="F2"/>
                <w:kern w:val="24"/>
                <w:sz w:val="24"/>
                <w14:textFill>
                  <w14:solidFill>
                    <w14:schemeClr w14:val="tx1">
                      <w14:lumMod w14:val="95000"/>
                      <w14:lumOff w14:val="5000"/>
                    </w14:schemeClr>
                  </w14:solidFill>
                </w14:textFill>
              </w:rPr>
              <w:t>一览</w:t>
            </w:r>
            <w:r>
              <w:rPr>
                <w:rFonts w:hint="default" w:hAnsi="宋体"/>
                <w:b/>
                <w:color w:val="0D0D0D" w:themeColor="text1" w:themeTint="F2"/>
                <w:kern w:val="24"/>
                <w:sz w:val="24"/>
                <w14:textFill>
                  <w14:solidFill>
                    <w14:schemeClr w14:val="tx1">
                      <w14:lumMod w14:val="95000"/>
                      <w14:lumOff w14:val="5000"/>
                    </w14:schemeClr>
                  </w14:solidFill>
                </w14:textFill>
              </w:rPr>
              <w:t>表</w:t>
            </w:r>
          </w:p>
          <w:tbl>
            <w:tblPr>
              <w:tblStyle w:val="59"/>
              <w:tblpPr w:leftFromText="180" w:rightFromText="180" w:vertAnchor="text" w:tblpXSpec="center" w:tblpY="1"/>
              <w:tblOverlap w:val="never"/>
              <w:tblW w:w="471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7"/>
              <w:gridCol w:w="1050"/>
              <w:gridCol w:w="1635"/>
              <w:gridCol w:w="33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83"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bCs/>
                      <w:color w:val="0D0D0D" w:themeColor="text1" w:themeTint="F2"/>
                      <w:kern w:val="0"/>
                      <w:szCs w:val="21"/>
                      <w14:textFill>
                        <w14:solidFill>
                          <w14:schemeClr w14:val="tx1">
                            <w14:lumMod w14:val="95000"/>
                            <w14:lumOff w14:val="5000"/>
                          </w14:schemeClr>
                        </w14:solidFill>
                      </w14:textFill>
                    </w:rPr>
                    <w:t>产品</w:t>
                  </w:r>
                  <w:r>
                    <w:rPr>
                      <w:rFonts w:hint="eastAsia"/>
                      <w:b/>
                      <w:bCs/>
                      <w:color w:val="0D0D0D" w:themeColor="text1" w:themeTint="F2"/>
                      <w:kern w:val="0"/>
                      <w:szCs w:val="21"/>
                      <w14:textFill>
                        <w14:solidFill>
                          <w14:schemeClr w14:val="tx1">
                            <w14:lumMod w14:val="95000"/>
                            <w14:lumOff w14:val="5000"/>
                          </w14:schemeClr>
                        </w14:solidFill>
                      </w14:textFill>
                    </w:rPr>
                    <w:t>名称</w:t>
                  </w:r>
                </w:p>
              </w:tc>
              <w:tc>
                <w:tcPr>
                  <w:tcW w:w="694"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单位</w:t>
                  </w:r>
                </w:p>
              </w:tc>
              <w:tc>
                <w:tcPr>
                  <w:tcW w:w="1081"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position w:val="-1"/>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生产规模</w:t>
                  </w:r>
                </w:p>
              </w:tc>
              <w:tc>
                <w:tcPr>
                  <w:tcW w:w="2240" w:type="pct"/>
                  <w:vAlign w:val="center"/>
                </w:tcPr>
                <w:p>
                  <w:pPr>
                    <w:keepNext w:val="0"/>
                    <w:keepLines w:val="0"/>
                    <w:suppressLineNumbers w:val="0"/>
                    <w:spacing w:before="0" w:beforeAutospacing="0" w:after="0" w:afterAutospacing="0"/>
                    <w:ind w:left="0" w:right="0"/>
                    <w:jc w:val="center"/>
                    <w:rPr>
                      <w:rFonts w:hint="eastAsia" w:eastAsia="宋体"/>
                      <w:b/>
                      <w:color w:val="0D0D0D" w:themeColor="text1" w:themeTint="F2"/>
                      <w:kern w:val="0"/>
                      <w:szCs w:val="21"/>
                      <w:lang w:val="en-US" w:eastAsia="zh-CN"/>
                      <w14:textFill>
                        <w14:solidFill>
                          <w14:schemeClr w14:val="tx1">
                            <w14:lumMod w14:val="95000"/>
                            <w14:lumOff w14:val="5000"/>
                          </w14:schemeClr>
                        </w14:solidFill>
                      </w14:textFill>
                    </w:rPr>
                  </w:pPr>
                  <w:r>
                    <w:rPr>
                      <w:rFonts w:hint="eastAsia"/>
                      <w:b/>
                      <w:color w:val="0D0D0D" w:themeColor="text1" w:themeTint="F2"/>
                      <w:kern w:val="0"/>
                      <w:szCs w:val="21"/>
                      <w:lang w:val="en-US" w:eastAsia="zh-CN"/>
                      <w14:textFill>
                        <w14:solidFill>
                          <w14:schemeClr w14:val="tx1">
                            <w14:lumMod w14:val="95000"/>
                            <w14:lumOff w14:val="5000"/>
                          </w14:schemeClr>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983" w:type="pct"/>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宋体"/>
                      <w:color w:val="0D0D0D" w:themeColor="text1" w:themeTint="F2"/>
                      <w:kern w:val="24"/>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汽车铝合金零部件</w:t>
                  </w:r>
                </w:p>
              </w:tc>
              <w:tc>
                <w:tcPr>
                  <w:tcW w:w="694" w:type="pct"/>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件</w:t>
                  </w:r>
                  <w:r>
                    <w:rPr>
                      <w:rFonts w:hint="eastAsia"/>
                      <w:color w:val="0D0D0D" w:themeColor="text1" w:themeTint="F2"/>
                      <w:kern w:val="24"/>
                      <w:szCs w:val="21"/>
                      <w14:textFill>
                        <w14:solidFill>
                          <w14:schemeClr w14:val="tx1">
                            <w14:lumMod w14:val="95000"/>
                            <w14:lumOff w14:val="5000"/>
                          </w14:schemeClr>
                        </w14:solidFill>
                      </w14:textFill>
                    </w:rPr>
                    <w:t>/a</w:t>
                  </w:r>
                </w:p>
              </w:tc>
              <w:tc>
                <w:tcPr>
                  <w:tcW w:w="1081" w:type="pct"/>
                  <w:vAlign w:val="center"/>
                </w:tcPr>
                <w:p>
                  <w:pPr>
                    <w:keepNext w:val="0"/>
                    <w:keepLines w:val="0"/>
                    <w:widowControl/>
                    <w:suppressLineNumbers w:val="0"/>
                    <w:adjustRightInd w:val="0"/>
                    <w:snapToGrid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20</w:t>
                  </w:r>
                  <w:r>
                    <w:rPr>
                      <w:rFonts w:hint="eastAsia"/>
                      <w:color w:val="0D0D0D" w:themeColor="text1" w:themeTint="F2"/>
                      <w:kern w:val="24"/>
                      <w:szCs w:val="21"/>
                      <w14:textFill>
                        <w14:solidFill>
                          <w14:schemeClr w14:val="tx1">
                            <w14:lumMod w14:val="95000"/>
                            <w14:lumOff w14:val="5000"/>
                          </w14:schemeClr>
                        </w14:solidFill>
                      </w14:textFill>
                    </w:rPr>
                    <w:t>万</w:t>
                  </w:r>
                </w:p>
              </w:tc>
              <w:tc>
                <w:tcPr>
                  <w:tcW w:w="2240" w:type="pct"/>
                  <w:vAlign w:val="center"/>
                </w:tcPr>
                <w:p>
                  <w:pPr>
                    <w:keepNext w:val="0"/>
                    <w:keepLines w:val="0"/>
                    <w:widowControl/>
                    <w:suppressLineNumbers w:val="0"/>
                    <w:adjustRightInd w:val="0"/>
                    <w:snapToGrid w:val="0"/>
                    <w:spacing w:before="0" w:beforeAutospacing="0" w:after="0" w:afterAutospacing="0"/>
                    <w:ind w:left="0" w:right="0"/>
                    <w:jc w:val="center"/>
                    <w:rPr>
                      <w:rFonts w:hint="default" w:eastAsia="宋体"/>
                      <w:color w:val="0D0D0D" w:themeColor="text1" w:themeTint="F2"/>
                      <w:kern w:val="24"/>
                      <w:szCs w:val="21"/>
                      <w:lang w:val="en-US" w:eastAsia="zh-CN"/>
                      <w14:textFill>
                        <w14:solidFill>
                          <w14:schemeClr w14:val="tx1">
                            <w14:lumMod w14:val="95000"/>
                            <w14:lumOff w14:val="5000"/>
                          </w14:schemeClr>
                        </w14:solidFill>
                      </w14:textFill>
                    </w:rPr>
                  </w:pPr>
                  <w:r>
                    <w:rPr>
                      <w:rFonts w:hint="eastAsia"/>
                      <w:color w:val="auto"/>
                      <w:kern w:val="24"/>
                      <w:szCs w:val="21"/>
                      <w:lang w:val="en-US" w:eastAsia="zh-CN"/>
                    </w:rPr>
                    <w:t>零部件尺寸大小不唯一，重量在0.3kg~2.5kg之间</w:t>
                  </w:r>
                </w:p>
              </w:tc>
            </w:tr>
          </w:tbl>
          <w:p>
            <w:pPr>
              <w:keepNext w:val="0"/>
              <w:keepLines w:val="0"/>
              <w:widowControl/>
              <w:suppressLineNumbers w:val="0"/>
              <w:spacing w:before="0" w:beforeAutospacing="0" w:after="0" w:afterAutospacing="0" w:line="480" w:lineRule="exact"/>
              <w:ind w:left="0" w:right="0" w:firstLine="472" w:firstLineChars="196"/>
              <w:jc w:val="left"/>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szCs w:val="20"/>
                <w14:textFill>
                  <w14:solidFill>
                    <w14:schemeClr w14:val="tx1">
                      <w14:lumMod w14:val="95000"/>
                      <w14:lumOff w14:val="5000"/>
                    </w14:schemeClr>
                  </w14:solidFill>
                </w14:textFill>
              </w:rPr>
              <w:t>3、</w:t>
            </w:r>
            <w:r>
              <w:rPr>
                <w:rFonts w:hint="eastAsia"/>
                <w:b/>
                <w:color w:val="0D0D0D" w:themeColor="text1" w:themeTint="F2"/>
                <w:kern w:val="0"/>
                <w:sz w:val="24"/>
                <w14:textFill>
                  <w14:solidFill>
                    <w14:schemeClr w14:val="tx1">
                      <w14:lumMod w14:val="95000"/>
                      <w14:lumOff w14:val="5000"/>
                    </w14:schemeClr>
                  </w14:solidFill>
                </w14:textFill>
              </w:rPr>
              <w:t>项目建设内容</w:t>
            </w:r>
          </w:p>
          <w:p>
            <w:pPr>
              <w:keepNext w:val="0"/>
              <w:keepLines w:val="0"/>
              <w:widowControl/>
              <w:suppressLineNumbers w:val="0"/>
              <w:spacing w:before="0" w:beforeAutospacing="0" w:after="0" w:afterAutospacing="0" w:line="480" w:lineRule="exact"/>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建设项目组成详见</w:t>
            </w:r>
            <w:r>
              <w:rPr>
                <w:rFonts w:hint="eastAsia"/>
                <w:color w:val="0D0D0D" w:themeColor="text1" w:themeTint="F2"/>
                <w:kern w:val="0"/>
                <w:sz w:val="24"/>
                <w:szCs w:val="32"/>
                <w14:textFill>
                  <w14:solidFill>
                    <w14:schemeClr w14:val="tx1">
                      <w14:lumMod w14:val="95000"/>
                      <w14:lumOff w14:val="5000"/>
                    </w14:schemeClr>
                  </w14:solidFill>
                </w14:textFill>
              </w:rPr>
              <w:t>表2-</w:t>
            </w:r>
            <w:r>
              <w:rPr>
                <w:rFonts w:hint="eastAsia"/>
                <w:color w:val="0D0D0D" w:themeColor="text1" w:themeTint="F2"/>
                <w:kern w:val="0"/>
                <w:sz w:val="24"/>
                <w:szCs w:val="32"/>
                <w:lang w:val="en-US" w:eastAsia="zh-CN"/>
                <w14:textFill>
                  <w14:solidFill>
                    <w14:schemeClr w14:val="tx1">
                      <w14:lumMod w14:val="95000"/>
                      <w14:lumOff w14:val="5000"/>
                    </w14:schemeClr>
                  </w14:solidFill>
                </w14:textFill>
              </w:rPr>
              <w:t>4</w:t>
            </w:r>
            <w:r>
              <w:rPr>
                <w:rFonts w:hint="eastAsia"/>
                <w:color w:val="0D0D0D" w:themeColor="text1" w:themeTint="F2"/>
                <w:kern w:val="0"/>
                <w:sz w:val="24"/>
                <w:szCs w:val="32"/>
                <w14:textFill>
                  <w14:solidFill>
                    <w14:schemeClr w14:val="tx1">
                      <w14:lumMod w14:val="95000"/>
                      <w14:lumOff w14:val="5000"/>
                    </w14:schemeClr>
                  </w14:solidFill>
                </w14:textFill>
              </w:rPr>
              <w:t>所示。</w:t>
            </w:r>
          </w:p>
          <w:p>
            <w:pPr>
              <w:keepNext w:val="0"/>
              <w:keepLines w:val="0"/>
              <w:suppressLineNumbers w:val="0"/>
              <w:spacing w:before="0" w:beforeAutospacing="0" w:after="0" w:afterAutospacing="0"/>
              <w:ind w:left="0" w:right="0" w:firstLine="482" w:firstLineChars="200"/>
              <w:jc w:val="center"/>
              <w:rPr>
                <w:rFonts w:hint="default"/>
                <w:color w:val="0D0D0D" w:themeColor="text1" w:themeTint="F2"/>
                <w:sz w:val="24"/>
                <w14:textFill>
                  <w14:solidFill>
                    <w14:schemeClr w14:val="tx1">
                      <w14:lumMod w14:val="95000"/>
                      <w14:lumOff w14:val="5000"/>
                    </w14:schemeClr>
                  </w14:solidFill>
                </w14:textFill>
              </w:rPr>
            </w:pPr>
            <w:r>
              <w:rPr>
                <w:rFonts w:hint="default" w:hAnsi="宋体"/>
                <w:b/>
                <w:color w:val="0D0D0D" w:themeColor="text1" w:themeTint="F2"/>
                <w:kern w:val="24"/>
                <w:sz w:val="24"/>
                <w14:textFill>
                  <w14:solidFill>
                    <w14:schemeClr w14:val="tx1">
                      <w14:lumMod w14:val="95000"/>
                      <w14:lumOff w14:val="5000"/>
                    </w14:schemeClr>
                  </w14:solidFill>
                </w14:textFill>
              </w:rPr>
              <w:t>表</w:t>
            </w:r>
            <w:r>
              <w:rPr>
                <w:rFonts w:hint="eastAsia" w:hAnsi="宋体"/>
                <w:b/>
                <w:color w:val="0D0D0D" w:themeColor="text1" w:themeTint="F2"/>
                <w:kern w:val="24"/>
                <w:sz w:val="24"/>
                <w14:textFill>
                  <w14:solidFill>
                    <w14:schemeClr w14:val="tx1">
                      <w14:lumMod w14:val="95000"/>
                      <w14:lumOff w14:val="5000"/>
                    </w14:schemeClr>
                  </w14:solidFill>
                </w14:textFill>
              </w:rPr>
              <w:t>2-</w:t>
            </w:r>
            <w:r>
              <w:rPr>
                <w:rFonts w:hint="eastAsia" w:hAnsi="宋体"/>
                <w:b/>
                <w:color w:val="0D0D0D" w:themeColor="text1" w:themeTint="F2"/>
                <w:kern w:val="24"/>
                <w:sz w:val="24"/>
                <w:lang w:val="en-US" w:eastAsia="zh-CN"/>
                <w14:textFill>
                  <w14:solidFill>
                    <w14:schemeClr w14:val="tx1">
                      <w14:lumMod w14:val="95000"/>
                      <w14:lumOff w14:val="5000"/>
                    </w14:schemeClr>
                  </w14:solidFill>
                </w14:textFill>
              </w:rPr>
              <w:t>4</w:t>
            </w:r>
            <w:r>
              <w:rPr>
                <w:rFonts w:hint="default" w:hAnsi="宋体"/>
                <w:b/>
                <w:color w:val="0D0D0D" w:themeColor="text1" w:themeTint="F2"/>
                <w:kern w:val="24"/>
                <w:sz w:val="24"/>
                <w14:textFill>
                  <w14:solidFill>
                    <w14:schemeClr w14:val="tx1">
                      <w14:lumMod w14:val="95000"/>
                      <w14:lumOff w14:val="5000"/>
                    </w14:schemeClr>
                  </w14:solidFill>
                </w14:textFill>
              </w:rPr>
              <w:t xml:space="preserve">  项目组成内容表</w:t>
            </w:r>
          </w:p>
          <w:tbl>
            <w:tblPr>
              <w:tblStyle w:val="59"/>
              <w:tblpPr w:leftFromText="180" w:rightFromText="180" w:vertAnchor="text"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840"/>
              <w:gridCol w:w="580"/>
              <w:gridCol w:w="54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132" w:type="dxa"/>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工程类别</w:t>
                  </w:r>
                </w:p>
              </w:tc>
              <w:tc>
                <w:tcPr>
                  <w:tcW w:w="1420" w:type="dxa"/>
                  <w:gridSpan w:val="2"/>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项目组成</w:t>
                  </w:r>
                </w:p>
              </w:tc>
              <w:tc>
                <w:tcPr>
                  <w:tcW w:w="5467" w:type="dxa"/>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w:t>
                  </w:r>
                  <w:r>
                    <w:rPr>
                      <w:rFonts w:hint="default"/>
                      <w:b/>
                      <w:color w:val="0D0D0D" w:themeColor="text1" w:themeTint="F2"/>
                      <w:szCs w:val="21"/>
                      <w14:textFill>
                        <w14:solidFill>
                          <w14:schemeClr w14:val="tx1">
                            <w14:lumMod w14:val="95000"/>
                            <w14:lumOff w14:val="5000"/>
                          </w14:schemeClr>
                        </w14:solidFill>
                      </w14:textFill>
                    </w:rPr>
                    <w:t>内容及规模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05" w:hRule="atLeast"/>
              </w:trPr>
              <w:tc>
                <w:tcPr>
                  <w:tcW w:w="1132"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主体</w:t>
                  </w:r>
                </w:p>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工程</w:t>
                  </w:r>
                </w:p>
              </w:tc>
              <w:tc>
                <w:tcPr>
                  <w:tcW w:w="1420" w:type="dxa"/>
                  <w:gridSpan w:val="2"/>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生产厂房</w:t>
                  </w:r>
                </w:p>
              </w:tc>
              <w:tc>
                <w:tcPr>
                  <w:tcW w:w="5467" w:type="dxa"/>
                  <w:vAlign w:val="center"/>
                </w:tcPr>
                <w:p>
                  <w:pPr>
                    <w:keepNext w:val="0"/>
                    <w:keepLines w:val="0"/>
                    <w:suppressLineNumbers w:val="0"/>
                    <w:spacing w:before="0" w:beforeAutospacing="0" w:after="0" w:afterAutospacing="0"/>
                    <w:ind w:left="0" w:right="0"/>
                    <w:jc w:val="center"/>
                    <w:rPr>
                      <w:rFonts w:hint="eastAsia"/>
                      <w:color w:val="000000" w:themeColor="text1"/>
                      <w:szCs w:val="21"/>
                      <w:lang w:val="en-US" w:eastAsia="zh-CN"/>
                      <w14:textFill>
                        <w14:solidFill>
                          <w14:schemeClr w14:val="tx1"/>
                        </w14:solidFill>
                      </w14:textFill>
                    </w:rPr>
                  </w:pPr>
                  <w:r>
                    <w:rPr>
                      <w:rFonts w:hint="eastAsia"/>
                      <w:color w:val="0D0D0D" w:themeColor="text1" w:themeTint="F2"/>
                      <w:szCs w:val="21"/>
                      <w14:textFill>
                        <w14:solidFill>
                          <w14:schemeClr w14:val="tx1">
                            <w14:lumMod w14:val="95000"/>
                            <w14:lumOff w14:val="5000"/>
                          </w14:schemeClr>
                        </w14:solidFill>
                      </w14:textFill>
                    </w:rPr>
                    <w:t>建筑面积约</w:t>
                  </w:r>
                  <w:r>
                    <w:rPr>
                      <w:rFonts w:hint="eastAsia"/>
                      <w:color w:val="auto"/>
                      <w:szCs w:val="21"/>
                      <w:lang w:val="en-US" w:eastAsia="zh-CN"/>
                    </w:rPr>
                    <w:t>3500</w:t>
                  </w:r>
                  <w:r>
                    <w:rPr>
                      <w:rFonts w:hint="eastAsia"/>
                      <w:color w:val="auto"/>
                      <w:szCs w:val="21"/>
                    </w:rPr>
                    <w:t>m</w:t>
                  </w:r>
                  <w:r>
                    <w:rPr>
                      <w:rFonts w:hint="eastAsia"/>
                      <w:color w:val="auto"/>
                      <w:szCs w:val="21"/>
                      <w:vertAlign w:val="superscript"/>
                    </w:rPr>
                    <w:t>2</w:t>
                  </w:r>
                  <w:r>
                    <w:rPr>
                      <w:rFonts w:hint="eastAsia"/>
                      <w:color w:val="000000" w:themeColor="text1"/>
                      <w:szCs w:val="21"/>
                      <w14:textFill>
                        <w14:solidFill>
                          <w14:schemeClr w14:val="tx1"/>
                        </w14:solidFill>
                      </w14:textFill>
                    </w:rPr>
                    <w:t>，主要设置</w:t>
                  </w:r>
                  <w:r>
                    <w:rPr>
                      <w:rFonts w:hint="eastAsia"/>
                      <w:color w:val="000000" w:themeColor="text1"/>
                      <w:szCs w:val="21"/>
                      <w:lang w:val="en-US" w:eastAsia="zh-CN"/>
                      <w14:textFill>
                        <w14:solidFill>
                          <w14:schemeClr w14:val="tx1"/>
                        </w14:solidFill>
                      </w14:textFill>
                    </w:rPr>
                    <w:t>压铸生产区、压铸机装配区、抛丸区，</w:t>
                  </w:r>
                  <w:r>
                    <w:rPr>
                      <w:rFonts w:hint="eastAsia"/>
                      <w:color w:val="auto"/>
                      <w:szCs w:val="21"/>
                      <w:lang w:val="en-US" w:eastAsia="zh-CN"/>
                    </w:rPr>
                    <w:t>布设天然气铝熔炉1台、燃气机边保温炉2台</w:t>
                  </w:r>
                  <w:r>
                    <w:rPr>
                      <w:rFonts w:hint="eastAsia"/>
                      <w:color w:val="auto"/>
                      <w:szCs w:val="21"/>
                      <w:highlight w:val="none"/>
                      <w:lang w:val="en-US" w:eastAsia="zh-CN"/>
                    </w:rPr>
                    <w:t>、机边中频保温炉4台、冷室铝合金压铸机6台等，通过熔化-压铸成型-锯切-打磨-抛丸等工艺形成年产20万件</w:t>
                  </w:r>
                  <w:r>
                    <w:rPr>
                      <w:rFonts w:hint="eastAsia"/>
                      <w:color w:val="auto"/>
                      <w:szCs w:val="21"/>
                      <w:lang w:val="en-US" w:eastAsia="zh-CN"/>
                    </w:rPr>
                    <w:t xml:space="preserve">汽车铝合金零部件生产规模 </w:t>
                  </w:r>
                </w:p>
                <w:p>
                  <w:pPr>
                    <w:keepNext w:val="0"/>
                    <w:keepLines w:val="0"/>
                    <w:suppressLineNumbers w:val="0"/>
                    <w:spacing w:before="0" w:beforeAutospacing="0" w:after="0" w:afterAutospacing="0"/>
                    <w:ind w:left="0" w:right="0"/>
                    <w:jc w:val="center"/>
                    <w:rPr>
                      <w:rFonts w:hint="default"/>
                      <w:color w:val="000000" w:themeColor="text1"/>
                      <w:szCs w:val="21"/>
                      <w:lang w:val="en-US"/>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1132"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辅助</w:t>
                  </w:r>
                </w:p>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工程</w:t>
                  </w:r>
                </w:p>
              </w:tc>
              <w:tc>
                <w:tcPr>
                  <w:tcW w:w="1420" w:type="dxa"/>
                  <w:gridSpan w:val="2"/>
                  <w:tcBorders>
                    <w:top w:val="single" w:color="auto" w:sz="4" w:space="0"/>
                  </w:tcBorders>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办公</w:t>
                  </w:r>
                  <w:r>
                    <w:rPr>
                      <w:rFonts w:hint="eastAsia"/>
                      <w:color w:val="0D0D0D" w:themeColor="text1" w:themeTint="F2"/>
                      <w:szCs w:val="21"/>
                      <w:lang w:val="en-US" w:eastAsia="zh-CN"/>
                      <w14:textFill>
                        <w14:solidFill>
                          <w14:schemeClr w14:val="tx1">
                            <w14:lumMod w14:val="95000"/>
                            <w14:lumOff w14:val="5000"/>
                          </w14:schemeClr>
                        </w14:solidFill>
                      </w14:textFill>
                    </w:rPr>
                    <w:t>生活楼</w:t>
                  </w:r>
                </w:p>
              </w:tc>
              <w:tc>
                <w:tcPr>
                  <w:tcW w:w="5467" w:type="dxa"/>
                  <w:vAlign w:val="center"/>
                </w:tcPr>
                <w:p>
                  <w:pPr>
                    <w:keepNext w:val="0"/>
                    <w:keepLines w:val="0"/>
                    <w:suppressLineNumbers w:val="0"/>
                    <w:adjustRightInd w:val="0"/>
                    <w:snapToGrid w:val="0"/>
                    <w:spacing w:before="0" w:beforeAutospacing="0" w:after="0" w:afterAutospacing="0" w:line="36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2F，建筑面积300.76m</w:t>
                  </w:r>
                  <w:r>
                    <w:rPr>
                      <w:rFonts w:hint="eastAsia"/>
                      <w:color w:val="0D0D0D" w:themeColor="text1" w:themeTint="F2"/>
                      <w:szCs w:val="21"/>
                      <w:vertAlign w:val="superscript"/>
                      <w:lang w:val="en-US" w:eastAsia="zh-CN"/>
                      <w14:textFill>
                        <w14:solidFill>
                          <w14:schemeClr w14:val="tx1">
                            <w14:lumMod w14:val="95000"/>
                            <w14:lumOff w14:val="5000"/>
                          </w14:schemeClr>
                        </w14:solidFill>
                      </w14:textFill>
                    </w:rPr>
                    <w:t>2</w:t>
                  </w:r>
                  <w:r>
                    <w:rPr>
                      <w:rFonts w:hint="eastAsia"/>
                      <w:color w:val="0D0D0D" w:themeColor="text1" w:themeTint="F2"/>
                      <w:szCs w:val="21"/>
                      <w:vertAlign w:val="baseline"/>
                      <w:lang w:val="en-US" w:eastAsia="zh-CN"/>
                      <w14:textFill>
                        <w14:solidFill>
                          <w14:schemeClr w14:val="tx1">
                            <w14:lumMod w14:val="95000"/>
                            <w14:lumOff w14:val="5000"/>
                          </w14:schemeClr>
                        </w14:solidFill>
                      </w14:textFill>
                    </w:rPr>
                    <w:t>，用于员工办公。有食堂</w:t>
                  </w:r>
                  <w:r>
                    <w:rPr>
                      <w:rFonts w:hint="eastAsia"/>
                      <w:color w:val="auto"/>
                      <w:lang w:eastAsia="zh-CN"/>
                    </w:rPr>
                    <w:t>，</w:t>
                  </w:r>
                  <w:r>
                    <w:rPr>
                      <w:rFonts w:hint="default"/>
                      <w:color w:val="auto"/>
                      <w:lang w:val="en-US" w:eastAsia="zh-CN"/>
                    </w:rPr>
                    <w:t xml:space="preserve">共设置 </w:t>
                  </w:r>
                  <w:r>
                    <w:rPr>
                      <w:rFonts w:hint="eastAsia"/>
                      <w:color w:val="auto"/>
                      <w:lang w:val="en-US" w:eastAsia="zh-CN"/>
                    </w:rPr>
                    <w:t>1</w:t>
                  </w:r>
                  <w:r>
                    <w:rPr>
                      <w:rFonts w:hint="default"/>
                      <w:color w:val="auto"/>
                      <w:lang w:val="en-US" w:eastAsia="zh-CN"/>
                    </w:rPr>
                    <w:t>个灶头，属于</w:t>
                  </w:r>
                  <w:r>
                    <w:rPr>
                      <w:rFonts w:hint="eastAsia"/>
                      <w:color w:val="auto"/>
                      <w:lang w:val="en-US" w:eastAsia="zh-CN"/>
                    </w:rPr>
                    <w:t>小</w:t>
                  </w:r>
                  <w:r>
                    <w:rPr>
                      <w:rFonts w:hint="default"/>
                      <w:color w:val="auto"/>
                      <w:lang w:val="en-US" w:eastAsia="zh-CN"/>
                    </w:rPr>
                    <w:t>型餐饮规模</w:t>
                  </w:r>
                  <w:r>
                    <w:rPr>
                      <w:rFonts w:hint="eastAsia"/>
                      <w:color w:val="auto"/>
                      <w:szCs w:val="21"/>
                      <w:vertAlign w:val="baseline"/>
                      <w:lang w:val="en-US" w:eastAsia="zh-CN"/>
                    </w:rPr>
                    <w:t>，无住宿人员。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储运</w:t>
                  </w:r>
                  <w:r>
                    <w:rPr>
                      <w:rFonts w:hint="default"/>
                      <w:color w:val="0D0D0D" w:themeColor="text1" w:themeTint="F2"/>
                      <w:szCs w:val="21"/>
                      <w14:textFill>
                        <w14:solidFill>
                          <w14:schemeClr w14:val="tx1">
                            <w14:lumMod w14:val="95000"/>
                            <w14:lumOff w14:val="5000"/>
                          </w14:schemeClr>
                        </w14:solidFill>
                      </w14:textFill>
                    </w:rPr>
                    <w:t>工程</w:t>
                  </w:r>
                </w:p>
              </w:tc>
              <w:tc>
                <w:tcPr>
                  <w:tcW w:w="1420" w:type="dxa"/>
                  <w:gridSpan w:val="2"/>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原</w:t>
                  </w:r>
                  <w:r>
                    <w:rPr>
                      <w:rFonts w:hint="eastAsia"/>
                      <w:color w:val="0D0D0D" w:themeColor="text1" w:themeTint="F2"/>
                      <w:szCs w:val="21"/>
                      <w:lang w:val="en-US" w:eastAsia="zh-CN"/>
                      <w14:textFill>
                        <w14:solidFill>
                          <w14:schemeClr w14:val="tx1">
                            <w14:lumMod w14:val="95000"/>
                            <w14:lumOff w14:val="5000"/>
                          </w14:schemeClr>
                        </w14:solidFill>
                      </w14:textFill>
                    </w:rPr>
                    <w:t>材料区</w:t>
                  </w:r>
                </w:p>
              </w:tc>
              <w:tc>
                <w:tcPr>
                  <w:tcW w:w="5467" w:type="dxa"/>
                  <w:tcBorders>
                    <w:bottom w:val="single" w:color="auto" w:sz="4" w:space="0"/>
                  </w:tcBorders>
                  <w:vAlign w:val="center"/>
                </w:tcPr>
                <w:p>
                  <w:pPr>
                    <w:keepNext w:val="0"/>
                    <w:keepLines w:val="0"/>
                    <w:widowControl w:val="0"/>
                    <w:suppressLineNumbers w:val="0"/>
                    <w:spacing w:before="0" w:beforeAutospacing="0" w:after="0" w:afterAutospacing="0"/>
                    <w:ind w:left="0" w:right="0"/>
                    <w:jc w:val="both"/>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2个区域，位于生产厂房东部和北部，</w:t>
                  </w:r>
                  <w:r>
                    <w:rPr>
                      <w:rFonts w:hint="eastAsia"/>
                      <w:color w:val="0D0D0D" w:themeColor="text1" w:themeTint="F2"/>
                      <w:szCs w:val="21"/>
                      <w14:textFill>
                        <w14:solidFill>
                          <w14:schemeClr w14:val="tx1">
                            <w14:lumMod w14:val="95000"/>
                            <w14:lumOff w14:val="5000"/>
                          </w14:schemeClr>
                        </w14:solidFill>
                      </w14:textFill>
                    </w:rPr>
                    <w:t>建筑面积约</w:t>
                  </w:r>
                  <w:r>
                    <w:rPr>
                      <w:rFonts w:hint="eastAsia"/>
                      <w:color w:val="0D0D0D" w:themeColor="text1" w:themeTint="F2"/>
                      <w:szCs w:val="21"/>
                      <w:highlight w:val="none"/>
                      <w:lang w:val="en-US" w:eastAsia="zh-CN"/>
                      <w14:textFill>
                        <w14:solidFill>
                          <w14:schemeClr w14:val="tx1">
                            <w14:lumMod w14:val="95000"/>
                            <w14:lumOff w14:val="5000"/>
                          </w14:schemeClr>
                        </w14:solidFill>
                      </w14:textFill>
                    </w:rPr>
                    <w:t>93</w:t>
                  </w:r>
                  <w:r>
                    <w:rPr>
                      <w:rFonts w:hint="default"/>
                      <w:color w:val="0D0D0D" w:themeColor="text1" w:themeTint="F2"/>
                      <w:szCs w:val="21"/>
                      <w:highlight w:val="none"/>
                      <w14:textFill>
                        <w14:solidFill>
                          <w14:schemeClr w14:val="tx1">
                            <w14:lumMod w14:val="95000"/>
                            <w14:lumOff w14:val="5000"/>
                          </w14:schemeClr>
                        </w14:solidFill>
                      </w14:textFill>
                    </w:rPr>
                    <w:t xml:space="preserve"> </w:t>
                  </w:r>
                  <w:r>
                    <w:rPr>
                      <w:rFonts w:hint="eastAsia"/>
                      <w:color w:val="0D0D0D" w:themeColor="text1" w:themeTint="F2"/>
                      <w:szCs w:val="21"/>
                      <w:highlight w:val="none"/>
                      <w14:textFill>
                        <w14:solidFill>
                          <w14:schemeClr w14:val="tx1">
                            <w14:lumMod w14:val="95000"/>
                            <w14:lumOff w14:val="5000"/>
                          </w14:schemeClr>
                        </w14:solidFill>
                      </w14:textFill>
                    </w:rPr>
                    <w:t>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vertAlign w:val="baseline"/>
                      <w:lang w:eastAsia="zh-CN"/>
                      <w14:textFill>
                        <w14:solidFill>
                          <w14:schemeClr w14:val="tx1">
                            <w14:lumMod w14:val="95000"/>
                            <w14:lumOff w14:val="5000"/>
                          </w14:schemeClr>
                        </w14:solidFill>
                      </w14:textFill>
                    </w:rPr>
                    <w:t>、</w:t>
                  </w:r>
                  <w:r>
                    <w:rPr>
                      <w:rFonts w:hint="default" w:ascii="Times New Roman" w:hAnsi="Times New Roman" w:eastAsia="宋体" w:cs="Times New Roman"/>
                      <w:color w:val="0C0C0C"/>
                      <w:kern w:val="2"/>
                      <w:sz w:val="21"/>
                      <w:szCs w:val="21"/>
                      <w:lang w:val="en-US" w:eastAsia="zh-CN" w:bidi="ar"/>
                    </w:rPr>
                    <w:t>72m</w:t>
                  </w:r>
                  <w:r>
                    <w:rPr>
                      <w:rFonts w:hint="default" w:ascii="Times New Roman" w:hAnsi="Times New Roman" w:eastAsia="宋体" w:cs="Times New Roman"/>
                      <w:color w:val="0C0C0C"/>
                      <w:kern w:val="2"/>
                      <w:sz w:val="21"/>
                      <w:szCs w:val="21"/>
                      <w:vertAlign w:val="superscript"/>
                      <w:lang w:val="en-US" w:eastAsia="zh-CN" w:bidi="ar"/>
                    </w:rPr>
                    <w:t>2</w:t>
                  </w:r>
                  <w:r>
                    <w:rPr>
                      <w:rFonts w:hint="eastAsia"/>
                      <w:color w:val="0D0D0D" w:themeColor="text1" w:themeTint="F2"/>
                      <w:szCs w:val="21"/>
                      <w:vertAlign w:val="baseline"/>
                      <w:lang w:val="en-US"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用于</w:t>
                  </w:r>
                  <w:r>
                    <w:rPr>
                      <w:rFonts w:hint="eastAsia"/>
                      <w:color w:val="0D0D0D" w:themeColor="text1" w:themeTint="F2"/>
                      <w:szCs w:val="21"/>
                      <w:lang w:val="en-US" w:eastAsia="zh-CN"/>
                      <w14:textFill>
                        <w14:solidFill>
                          <w14:schemeClr w14:val="tx1">
                            <w14:lumMod w14:val="95000"/>
                            <w14:lumOff w14:val="5000"/>
                          </w14:schemeClr>
                        </w14:solidFill>
                      </w14:textFill>
                    </w:rPr>
                    <w:t>储存不同型号的铝锭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eastAsia"/>
                      <w:color w:val="0D0D0D" w:themeColor="text1" w:themeTint="F2"/>
                      <w:szCs w:val="21"/>
                      <w14:textFill>
                        <w14:solidFill>
                          <w14:schemeClr w14:val="tx1">
                            <w14:lumMod w14:val="95000"/>
                            <w14:lumOff w14:val="5000"/>
                          </w14:schemeClr>
                        </w14:solidFill>
                      </w14:textFill>
                    </w:rPr>
                  </w:pPr>
                </w:p>
              </w:tc>
              <w:tc>
                <w:tcPr>
                  <w:tcW w:w="1420" w:type="dxa"/>
                  <w:gridSpan w:val="2"/>
                  <w:vAlign w:val="center"/>
                </w:tcPr>
                <w:p>
                  <w:pPr>
                    <w:keepNext w:val="0"/>
                    <w:keepLines w:val="0"/>
                    <w:suppressLineNumbers w:val="0"/>
                    <w:spacing w:before="0" w:beforeAutospacing="0" w:after="0" w:afterAutospacing="0"/>
                    <w:ind w:left="0" w:right="0"/>
                    <w:jc w:val="both"/>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化学品存放区</w:t>
                  </w:r>
                </w:p>
              </w:tc>
              <w:tc>
                <w:tcPr>
                  <w:tcW w:w="5467" w:type="dxa"/>
                  <w:tcBorders>
                    <w:bottom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位于生产厂房</w:t>
                  </w:r>
                  <w:r>
                    <w:rPr>
                      <w:rFonts w:hint="eastAsia"/>
                      <w:color w:val="auto"/>
                      <w:szCs w:val="21"/>
                      <w:lang w:val="en-US" w:eastAsia="zh-CN"/>
                    </w:rPr>
                    <w:t>北部</w:t>
                  </w:r>
                  <w:r>
                    <w:rPr>
                      <w:rFonts w:hint="eastAsia"/>
                      <w:color w:val="0D0D0D" w:themeColor="text1" w:themeTint="F2"/>
                      <w:szCs w:val="21"/>
                      <w:lang w:val="en-US"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建筑面积约</w:t>
                  </w:r>
                  <w:r>
                    <w:rPr>
                      <w:rFonts w:hint="eastAsia"/>
                      <w:color w:val="0D0D0D" w:themeColor="text1" w:themeTint="F2"/>
                      <w:szCs w:val="21"/>
                      <w:highlight w:val="none"/>
                      <w:lang w:val="en-US" w:eastAsia="zh-CN"/>
                      <w14:textFill>
                        <w14:solidFill>
                          <w14:schemeClr w14:val="tx1">
                            <w14:lumMod w14:val="95000"/>
                            <w14:lumOff w14:val="5000"/>
                          </w14:schemeClr>
                        </w14:solidFill>
                      </w14:textFill>
                    </w:rPr>
                    <w:t>11</w:t>
                  </w:r>
                  <w:r>
                    <w:rPr>
                      <w:rFonts w:hint="eastAsia"/>
                      <w:color w:val="0D0D0D" w:themeColor="text1" w:themeTint="F2"/>
                      <w:szCs w:val="21"/>
                      <w:highlight w:val="none"/>
                      <w14:textFill>
                        <w14:solidFill>
                          <w14:schemeClr w14:val="tx1">
                            <w14:lumMod w14:val="95000"/>
                            <w14:lumOff w14:val="5000"/>
                          </w14:schemeClr>
                        </w14:solidFill>
                      </w14:textFill>
                    </w:rPr>
                    <w:t>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vertAlign w:val="baseline"/>
                      <w:lang w:val="en-US"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用</w:t>
                  </w:r>
                  <w:r>
                    <w:rPr>
                      <w:rFonts w:hint="eastAsia"/>
                      <w:color w:val="auto"/>
                      <w:szCs w:val="21"/>
                    </w:rPr>
                    <w:t>于</w:t>
                  </w:r>
                  <w:r>
                    <w:rPr>
                      <w:rFonts w:hint="eastAsia"/>
                      <w:color w:val="auto"/>
                      <w:szCs w:val="21"/>
                      <w:lang w:val="en-US" w:eastAsia="zh-CN"/>
                    </w:rPr>
                    <w:t>脱模剂</w:t>
                  </w:r>
                  <w:r>
                    <w:rPr>
                      <w:rFonts w:hint="eastAsia"/>
                      <w:color w:val="auto"/>
                      <w:szCs w:val="21"/>
                    </w:rPr>
                    <w:t>、</w:t>
                  </w:r>
                  <w:r>
                    <w:rPr>
                      <w:rFonts w:hint="eastAsia"/>
                      <w:color w:val="auto"/>
                      <w:szCs w:val="21"/>
                      <w:lang w:val="en-US" w:eastAsia="zh-CN"/>
                    </w:rPr>
                    <w:t>润滑油等</w:t>
                  </w:r>
                  <w:r>
                    <w:rPr>
                      <w:rFonts w:hint="eastAsia"/>
                      <w:color w:val="auto"/>
                      <w:szCs w:val="21"/>
                    </w:rPr>
                    <w:t>存放</w:t>
                  </w:r>
                  <w:r>
                    <w:rPr>
                      <w:rFonts w:hint="eastAsia"/>
                      <w:color w:val="auto"/>
                      <w:lang w:eastAsia="zh-CN"/>
                    </w:rPr>
                    <w:t>，</w:t>
                  </w:r>
                  <w:r>
                    <w:rPr>
                      <w:rFonts w:hint="eastAsia"/>
                      <w:color w:val="auto"/>
                      <w:lang w:val="en-US" w:eastAsia="zh-CN"/>
                    </w:rPr>
                    <w:t>最大储存量为3吨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1420" w:type="dxa"/>
                  <w:gridSpan w:val="2"/>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成品</w:t>
                  </w:r>
                  <w:r>
                    <w:rPr>
                      <w:rFonts w:hint="eastAsia"/>
                      <w:color w:val="0D0D0D" w:themeColor="text1" w:themeTint="F2"/>
                      <w:szCs w:val="21"/>
                      <w14:textFill>
                        <w14:solidFill>
                          <w14:schemeClr w14:val="tx1">
                            <w14:lumMod w14:val="95000"/>
                            <w14:lumOff w14:val="5000"/>
                          </w14:schemeClr>
                        </w14:solidFill>
                      </w14:textFill>
                    </w:rPr>
                    <w:t>仓库</w:t>
                  </w:r>
                </w:p>
              </w:tc>
              <w:tc>
                <w:tcPr>
                  <w:tcW w:w="5467"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位于</w:t>
                  </w:r>
                  <w:r>
                    <w:rPr>
                      <w:rFonts w:hint="default"/>
                      <w:color w:val="0D0D0D" w:themeColor="text1" w:themeTint="F2"/>
                      <w:szCs w:val="21"/>
                      <w:lang w:val="en-US" w:eastAsia="zh-CN"/>
                      <w14:textFill>
                        <w14:solidFill>
                          <w14:schemeClr w14:val="tx1">
                            <w14:lumMod w14:val="95000"/>
                            <w14:lumOff w14:val="5000"/>
                          </w14:schemeClr>
                        </w14:solidFill>
                      </w14:textFill>
                    </w:rPr>
                    <w:t>生产厂房</w:t>
                  </w:r>
                  <w:r>
                    <w:rPr>
                      <w:rFonts w:hint="eastAsia"/>
                      <w:color w:val="0D0D0D" w:themeColor="text1" w:themeTint="F2"/>
                      <w:szCs w:val="21"/>
                      <w:lang w:val="en-US" w:eastAsia="zh-CN"/>
                      <w14:textFill>
                        <w14:solidFill>
                          <w14:schemeClr w14:val="tx1">
                            <w14:lumMod w14:val="95000"/>
                            <w14:lumOff w14:val="5000"/>
                          </w14:schemeClr>
                        </w14:solidFill>
                      </w14:textFill>
                    </w:rPr>
                    <w:t>西</w:t>
                  </w:r>
                  <w:r>
                    <w:rPr>
                      <w:rFonts w:hint="default"/>
                      <w:color w:val="0D0D0D" w:themeColor="text1" w:themeTint="F2"/>
                      <w:szCs w:val="21"/>
                      <w:lang w:val="en-US" w:eastAsia="zh-CN"/>
                      <w14:textFill>
                        <w14:solidFill>
                          <w14:schemeClr w14:val="tx1">
                            <w14:lumMod w14:val="95000"/>
                            <w14:lumOff w14:val="5000"/>
                          </w14:schemeClr>
                        </w14:solidFill>
                      </w14:textFill>
                    </w:rPr>
                    <w:t>部</w:t>
                  </w:r>
                  <w:r>
                    <w:rPr>
                      <w:rFonts w:hint="eastAsia"/>
                      <w:color w:val="0D0D0D" w:themeColor="text1" w:themeTint="F2"/>
                      <w:szCs w:val="21"/>
                      <w14:textFill>
                        <w14:solidFill>
                          <w14:schemeClr w14:val="tx1">
                            <w14:lumMod w14:val="95000"/>
                            <w14:lumOff w14:val="5000"/>
                          </w14:schemeClr>
                        </w14:solidFill>
                      </w14:textFill>
                    </w:rPr>
                    <w:t>，建筑面积约</w:t>
                  </w:r>
                  <w:r>
                    <w:rPr>
                      <w:rFonts w:hint="eastAsia"/>
                      <w:color w:val="0D0D0D" w:themeColor="text1" w:themeTint="F2"/>
                      <w:szCs w:val="21"/>
                      <w:highlight w:val="none"/>
                      <w:lang w:val="en-US" w:eastAsia="zh-CN"/>
                      <w14:textFill>
                        <w14:solidFill>
                          <w14:schemeClr w14:val="tx1">
                            <w14:lumMod w14:val="95000"/>
                            <w14:lumOff w14:val="5000"/>
                          </w14:schemeClr>
                        </w14:solidFill>
                      </w14:textFill>
                    </w:rPr>
                    <w:t>175</w:t>
                  </w:r>
                  <w:r>
                    <w:rPr>
                      <w:rFonts w:hint="eastAsia"/>
                      <w:color w:val="0D0D0D" w:themeColor="text1" w:themeTint="F2"/>
                      <w:szCs w:val="21"/>
                      <w14:textFill>
                        <w14:solidFill>
                          <w14:schemeClr w14:val="tx1">
                            <w14:lumMod w14:val="95000"/>
                            <w14:lumOff w14:val="5000"/>
                          </w14:schemeClr>
                        </w14:solidFill>
                      </w14:textFill>
                    </w:rPr>
                    <w:t>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，用于成品的存放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1420" w:type="dxa"/>
                  <w:gridSpan w:val="2"/>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备件仓库</w:t>
                  </w:r>
                </w:p>
              </w:tc>
              <w:tc>
                <w:tcPr>
                  <w:tcW w:w="5467" w:type="dxa"/>
                  <w:tcBorders>
                    <w:bottom w:val="single" w:color="auto" w:sz="4"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位于</w:t>
                  </w:r>
                  <w:r>
                    <w:rPr>
                      <w:rFonts w:hint="default"/>
                      <w:color w:val="0D0D0D" w:themeColor="text1" w:themeTint="F2"/>
                      <w:szCs w:val="21"/>
                      <w:lang w:val="en-US" w:eastAsia="zh-CN"/>
                      <w14:textFill>
                        <w14:solidFill>
                          <w14:schemeClr w14:val="tx1">
                            <w14:lumMod w14:val="95000"/>
                            <w14:lumOff w14:val="5000"/>
                          </w14:schemeClr>
                        </w14:solidFill>
                      </w14:textFill>
                    </w:rPr>
                    <w:t>生产厂房</w:t>
                  </w:r>
                  <w:r>
                    <w:rPr>
                      <w:rFonts w:hint="eastAsia"/>
                      <w:color w:val="0D0D0D" w:themeColor="text1" w:themeTint="F2"/>
                      <w:szCs w:val="21"/>
                      <w:lang w:val="en-US" w:eastAsia="zh-CN"/>
                      <w14:textFill>
                        <w14:solidFill>
                          <w14:schemeClr w14:val="tx1">
                            <w14:lumMod w14:val="95000"/>
                            <w14:lumOff w14:val="5000"/>
                          </w14:schemeClr>
                        </w14:solidFill>
                      </w14:textFill>
                    </w:rPr>
                    <w:t>南</w:t>
                  </w:r>
                  <w:r>
                    <w:rPr>
                      <w:rFonts w:hint="default"/>
                      <w:color w:val="0D0D0D" w:themeColor="text1" w:themeTint="F2"/>
                      <w:szCs w:val="21"/>
                      <w:lang w:val="en-US" w:eastAsia="zh-CN"/>
                      <w14:textFill>
                        <w14:solidFill>
                          <w14:schemeClr w14:val="tx1">
                            <w14:lumMod w14:val="95000"/>
                            <w14:lumOff w14:val="5000"/>
                          </w14:schemeClr>
                        </w14:solidFill>
                      </w14:textFill>
                    </w:rPr>
                    <w:t>部</w:t>
                  </w:r>
                  <w:r>
                    <w:rPr>
                      <w:rFonts w:hint="eastAsia"/>
                      <w:color w:val="0D0D0D" w:themeColor="text1" w:themeTint="F2"/>
                      <w:szCs w:val="21"/>
                      <w14:textFill>
                        <w14:solidFill>
                          <w14:schemeClr w14:val="tx1">
                            <w14:lumMod w14:val="95000"/>
                            <w14:lumOff w14:val="5000"/>
                          </w14:schemeClr>
                        </w14:solidFill>
                      </w14:textFill>
                    </w:rPr>
                    <w:t>，建筑面积约</w:t>
                  </w:r>
                  <w:r>
                    <w:rPr>
                      <w:rFonts w:hint="eastAsia"/>
                      <w:color w:val="0D0D0D" w:themeColor="text1" w:themeTint="F2"/>
                      <w:szCs w:val="21"/>
                      <w:lang w:val="en-US" w:eastAsia="zh-CN"/>
                      <w14:textFill>
                        <w14:solidFill>
                          <w14:schemeClr w14:val="tx1">
                            <w14:lumMod w14:val="95000"/>
                            <w14:lumOff w14:val="5000"/>
                          </w14:schemeClr>
                        </w14:solidFill>
                      </w14:textFill>
                    </w:rPr>
                    <w:t>45</w:t>
                  </w:r>
                  <w:r>
                    <w:rPr>
                      <w:rFonts w:hint="default"/>
                      <w:color w:val="0D0D0D" w:themeColor="text1" w:themeTint="F2"/>
                      <w:szCs w:val="21"/>
                      <w14:textFill>
                        <w14:solidFill>
                          <w14:schemeClr w14:val="tx1">
                            <w14:lumMod w14:val="95000"/>
                            <w14:lumOff w14:val="5000"/>
                          </w14:schemeClr>
                        </w14:solidFill>
                      </w14:textFill>
                    </w:rPr>
                    <w:t xml:space="preserve"> </w:t>
                  </w:r>
                  <w:r>
                    <w:rPr>
                      <w:rFonts w:hint="eastAsia"/>
                      <w:color w:val="0D0D0D" w:themeColor="text1" w:themeTint="F2"/>
                      <w:szCs w:val="21"/>
                      <w14:textFill>
                        <w14:solidFill>
                          <w14:schemeClr w14:val="tx1">
                            <w14:lumMod w14:val="95000"/>
                            <w14:lumOff w14:val="5000"/>
                          </w14:schemeClr>
                        </w14:solidFill>
                      </w14:textFill>
                    </w:rPr>
                    <w:t>m</w:t>
                  </w:r>
                  <w:r>
                    <w:rPr>
                      <w:rFonts w:hint="eastAsia"/>
                      <w:color w:val="0D0D0D" w:themeColor="text1" w:themeTint="F2"/>
                      <w:szCs w:val="21"/>
                      <w:vertAlign w:val="superscript"/>
                      <w14:textFill>
                        <w14:solidFill>
                          <w14:schemeClr w14:val="tx1">
                            <w14:lumMod w14:val="95000"/>
                            <w14:lumOff w14:val="5000"/>
                          </w14:schemeClr>
                        </w14:solidFill>
                      </w14:textFill>
                    </w:rPr>
                    <w:t>2</w:t>
                  </w:r>
                  <w:r>
                    <w:rPr>
                      <w:rFonts w:hint="eastAsia"/>
                      <w:color w:val="auto"/>
                      <w:szCs w:val="21"/>
                    </w:rPr>
                    <w:t>，用于</w:t>
                  </w:r>
                  <w:r>
                    <w:rPr>
                      <w:rFonts w:hint="eastAsia"/>
                      <w:color w:val="auto"/>
                      <w:szCs w:val="21"/>
                      <w:lang w:val="en-US" w:eastAsia="zh-CN"/>
                    </w:rPr>
                    <w:t>砂轮带等</w:t>
                  </w:r>
                  <w:r>
                    <w:rPr>
                      <w:rFonts w:hint="eastAsia"/>
                      <w:color w:val="auto"/>
                      <w:szCs w:val="21"/>
                    </w:rPr>
                    <w:t>的存放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32" w:type="dxa"/>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公用</w:t>
                  </w:r>
                </w:p>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工程</w:t>
                  </w:r>
                </w:p>
              </w:tc>
              <w:tc>
                <w:tcPr>
                  <w:tcW w:w="1420" w:type="dxa"/>
                  <w:gridSpan w:val="2"/>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供水</w:t>
                  </w:r>
                </w:p>
              </w:tc>
              <w:tc>
                <w:tcPr>
                  <w:tcW w:w="5467" w:type="dxa"/>
                  <w:tcBorders>
                    <w:top w:val="single" w:color="auto" w:sz="4" w:space="0"/>
                  </w:tcBorders>
                  <w:vAlign w:val="center"/>
                </w:tcPr>
                <w:p>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default"/>
                      <w:color w:val="000000" w:themeColor="text1"/>
                      <w:szCs w:val="21"/>
                      <w:highlight w:val="none"/>
                      <w14:textFill>
                        <w14:solidFill>
                          <w14:schemeClr w14:val="tx1"/>
                        </w14:solidFill>
                      </w14:textFill>
                    </w:rPr>
                    <w:t>由市政供水管网提供</w:t>
                  </w:r>
                  <w:r>
                    <w:rPr>
                      <w:rFonts w:hint="eastAsia"/>
                      <w:color w:val="000000" w:themeColor="text1"/>
                      <w:highlight w:val="none"/>
                      <w:lang w:eastAsia="zh-CN"/>
                      <w14:textFill>
                        <w14:solidFill>
                          <w14:schemeClr w14:val="tx1"/>
                        </w14:solidFill>
                      </w14:textFill>
                    </w:rPr>
                    <w:t>，</w:t>
                  </w:r>
                  <w:r>
                    <w:rPr>
                      <w:rFonts w:hint="eastAsia"/>
                      <w:color w:val="auto"/>
                      <w:highlight w:val="none"/>
                      <w:lang w:eastAsia="zh-CN"/>
                    </w:rPr>
                    <w:t>年用水量</w:t>
                  </w:r>
                  <w:r>
                    <w:rPr>
                      <w:rFonts w:hint="eastAsia"/>
                      <w:color w:val="auto"/>
                      <w:highlight w:val="none"/>
                      <w:lang w:val="en-US" w:eastAsia="zh-CN"/>
                    </w:rPr>
                    <w:t>1041</w:t>
                  </w:r>
                  <w:r>
                    <w:rPr>
                      <w:rFonts w:hint="eastAsia"/>
                      <w:color w:val="auto"/>
                      <w:highlight w:val="none"/>
                      <w:lang w:eastAsia="zh-CN"/>
                    </w:rPr>
                    <w:t xml:space="preserve"> m</w:t>
                  </w:r>
                  <w:r>
                    <w:rPr>
                      <w:rFonts w:hint="eastAsia"/>
                      <w:color w:val="auto"/>
                      <w:highlight w:val="none"/>
                      <w:vertAlign w:val="superscript"/>
                      <w:lang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1420" w:type="dxa"/>
                  <w:gridSpan w:val="2"/>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供电</w:t>
                  </w:r>
                </w:p>
              </w:tc>
              <w:tc>
                <w:tcPr>
                  <w:tcW w:w="5467" w:type="dxa"/>
                  <w:vAlign w:val="center"/>
                </w:tcPr>
                <w:p>
                  <w:pPr>
                    <w:keepNext w:val="0"/>
                    <w:keepLines w:val="0"/>
                    <w:suppressLineNumbers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default"/>
                      <w:color w:val="000000" w:themeColor="text1"/>
                      <w:szCs w:val="21"/>
                      <w14:textFill>
                        <w14:solidFill>
                          <w14:schemeClr w14:val="tx1"/>
                        </w14:solidFill>
                      </w14:textFill>
                    </w:rPr>
                    <w:t>由市政供电网络提供</w:t>
                  </w:r>
                  <w:r>
                    <w:rPr>
                      <w:rFonts w:hint="eastAsia"/>
                      <w:color w:val="000000" w:themeColor="text1"/>
                      <w:szCs w:val="21"/>
                      <w:lang w:eastAsia="zh-CN"/>
                      <w14:textFill>
                        <w14:solidFill>
                          <w14:schemeClr w14:val="tx1"/>
                        </w14:solidFill>
                      </w14:textFill>
                    </w:rPr>
                    <w:t>，年用电量</w:t>
                  </w:r>
                  <w:r>
                    <w:rPr>
                      <w:rFonts w:hint="eastAsia"/>
                      <w:color w:val="000000" w:themeColor="text1"/>
                      <w:szCs w:val="21"/>
                      <w:lang w:val="en-US" w:eastAsia="zh-CN"/>
                      <w14:textFill>
                        <w14:solidFill>
                          <w14:schemeClr w14:val="tx1"/>
                        </w14:solidFill>
                      </w14:textFill>
                    </w:rPr>
                    <w:t>120</w:t>
                  </w:r>
                  <w:r>
                    <w:rPr>
                      <w:rFonts w:hint="eastAsia"/>
                      <w:color w:val="000000" w:themeColor="text1"/>
                      <w:szCs w:val="21"/>
                      <w:lang w:eastAsia="zh-CN"/>
                      <w14:textFill>
                        <w14:solidFill>
                          <w14:schemeClr w14:val="tx1"/>
                        </w14:solidFill>
                      </w14:textFill>
                    </w:rPr>
                    <w:t>万千瓦时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环保</w:t>
                  </w:r>
                </w:p>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工程</w:t>
                  </w:r>
                </w:p>
              </w:tc>
              <w:tc>
                <w:tcPr>
                  <w:tcW w:w="840" w:type="dxa"/>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污染治理</w:t>
                  </w:r>
                </w:p>
              </w:tc>
              <w:tc>
                <w:tcPr>
                  <w:tcW w:w="580" w:type="dxa"/>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废气治理</w:t>
                  </w: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熔化、天然气燃烧废气</w:t>
                  </w:r>
                  <w:r>
                    <w:rPr>
                      <w:rFonts w:hint="eastAsia"/>
                      <w:color w:val="auto"/>
                      <w:szCs w:val="21"/>
                      <w:lang w:val="zh-CN"/>
                    </w:rPr>
                    <w:t>：</w:t>
                  </w:r>
                  <w:r>
                    <w:rPr>
                      <w:rFonts w:hint="eastAsia"/>
                      <w:color w:val="auto"/>
                      <w:szCs w:val="21"/>
                    </w:rPr>
                    <w:t>集气罩+</w:t>
                  </w:r>
                  <w:r>
                    <w:rPr>
                      <w:rFonts w:hint="eastAsia"/>
                      <w:color w:val="auto"/>
                      <w:szCs w:val="21"/>
                      <w:lang w:val="en-US" w:eastAsia="zh-CN"/>
                    </w:rPr>
                    <w:t>布袋除尘器</w:t>
                  </w:r>
                  <w:r>
                    <w:rPr>
                      <w:rFonts w:hint="eastAsia"/>
                      <w:color w:val="auto"/>
                      <w:szCs w:val="21"/>
                    </w:rPr>
                    <w:t>+</w:t>
                  </w:r>
                  <w:r>
                    <w:rPr>
                      <w:rFonts w:hint="default"/>
                      <w:color w:val="auto"/>
                      <w:szCs w:val="21"/>
                    </w:rPr>
                    <w:t>15 m</w:t>
                  </w:r>
                  <w:r>
                    <w:rPr>
                      <w:rFonts w:hint="eastAsia"/>
                      <w:color w:val="auto"/>
                      <w:szCs w:val="21"/>
                    </w:rPr>
                    <w:t>高排气筒（D</w:t>
                  </w:r>
                  <w:r>
                    <w:rPr>
                      <w:rFonts w:hint="default"/>
                      <w:color w:val="auto"/>
                      <w:szCs w:val="21"/>
                    </w:rPr>
                    <w:t>A001</w:t>
                  </w: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压铸脱模废气：集气罩+静电油雾净化+两级活性炭+15 m高排气筒（DA002）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抛丸粉尘</w:t>
                  </w:r>
                  <w:r>
                    <w:rPr>
                      <w:rFonts w:hint="eastAsia"/>
                      <w:color w:val="auto"/>
                      <w:szCs w:val="21"/>
                      <w:lang w:val="zh-CN"/>
                    </w:rPr>
                    <w:t>：</w:t>
                  </w:r>
                  <w:r>
                    <w:rPr>
                      <w:rFonts w:hint="eastAsia"/>
                      <w:color w:val="auto"/>
                      <w:szCs w:val="21"/>
                      <w:lang w:val="en-US" w:eastAsia="zh-CN"/>
                    </w:rPr>
                    <w:t>设备密闭+设备自带袋式除尘</w:t>
                  </w:r>
                  <w:r>
                    <w:rPr>
                      <w:rFonts w:hint="eastAsia"/>
                      <w:color w:val="auto"/>
                      <w:szCs w:val="21"/>
                    </w:rPr>
                    <w:t>+</w:t>
                  </w:r>
                  <w:r>
                    <w:rPr>
                      <w:rFonts w:hint="default"/>
                      <w:color w:val="auto"/>
                      <w:szCs w:val="21"/>
                    </w:rPr>
                    <w:t>15 m</w:t>
                  </w:r>
                  <w:r>
                    <w:rPr>
                      <w:rFonts w:hint="eastAsia"/>
                      <w:color w:val="auto"/>
                      <w:szCs w:val="21"/>
                    </w:rPr>
                    <w:t>高排气筒（D</w:t>
                  </w:r>
                  <w:r>
                    <w:rPr>
                      <w:rFonts w:hint="default"/>
                      <w:color w:val="auto"/>
                      <w:szCs w:val="21"/>
                    </w:rPr>
                    <w:t>A00</w:t>
                  </w:r>
                  <w:r>
                    <w:rPr>
                      <w:rFonts w:hint="eastAsia"/>
                      <w:color w:val="auto"/>
                      <w:szCs w:val="21"/>
                      <w:lang w:val="en-US" w:eastAsia="zh-CN"/>
                    </w:rPr>
                    <w:t>3</w:t>
                  </w: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lang w:val="zh-CN"/>
                    </w:rPr>
                  </w:pPr>
                  <w:r>
                    <w:rPr>
                      <w:rFonts w:hint="eastAsia"/>
                      <w:color w:val="auto"/>
                      <w:szCs w:val="21"/>
                      <w:lang w:val="en-US" w:eastAsia="zh-CN"/>
                    </w:rPr>
                    <w:t>打磨粉尘</w:t>
                  </w:r>
                  <w:r>
                    <w:rPr>
                      <w:rFonts w:hint="eastAsia"/>
                      <w:color w:val="auto"/>
                      <w:szCs w:val="21"/>
                      <w:lang w:eastAsia="zh-CN"/>
                    </w:rPr>
                    <w:t>：</w:t>
                  </w:r>
                  <w:r>
                    <w:rPr>
                      <w:rFonts w:hint="eastAsia"/>
                      <w:color w:val="auto"/>
                      <w:szCs w:val="21"/>
                      <w:lang w:val="en-US" w:eastAsia="zh-CN"/>
                    </w:rPr>
                    <w:t>设备自带的湿式除尘器处理后无组织排放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食堂油烟：油烟净化器处理后通过管道室外排放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废水治理</w:t>
                  </w: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highlight w:val="none"/>
                      <w:lang w:val="en-US" w:eastAsia="zh-CN"/>
                    </w:rPr>
                    <w:t>脱模剂产生的脱模废水经2.5m³的沉淀池沉淀后通过脱模剂回收处理机处理回用，不外排。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highlight w:val="none"/>
                      <w:lang w:val="en-US" w:eastAsia="zh-CN"/>
                    </w:rPr>
                  </w:pPr>
                  <w:r>
                    <w:rPr>
                      <w:rFonts w:hint="eastAsia"/>
                      <w:color w:val="auto"/>
                      <w:szCs w:val="21"/>
                      <w:highlight w:val="none"/>
                      <w:lang w:val="en-US" w:eastAsia="zh-CN"/>
                    </w:rPr>
                    <w:t>冷却水循环使用不外排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highlight w:val="none"/>
                      <w:lang w:val="en-US" w:eastAsia="zh-CN"/>
                    </w:rPr>
                  </w:pPr>
                  <w:r>
                    <w:rPr>
                      <w:rFonts w:hint="eastAsia"/>
                      <w:color w:val="auto"/>
                      <w:szCs w:val="21"/>
                      <w:highlight w:val="none"/>
                      <w:lang w:val="en-US" w:eastAsia="zh-CN"/>
                    </w:rPr>
                    <w:t>打磨废水经设备自带过滤系统过滤后循环使用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467" w:type="dxa"/>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食堂废水经隔油池处理后与其他生活污水再一起经化粪池预处理</w:t>
                  </w:r>
                  <w:r>
                    <w:rPr>
                      <w:rFonts w:hint="eastAsia"/>
                      <w:color w:val="auto"/>
                      <w:szCs w:val="21"/>
                    </w:rPr>
                    <w:t>达标后接入</w:t>
                  </w:r>
                  <w:r>
                    <w:rPr>
                      <w:rFonts w:hint="eastAsia" w:hAnsi="宋体"/>
                      <w:color w:val="auto"/>
                      <w:kern w:val="24"/>
                      <w:szCs w:val="21"/>
                    </w:rPr>
                    <w:t>市政管网进入</w:t>
                  </w:r>
                  <w:r>
                    <w:rPr>
                      <w:rFonts w:hint="eastAsia" w:hAnsi="宋体"/>
                      <w:color w:val="auto"/>
                      <w:kern w:val="24"/>
                      <w:szCs w:val="21"/>
                      <w:lang w:val="en-US" w:eastAsia="zh-CN"/>
                    </w:rPr>
                    <w:t>滨江</w:t>
                  </w:r>
                  <w:r>
                    <w:rPr>
                      <w:rFonts w:hint="eastAsia"/>
                      <w:color w:val="auto"/>
                      <w:kern w:val="0"/>
                      <w:szCs w:val="21"/>
                    </w:rPr>
                    <w:t>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噪声治理</w:t>
                  </w:r>
                </w:p>
              </w:tc>
              <w:tc>
                <w:tcPr>
                  <w:tcW w:w="5467"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隔声、减震、消声措施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0"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580"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固废收集</w:t>
                  </w:r>
                </w:p>
              </w:tc>
              <w:tc>
                <w:tcPr>
                  <w:tcW w:w="5467" w:type="dxa"/>
                  <w:vAlign w:val="center"/>
                </w:tcPr>
                <w:p>
                  <w:pPr>
                    <w:keepNext w:val="0"/>
                    <w:keepLines w:val="0"/>
                    <w:suppressLineNumbers w:val="0"/>
                    <w:spacing w:before="0" w:beforeAutospacing="0" w:after="0" w:afterAutospacing="0"/>
                    <w:ind w:left="0" w:right="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default"/>
                      <w:color w:val="auto"/>
                      <w:szCs w:val="21"/>
                    </w:rPr>
                    <w:t>一般固废暂存库</w:t>
                  </w:r>
                  <w:r>
                    <w:rPr>
                      <w:rFonts w:hint="eastAsia"/>
                      <w:color w:val="auto"/>
                      <w:szCs w:val="21"/>
                    </w:rPr>
                    <w:t>和危废暂存间</w:t>
                  </w:r>
                  <w:r>
                    <w:rPr>
                      <w:rFonts w:hint="eastAsia"/>
                      <w:color w:val="0D0D0D" w:themeColor="text1" w:themeTint="F2"/>
                      <w:szCs w:val="21"/>
                      <w14:textFill>
                        <w14:solidFill>
                          <w14:schemeClr w14:val="tx1">
                            <w14:lumMod w14:val="95000"/>
                            <w14:lumOff w14:val="5000"/>
                          </w14:schemeClr>
                        </w14:solidFill>
                      </w14:textFill>
                    </w:rPr>
                    <w:t>位于</w:t>
                  </w:r>
                  <w:r>
                    <w:rPr>
                      <w:rFonts w:hint="eastAsia"/>
                      <w:color w:val="auto"/>
                      <w:szCs w:val="21"/>
                      <w:lang w:val="en-US" w:eastAsia="zh-CN"/>
                    </w:rPr>
                    <w:t>厂房北</w:t>
                  </w:r>
                  <w:r>
                    <w:rPr>
                      <w:rFonts w:hint="eastAsia"/>
                      <w:color w:val="auto"/>
                      <w:szCs w:val="21"/>
                    </w:rPr>
                    <w:t>侧</w:t>
                  </w:r>
                  <w:r>
                    <w:rPr>
                      <w:rFonts w:hint="eastAsia"/>
                      <w:color w:val="auto"/>
                      <w:szCs w:val="21"/>
                      <w:lang w:eastAsia="zh-CN"/>
                    </w:rPr>
                    <w:t>、</w:t>
                  </w:r>
                  <w:r>
                    <w:rPr>
                      <w:rFonts w:hint="eastAsia"/>
                      <w:color w:val="auto"/>
                      <w:szCs w:val="21"/>
                      <w:lang w:val="en-US" w:eastAsia="zh-CN"/>
                    </w:rPr>
                    <w:t>东侧</w:t>
                  </w:r>
                  <w:r>
                    <w:rPr>
                      <w:rFonts w:hint="eastAsia"/>
                      <w:color w:val="0D0D0D" w:themeColor="text1" w:themeTint="F2"/>
                      <w:szCs w:val="21"/>
                      <w14:textFill>
                        <w14:solidFill>
                          <w14:schemeClr w14:val="tx1">
                            <w14:lumMod w14:val="95000"/>
                            <w14:lumOff w14:val="5000"/>
                          </w14:schemeClr>
                        </w14:solidFill>
                      </w14:textFill>
                    </w:rPr>
                    <w:t>，</w:t>
                  </w:r>
                  <w:r>
                    <w:rPr>
                      <w:rFonts w:hint="default"/>
                      <w:color w:val="0D0D0D" w:themeColor="text1" w:themeTint="F2"/>
                      <w:kern w:val="0"/>
                      <w:szCs w:val="21"/>
                      <w14:textFill>
                        <w14:solidFill>
                          <w14:schemeClr w14:val="tx1">
                            <w14:lumMod w14:val="95000"/>
                            <w14:lumOff w14:val="5000"/>
                          </w14:schemeClr>
                        </w14:solidFill>
                      </w14:textFill>
                    </w:rPr>
                    <w:t>占地面积</w:t>
                  </w:r>
                  <w:r>
                    <w:rPr>
                      <w:rFonts w:hint="eastAsia"/>
                      <w:color w:val="0D0D0D" w:themeColor="text1" w:themeTint="F2"/>
                      <w:kern w:val="0"/>
                      <w:szCs w:val="21"/>
                      <w14:textFill>
                        <w14:solidFill>
                          <w14:schemeClr w14:val="tx1">
                            <w14:lumMod w14:val="95000"/>
                            <w14:lumOff w14:val="5000"/>
                          </w14:schemeClr>
                        </w14:solidFill>
                      </w14:textFill>
                    </w:rPr>
                    <w:t>分别</w:t>
                  </w:r>
                  <w:r>
                    <w:rPr>
                      <w:rFonts w:hint="default"/>
                      <w:color w:val="0D0D0D" w:themeColor="text1" w:themeTint="F2"/>
                      <w:kern w:val="0"/>
                      <w:szCs w:val="21"/>
                      <w14:textFill>
                        <w14:solidFill>
                          <w14:schemeClr w14:val="tx1">
                            <w14:lumMod w14:val="95000"/>
                            <w14:lumOff w14:val="5000"/>
                          </w14:schemeClr>
                        </w14:solidFill>
                      </w14:textFill>
                    </w:rPr>
                    <w:t>约</w:t>
                  </w:r>
                  <w:r>
                    <w:rPr>
                      <w:rFonts w:hint="eastAsia"/>
                      <w:color w:val="0D0D0D" w:themeColor="text1" w:themeTint="F2"/>
                      <w:kern w:val="0"/>
                      <w:szCs w:val="21"/>
                      <w:lang w:val="en-US" w:eastAsia="zh-CN"/>
                      <w14:textFill>
                        <w14:solidFill>
                          <w14:schemeClr w14:val="tx1">
                            <w14:lumMod w14:val="95000"/>
                            <w14:lumOff w14:val="5000"/>
                          </w14:schemeClr>
                        </w14:solidFill>
                      </w14:textFill>
                    </w:rPr>
                    <w:t>36</w:t>
                  </w:r>
                  <w:r>
                    <w:rPr>
                      <w:rFonts w:hint="default"/>
                      <w:color w:val="0D0D0D" w:themeColor="text1" w:themeTint="F2"/>
                      <w:kern w:val="0"/>
                      <w:szCs w:val="21"/>
                      <w14:textFill>
                        <w14:solidFill>
                          <w14:schemeClr w14:val="tx1">
                            <w14:lumMod w14:val="95000"/>
                            <w14:lumOff w14:val="5000"/>
                          </w14:schemeClr>
                        </w14:solidFill>
                      </w14:textFill>
                    </w:rPr>
                    <w:t>m</w:t>
                  </w:r>
                  <w:r>
                    <w:rPr>
                      <w:rFonts w:hint="default"/>
                      <w:color w:val="0D0D0D" w:themeColor="text1" w:themeTint="F2"/>
                      <w:kern w:val="0"/>
                      <w:szCs w:val="21"/>
                      <w:vertAlign w:val="superscript"/>
                      <w14:textFill>
                        <w14:solidFill>
                          <w14:schemeClr w14:val="tx1">
                            <w14:lumMod w14:val="95000"/>
                            <w14:lumOff w14:val="5000"/>
                          </w14:schemeClr>
                        </w14:solidFill>
                      </w14:textFill>
                    </w:rPr>
                    <w:t>2</w:t>
                  </w:r>
                  <w:r>
                    <w:rPr>
                      <w:rFonts w:hint="eastAsia"/>
                      <w:color w:val="0D0D0D" w:themeColor="text1" w:themeTint="F2"/>
                      <w:kern w:val="0"/>
                      <w:szCs w:val="21"/>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12</w:t>
                  </w:r>
                  <w:r>
                    <w:rPr>
                      <w:rFonts w:hint="default"/>
                      <w:color w:val="0D0D0D" w:themeColor="text1" w:themeTint="F2"/>
                      <w:kern w:val="0"/>
                      <w:szCs w:val="21"/>
                      <w14:textFill>
                        <w14:solidFill>
                          <w14:schemeClr w14:val="tx1">
                            <w14:lumMod w14:val="95000"/>
                            <w14:lumOff w14:val="5000"/>
                          </w14:schemeClr>
                        </w14:solidFill>
                      </w14:textFill>
                    </w:rPr>
                    <w:t xml:space="preserve"> m</w:t>
                  </w:r>
                  <w:r>
                    <w:rPr>
                      <w:rFonts w:hint="default"/>
                      <w:color w:val="0D0D0D" w:themeColor="text1" w:themeTint="F2"/>
                      <w:kern w:val="0"/>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，危废暂存间进行重点防渗</w:t>
                  </w:r>
                  <w:r>
                    <w:rPr>
                      <w:rFonts w:hint="eastAsia"/>
                      <w:color w:val="0D0D0D" w:themeColor="text1" w:themeTint="F2"/>
                      <w:szCs w:val="21"/>
                      <w:lang w:eastAsia="zh-CN"/>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1"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restart"/>
                  <w:vAlign w:val="center"/>
                </w:tcPr>
                <w:p>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土壤</w:t>
                  </w:r>
                  <w:r>
                    <w:rPr>
                      <w:rFonts w:hint="eastAsia"/>
                      <w:color w:val="000000" w:themeColor="text1"/>
                      <w:szCs w:val="21"/>
                      <w:lang w:eastAsia="zh-CN"/>
                      <w14:textFill>
                        <w14:solidFill>
                          <w14:schemeClr w14:val="tx1"/>
                        </w14:solidFill>
                      </w14:textFill>
                    </w:rPr>
                    <w:t>、</w:t>
                  </w:r>
                  <w:r>
                    <w:rPr>
                      <w:rFonts w:hint="default"/>
                      <w:color w:val="000000" w:themeColor="text1"/>
                      <w:szCs w:val="21"/>
                      <w14:textFill>
                        <w14:solidFill>
                          <w14:schemeClr w14:val="tx1"/>
                        </w14:solidFill>
                      </w14:textFill>
                    </w:rPr>
                    <w:t>地下水防渗措施</w:t>
                  </w:r>
                </w:p>
              </w:tc>
              <w:tc>
                <w:tcPr>
                  <w:tcW w:w="580"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一般防渗</w:t>
                  </w:r>
                </w:p>
              </w:tc>
              <w:tc>
                <w:tcPr>
                  <w:tcW w:w="5467"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一般固废仓库</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生产车间其他区域</w:t>
                  </w:r>
                  <w:r>
                    <w:rPr>
                      <w:rFonts w:hint="eastAsia"/>
                      <w:color w:val="000000" w:themeColor="text1"/>
                      <w:szCs w:val="21"/>
                      <w14:textFill>
                        <w14:solidFill>
                          <w14:schemeClr w14:val="tx1"/>
                        </w14:solidFill>
                      </w14:textFill>
                    </w:rPr>
                    <w:t>等</w:t>
                  </w:r>
                  <w:r>
                    <w:rPr>
                      <w:rFonts w:hint="eastAsia"/>
                      <w:color w:val="000000" w:themeColor="text1"/>
                      <w:szCs w:val="21"/>
                      <w:lang w:val="en-US" w:eastAsia="zh-CN"/>
                      <w14:textFill>
                        <w14:solidFill>
                          <w14:schemeClr w14:val="tx1"/>
                        </w14:solidFill>
                      </w14:textFill>
                    </w:rPr>
                    <w:t>做一般防渗</w:t>
                  </w:r>
                  <w:r>
                    <w:rPr>
                      <w:rFonts w:hint="eastAsia"/>
                      <w:color w:val="000000" w:themeColor="text1"/>
                      <w:szCs w:val="21"/>
                      <w14:textFill>
                        <w14:solidFill>
                          <w14:schemeClr w14:val="tx1"/>
                        </w14:solidFill>
                      </w14:textFill>
                    </w:rPr>
                    <w:t>，防渗措施：水泥硬化处理，采取</w:t>
                  </w:r>
                  <w:r>
                    <w:rPr>
                      <w:rFonts w:hint="eastAsia" w:ascii="Times New Roman" w:hAnsi="Times New Roman" w:cs="Times New Roman"/>
                      <w:color w:val="000000" w:themeColor="text1"/>
                      <w:szCs w:val="21"/>
                      <w:lang w:val="en-US" w:eastAsia="zh-CN"/>
                      <w14:textFill>
                        <w14:solidFill>
                          <w14:schemeClr w14:val="tx1"/>
                        </w14:solidFill>
                      </w14:textFill>
                    </w:rPr>
                    <w:t>10c</w:t>
                  </w:r>
                  <w:r>
                    <w:rPr>
                      <w:rFonts w:hint="eastAsia"/>
                      <w:color w:val="000000" w:themeColor="text1"/>
                      <w:szCs w:val="21"/>
                      <w14:textFill>
                        <w14:solidFill>
                          <w14:schemeClr w14:val="tx1"/>
                        </w14:solidFill>
                      </w14:textFill>
                    </w:rPr>
                    <w:t>m厚三合土铺底，再铺</w:t>
                  </w:r>
                  <w:r>
                    <w:rPr>
                      <w:rFonts w:hint="eastAsia" w:ascii="Times New Roman" w:hAnsi="Times New Roman" w:cs="Times New Roman"/>
                      <w:color w:val="000000" w:themeColor="text1"/>
                      <w:szCs w:val="21"/>
                      <w:lang w:val="en-US" w:eastAsia="zh-CN"/>
                      <w14:textFill>
                        <w14:solidFill>
                          <w14:schemeClr w14:val="tx1"/>
                        </w14:solidFill>
                      </w14:textFill>
                    </w:rPr>
                    <w:t>15~20cm</w:t>
                  </w:r>
                  <w:r>
                    <w:rPr>
                      <w:rFonts w:hint="eastAsia"/>
                      <w:color w:val="000000" w:themeColor="text1"/>
                      <w:szCs w:val="21"/>
                      <w14:textFill>
                        <w14:solidFill>
                          <w14:schemeClr w14:val="tx1"/>
                        </w14:solidFill>
                      </w14:textFill>
                    </w:rPr>
                    <w:t>的水泥进行硬化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3" w:hRule="atLeast"/>
              </w:trPr>
              <w:tc>
                <w:tcPr>
                  <w:tcW w:w="1132" w:type="dxa"/>
                  <w:vMerge w:val="continue"/>
                  <w:vAlign w:val="center"/>
                </w:tcPr>
                <w:p>
                  <w:pPr>
                    <w:keepNext w:val="0"/>
                    <w:keepLines w:val="0"/>
                    <w:suppressLineNumbers w:val="0"/>
                    <w:spacing w:before="0" w:beforeAutospacing="0" w:after="0" w:afterAutospacing="0"/>
                    <w:ind w:left="0" w:right="0"/>
                    <w:jc w:val="center"/>
                    <w:rPr>
                      <w:rFonts w:hint="default"/>
                      <w:color w:val="FF0000"/>
                      <w:szCs w:val="21"/>
                    </w:rPr>
                  </w:pPr>
                </w:p>
              </w:tc>
              <w:tc>
                <w:tcPr>
                  <w:tcW w:w="840" w:type="dxa"/>
                  <w:vMerge w:val="continue"/>
                  <w:vAlign w:val="center"/>
                </w:tcPr>
                <w:p>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p>
              </w:tc>
              <w:tc>
                <w:tcPr>
                  <w:tcW w:w="580"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重点防渗</w:t>
                  </w:r>
                </w:p>
              </w:tc>
              <w:tc>
                <w:tcPr>
                  <w:tcW w:w="5467" w:type="dxa"/>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危废暂存间、</w:t>
                  </w:r>
                  <w:r>
                    <w:rPr>
                      <w:rFonts w:hint="eastAsia"/>
                      <w:color w:val="000000" w:themeColor="text1"/>
                      <w:szCs w:val="21"/>
                      <w:lang w:val="en-US" w:eastAsia="zh-CN"/>
                      <w14:textFill>
                        <w14:solidFill>
                          <w14:schemeClr w14:val="tx1"/>
                        </w14:solidFill>
                      </w14:textFill>
                    </w:rPr>
                    <w:t>冷却循环水池、沉淀池做重点防渗</w:t>
                  </w:r>
                  <w:r>
                    <w:rPr>
                      <w:rFonts w:hint="eastAsia"/>
                      <w:color w:val="000000" w:themeColor="text1"/>
                      <w:szCs w:val="21"/>
                      <w14:textFill>
                        <w14:solidFill>
                          <w14:schemeClr w14:val="tx1"/>
                        </w14:solidFill>
                      </w14:textFill>
                    </w:rPr>
                    <w:t>，防渗措施：底部采用10cm厚三合土处理，上层再用10-15cm水泥硬化，表层涂环氧树脂，以达到防腐、防渗漏目的，等效黏土防渗层Mb≥6.0m，渗透系数≤1.0×10-7cm/s</w:t>
                  </w:r>
                </w:p>
              </w:tc>
            </w:tr>
          </w:tbl>
          <w:p>
            <w:pPr>
              <w:keepNext w:val="0"/>
              <w:keepLines w:val="0"/>
              <w:suppressLineNumbers w:val="0"/>
              <w:spacing w:before="120" w:beforeLines="50" w:beforeAutospacing="0" w:after="0" w:afterAutospacing="0" w:line="360" w:lineRule="auto"/>
              <w:ind w:left="0" w:right="0" w:firstLine="482" w:firstLineChars="200"/>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4、主要生产设备</w:t>
            </w:r>
          </w:p>
          <w:p>
            <w:pPr>
              <w:keepNext w:val="0"/>
              <w:keepLines w:val="0"/>
              <w:suppressLineNumbers w:val="0"/>
              <w:spacing w:before="0" w:beforeAutospacing="0" w:after="0" w:afterAutospacing="0" w:line="360" w:lineRule="auto"/>
              <w:ind w:left="0" w:right="0" w:firstLine="482"/>
              <w:jc w:val="left"/>
              <w:rPr>
                <w:rFonts w:hint="default" w:hAnsi="宋体"/>
                <w:color w:val="0D0D0D" w:themeColor="text1" w:themeTint="F2"/>
                <w:kern w:val="24"/>
                <w:sz w:val="24"/>
                <w14:textFill>
                  <w14:solidFill>
                    <w14:schemeClr w14:val="tx1">
                      <w14:lumMod w14:val="95000"/>
                      <w14:lumOff w14:val="5000"/>
                    </w14:schemeClr>
                  </w14:solidFill>
                </w14:textFill>
              </w:rPr>
            </w:pPr>
            <w:r>
              <w:rPr>
                <w:rFonts w:hint="eastAsia" w:hAnsi="宋体"/>
                <w:color w:val="0D0D0D" w:themeColor="text1" w:themeTint="F2"/>
                <w:kern w:val="24"/>
                <w:sz w:val="24"/>
                <w14:textFill>
                  <w14:solidFill>
                    <w14:schemeClr w14:val="tx1">
                      <w14:lumMod w14:val="95000"/>
                      <w14:lumOff w14:val="5000"/>
                    </w14:schemeClr>
                  </w14:solidFill>
                </w14:textFill>
              </w:rPr>
              <w:t>主要生产设备详见表2-</w:t>
            </w:r>
            <w:r>
              <w:rPr>
                <w:rFonts w:hint="eastAsia" w:hAnsi="宋体"/>
                <w:color w:val="0D0D0D" w:themeColor="text1" w:themeTint="F2"/>
                <w:kern w:val="24"/>
                <w:sz w:val="24"/>
                <w:lang w:val="en-US" w:eastAsia="zh-CN"/>
                <w14:textFill>
                  <w14:solidFill>
                    <w14:schemeClr w14:val="tx1">
                      <w14:lumMod w14:val="95000"/>
                      <w14:lumOff w14:val="5000"/>
                    </w14:schemeClr>
                  </w14:solidFill>
                </w14:textFill>
              </w:rPr>
              <w:t>5</w:t>
            </w:r>
            <w:r>
              <w:rPr>
                <w:rFonts w:hint="eastAsia" w:hAnsi="宋体"/>
                <w:color w:val="0D0D0D" w:themeColor="text1" w:themeTint="F2"/>
                <w:kern w:val="24"/>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ind w:left="105" w:leftChars="50" w:right="0"/>
              <w:jc w:val="center"/>
              <w:rPr>
                <w:rFonts w:hint="default" w:hAnsi="宋体"/>
                <w:b/>
                <w:color w:val="0D0D0D" w:themeColor="text1" w:themeTint="F2"/>
                <w:kern w:val="24"/>
                <w:sz w:val="24"/>
                <w:highlight w:val="none"/>
                <w14:textFill>
                  <w14:solidFill>
                    <w14:schemeClr w14:val="tx1">
                      <w14:lumMod w14:val="95000"/>
                      <w14:lumOff w14:val="5000"/>
                    </w14:schemeClr>
                  </w14:solidFill>
                </w14:textFill>
              </w:rPr>
            </w:pPr>
            <w:r>
              <w:rPr>
                <w:rFonts w:hint="default" w:hAnsi="宋体"/>
                <w:b/>
                <w:color w:val="0D0D0D" w:themeColor="text1" w:themeTint="F2"/>
                <w:kern w:val="24"/>
                <w:sz w:val="24"/>
                <w:highlight w:val="none"/>
                <w14:textFill>
                  <w14:solidFill>
                    <w14:schemeClr w14:val="tx1">
                      <w14:lumMod w14:val="95000"/>
                      <w14:lumOff w14:val="5000"/>
                    </w14:schemeClr>
                  </w14:solidFill>
                </w14:textFill>
              </w:rPr>
              <w:t>表</w:t>
            </w:r>
            <w:r>
              <w:rPr>
                <w:rFonts w:hint="eastAsia" w:hAnsi="宋体"/>
                <w:b/>
                <w:color w:val="0D0D0D" w:themeColor="text1" w:themeTint="F2"/>
                <w:kern w:val="24"/>
                <w:sz w:val="24"/>
                <w:highlight w:val="none"/>
                <w14:textFill>
                  <w14:solidFill>
                    <w14:schemeClr w14:val="tx1">
                      <w14:lumMod w14:val="95000"/>
                      <w14:lumOff w14:val="5000"/>
                    </w14:schemeClr>
                  </w14:solidFill>
                </w14:textFill>
              </w:rPr>
              <w:t>2-</w:t>
            </w:r>
            <w:r>
              <w:rPr>
                <w:rFonts w:hint="eastAsia" w:hAnsi="宋体"/>
                <w:b/>
                <w:color w:val="0D0D0D" w:themeColor="text1" w:themeTint="F2"/>
                <w:kern w:val="24"/>
                <w:sz w:val="24"/>
                <w:highlight w:val="none"/>
                <w:lang w:val="en-US" w:eastAsia="zh-CN"/>
                <w14:textFill>
                  <w14:solidFill>
                    <w14:schemeClr w14:val="tx1">
                      <w14:lumMod w14:val="95000"/>
                      <w14:lumOff w14:val="5000"/>
                    </w14:schemeClr>
                  </w14:solidFill>
                </w14:textFill>
              </w:rPr>
              <w:t>5</w:t>
            </w:r>
            <w:r>
              <w:rPr>
                <w:rFonts w:hint="default" w:hAnsi="宋体"/>
                <w:b/>
                <w:color w:val="0D0D0D" w:themeColor="text1" w:themeTint="F2"/>
                <w:kern w:val="24"/>
                <w:sz w:val="24"/>
                <w:highlight w:val="none"/>
                <w14:textFill>
                  <w14:solidFill>
                    <w14:schemeClr w14:val="tx1">
                      <w14:lumMod w14:val="95000"/>
                      <w14:lumOff w14:val="5000"/>
                    </w14:schemeClr>
                  </w14:solidFill>
                </w14:textFill>
              </w:rPr>
              <w:t xml:space="preserve">  </w:t>
            </w:r>
            <w:r>
              <w:rPr>
                <w:rFonts w:hint="eastAsia" w:hAnsi="宋体"/>
                <w:b/>
                <w:color w:val="0D0D0D" w:themeColor="text1" w:themeTint="F2"/>
                <w:kern w:val="24"/>
                <w:sz w:val="24"/>
                <w:highlight w:val="none"/>
                <w14:textFill>
                  <w14:solidFill>
                    <w14:schemeClr w14:val="tx1">
                      <w14:lumMod w14:val="95000"/>
                      <w14:lumOff w14:val="5000"/>
                    </w14:schemeClr>
                  </w14:solidFill>
                </w14:textFill>
              </w:rPr>
              <w:t>项目</w:t>
            </w:r>
            <w:r>
              <w:rPr>
                <w:rFonts w:hint="default" w:hAnsi="宋体"/>
                <w:b/>
                <w:color w:val="0D0D0D" w:themeColor="text1" w:themeTint="F2"/>
                <w:kern w:val="24"/>
                <w:sz w:val="24"/>
                <w:highlight w:val="none"/>
                <w14:textFill>
                  <w14:solidFill>
                    <w14:schemeClr w14:val="tx1">
                      <w14:lumMod w14:val="95000"/>
                      <w14:lumOff w14:val="5000"/>
                    </w14:schemeClr>
                  </w14:solidFill>
                </w14:textFill>
              </w:rPr>
              <w:t>主要生产设备一览表</w:t>
            </w:r>
          </w:p>
          <w:tbl>
            <w:tblPr>
              <w:tblStyle w:val="59"/>
              <w:tblpPr w:leftFromText="180" w:rightFromText="180" w:vertAnchor="text" w:tblpXSpec="center"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943"/>
              <w:gridCol w:w="2380"/>
              <w:gridCol w:w="3235"/>
              <w:gridCol w:w="14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序号</w:t>
                  </w:r>
                </w:p>
              </w:tc>
              <w:tc>
                <w:tcPr>
                  <w:tcW w:w="1483"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设备名称</w:t>
                  </w:r>
                </w:p>
              </w:tc>
              <w:tc>
                <w:tcPr>
                  <w:tcW w:w="2017"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规格型号</w:t>
                  </w:r>
                </w:p>
              </w:tc>
              <w:tc>
                <w:tcPr>
                  <w:tcW w:w="910"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数量</w:t>
                  </w:r>
                </w:p>
                <w:p>
                  <w:pPr>
                    <w:keepNext w:val="0"/>
                    <w:keepLines w:val="0"/>
                    <w:suppressLineNumbers w:val="0"/>
                    <w:spacing w:before="0" w:beforeAutospacing="0" w:after="0" w:afterAutospacing="0"/>
                    <w:ind w:left="0" w:right="0"/>
                    <w:jc w:val="center"/>
                    <w:rPr>
                      <w:rFonts w:hint="default"/>
                      <w:b/>
                      <w:color w:val="0D0D0D" w:themeColor="text1" w:themeTint="F2"/>
                      <w:kern w:val="24"/>
                      <w:szCs w:val="21"/>
                      <w14:textFill>
                        <w14:solidFill>
                          <w14:schemeClr w14:val="tx1">
                            <w14:lumMod w14:val="95000"/>
                            <w14:lumOff w14:val="5000"/>
                          </w14:schemeClr>
                        </w14:solidFill>
                      </w14:textFill>
                    </w:rPr>
                  </w:pPr>
                  <w:r>
                    <w:rPr>
                      <w:rFonts w:hint="default"/>
                      <w:b/>
                      <w:color w:val="0D0D0D" w:themeColor="text1" w:themeTint="F2"/>
                      <w:kern w:val="24"/>
                      <w:szCs w:val="21"/>
                      <w14:textFill>
                        <w14:solidFill>
                          <w14:schemeClr w14:val="tx1">
                            <w14:lumMod w14:val="95000"/>
                            <w14:lumOff w14:val="5000"/>
                          </w14:schemeClr>
                        </w14:solidFill>
                      </w14:textFill>
                    </w:rPr>
                    <w:t>（台/套）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bookmarkStart w:id="2" w:name="_Hlk103807855"/>
                  <w:r>
                    <w:rPr>
                      <w:rFonts w:hint="default"/>
                      <w:color w:val="0D0D0D" w:themeColor="text1" w:themeTint="F2"/>
                      <w:kern w:val="24"/>
                      <w:szCs w:val="21"/>
                      <w14:textFill>
                        <w14:solidFill>
                          <w14:schemeClr w14:val="tx1">
                            <w14:lumMod w14:val="95000"/>
                            <w14:lumOff w14:val="5000"/>
                          </w14:schemeClr>
                        </w14:solidFill>
                      </w14:textFill>
                    </w:rPr>
                    <w:t>1</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天然气铝熔炉</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2</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燃气机边保温炉</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3</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机边中</w:t>
                  </w:r>
                  <w:r>
                    <w:rPr>
                      <w:rFonts w:hint="eastAsia" w:ascii="宋体" w:hAnsi="宋体" w:cs="宋体"/>
                      <w:i w:val="0"/>
                      <w:iCs w:val="0"/>
                      <w:color w:val="auto"/>
                      <w:kern w:val="0"/>
                      <w:sz w:val="22"/>
                      <w:szCs w:val="22"/>
                      <w:u w:val="none"/>
                      <w:lang w:val="en-US" w:eastAsia="zh-CN" w:bidi="ar"/>
                    </w:rPr>
                    <w:t>频</w:t>
                  </w:r>
                  <w:r>
                    <w:rPr>
                      <w:rFonts w:hint="eastAsia" w:ascii="宋体" w:hAnsi="宋体" w:eastAsia="宋体" w:cs="宋体"/>
                      <w:i w:val="0"/>
                      <w:iCs w:val="0"/>
                      <w:color w:val="000000"/>
                      <w:kern w:val="0"/>
                      <w:sz w:val="22"/>
                      <w:szCs w:val="22"/>
                      <w:u w:val="none"/>
                      <w:lang w:val="en-US" w:eastAsia="zh-CN" w:bidi="ar"/>
                    </w:rPr>
                    <w:t>保温炉</w:t>
                  </w:r>
                  <w:r>
                    <w:rPr>
                      <w:rFonts w:hint="eastAsia" w:ascii="宋体" w:hAnsi="宋体" w:cs="宋体"/>
                      <w:i w:val="0"/>
                      <w:iCs w:val="0"/>
                      <w:color w:val="000000"/>
                      <w:kern w:val="0"/>
                      <w:sz w:val="22"/>
                      <w:szCs w:val="22"/>
                      <w:u w:val="none"/>
                      <w:lang w:val="en-US" w:eastAsia="zh-CN" w:bidi="ar"/>
                    </w:rPr>
                    <w:t>(电)</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90"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4</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冷室铝合金压铸机</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1600T、1250T、800T、500T、300T*2</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5</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压铸机辅助机械手</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6</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抛</w:t>
                  </w:r>
                  <w:r>
                    <w:rPr>
                      <w:rFonts w:hint="eastAsia" w:ascii="宋体" w:hAnsi="宋体" w:cs="宋体"/>
                      <w:i w:val="0"/>
                      <w:iCs w:val="0"/>
                      <w:color w:val="000000"/>
                      <w:kern w:val="0"/>
                      <w:sz w:val="22"/>
                      <w:szCs w:val="22"/>
                      <w:u w:val="none"/>
                      <w:lang w:val="en-US" w:eastAsia="zh-CN" w:bidi="ar"/>
                    </w:rPr>
                    <w:t>丸</w:t>
                  </w:r>
                  <w:r>
                    <w:rPr>
                      <w:rFonts w:hint="eastAsia" w:ascii="宋体" w:hAnsi="宋体" w:eastAsia="宋体" w:cs="宋体"/>
                      <w:i w:val="0"/>
                      <w:iCs w:val="0"/>
                      <w:color w:val="000000"/>
                      <w:kern w:val="0"/>
                      <w:sz w:val="22"/>
                      <w:szCs w:val="22"/>
                      <w:u w:val="none"/>
                      <w:lang w:val="en-US" w:eastAsia="zh-CN" w:bidi="ar"/>
                    </w:rPr>
                    <w:t>机</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7</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砂带机</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8</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油压切边机</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397" w:hRule="atLeast"/>
              </w:trPr>
              <w:tc>
                <w:tcPr>
                  <w:tcW w:w="587" w:type="pct"/>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eastAsia"/>
                      <w:color w:val="0D0D0D" w:themeColor="text1" w:themeTint="F2"/>
                      <w:kern w:val="24"/>
                      <w:szCs w:val="21"/>
                      <w14:textFill>
                        <w14:solidFill>
                          <w14:schemeClr w14:val="tx1">
                            <w14:lumMod w14:val="95000"/>
                            <w14:lumOff w14:val="5000"/>
                          </w14:schemeClr>
                        </w14:solidFill>
                      </w14:textFill>
                    </w:rPr>
                    <w:t>9</w:t>
                  </w:r>
                </w:p>
              </w:tc>
              <w:tc>
                <w:tcPr>
                  <w:tcW w:w="1483"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锯床</w:t>
                  </w:r>
                </w:p>
              </w:tc>
              <w:tc>
                <w:tcPr>
                  <w:tcW w:w="2017" w:type="pct"/>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w:t>
                  </w:r>
                </w:p>
              </w:tc>
              <w:tc>
                <w:tcPr>
                  <w:tcW w:w="910" w:type="pct"/>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w:t>
                  </w:r>
                </w:p>
              </w:tc>
            </w:tr>
            <w:bookmarkEnd w:id="2"/>
          </w:tbl>
          <w:p>
            <w:pPr>
              <w:keepNext w:val="0"/>
              <w:keepLines w:val="0"/>
              <w:suppressLineNumbers w:val="0"/>
              <w:spacing w:before="120" w:beforeLines="50" w:beforeAutospacing="0" w:after="0" w:afterAutospacing="0" w:line="360" w:lineRule="auto"/>
              <w:ind w:left="0" w:right="0" w:firstLine="602" w:firstLineChars="250"/>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5、主要原辅材料及能源消耗</w:t>
            </w:r>
          </w:p>
          <w:p>
            <w:pPr>
              <w:keepNext w:val="0"/>
              <w:keepLines w:val="0"/>
              <w:suppressLineNumbers w:val="0"/>
              <w:spacing w:before="0" w:beforeAutospacing="0" w:after="0" w:afterAutospacing="0" w:line="360" w:lineRule="auto"/>
              <w:ind w:left="0" w:right="0" w:firstLine="480" w:firstLineChars="200"/>
              <w:rPr>
                <w:rFonts w:hint="default" w:hAnsi="宋体"/>
                <w:color w:val="0D0D0D" w:themeColor="text1" w:themeTint="F2"/>
                <w:kern w:val="24"/>
                <w:sz w:val="24"/>
                <w14:textFill>
                  <w14:solidFill>
                    <w14:schemeClr w14:val="tx1">
                      <w14:lumMod w14:val="95000"/>
                      <w14:lumOff w14:val="5000"/>
                    </w14:schemeClr>
                  </w14:solidFill>
                </w14:textFill>
              </w:rPr>
            </w:pPr>
            <w:r>
              <w:rPr>
                <w:rFonts w:hint="default" w:hAnsi="宋体"/>
                <w:color w:val="0D0D0D" w:themeColor="text1" w:themeTint="F2"/>
                <w:kern w:val="24"/>
                <w:sz w:val="24"/>
                <w14:textFill>
                  <w14:solidFill>
                    <w14:schemeClr w14:val="tx1">
                      <w14:lumMod w14:val="95000"/>
                      <w14:lumOff w14:val="5000"/>
                    </w14:schemeClr>
                  </w14:solidFill>
                </w14:textFill>
              </w:rPr>
              <w:t>项目原辅材料</w:t>
            </w:r>
            <w:r>
              <w:rPr>
                <w:rFonts w:hint="eastAsia" w:hAnsi="宋体"/>
                <w:color w:val="0D0D0D" w:themeColor="text1" w:themeTint="F2"/>
                <w:kern w:val="24"/>
                <w:sz w:val="24"/>
                <w14:textFill>
                  <w14:solidFill>
                    <w14:schemeClr w14:val="tx1">
                      <w14:lumMod w14:val="95000"/>
                      <w14:lumOff w14:val="5000"/>
                    </w14:schemeClr>
                  </w14:solidFill>
                </w14:textFill>
              </w:rPr>
              <w:t>及能源</w:t>
            </w:r>
            <w:r>
              <w:rPr>
                <w:rFonts w:hint="default" w:hAnsi="宋体"/>
                <w:color w:val="0D0D0D" w:themeColor="text1" w:themeTint="F2"/>
                <w:kern w:val="24"/>
                <w:sz w:val="24"/>
                <w14:textFill>
                  <w14:solidFill>
                    <w14:schemeClr w14:val="tx1">
                      <w14:lumMod w14:val="95000"/>
                      <w14:lumOff w14:val="5000"/>
                    </w14:schemeClr>
                  </w14:solidFill>
                </w14:textFill>
              </w:rPr>
              <w:t>消耗见表</w:t>
            </w:r>
            <w:r>
              <w:rPr>
                <w:rFonts w:hint="eastAsia" w:hAnsi="宋体"/>
                <w:color w:val="0D0D0D" w:themeColor="text1" w:themeTint="F2"/>
                <w:kern w:val="24"/>
                <w:sz w:val="24"/>
                <w14:textFill>
                  <w14:solidFill>
                    <w14:schemeClr w14:val="tx1">
                      <w14:lumMod w14:val="95000"/>
                      <w14:lumOff w14:val="5000"/>
                    </w14:schemeClr>
                  </w14:solidFill>
                </w14:textFill>
              </w:rPr>
              <w:t>2-</w:t>
            </w:r>
            <w:r>
              <w:rPr>
                <w:rFonts w:hint="eastAsia" w:hAnsi="宋体"/>
                <w:color w:val="0D0D0D" w:themeColor="text1" w:themeTint="F2"/>
                <w:kern w:val="24"/>
                <w:sz w:val="24"/>
                <w:lang w:val="en-US" w:eastAsia="zh-CN"/>
                <w14:textFill>
                  <w14:solidFill>
                    <w14:schemeClr w14:val="tx1">
                      <w14:lumMod w14:val="95000"/>
                      <w14:lumOff w14:val="5000"/>
                    </w14:schemeClr>
                  </w14:solidFill>
                </w14:textFill>
              </w:rPr>
              <w:t>6</w:t>
            </w:r>
            <w:r>
              <w:rPr>
                <w:rFonts w:hint="default" w:hAnsi="宋体"/>
                <w:color w:val="0D0D0D" w:themeColor="text1" w:themeTint="F2"/>
                <w:kern w:val="24"/>
                <w:sz w:val="24"/>
                <w14:textFill>
                  <w14:solidFill>
                    <w14:schemeClr w14:val="tx1">
                      <w14:lumMod w14:val="95000"/>
                      <w14:lumOff w14:val="5000"/>
                    </w14:schemeClr>
                  </w14:solidFill>
                </w14:textFill>
              </w:rPr>
              <w:t>。</w:t>
            </w:r>
          </w:p>
          <w:p>
            <w:pPr>
              <w:keepNext w:val="0"/>
              <w:keepLines w:val="0"/>
              <w:suppressLineNumbers w:val="0"/>
              <w:spacing w:before="120" w:beforeLines="50" w:beforeAutospacing="0" w:after="0" w:afterAutospacing="0"/>
              <w:ind w:left="0" w:right="0"/>
              <w:jc w:val="center"/>
              <w:rPr>
                <w:rFonts w:hint="default" w:hAnsi="宋体"/>
                <w:b/>
                <w:color w:val="auto"/>
                <w:kern w:val="24"/>
                <w:sz w:val="24"/>
                <w:highlight w:val="none"/>
              </w:rPr>
            </w:pPr>
            <w:r>
              <w:rPr>
                <w:rFonts w:hint="default" w:hAnsi="宋体"/>
                <w:b/>
                <w:color w:val="auto"/>
                <w:kern w:val="24"/>
                <w:sz w:val="24"/>
                <w:highlight w:val="none"/>
              </w:rPr>
              <w:t>表</w:t>
            </w:r>
            <w:r>
              <w:rPr>
                <w:rFonts w:hint="eastAsia" w:hAnsi="宋体"/>
                <w:b/>
                <w:color w:val="auto"/>
                <w:kern w:val="24"/>
                <w:sz w:val="24"/>
                <w:highlight w:val="none"/>
              </w:rPr>
              <w:t>2-</w:t>
            </w:r>
            <w:r>
              <w:rPr>
                <w:rFonts w:hint="eastAsia" w:hAnsi="宋体"/>
                <w:b/>
                <w:color w:val="auto"/>
                <w:kern w:val="24"/>
                <w:sz w:val="24"/>
                <w:highlight w:val="none"/>
                <w:lang w:val="en-US" w:eastAsia="zh-CN"/>
              </w:rPr>
              <w:t>6</w:t>
            </w:r>
            <w:r>
              <w:rPr>
                <w:rFonts w:hint="default" w:hAnsi="宋体"/>
                <w:b/>
                <w:color w:val="auto"/>
                <w:kern w:val="24"/>
                <w:sz w:val="24"/>
                <w:highlight w:val="none"/>
              </w:rPr>
              <w:t xml:space="preserve">  项目原辅材料消耗表</w:t>
            </w:r>
          </w:p>
          <w:tbl>
            <w:tblPr>
              <w:tblStyle w:val="59"/>
              <w:tblpPr w:leftFromText="180" w:rightFromText="180" w:vertAnchor="text" w:tblpXSpec="center"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709"/>
              <w:gridCol w:w="567"/>
              <w:gridCol w:w="1559"/>
              <w:gridCol w:w="993"/>
              <w:gridCol w:w="850"/>
              <w:gridCol w:w="1559"/>
              <w:gridCol w:w="1782"/>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序号</w:t>
                  </w:r>
                </w:p>
              </w:tc>
              <w:tc>
                <w:tcPr>
                  <w:tcW w:w="2126" w:type="dxa"/>
                  <w:gridSpan w:val="2"/>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名称</w:t>
                  </w:r>
                </w:p>
              </w:tc>
              <w:tc>
                <w:tcPr>
                  <w:tcW w:w="993" w:type="dxa"/>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单位</w:t>
                  </w:r>
                </w:p>
              </w:tc>
              <w:tc>
                <w:tcPr>
                  <w:tcW w:w="850" w:type="dxa"/>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消耗量</w:t>
                  </w:r>
                </w:p>
              </w:tc>
              <w:tc>
                <w:tcPr>
                  <w:tcW w:w="1559" w:type="dxa"/>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最大储存量</w:t>
                  </w:r>
                </w:p>
              </w:tc>
              <w:tc>
                <w:tcPr>
                  <w:tcW w:w="1782" w:type="dxa"/>
                  <w:vAlign w:val="center"/>
                </w:tcPr>
                <w:p>
                  <w:pPr>
                    <w:keepNext w:val="0"/>
                    <w:keepLines w:val="0"/>
                    <w:suppressLineNumbers w:val="0"/>
                    <w:spacing w:before="0" w:beforeAutospacing="0" w:after="0" w:afterAutospacing="0"/>
                    <w:ind w:left="0" w:right="0"/>
                    <w:jc w:val="center"/>
                    <w:rPr>
                      <w:rFonts w:hint="default"/>
                      <w:b/>
                      <w:color w:val="0D0D0D"/>
                      <w:szCs w:val="21"/>
                    </w:rPr>
                  </w:pPr>
                  <w:r>
                    <w:rPr>
                      <w:rFonts w:hint="default"/>
                      <w:b/>
                      <w:color w:val="0D0D0D"/>
                      <w:szCs w:val="21"/>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1</w:t>
                  </w:r>
                </w:p>
              </w:tc>
              <w:tc>
                <w:tcPr>
                  <w:tcW w:w="567" w:type="dxa"/>
                  <w:vMerge w:val="restart"/>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原辅料</w:t>
                  </w: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铝合金锭</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t/a</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3900</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35</w:t>
                  </w:r>
                </w:p>
              </w:tc>
              <w:tc>
                <w:tcPr>
                  <w:tcW w:w="178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2</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脱模剂</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t/a</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default"/>
                    </w:rPr>
                    <w:t>5</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750KG（3桶）</w:t>
                  </w:r>
                </w:p>
              </w:tc>
              <w:tc>
                <w:tcPr>
                  <w:tcW w:w="178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桶装，250 kg/桶</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24"/>
                      <w:szCs w:val="21"/>
                      <w14:textFill>
                        <w14:solidFill>
                          <w14:schemeClr w14:val="tx1">
                            <w14:lumMod w14:val="95000"/>
                            <w14:lumOff w14:val="5000"/>
                          </w14:schemeClr>
                        </w14:solidFill>
                      </w14:textFill>
                    </w:rPr>
                    <w:t>3</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润滑油</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t/a</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lang w:val="en-US" w:eastAsia="zh-CN"/>
                    </w:rPr>
                    <w:t>0.6</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200KG（1桶）</w:t>
                  </w:r>
                </w:p>
              </w:tc>
              <w:tc>
                <w:tcPr>
                  <w:tcW w:w="178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桶装，200 kg/桶</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eastAsia" w:eastAsia="宋体"/>
                      <w:color w:val="0D0D0D" w:themeColor="text1" w:themeTint="F2"/>
                      <w:kern w:val="24"/>
                      <w:szCs w:val="21"/>
                      <w:lang w:val="en-US" w:eastAsia="zh-CN"/>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4</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液压油</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t/a</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1</w:t>
                  </w:r>
                </w:p>
              </w:tc>
              <w:tc>
                <w:tcPr>
                  <w:tcW w:w="1559"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lang w:val="en-US" w:eastAsia="zh-CN"/>
                    </w:rPr>
                    <w:t>/</w:t>
                  </w:r>
                </w:p>
              </w:tc>
              <w:tc>
                <w:tcPr>
                  <w:tcW w:w="1782"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default"/>
                    </w:rPr>
                    <w:t>桶装，200 kg/桶</w:t>
                  </w:r>
                  <w:r>
                    <w:rPr>
                      <w:rFonts w:hint="eastAsia"/>
                    </w:rPr>
                    <w:t>（随购随用）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4"/>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5</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抛丸砂</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t/a</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1</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lang w:val="en-US" w:eastAsia="zh-CN"/>
                    </w:rPr>
                    <w:t>0.25</w:t>
                  </w:r>
                </w:p>
              </w:tc>
              <w:tc>
                <w:tcPr>
                  <w:tcW w:w="1782"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rPr>
                    <w:t>袋装，25KG/袋</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4"/>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6</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rPr>
                    <w:t>砂轮带</w:t>
                  </w:r>
                </w:p>
              </w:tc>
              <w:tc>
                <w:tcPr>
                  <w:tcW w:w="993" w:type="dxa"/>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lang w:val="en-US" w:eastAsia="zh-CN"/>
                    </w:rPr>
                    <w:t>条</w:t>
                  </w:r>
                </w:p>
              </w:tc>
              <w:tc>
                <w:tcPr>
                  <w:tcW w:w="850" w:type="dxa"/>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4"/>
                      <w:lang w:val="en-US" w:eastAsia="zh-CN" w:bidi="ar-SA"/>
                    </w:rPr>
                  </w:pPr>
                  <w:r>
                    <w:rPr>
                      <w:rFonts w:hint="eastAsia"/>
                    </w:rPr>
                    <w:t>350</w:t>
                  </w:r>
                  <w:r>
                    <w:rPr>
                      <w:rFonts w:hint="eastAsia"/>
                      <w:lang w:val="en-US" w:eastAsia="zh-CN"/>
                    </w:rPr>
                    <w:t>0</w:t>
                  </w:r>
                </w:p>
              </w:tc>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500</w:t>
                  </w:r>
                </w:p>
              </w:tc>
              <w:tc>
                <w:tcPr>
                  <w:tcW w:w="178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eastAsia"/>
                    </w:rPr>
                    <w:t>裸装</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4"/>
                      <w:sz w:val="21"/>
                      <w:szCs w:val="21"/>
                      <w:lang w:val="en-US" w:eastAsia="zh-CN" w:bidi="ar-SA"/>
                      <w14:textFill>
                        <w14:solidFill>
                          <w14:schemeClr w14:val="tx1">
                            <w14:lumMod w14:val="95000"/>
                            <w14:lumOff w14:val="5000"/>
                          </w14:schemeClr>
                        </w14:solidFill>
                      </w14:textFill>
                    </w:rPr>
                  </w:pPr>
                  <w:r>
                    <w:rPr>
                      <w:rFonts w:hint="eastAsia" w:cs="Times New Roman"/>
                      <w:color w:val="0D0D0D" w:themeColor="text1" w:themeTint="F2"/>
                      <w:kern w:val="24"/>
                      <w:sz w:val="21"/>
                      <w:szCs w:val="21"/>
                      <w:lang w:val="en-US" w:eastAsia="zh-CN" w:bidi="ar-SA"/>
                      <w14:textFill>
                        <w14:solidFill>
                          <w14:schemeClr w14:val="tx1">
                            <w14:lumMod w14:val="95000"/>
                            <w14:lumOff w14:val="5000"/>
                          </w14:schemeClr>
                        </w14:solidFill>
                      </w14:textFill>
                    </w:rPr>
                    <w:t>7</w:t>
                  </w:r>
                </w:p>
              </w:tc>
              <w:tc>
                <w:tcPr>
                  <w:tcW w:w="567" w:type="dxa"/>
                  <w:vMerge w:val="restart"/>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能源</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szCs w:val="21"/>
                      <w:highlight w:val="none"/>
                    </w:rPr>
                    <w:t>水</w:t>
                  </w:r>
                </w:p>
              </w:tc>
              <w:tc>
                <w:tcPr>
                  <w:tcW w:w="993"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highlight w:val="none"/>
                    </w:rPr>
                  </w:pPr>
                  <w:r>
                    <w:rPr>
                      <w:rFonts w:hint="default"/>
                      <w:color w:val="auto"/>
                      <w:szCs w:val="21"/>
                      <w:highlight w:val="none"/>
                    </w:rPr>
                    <w:t>m</w:t>
                  </w:r>
                  <w:r>
                    <w:rPr>
                      <w:rFonts w:hint="default"/>
                      <w:color w:val="auto"/>
                      <w:szCs w:val="21"/>
                      <w:highlight w:val="none"/>
                      <w:vertAlign w:val="superscript"/>
                    </w:rPr>
                    <w:t>3</w:t>
                  </w:r>
                  <w:r>
                    <w:rPr>
                      <w:rFonts w:hint="default"/>
                      <w:color w:val="auto"/>
                      <w:szCs w:val="21"/>
                      <w:highlight w:val="none"/>
                    </w:rPr>
                    <w:t>/a</w:t>
                  </w:r>
                </w:p>
              </w:tc>
              <w:tc>
                <w:tcPr>
                  <w:tcW w:w="850" w:type="dxa"/>
                  <w:vAlign w:val="center"/>
                </w:tcPr>
                <w:p>
                  <w:pPr>
                    <w:keepNext w:val="0"/>
                    <w:keepLines w:val="0"/>
                    <w:widowControl/>
                    <w:suppressLineNumbers w:val="0"/>
                    <w:spacing w:before="0" w:beforeAutospacing="0" w:after="0" w:afterAutospacing="0"/>
                    <w:ind w:left="0" w:right="0"/>
                    <w:jc w:val="center"/>
                    <w:textAlignment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1041</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w:t>
                  </w:r>
                </w:p>
              </w:tc>
              <w:tc>
                <w:tcPr>
                  <w:tcW w:w="1782" w:type="dxa"/>
                  <w:vAlign w:val="center"/>
                </w:tcPr>
                <w:p>
                  <w:pPr>
                    <w:keepNext w:val="0"/>
                    <w:keepLines w:val="0"/>
                    <w:suppressLineNumbers w:val="0"/>
                    <w:spacing w:before="0" w:beforeAutospacing="0" w:after="0" w:afterAutospacing="0" w:line="360" w:lineRule="atLeast"/>
                    <w:ind w:left="0" w:right="0"/>
                    <w:contextualSpacing/>
                    <w:jc w:val="center"/>
                    <w:rPr>
                      <w:rFonts w:hint="default"/>
                      <w:color w:val="262626" w:themeColor="text1" w:themeTint="D9"/>
                      <w:szCs w:val="21"/>
                      <w14:textFill>
                        <w14:solidFill>
                          <w14:schemeClr w14:val="tx1">
                            <w14:lumMod w14:val="85000"/>
                            <w14:lumOff w14:val="15000"/>
                          </w14:schemeClr>
                        </w14:solidFill>
                      </w14:textFill>
                    </w:rPr>
                  </w:pPr>
                  <w:r>
                    <w:rPr>
                      <w:rFonts w:hint="default"/>
                      <w:color w:val="262626" w:themeColor="text1" w:themeTint="D9"/>
                      <w:szCs w:val="21"/>
                      <w14:textFill>
                        <w14:solidFill>
                          <w14:schemeClr w14:val="tx1">
                            <w14:lumMod w14:val="85000"/>
                            <w14:lumOff w14:val="1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4"/>
                      <w:sz w:val="21"/>
                      <w:szCs w:val="21"/>
                      <w:lang w:val="en-US" w:eastAsia="zh-CN" w:bidi="ar-SA"/>
                      <w14:textFill>
                        <w14:solidFill>
                          <w14:schemeClr w14:val="tx1">
                            <w14:lumMod w14:val="95000"/>
                            <w14:lumOff w14:val="5000"/>
                          </w14:schemeClr>
                        </w14:solidFill>
                      </w14:textFill>
                    </w:rPr>
                  </w:pPr>
                  <w:r>
                    <w:rPr>
                      <w:rFonts w:hint="eastAsia" w:cs="Times New Roman"/>
                      <w:color w:val="0D0D0D" w:themeColor="text1" w:themeTint="F2"/>
                      <w:kern w:val="24"/>
                      <w:sz w:val="21"/>
                      <w:szCs w:val="21"/>
                      <w:lang w:val="en-US" w:eastAsia="zh-CN" w:bidi="ar-SA"/>
                      <w14:textFill>
                        <w14:solidFill>
                          <w14:schemeClr w14:val="tx1">
                            <w14:lumMod w14:val="95000"/>
                            <w14:lumOff w14:val="5000"/>
                          </w14:schemeClr>
                        </w14:solidFill>
                      </w14:textFill>
                    </w:rPr>
                    <w:t>8</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电</w:t>
                  </w:r>
                </w:p>
              </w:tc>
              <w:tc>
                <w:tcPr>
                  <w:tcW w:w="993"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kwh/a</w:t>
                  </w:r>
                </w:p>
              </w:tc>
              <w:tc>
                <w:tcPr>
                  <w:tcW w:w="850" w:type="dxa"/>
                  <w:vAlign w:val="center"/>
                </w:tcPr>
                <w:p>
                  <w:pPr>
                    <w:keepNext w:val="0"/>
                    <w:keepLines w:val="0"/>
                    <w:widowControl/>
                    <w:suppressLineNumbers w:val="0"/>
                    <w:spacing w:before="0" w:beforeAutospacing="0" w:after="0" w:afterAutospacing="0"/>
                    <w:ind w:left="0" w:right="0"/>
                    <w:jc w:val="center"/>
                    <w:textAlignment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120万</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w:t>
                  </w:r>
                </w:p>
              </w:tc>
              <w:tc>
                <w:tcPr>
                  <w:tcW w:w="1782" w:type="dxa"/>
                  <w:vAlign w:val="center"/>
                </w:tcPr>
                <w:p>
                  <w:pPr>
                    <w:keepNext w:val="0"/>
                    <w:keepLines w:val="0"/>
                    <w:suppressLineNumbers w:val="0"/>
                    <w:spacing w:before="0" w:beforeAutospacing="0" w:after="0" w:afterAutospacing="0" w:line="360" w:lineRule="atLeast"/>
                    <w:ind w:left="0" w:right="0"/>
                    <w:contextualSpacing/>
                    <w:jc w:val="center"/>
                    <w:rPr>
                      <w:rFonts w:hint="default"/>
                      <w:color w:val="262626" w:themeColor="text1" w:themeTint="D9"/>
                      <w:szCs w:val="21"/>
                      <w14:textFill>
                        <w14:solidFill>
                          <w14:schemeClr w14:val="tx1">
                            <w14:lumMod w14:val="85000"/>
                            <w14:lumOff w14:val="15000"/>
                          </w14:schemeClr>
                        </w14:solidFill>
                      </w14:textFill>
                    </w:rPr>
                  </w:pPr>
                  <w:r>
                    <w:rPr>
                      <w:rFonts w:hint="default"/>
                      <w:color w:val="262626" w:themeColor="text1" w:themeTint="D9"/>
                      <w:szCs w:val="21"/>
                      <w14:textFill>
                        <w14:solidFill>
                          <w14:schemeClr w14:val="tx1">
                            <w14:lumMod w14:val="85000"/>
                            <w14:lumOff w14:val="1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7" w:hRule="atLeast"/>
              </w:trPr>
              <w:tc>
                <w:tcPr>
                  <w:tcW w:w="709" w:type="dxa"/>
                  <w:vAlign w:val="center"/>
                </w:tcPr>
                <w:p>
                  <w:pPr>
                    <w:keepNext w:val="0"/>
                    <w:keepLines w:val="0"/>
                    <w:suppressLineNumbers w:val="0"/>
                    <w:spacing w:before="0" w:beforeAutospacing="0" w:after="0" w:afterAutospacing="0"/>
                    <w:ind w:left="0" w:right="0"/>
                    <w:jc w:val="center"/>
                    <w:rPr>
                      <w:rFonts w:hint="default"/>
                      <w:color w:val="0D0D0D" w:themeColor="text1" w:themeTint="F2"/>
                      <w:kern w:val="24"/>
                      <w:szCs w:val="21"/>
                      <w:lang w:val="en-US" w:eastAsia="zh-CN"/>
                      <w14:textFill>
                        <w14:solidFill>
                          <w14:schemeClr w14:val="tx1">
                            <w14:lumMod w14:val="95000"/>
                            <w14:lumOff w14:val="5000"/>
                          </w14:schemeClr>
                        </w14:solidFill>
                      </w14:textFill>
                    </w:rPr>
                  </w:pPr>
                  <w:r>
                    <w:rPr>
                      <w:rFonts w:hint="eastAsia"/>
                      <w:color w:val="0D0D0D" w:themeColor="text1" w:themeTint="F2"/>
                      <w:kern w:val="24"/>
                      <w:szCs w:val="21"/>
                      <w:lang w:val="en-US" w:eastAsia="zh-CN"/>
                      <w14:textFill>
                        <w14:solidFill>
                          <w14:schemeClr w14:val="tx1">
                            <w14:lumMod w14:val="95000"/>
                            <w14:lumOff w14:val="5000"/>
                          </w14:schemeClr>
                        </w14:solidFill>
                      </w14:textFill>
                    </w:rPr>
                    <w:t>9</w:t>
                  </w:r>
                </w:p>
              </w:tc>
              <w:tc>
                <w:tcPr>
                  <w:tcW w:w="567" w:type="dxa"/>
                  <w:vMerge w:val="continue"/>
                  <w:vAlign w:val="center"/>
                </w:tcPr>
                <w:p>
                  <w:pPr>
                    <w:keepNext w:val="0"/>
                    <w:keepLines w:val="0"/>
                    <w:suppressLineNumbers w:val="0"/>
                    <w:spacing w:before="0" w:beforeAutospacing="0" w:after="0" w:afterAutospacing="0" w:line="360" w:lineRule="atLeast"/>
                    <w:ind w:left="0" w:right="0"/>
                    <w:contextualSpacing/>
                    <w:jc w:val="center"/>
                    <w:rPr>
                      <w:rFonts w:hint="default"/>
                      <w:color w:val="0D0D0D" w:themeColor="text1" w:themeTint="F2"/>
                      <w:szCs w:val="21"/>
                      <w14:textFill>
                        <w14:solidFill>
                          <w14:schemeClr w14:val="tx1">
                            <w14:lumMod w14:val="95000"/>
                            <w14:lumOff w14:val="5000"/>
                          </w14:schemeClr>
                        </w14:solidFill>
                      </w14:textFill>
                    </w:rPr>
                  </w:pP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天然气</w:t>
                  </w:r>
                </w:p>
              </w:tc>
              <w:tc>
                <w:tcPr>
                  <w:tcW w:w="993" w:type="dxa"/>
                  <w:vAlign w:val="center"/>
                </w:tcPr>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万 m</w:t>
                  </w:r>
                  <w:r>
                    <w:rPr>
                      <w:rFonts w:hint="default"/>
                      <w:color w:val="0D0D0D" w:themeColor="text1" w:themeTint="F2"/>
                      <w:szCs w:val="21"/>
                      <w:vertAlign w:val="superscript"/>
                      <w:lang w:val="en-US" w:eastAsia="zh-CN"/>
                      <w14:textFill>
                        <w14:solidFill>
                          <w14:schemeClr w14:val="tx1">
                            <w14:lumMod w14:val="95000"/>
                            <w14:lumOff w14:val="5000"/>
                          </w14:schemeClr>
                        </w14:solidFill>
                      </w14:textFill>
                    </w:rPr>
                    <w:t>3</w:t>
                  </w:r>
                  <w:r>
                    <w:rPr>
                      <w:rFonts w:hint="default"/>
                      <w:color w:val="0D0D0D" w:themeColor="text1" w:themeTint="F2"/>
                      <w:szCs w:val="21"/>
                      <w:lang w:val="en-US" w:eastAsia="zh-CN"/>
                      <w14:textFill>
                        <w14:solidFill>
                          <w14:schemeClr w14:val="tx1">
                            <w14:lumMod w14:val="95000"/>
                            <w14:lumOff w14:val="5000"/>
                          </w14:schemeClr>
                        </w14:solidFill>
                      </w14:textFill>
                    </w:rPr>
                    <w:t>/</w:t>
                  </w:r>
                </w:p>
                <w:p>
                  <w:pPr>
                    <w:keepNext w:val="0"/>
                    <w:keepLines w:val="0"/>
                    <w:widowControl/>
                    <w:suppressLineNumbers w:val="0"/>
                    <w:spacing w:before="0" w:beforeAutospacing="0" w:after="0" w:afterAutospacing="0"/>
                    <w:ind w:left="0" w:right="0"/>
                    <w:jc w:val="center"/>
                    <w:textAlignment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年</w:t>
                  </w:r>
                </w:p>
              </w:tc>
              <w:tc>
                <w:tcPr>
                  <w:tcW w:w="850" w:type="dxa"/>
                  <w:vAlign w:val="center"/>
                </w:tcPr>
                <w:p>
                  <w:pPr>
                    <w:keepNext w:val="0"/>
                    <w:keepLines w:val="0"/>
                    <w:widowControl/>
                    <w:suppressLineNumbers w:val="0"/>
                    <w:spacing w:before="0" w:beforeAutospacing="0" w:after="0" w:afterAutospacing="0"/>
                    <w:ind w:left="0" w:right="0"/>
                    <w:jc w:val="center"/>
                    <w:textAlignment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19</w:t>
                  </w:r>
                </w:p>
              </w:tc>
              <w:tc>
                <w:tcPr>
                  <w:tcW w:w="1559" w:type="dxa"/>
                  <w:vAlign w:val="center"/>
                </w:tcPr>
                <w:p>
                  <w:pPr>
                    <w:keepNext w:val="0"/>
                    <w:keepLines w:val="0"/>
                    <w:widowControl/>
                    <w:suppressLineNumbers w:val="0"/>
                    <w:spacing w:before="0" w:beforeAutospacing="0" w:after="0" w:afterAutospacing="0"/>
                    <w:ind w:left="0" w:right="0"/>
                    <w:jc w:val="center"/>
                    <w:textAlignment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1782" w:type="dxa"/>
                  <w:vAlign w:val="center"/>
                </w:tcPr>
                <w:p>
                  <w:pPr>
                    <w:keepNext w:val="0"/>
                    <w:keepLines w:val="0"/>
                    <w:suppressLineNumbers w:val="0"/>
                    <w:spacing w:before="0" w:beforeAutospacing="0" w:after="0" w:afterAutospacing="0" w:line="360" w:lineRule="atLeast"/>
                    <w:ind w:left="0" w:right="0"/>
                    <w:contextualSpacing/>
                    <w:jc w:val="center"/>
                    <w:rPr>
                      <w:rFonts w:hint="eastAsia" w:eastAsia="宋体"/>
                      <w:color w:val="262626" w:themeColor="text1" w:themeTint="D9"/>
                      <w:szCs w:val="21"/>
                      <w:lang w:val="en-US" w:eastAsia="zh-CN"/>
                      <w14:textFill>
                        <w14:solidFill>
                          <w14:schemeClr w14:val="tx1">
                            <w14:lumMod w14:val="85000"/>
                            <w14:lumOff w14:val="15000"/>
                          </w14:schemeClr>
                        </w14:solidFill>
                      </w14:textFill>
                    </w:rPr>
                  </w:pPr>
                  <w:r>
                    <w:rPr>
                      <w:rFonts w:hint="eastAsia"/>
                      <w:color w:val="262626" w:themeColor="text1" w:themeTint="D9"/>
                      <w:szCs w:val="21"/>
                      <w:lang w:val="en-US" w:eastAsia="zh-CN"/>
                      <w14:textFill>
                        <w14:solidFill>
                          <w14:schemeClr w14:val="tx1">
                            <w14:lumMod w14:val="85000"/>
                            <w14:lumOff w14:val="15000"/>
                          </w14:schemeClr>
                        </w14:solidFill>
                      </w14:textFill>
                    </w:rPr>
                    <w:t>/</w:t>
                  </w:r>
                </w:p>
              </w:tc>
            </w:tr>
          </w:tbl>
          <w:p>
            <w:pPr>
              <w:pStyle w:val="172"/>
              <w:keepNext w:val="0"/>
              <w:keepLines w:val="0"/>
              <w:suppressLineNumbers w:val="0"/>
              <w:spacing w:before="120" w:beforeLines="50" w:beforeAutospacing="0" w:after="0" w:afterAutospacing="0"/>
              <w:ind w:left="0" w:right="0" w:firstLine="480"/>
              <w:rPr>
                <w:rFonts w:hint="default" w:ascii="Times New Roman" w:cs="Times New Roman"/>
                <w:color w:val="0D0D0D" w:themeColor="text1" w:themeTint="F2"/>
                <w:kern w:val="24"/>
                <w:sz w:val="24"/>
                <w14:textFill>
                  <w14:solidFill>
                    <w14:schemeClr w14:val="tx1">
                      <w14:lumMod w14:val="95000"/>
                      <w14:lumOff w14:val="5000"/>
                    </w14:schemeClr>
                  </w14:solidFill>
                </w14:textFill>
              </w:rPr>
            </w:pPr>
            <w:r>
              <w:rPr>
                <w:rFonts w:hint="eastAsia" w:ascii="Times New Roman" w:cs="Times New Roman"/>
                <w:color w:val="0D0D0D" w:themeColor="text1" w:themeTint="F2"/>
                <w:kern w:val="24"/>
                <w:sz w:val="24"/>
                <w14:textFill>
                  <w14:solidFill>
                    <w14:schemeClr w14:val="tx1">
                      <w14:lumMod w14:val="95000"/>
                      <w14:lumOff w14:val="5000"/>
                    </w14:schemeClr>
                  </w14:solidFill>
                </w14:textFill>
              </w:rPr>
              <w:t>主要原辅料成分及理化性质见下表</w:t>
            </w:r>
            <w:r>
              <w:rPr>
                <w:rFonts w:hint="default" w:ascii="Times New Roman" w:cs="Times New Roman"/>
                <w:color w:val="0D0D0D" w:themeColor="text1" w:themeTint="F2"/>
                <w:kern w:val="24"/>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ind w:left="0" w:right="0"/>
              <w:jc w:val="center"/>
              <w:rPr>
                <w:rFonts w:hint="default"/>
                <w:b/>
                <w:color w:val="0D0D0D"/>
                <w:kern w:val="0"/>
                <w:sz w:val="24"/>
              </w:rPr>
            </w:pPr>
            <w:r>
              <w:rPr>
                <w:rFonts w:hint="default"/>
                <w:b/>
                <w:color w:val="0D0D0D"/>
                <w:kern w:val="0"/>
                <w:sz w:val="24"/>
              </w:rPr>
              <w:t>表</w:t>
            </w:r>
            <w:r>
              <w:rPr>
                <w:rFonts w:hint="eastAsia"/>
                <w:b/>
                <w:color w:val="0D0D0D"/>
                <w:kern w:val="0"/>
                <w:sz w:val="24"/>
              </w:rPr>
              <w:t>2-</w:t>
            </w:r>
            <w:r>
              <w:rPr>
                <w:rFonts w:hint="eastAsia"/>
                <w:b/>
                <w:color w:val="0D0D0D"/>
                <w:kern w:val="0"/>
                <w:sz w:val="24"/>
                <w:lang w:val="en-US" w:eastAsia="zh-CN"/>
              </w:rPr>
              <w:t>7</w:t>
            </w:r>
            <w:r>
              <w:rPr>
                <w:rFonts w:hint="default"/>
                <w:b/>
                <w:color w:val="0D0D0D"/>
                <w:kern w:val="0"/>
                <w:sz w:val="24"/>
              </w:rPr>
              <w:t xml:space="preserve">  </w:t>
            </w:r>
            <w:r>
              <w:rPr>
                <w:rFonts w:hint="eastAsia"/>
                <w:b/>
                <w:color w:val="0D0D0D"/>
                <w:kern w:val="0"/>
                <w:sz w:val="24"/>
              </w:rPr>
              <w:t>主要原辅料</w:t>
            </w:r>
            <w:r>
              <w:rPr>
                <w:rFonts w:hint="default"/>
                <w:b/>
                <w:color w:val="0D0D0D"/>
                <w:kern w:val="0"/>
                <w:sz w:val="24"/>
              </w:rPr>
              <w:t>理化性质一览表</w:t>
            </w:r>
          </w:p>
          <w:tbl>
            <w:tblPr>
              <w:tblStyle w:val="59"/>
              <w:tblpPr w:leftFromText="180" w:rightFromText="180" w:vertAnchor="text" w:horzAnchor="page" w:tblpX="519" w:tblpY="331"/>
              <w:tblOverlap w:val="never"/>
              <w:tblW w:w="721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823"/>
              <w:gridCol w:w="1823"/>
              <w:gridCol w:w="1115"/>
              <w:gridCol w:w="1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90" w:type="pct"/>
                  <w:vAlign w:val="center"/>
                </w:tcPr>
                <w:p>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名称</w:t>
                  </w:r>
                </w:p>
              </w:tc>
              <w:tc>
                <w:tcPr>
                  <w:tcW w:w="1262" w:type="pct"/>
                  <w:vAlign w:val="center"/>
                </w:tcPr>
                <w:p>
                  <w:pPr>
                    <w:keepNext w:val="0"/>
                    <w:keepLines w:val="0"/>
                    <w:suppressLineNumbers w:val="0"/>
                    <w:spacing w:before="0" w:beforeAutospacing="0" w:after="0" w:afterAutospacing="0"/>
                    <w:ind w:left="0" w:right="0"/>
                    <w:jc w:val="center"/>
                    <w:rPr>
                      <w:rFonts w:hint="eastAsia" w:eastAsia="宋体"/>
                      <w:b/>
                      <w:color w:val="auto"/>
                      <w:szCs w:val="21"/>
                      <w:lang w:val="en-US" w:eastAsia="zh-CN"/>
                    </w:rPr>
                  </w:pPr>
                  <w:r>
                    <w:rPr>
                      <w:rFonts w:hint="eastAsia"/>
                      <w:b/>
                      <w:color w:val="auto"/>
                      <w:szCs w:val="21"/>
                      <w:lang w:val="en-US" w:eastAsia="zh-CN"/>
                    </w:rPr>
                    <w:t>成分</w:t>
                  </w:r>
                </w:p>
              </w:tc>
              <w:tc>
                <w:tcPr>
                  <w:tcW w:w="1262" w:type="pct"/>
                  <w:vAlign w:val="center"/>
                </w:tcPr>
                <w:p>
                  <w:pPr>
                    <w:keepNext w:val="0"/>
                    <w:keepLines w:val="0"/>
                    <w:suppressLineNumbers w:val="0"/>
                    <w:spacing w:before="0" w:beforeAutospacing="0" w:after="0" w:afterAutospacing="0"/>
                    <w:ind w:left="0" w:right="0"/>
                    <w:jc w:val="center"/>
                    <w:rPr>
                      <w:rFonts w:hint="default"/>
                      <w:b/>
                      <w:color w:val="auto"/>
                      <w:szCs w:val="21"/>
                    </w:rPr>
                  </w:pPr>
                  <w:r>
                    <w:rPr>
                      <w:rFonts w:hint="default"/>
                      <w:b/>
                      <w:color w:val="auto"/>
                      <w:szCs w:val="21"/>
                    </w:rPr>
                    <w:t>理化性质</w:t>
                  </w:r>
                </w:p>
              </w:tc>
              <w:tc>
                <w:tcPr>
                  <w:tcW w:w="772" w:type="pct"/>
                  <w:vAlign w:val="center"/>
                </w:tcPr>
                <w:p>
                  <w:pPr>
                    <w:keepNext w:val="0"/>
                    <w:keepLines w:val="0"/>
                    <w:suppressLineNumbers w:val="0"/>
                    <w:spacing w:before="0" w:beforeAutospacing="0" w:after="0" w:afterAutospacing="0"/>
                    <w:ind w:left="0" w:right="0"/>
                    <w:jc w:val="center"/>
                    <w:rPr>
                      <w:rFonts w:hint="default"/>
                      <w:b/>
                      <w:color w:val="auto"/>
                      <w:szCs w:val="21"/>
                    </w:rPr>
                  </w:pPr>
                  <w:r>
                    <w:rPr>
                      <w:rFonts w:hint="eastAsia"/>
                      <w:b/>
                      <w:color w:val="auto"/>
                      <w:szCs w:val="21"/>
                      <w:lang w:val="en-US" w:eastAsia="zh-CN"/>
                    </w:rPr>
                    <w:t>稳定</w:t>
                  </w:r>
                  <w:r>
                    <w:rPr>
                      <w:rFonts w:hint="eastAsia"/>
                      <w:b/>
                      <w:color w:val="auto"/>
                      <w:szCs w:val="21"/>
                    </w:rPr>
                    <w:t>性</w:t>
                  </w:r>
                </w:p>
              </w:tc>
              <w:tc>
                <w:tcPr>
                  <w:tcW w:w="1211" w:type="pct"/>
                  <w:vAlign w:val="center"/>
                </w:tcPr>
                <w:p>
                  <w:pPr>
                    <w:keepNext w:val="0"/>
                    <w:keepLines w:val="0"/>
                    <w:suppressLineNumbers w:val="0"/>
                    <w:spacing w:before="0" w:beforeAutospacing="0" w:after="0" w:afterAutospacing="0"/>
                    <w:ind w:left="0" w:right="0"/>
                    <w:jc w:val="center"/>
                    <w:rPr>
                      <w:rFonts w:hint="default"/>
                      <w:b/>
                      <w:color w:val="auto"/>
                      <w:szCs w:val="21"/>
                    </w:rPr>
                  </w:pPr>
                  <w:r>
                    <w:rPr>
                      <w:rFonts w:hint="eastAsia"/>
                      <w:b/>
                      <w:color w:val="auto"/>
                      <w:szCs w:val="21"/>
                      <w:lang w:val="en-US" w:eastAsia="zh-CN"/>
                    </w:rPr>
                    <w:t>禁配物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90" w:type="pct"/>
                  <w:vMerge w:val="restart"/>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r>
                    <w:rPr>
                      <w:rFonts w:hint="eastAsia"/>
                      <w:color w:val="auto"/>
                      <w:szCs w:val="21"/>
                    </w:rPr>
                    <w:t>脱模剂</w:t>
                  </w: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kern w:val="24"/>
                      <w:szCs w:val="21"/>
                      <w:lang w:val="en-US" w:eastAsia="zh-CN"/>
                    </w:rPr>
                  </w:pPr>
                  <w:r>
                    <w:rPr>
                      <w:rFonts w:hint="eastAsia"/>
                      <w:color w:val="auto"/>
                      <w:kern w:val="24"/>
                      <w:szCs w:val="21"/>
                      <w:lang w:val="en-US" w:eastAsia="zh-CN"/>
                    </w:rPr>
                    <w:t>水65%</w:t>
                  </w:r>
                </w:p>
              </w:tc>
              <w:tc>
                <w:tcPr>
                  <w:tcW w:w="1262" w:type="pct"/>
                  <w:vMerge w:val="restart"/>
                  <w:vAlign w:val="center"/>
                </w:tcPr>
                <w:p>
                  <w:pPr>
                    <w:keepNext w:val="0"/>
                    <w:keepLines w:val="0"/>
                    <w:suppressLineNumbers w:val="0"/>
                    <w:spacing w:before="0" w:beforeAutospacing="0" w:after="0" w:afterAutospacing="0"/>
                    <w:ind w:left="0" w:right="0"/>
                    <w:jc w:val="center"/>
                    <w:rPr>
                      <w:rFonts w:hint="default"/>
                      <w:color w:val="auto"/>
                      <w:kern w:val="24"/>
                      <w:szCs w:val="21"/>
                    </w:rPr>
                  </w:pPr>
                  <w:r>
                    <w:rPr>
                      <w:rFonts w:hint="eastAsia"/>
                      <w:color w:val="auto"/>
                      <w:kern w:val="24"/>
                      <w:szCs w:val="21"/>
                      <w:lang w:val="en-US" w:eastAsia="zh-CN"/>
                    </w:rPr>
                    <w:t>乳白色</w:t>
                  </w:r>
                  <w:r>
                    <w:rPr>
                      <w:rFonts w:hint="eastAsia"/>
                      <w:color w:val="auto"/>
                      <w:kern w:val="24"/>
                      <w:szCs w:val="21"/>
                    </w:rPr>
                    <w:t>液体</w:t>
                  </w:r>
                </w:p>
              </w:tc>
              <w:tc>
                <w:tcPr>
                  <w:tcW w:w="772" w:type="pct"/>
                  <w:vMerge w:val="restart"/>
                  <w:vAlign w:val="center"/>
                </w:tcPr>
                <w:p>
                  <w:pPr>
                    <w:keepNext w:val="0"/>
                    <w:keepLines w:val="0"/>
                    <w:suppressLineNumbers w:val="0"/>
                    <w:spacing w:before="0" w:beforeAutospacing="0" w:after="0" w:afterAutospacing="0"/>
                    <w:ind w:left="0" w:right="0"/>
                    <w:jc w:val="center"/>
                    <w:rPr>
                      <w:rFonts w:hint="default" w:eastAsia="宋体"/>
                      <w:color w:val="auto"/>
                      <w:kern w:val="24"/>
                      <w:szCs w:val="21"/>
                      <w:lang w:val="en-US" w:eastAsia="zh-CN"/>
                    </w:rPr>
                  </w:pPr>
                  <w:r>
                    <w:rPr>
                      <w:rFonts w:hint="eastAsia"/>
                      <w:color w:val="auto"/>
                      <w:kern w:val="24"/>
                      <w:szCs w:val="21"/>
                      <w:lang w:val="en-US" w:eastAsia="zh-CN"/>
                    </w:rPr>
                    <w:t>化学性质稳定</w:t>
                  </w:r>
                </w:p>
              </w:tc>
              <w:tc>
                <w:tcPr>
                  <w:tcW w:w="1211" w:type="pct"/>
                  <w:vMerge w:val="restart"/>
                  <w:vAlign w:val="center"/>
                </w:tcPr>
                <w:p>
                  <w:pPr>
                    <w:keepNext w:val="0"/>
                    <w:keepLines w:val="0"/>
                    <w:suppressLineNumbers w:val="0"/>
                    <w:spacing w:before="0" w:beforeAutospacing="0" w:after="0" w:afterAutospacing="0"/>
                    <w:ind w:left="0" w:right="0"/>
                    <w:jc w:val="center"/>
                    <w:rPr>
                      <w:rFonts w:hint="default"/>
                      <w:color w:val="auto"/>
                      <w:kern w:val="24"/>
                      <w:szCs w:val="21"/>
                    </w:rPr>
                  </w:pPr>
                  <w:r>
                    <w:rPr>
                      <w:rFonts w:hint="eastAsia"/>
                      <w:color w:val="auto"/>
                      <w:kern w:val="24"/>
                      <w:szCs w:val="21"/>
                      <w:lang w:val="en-US" w:eastAsia="zh-CN"/>
                    </w:rPr>
                    <w:t>强氧化剂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90" w:type="pct"/>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kern w:val="24"/>
                      <w:szCs w:val="21"/>
                      <w:lang w:val="en-US" w:eastAsia="zh-CN"/>
                    </w:rPr>
                  </w:pPr>
                  <w:r>
                    <w:rPr>
                      <w:rFonts w:hint="eastAsia"/>
                      <w:color w:val="auto"/>
                      <w:kern w:val="24"/>
                      <w:szCs w:val="21"/>
                      <w:lang w:val="en-US" w:eastAsia="zh-CN"/>
                    </w:rPr>
                    <w:t>改性硅油15%</w:t>
                  </w:r>
                </w:p>
              </w:tc>
              <w:tc>
                <w:tcPr>
                  <w:tcW w:w="126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77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1211"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90" w:type="pct"/>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kern w:val="24"/>
                      <w:szCs w:val="21"/>
                      <w:lang w:val="en-US" w:eastAsia="zh-CN"/>
                    </w:rPr>
                  </w:pPr>
                  <w:r>
                    <w:rPr>
                      <w:rFonts w:hint="eastAsia"/>
                      <w:color w:val="auto"/>
                      <w:kern w:val="24"/>
                      <w:szCs w:val="21"/>
                      <w:lang w:val="en-US" w:eastAsia="zh-CN"/>
                    </w:rPr>
                    <w:t>乳化剂8-11%</w:t>
                  </w:r>
                </w:p>
              </w:tc>
              <w:tc>
                <w:tcPr>
                  <w:tcW w:w="126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77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1211"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90" w:type="pct"/>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kern w:val="24"/>
                      <w:szCs w:val="21"/>
                      <w:lang w:val="en-US" w:eastAsia="zh-CN"/>
                    </w:rPr>
                  </w:pPr>
                  <w:r>
                    <w:rPr>
                      <w:rFonts w:hint="eastAsia"/>
                      <w:color w:val="auto"/>
                      <w:kern w:val="24"/>
                      <w:szCs w:val="21"/>
                      <w:lang w:val="en-US" w:eastAsia="zh-CN"/>
                    </w:rPr>
                    <w:t>氧化腊5%</w:t>
                  </w:r>
                </w:p>
              </w:tc>
              <w:tc>
                <w:tcPr>
                  <w:tcW w:w="126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77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1211"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490" w:type="pct"/>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有机脂肪脂类1-5%</w:t>
                  </w:r>
                </w:p>
              </w:tc>
              <w:tc>
                <w:tcPr>
                  <w:tcW w:w="1262"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77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1211"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90" w:type="pct"/>
                  <w:vMerge w:val="continue"/>
                  <w:vAlign w:val="center"/>
                </w:tcPr>
                <w:p>
                  <w:pPr>
                    <w:keepNext w:val="0"/>
                    <w:keepLines w:val="0"/>
                    <w:widowControl/>
                    <w:suppressLineNumbers w:val="0"/>
                    <w:spacing w:before="0" w:beforeAutospacing="0" w:after="0" w:afterAutospacing="0"/>
                    <w:ind w:left="0" w:right="0"/>
                    <w:jc w:val="center"/>
                    <w:textAlignment w:val="center"/>
                    <w:rPr>
                      <w:rFonts w:hint="default"/>
                      <w:color w:val="auto"/>
                      <w:szCs w:val="21"/>
                    </w:rPr>
                  </w:pPr>
                </w:p>
              </w:tc>
              <w:tc>
                <w:tcPr>
                  <w:tcW w:w="1262"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其他有效成分1-5%</w:t>
                  </w:r>
                </w:p>
              </w:tc>
              <w:tc>
                <w:tcPr>
                  <w:tcW w:w="1262"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772"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c>
                <w:tcPr>
                  <w:tcW w:w="1211" w:type="pct"/>
                  <w:vMerge w:val="continue"/>
                  <w:vAlign w:val="center"/>
                </w:tcPr>
                <w:p>
                  <w:pPr>
                    <w:keepNext w:val="0"/>
                    <w:keepLines w:val="0"/>
                    <w:suppressLineNumbers w:val="0"/>
                    <w:spacing w:before="0" w:beforeAutospacing="0" w:after="0" w:afterAutospacing="0"/>
                    <w:ind w:left="0" w:right="0"/>
                    <w:jc w:val="center"/>
                    <w:rPr>
                      <w:rFonts w:hint="default"/>
                      <w:color w:val="auto"/>
                      <w:kern w:val="24"/>
                      <w:szCs w:val="21"/>
                    </w:rPr>
                  </w:pPr>
                </w:p>
              </w:tc>
            </w:tr>
          </w:tbl>
          <w:p>
            <w:pPr>
              <w:keepNext w:val="0"/>
              <w:keepLines w:val="0"/>
              <w:suppressLineNumbers w:val="0"/>
              <w:spacing w:before="120" w:beforeLines="50" w:beforeAutospacing="0" w:after="0" w:afterAutospacing="0" w:line="360" w:lineRule="auto"/>
              <w:ind w:left="0" w:right="0" w:firstLine="482" w:firstLineChars="200"/>
              <w:rPr>
                <w:rFonts w:hint="default"/>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6、项目平面布局合理性</w:t>
            </w:r>
          </w:p>
          <w:p>
            <w:pPr>
              <w:pStyle w:val="172"/>
              <w:keepNext w:val="0"/>
              <w:keepLines w:val="0"/>
              <w:suppressLineNumbers w:val="0"/>
              <w:spacing w:before="0" w:beforeAutospacing="0" w:after="0" w:afterAutospacing="0"/>
              <w:ind w:left="0" w:right="0" w:firstLine="480"/>
              <w:rPr>
                <w:rFonts w:hint="eastAsia" w:ascii="Times New Roman" w:cs="Times New Roman"/>
                <w:color w:val="auto"/>
                <w:kern w:val="24"/>
                <w:sz w:val="24"/>
                <w:lang w:val="en-US" w:eastAsia="zh-CN"/>
              </w:rPr>
            </w:pPr>
            <w:r>
              <w:rPr>
                <w:rFonts w:hint="default" w:ascii="Times New Roman" w:cs="Times New Roman"/>
                <w:color w:val="auto"/>
                <w:kern w:val="24"/>
                <w:sz w:val="24"/>
              </w:rPr>
              <w:t>本项目总占地面积约</w:t>
            </w:r>
            <w:r>
              <w:rPr>
                <w:rFonts w:hint="eastAsia" w:ascii="Times New Roman" w:cs="Times New Roman"/>
                <w:color w:val="auto"/>
                <w:sz w:val="24"/>
                <w:lang w:val="en-US" w:eastAsia="zh-CN"/>
              </w:rPr>
              <w:t>3500</w:t>
            </w:r>
            <w:r>
              <w:rPr>
                <w:rFonts w:hint="default" w:ascii="Times New Roman" w:cs="Times New Roman"/>
                <w:color w:val="auto"/>
                <w:kern w:val="24"/>
                <w:sz w:val="24"/>
              </w:rPr>
              <w:t>m</w:t>
            </w:r>
            <w:r>
              <w:rPr>
                <w:rFonts w:hint="default" w:ascii="Times New Roman" w:cs="Times New Roman"/>
                <w:color w:val="auto"/>
                <w:kern w:val="24"/>
                <w:sz w:val="24"/>
                <w:vertAlign w:val="superscript"/>
              </w:rPr>
              <w:t>2</w:t>
            </w:r>
            <w:r>
              <w:rPr>
                <w:rFonts w:hint="default" w:ascii="Times New Roman" w:cs="Times New Roman"/>
                <w:color w:val="auto"/>
                <w:kern w:val="24"/>
                <w:sz w:val="24"/>
              </w:rPr>
              <w:t>，</w:t>
            </w:r>
            <w:r>
              <w:rPr>
                <w:rFonts w:hint="eastAsia" w:ascii="Times New Roman" w:cs="Times New Roman"/>
                <w:color w:val="auto"/>
                <w:kern w:val="24"/>
                <w:sz w:val="24"/>
                <w:lang w:val="en-US" w:eastAsia="zh-CN"/>
              </w:rPr>
              <w:t>生产厂房设置压铸生产区、压铸机装配区、抛丸区、原材料区、半成品区、收发货区、成品仓库、备件仓库等；办公室位于厂房西侧，用于员工日常办公。危废暂存间及固废仓库位于厂房北侧、东侧。厂房依据出入口位置和围绕成品区在车间内设置过道。项目平面布置详见附图4。厂区平面布置有利于项目生产运行过程中各部门的生产协作，提高生产效率。总体来说，拟建项目的总平面布置较为合理。</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项目</w:t>
            </w:r>
            <w:r>
              <w:rPr>
                <w:rFonts w:hint="default"/>
                <w:color w:val="0D0D0D" w:themeColor="text1" w:themeTint="F2"/>
                <w:sz w:val="24"/>
                <w:lang w:val="en-US" w:eastAsia="zh-CN"/>
                <w14:textFill>
                  <w14:solidFill>
                    <w14:schemeClr w14:val="tx1">
                      <w14:lumMod w14:val="95000"/>
                      <w14:lumOff w14:val="5000"/>
                    </w14:schemeClr>
                  </w14:solidFill>
                </w14:textFill>
              </w:rPr>
              <w:t>北侧为</w:t>
            </w:r>
            <w:r>
              <w:rPr>
                <w:rFonts w:hint="eastAsia"/>
                <w:color w:val="0D0D0D" w:themeColor="text1" w:themeTint="F2"/>
                <w:sz w:val="24"/>
                <w:lang w:val="en-US" w:eastAsia="zh-CN"/>
                <w14:textFill>
                  <w14:solidFill>
                    <w14:schemeClr w14:val="tx1">
                      <w14:lumMod w14:val="95000"/>
                      <w14:lumOff w14:val="5000"/>
                    </w14:schemeClr>
                  </w14:solidFill>
                </w14:textFill>
              </w:rPr>
              <w:t>芜湖宏润现代农业装备制造有限公司</w:t>
            </w:r>
            <w:r>
              <w:rPr>
                <w:rFonts w:hint="default"/>
                <w:color w:val="0D0D0D" w:themeColor="text1" w:themeTint="F2"/>
                <w:sz w:val="24"/>
                <w:lang w:val="en-US" w:eastAsia="zh-CN"/>
                <w14:textFill>
                  <w14:solidFill>
                    <w14:schemeClr w14:val="tx1">
                      <w14:lumMod w14:val="95000"/>
                      <w14:lumOff w14:val="5000"/>
                    </w14:schemeClr>
                  </w14:solidFill>
                </w14:textFill>
              </w:rPr>
              <w:t>，西侧为芜湖市龙兴合金有限公司、芜湖市海格瑞德科技有限公司，南侧为芜湖莹凯服饰有限公司，东侧隔园区创业路为芜湖市创优包装印务有限公司，周边均为工业企业</w:t>
            </w:r>
            <w:r>
              <w:rPr>
                <w:rFonts w:hint="eastAsia"/>
                <w:color w:val="0D0D0D" w:themeColor="text1" w:themeTint="F2"/>
                <w:kern w:val="0"/>
                <w:sz w:val="24"/>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项目周边概况见附图2。</w:t>
            </w:r>
          </w:p>
          <w:p>
            <w:pPr>
              <w:keepNext w:val="0"/>
              <w:keepLines w:val="0"/>
              <w:suppressLineNumbers w:val="0"/>
              <w:spacing w:before="0" w:beforeAutospacing="0" w:after="0" w:afterAutospacing="0" w:line="360" w:lineRule="auto"/>
              <w:ind w:left="0" w:right="0" w:firstLine="480"/>
              <w:rPr>
                <w:rFonts w:hint="default"/>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7</w:t>
            </w:r>
            <w:r>
              <w:rPr>
                <w:rFonts w:hint="eastAsia"/>
                <w:b/>
                <w:color w:val="0D0D0D" w:themeColor="text1" w:themeTint="F2"/>
                <w:kern w:val="0"/>
                <w:sz w:val="24"/>
                <w14:textFill>
                  <w14:solidFill>
                    <w14:schemeClr w14:val="tx1">
                      <w14:lumMod w14:val="95000"/>
                      <w14:lumOff w14:val="5000"/>
                    </w14:schemeClr>
                  </w14:solidFill>
                </w14:textFill>
              </w:rPr>
              <w:t>、公用工程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（1）供水</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本项目运营期用水</w:t>
            </w:r>
            <w:r>
              <w:rPr>
                <w:rFonts w:hint="eastAsia"/>
                <w:color w:val="0D0D0D" w:themeColor="text1" w:themeTint="F2"/>
                <w:kern w:val="0"/>
                <w:sz w:val="24"/>
                <w14:textFill>
                  <w14:solidFill>
                    <w14:schemeClr w14:val="tx1">
                      <w14:lumMod w14:val="95000"/>
                      <w14:lumOff w14:val="5000"/>
                    </w14:schemeClr>
                  </w14:solidFill>
                </w14:textFill>
              </w:rPr>
              <w:t>为生产用水和员工</w:t>
            </w:r>
            <w:r>
              <w:rPr>
                <w:rFonts w:hint="default"/>
                <w:color w:val="0D0D0D" w:themeColor="text1" w:themeTint="F2"/>
                <w:kern w:val="0"/>
                <w:sz w:val="24"/>
                <w14:textFill>
                  <w14:solidFill>
                    <w14:schemeClr w14:val="tx1">
                      <w14:lumMod w14:val="95000"/>
                      <w14:lumOff w14:val="5000"/>
                    </w14:schemeClr>
                  </w14:solidFill>
                </w14:textFill>
              </w:rPr>
              <w:t>生活用水</w:t>
            </w:r>
            <w:r>
              <w:rPr>
                <w:rFonts w:hint="eastAsia"/>
                <w:color w:val="0D0D0D" w:themeColor="text1" w:themeTint="F2"/>
                <w:kern w:val="0"/>
                <w:sz w:val="24"/>
                <w14:textFill>
                  <w14:solidFill>
                    <w14:schemeClr w14:val="tx1">
                      <w14:lumMod w14:val="95000"/>
                      <w14:lumOff w14:val="5000"/>
                    </w14:schemeClr>
                  </w14:solidFill>
                </w14:textFill>
              </w:rPr>
              <w:t>。</w:t>
            </w:r>
          </w:p>
          <w:p>
            <w:pPr>
              <w:pStyle w:val="227"/>
              <w:keepNext w:val="0"/>
              <w:keepLines w:val="0"/>
              <w:numPr>
                <w:ilvl w:val="0"/>
                <w:numId w:val="2"/>
              </w:numPr>
              <w:suppressLineNumbers w:val="0"/>
              <w:spacing w:before="0" w:beforeAutospacing="0" w:after="0" w:afterAutospacing="0" w:line="360" w:lineRule="auto"/>
              <w:ind w:right="0" w:firstLineChars="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脱模剂稀释用水</w:t>
            </w:r>
          </w:p>
          <w:p>
            <w:pPr>
              <w:keepNext w:val="0"/>
              <w:keepLines w:val="0"/>
              <w:suppressLineNumbers w:val="0"/>
              <w:adjustRightInd w:val="0"/>
              <w:spacing w:before="0" w:beforeAutospacing="0" w:after="0" w:afterAutospacing="0" w:line="360" w:lineRule="auto"/>
              <w:ind w:left="0" w:right="0" w:firstLine="480" w:firstLineChars="200"/>
              <w:jc w:val="left"/>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脱模剂使用水性脱模剂，以水稀释 150 倍后使用，脱模剂</w:t>
            </w:r>
            <w:r>
              <w:rPr>
                <w:rFonts w:hint="eastAsia" w:cs="Times New Roman"/>
                <w:color w:val="auto"/>
                <w:sz w:val="24"/>
                <w:lang w:val="en-US" w:eastAsia="zh-CN"/>
              </w:rPr>
              <w:t>一年使用量为5吨，用水量约750吨，</w:t>
            </w:r>
            <w:r>
              <w:rPr>
                <w:rFonts w:hint="eastAsia" w:ascii="Times New Roman" w:hAnsi="Times New Roman" w:cs="Times New Roman"/>
                <w:color w:val="auto"/>
                <w:sz w:val="24"/>
                <w:lang w:val="en-US" w:eastAsia="zh-CN"/>
              </w:rPr>
              <w:t>脱模剂产生</w:t>
            </w:r>
            <w:r>
              <w:rPr>
                <w:rFonts w:hint="eastAsia" w:cs="Times New Roman"/>
                <w:color w:val="auto"/>
                <w:sz w:val="24"/>
                <w:lang w:val="en-US" w:eastAsia="zh-CN"/>
              </w:rPr>
              <w:t>的</w:t>
            </w:r>
            <w:r>
              <w:rPr>
                <w:rFonts w:hint="eastAsia" w:ascii="Times New Roman" w:hAnsi="Times New Roman" w:cs="Times New Roman"/>
                <w:color w:val="auto"/>
                <w:sz w:val="24"/>
                <w:lang w:val="en-US" w:eastAsia="zh-CN"/>
              </w:rPr>
              <w:t>脱模废水</w:t>
            </w:r>
            <w:r>
              <w:rPr>
                <w:rFonts w:hint="eastAsia" w:cs="Times New Roman"/>
                <w:color w:val="auto"/>
                <w:sz w:val="24"/>
                <w:lang w:val="en-US" w:eastAsia="zh-CN"/>
              </w:rPr>
              <w:t>经2.5m³的沉淀池沉淀，沉淀后经脱模剂回收处理机处理后回用，不外排</w:t>
            </w:r>
            <w:r>
              <w:rPr>
                <w:rFonts w:hint="eastAsia" w:ascii="Times New Roman" w:hAnsi="Times New Roman" w:cs="Times New Roman"/>
                <w:color w:val="auto"/>
                <w:sz w:val="24"/>
                <w:lang w:val="en-US" w:eastAsia="zh-CN"/>
              </w:rPr>
              <w:t>。经长时间循环使用后会产生浓度较高的含杂质的脱模废液，需定期清理，回收机内脱模废液作为危废暂存于危废间，脱模废液产生量较少，约为脱模配比后用量的 0.1%，约</w:t>
            </w:r>
            <w:r>
              <w:rPr>
                <w:rFonts w:hint="eastAsia" w:cs="Times New Roman"/>
                <w:color w:val="auto"/>
                <w:sz w:val="24"/>
                <w:lang w:val="en-US" w:eastAsia="zh-CN"/>
              </w:rPr>
              <w:t>0.75</w:t>
            </w:r>
            <w:r>
              <w:rPr>
                <w:rFonts w:hint="eastAsia" w:ascii="Times New Roman" w:hAnsi="Times New Roman" w:cs="Times New Roman"/>
                <w:color w:val="auto"/>
                <w:sz w:val="24"/>
                <w:lang w:val="en-US" w:eastAsia="zh-CN"/>
              </w:rPr>
              <w:t>t/a，委托有危废资质的单位处理。</w:t>
            </w:r>
          </w:p>
          <w:p>
            <w:pPr>
              <w:pStyle w:val="24"/>
              <w:keepNext w:val="0"/>
              <w:keepLines w:val="0"/>
              <w:suppressLineNumbers w:val="0"/>
              <w:spacing w:beforeAutospacing="0" w:afterAutospacing="0"/>
              <w:ind w:left="0" w:firstLine="480" w:firstLineChars="200"/>
              <w:rPr>
                <w:rFonts w:hint="eastAsia" w:cs="Times New Roman"/>
                <w:color w:val="auto"/>
                <w:sz w:val="24"/>
                <w:lang w:val="en-US" w:eastAsia="zh-CN"/>
              </w:rPr>
            </w:pPr>
            <w:r>
              <w:rPr>
                <w:rFonts w:hint="eastAsia" w:cs="Times New Roman"/>
                <w:color w:val="auto"/>
                <w:sz w:val="24"/>
                <w:lang w:val="en-US" w:eastAsia="zh-CN"/>
              </w:rPr>
              <w:t>②冷却水池补充用水</w:t>
            </w:r>
          </w:p>
          <w:p>
            <w:pPr>
              <w:keepNext w:val="0"/>
              <w:keepLines w:val="0"/>
              <w:suppressLineNumbers w:val="0"/>
              <w:adjustRightInd w:val="0"/>
              <w:spacing w:before="0" w:beforeAutospacing="0" w:after="0" w:afterAutospacing="0" w:line="360" w:lineRule="auto"/>
              <w:ind w:left="0" w:right="0" w:firstLine="48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项目压铸机采用循环水间接冷却，定期补充，不外排。冷却系统由 1 台冷却水塔和 1 座地埋式冷却池组成，冷却池</w:t>
            </w:r>
            <w:r>
              <w:rPr>
                <w:rFonts w:hint="eastAsia"/>
                <w:color w:val="0D0D0D" w:themeColor="text1" w:themeTint="F2"/>
                <w:sz w:val="24"/>
                <w:lang w:val="en-US" w:eastAsia="zh-CN"/>
                <w14:textFill>
                  <w14:solidFill>
                    <w14:schemeClr w14:val="tx1">
                      <w14:lumMod w14:val="95000"/>
                      <w14:lumOff w14:val="5000"/>
                    </w14:schemeClr>
                  </w14:solidFill>
                </w14:textFill>
              </w:rPr>
              <w:t>体积为20m³</w:t>
            </w:r>
            <w:r>
              <w:rPr>
                <w:rFonts w:hint="default"/>
                <w:color w:val="0D0D0D" w:themeColor="text1" w:themeTint="F2"/>
                <w:sz w:val="24"/>
                <w:lang w:val="en-US" w:eastAsia="zh-CN"/>
                <w14:textFill>
                  <w14:solidFill>
                    <w14:schemeClr w14:val="tx1">
                      <w14:lumMod w14:val="95000"/>
                      <w14:lumOff w14:val="5000"/>
                    </w14:schemeClr>
                  </w14:solidFill>
                </w14:textFill>
              </w:rPr>
              <w:t>，根据建设单位提供资料，冷却系统循环水量为</w:t>
            </w:r>
            <w:r>
              <w:rPr>
                <w:rFonts w:hint="eastAsia"/>
                <w:color w:val="auto"/>
                <w:sz w:val="24"/>
                <w:lang w:val="en-US" w:eastAsia="zh-CN"/>
              </w:rPr>
              <w:t>5</w:t>
            </w:r>
            <w:r>
              <w:rPr>
                <w:rFonts w:hint="default"/>
                <w:color w:val="auto"/>
                <w:sz w:val="24"/>
                <w:lang w:val="en-US" w:eastAsia="zh-CN"/>
              </w:rPr>
              <w:t>m</w:t>
            </w:r>
            <w:r>
              <w:rPr>
                <w:rFonts w:hint="default"/>
                <w:color w:val="auto"/>
                <w:sz w:val="24"/>
                <w:vertAlign w:val="superscript"/>
                <w:lang w:val="en-US" w:eastAsia="zh-CN"/>
              </w:rPr>
              <w:t>3</w:t>
            </w:r>
            <w:r>
              <w:rPr>
                <w:rFonts w:hint="default"/>
                <w:color w:val="auto"/>
                <w:sz w:val="24"/>
                <w:lang w:val="en-US" w:eastAsia="zh-CN"/>
              </w:rPr>
              <w:t xml:space="preserve"> /h</w:t>
            </w:r>
            <w:r>
              <w:rPr>
                <w:rFonts w:hint="default"/>
                <w:color w:val="0D0D0D" w:themeColor="text1" w:themeTint="F2"/>
                <w:sz w:val="24"/>
                <w:lang w:val="en-US" w:eastAsia="zh-CN"/>
                <w14:textFill>
                  <w14:solidFill>
                    <w14:schemeClr w14:val="tx1">
                      <w14:lumMod w14:val="95000"/>
                      <w14:lumOff w14:val="5000"/>
                    </w14:schemeClr>
                  </w14:solidFill>
                </w14:textFill>
              </w:rPr>
              <w:t xml:space="preserve">，根据《工业循环水冷却设计规范》 （GB/T50102-2014），冷却水池损失水量按照自然蒸发、附加蒸发、渗漏和排污等考虑，本项目冷却池为地埋式，四周采取混凝土硬化，并进行防渗处理，不外排，可不考虑自然蒸发、渗漏和排污等情况。冷却池水损耗量可忽略不计。冷却塔的水量损失应根据蒸发、风吹和排水各项损失水量确定，项目冷却水循环使用，不外排，因此仅考虑蒸发和风吹损耗，蒸发水量按照以下公式计算： </w:t>
            </w:r>
          </w:p>
          <w:p>
            <w:pPr>
              <w:keepNext w:val="0"/>
              <w:keepLines w:val="0"/>
              <w:suppressLineNumbers w:val="0"/>
              <w:adjustRightInd w:val="0"/>
              <w:spacing w:before="0" w:beforeAutospacing="0" w:after="0" w:afterAutospacing="0" w:line="360" w:lineRule="auto"/>
              <w:ind w:left="0" w:right="0" w:firstLine="480"/>
              <w:jc w:val="center"/>
              <w:rPr>
                <w:rFonts w:hint="default"/>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Pe=</w:t>
            </w:r>
            <w:r>
              <w:rPr>
                <w:rFonts w:hint="default"/>
                <w:color w:val="0D0D0D" w:themeColor="text1" w:themeTint="F2"/>
                <w:sz w:val="24"/>
                <w:lang w:val="en-US" w:eastAsia="zh-CN"/>
                <w14:textFill>
                  <w14:solidFill>
                    <w14:schemeClr w14:val="tx1">
                      <w14:lumMod w14:val="95000"/>
                      <w14:lumOff w14:val="5000"/>
                    </w14:schemeClr>
                  </w14:solidFill>
                </w14:textFill>
              </w:rPr>
              <w:t>KZF·∆</w:t>
            </w:r>
            <w:r>
              <w:rPr>
                <w:rFonts w:hint="eastAsia"/>
                <w:color w:val="0D0D0D" w:themeColor="text1" w:themeTint="F2"/>
                <w:sz w:val="24"/>
                <w:lang w:val="en-US" w:eastAsia="zh-CN"/>
                <w14:textFill>
                  <w14:solidFill>
                    <w14:schemeClr w14:val="tx1">
                      <w14:lumMod w14:val="95000"/>
                      <w14:lumOff w14:val="5000"/>
                    </w14:schemeClr>
                  </w14:solidFill>
                </w14:textFill>
              </w:rPr>
              <w:t>t×100%</w:t>
            </w:r>
          </w:p>
          <w:p>
            <w:pPr>
              <w:keepNext w:val="0"/>
              <w:keepLines w:val="0"/>
              <w:suppressLineNumbers w:val="0"/>
              <w:adjustRightInd w:val="0"/>
              <w:spacing w:before="0" w:beforeAutospacing="0" w:after="0" w:afterAutospacing="0" w:line="360" w:lineRule="auto"/>
              <w:ind w:left="0" w:right="0" w:firstLine="480"/>
              <w:jc w:val="left"/>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式中：Pe——蒸发损失水率；KZF——系数（1/℃），根据《工业循环水冷却设计规范》（GB/T50102-2014）表 3.1.20，30℃时 KZF 取值 0.0015；∆t——进、出冷却塔的水温差（℃），本项目进出水温差取 5℃；</w:t>
            </w:r>
          </w:p>
          <w:p>
            <w:pPr>
              <w:keepNext w:val="0"/>
              <w:keepLines w:val="0"/>
              <w:suppressLineNumbers w:val="0"/>
              <w:adjustRightInd w:val="0"/>
              <w:spacing w:before="0" w:beforeAutospacing="0" w:after="0" w:afterAutospacing="0" w:line="360" w:lineRule="auto"/>
              <w:ind w:left="0" w:right="0" w:firstLine="480"/>
              <w:jc w:val="left"/>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项目采用的冷却塔为机械通风冷却塔，配有收水装置，因此冷却塔风吹损失水率取值 0.10%。经计算，项目冷却塔蒸发和风吹损耗损失水率为0.85%，</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冷却塔循环量为</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5</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m</w:t>
            </w:r>
            <w:r>
              <w:rPr>
                <w:rFonts w:hint="default" w:ascii="Times New Roman" w:hAnsi="Times New Roman" w:cs="Times New Roman"/>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 xml:space="preserve"> /h，则</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需补充用</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水量为 0.</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0425</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m</w:t>
            </w:r>
            <w:r>
              <w:rPr>
                <w:rFonts w:hint="default" w:ascii="Times New Roman" w:hAnsi="Times New Roman" w:cs="Times New Roman"/>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 xml:space="preserve"> /h，</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1.02</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m</w:t>
            </w:r>
            <w:r>
              <w:rPr>
                <w:rFonts w:hint="default" w:ascii="Times New Roman" w:hAnsi="Times New Roman" w:cs="Times New Roman"/>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 xml:space="preserve"> /d。</w:t>
            </w:r>
          </w:p>
          <w:p>
            <w:pPr>
              <w:keepNext w:val="0"/>
              <w:keepLines w:val="0"/>
              <w:suppressLineNumbers w:val="0"/>
              <w:adjustRightInd w:val="0"/>
              <w:spacing w:before="0" w:beforeAutospacing="0" w:after="0" w:afterAutospacing="0" w:line="360" w:lineRule="auto"/>
              <w:ind w:left="0" w:right="0" w:firstLine="480"/>
              <w:jc w:val="left"/>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③</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打磨用水</w:t>
            </w:r>
          </w:p>
          <w:p>
            <w:pPr>
              <w:keepNext w:val="0"/>
              <w:keepLines w:val="0"/>
              <w:suppressLineNumbers w:val="0"/>
              <w:adjustRightInd w:val="0"/>
              <w:spacing w:before="0" w:beforeAutospacing="0" w:after="0" w:afterAutospacing="0" w:line="360" w:lineRule="auto"/>
              <w:ind w:left="0" w:right="0" w:firstLine="480"/>
              <w:jc w:val="left"/>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pP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本项目采用帘湿式环保砂带机打磨，打磨粉尘经喷淋和水洗处理，</w:t>
            </w:r>
            <w:r>
              <w:rPr>
                <w:rFonts w:hint="default"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生活用水变成水与粉尘混合物，统一在重力作用下流向设备污水池，在污水池中经过过滤装置进行过滤，再由供水装置循环供应，无废水产生</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。定期补充用水。根据企业提供资料，砂带机打磨粉尘处理用水量0.</w:t>
            </w:r>
            <w:r>
              <w:rPr>
                <w:rFonts w:hint="eastAsia" w:cs="Times New Roman"/>
                <w:color w:val="0D0D0D" w:themeColor="text1" w:themeTint="F2"/>
                <w:sz w:val="24"/>
                <w:lang w:val="en-US" w:eastAsia="zh-CN"/>
                <w14:textFill>
                  <w14:solidFill>
                    <w14:schemeClr w14:val="tx1">
                      <w14:lumMod w14:val="95000"/>
                      <w14:lumOff w14:val="5000"/>
                    </w14:schemeClr>
                  </w14:solidFill>
                </w14:textFill>
              </w:rPr>
              <w:t>1</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m</w:t>
            </w:r>
            <w:r>
              <w:rPr>
                <w:rFonts w:hint="eastAsia" w:ascii="Times New Roman" w:hAnsi="Times New Roman" w:cs="Times New Roman"/>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，损耗按 20%计，则需补充用水量为 0.0</w:t>
            </w:r>
            <w:r>
              <w:rPr>
                <w:rFonts w:hint="eastAsia" w:cs="Times New Roman"/>
                <w:color w:val="0D0D0D" w:themeColor="text1" w:themeTint="F2"/>
                <w:sz w:val="24"/>
                <w:lang w:val="en-US" w:eastAsia="zh-CN"/>
                <w14:textFill>
                  <w14:solidFill>
                    <w14:schemeClr w14:val="tx1">
                      <w14:lumMod w14:val="95000"/>
                      <w14:lumOff w14:val="5000"/>
                    </w14:schemeClr>
                  </w14:solidFill>
                </w14:textFill>
              </w:rPr>
              <w:t>2</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m</w:t>
            </w:r>
            <w:r>
              <w:rPr>
                <w:rFonts w:hint="eastAsia" w:ascii="Times New Roman" w:hAnsi="Times New Roman" w:cs="Times New Roman"/>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ascii="Times New Roman" w:hAnsi="Times New Roman" w:cs="Times New Roman"/>
                <w:color w:val="0D0D0D" w:themeColor="text1" w:themeTint="F2"/>
                <w:sz w:val="24"/>
                <w:lang w:val="en-US" w:eastAsia="zh-CN"/>
                <w14:textFill>
                  <w14:solidFill>
                    <w14:schemeClr w14:val="tx1">
                      <w14:lumMod w14:val="95000"/>
                      <w14:lumOff w14:val="5000"/>
                    </w14:schemeClr>
                  </w14:solidFill>
                </w14:textFill>
              </w:rPr>
              <w:t xml:space="preserve"> /d。</w:t>
            </w:r>
          </w:p>
          <w:p>
            <w:pPr>
              <w:keepNext w:val="0"/>
              <w:keepLines w:val="0"/>
              <w:suppressLineNumbers w:val="0"/>
              <w:adjustRightInd w:val="0"/>
              <w:spacing w:before="0" w:beforeAutospacing="0" w:after="0" w:afterAutospacing="0" w:line="360" w:lineRule="auto"/>
              <w:ind w:left="0" w:right="0" w:firstLine="480"/>
              <w:jc w:val="left"/>
              <w:rPr>
                <w:rFonts w:hint="default" w:eastAsia="宋体"/>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④生活用水</w:t>
            </w:r>
          </w:p>
          <w:p>
            <w:pPr>
              <w:keepNext w:val="0"/>
              <w:keepLines w:val="0"/>
              <w:suppressLineNumbers w:val="0"/>
              <w:adjustRightInd w:val="0"/>
              <w:spacing w:before="0" w:beforeAutospacing="0" w:after="0" w:afterAutospacing="0" w:line="360" w:lineRule="auto"/>
              <w:ind w:left="0" w:right="0" w:firstLine="480"/>
              <w:jc w:val="left"/>
              <w:rPr>
                <w:rFonts w:hint="default"/>
              </w:rPr>
            </w:pPr>
            <w:r>
              <w:rPr>
                <w:rFonts w:hint="eastAsia"/>
                <w:color w:val="0D0D0D" w:themeColor="text1" w:themeTint="F2"/>
                <w:sz w:val="24"/>
                <w14:textFill>
                  <w14:solidFill>
                    <w14:schemeClr w14:val="tx1">
                      <w14:lumMod w14:val="95000"/>
                      <w14:lumOff w14:val="5000"/>
                    </w14:schemeClr>
                  </w14:solidFill>
                </w14:textFill>
              </w:rPr>
              <w:t>本</w:t>
            </w:r>
            <w:r>
              <w:rPr>
                <w:rFonts w:hint="default"/>
                <w:color w:val="0D0D0D" w:themeColor="text1" w:themeTint="F2"/>
                <w:sz w:val="24"/>
                <w14:textFill>
                  <w14:solidFill>
                    <w14:schemeClr w14:val="tx1">
                      <w14:lumMod w14:val="95000"/>
                      <w14:lumOff w14:val="5000"/>
                    </w14:schemeClr>
                  </w14:solidFill>
                </w14:textFill>
              </w:rPr>
              <w:t>项目</w:t>
            </w:r>
            <w:r>
              <w:rPr>
                <w:rFonts w:hint="eastAsia"/>
                <w:color w:val="0D0D0D" w:themeColor="text1" w:themeTint="F2"/>
                <w:sz w:val="24"/>
                <w14:textFill>
                  <w14:solidFill>
                    <w14:schemeClr w14:val="tx1">
                      <w14:lumMod w14:val="95000"/>
                      <w14:lumOff w14:val="5000"/>
                    </w14:schemeClr>
                  </w14:solidFill>
                </w14:textFill>
              </w:rPr>
              <w:t>劳动定员</w:t>
            </w:r>
            <w:r>
              <w:rPr>
                <w:rFonts w:hint="eastAsia"/>
                <w:color w:val="0D0D0D" w:themeColor="text1" w:themeTint="F2"/>
                <w:sz w:val="24"/>
                <w:lang w:val="en-US" w:eastAsia="zh-CN"/>
                <w14:textFill>
                  <w14:solidFill>
                    <w14:schemeClr w14:val="tx1">
                      <w14:lumMod w14:val="95000"/>
                      <w14:lumOff w14:val="5000"/>
                    </w14:schemeClr>
                  </w14:solidFill>
                </w14:textFill>
              </w:rPr>
              <w:t>21</w:t>
            </w:r>
            <w:r>
              <w:rPr>
                <w:rFonts w:hint="default"/>
                <w:color w:val="0D0D0D" w:themeColor="text1" w:themeTint="F2"/>
                <w:sz w:val="24"/>
                <w14:textFill>
                  <w14:solidFill>
                    <w14:schemeClr w14:val="tx1">
                      <w14:lumMod w14:val="95000"/>
                      <w14:lumOff w14:val="5000"/>
                    </w14:schemeClr>
                  </w14:solidFill>
                </w14:textFill>
              </w:rPr>
              <w:t>人，</w:t>
            </w:r>
            <w:r>
              <w:rPr>
                <w:rFonts w:hint="eastAsia"/>
                <w:color w:val="0D0D0D" w:themeColor="text1" w:themeTint="F2"/>
                <w:sz w:val="24"/>
                <w:lang w:val="en-US" w:eastAsia="zh-CN"/>
                <w14:textFill>
                  <w14:solidFill>
                    <w14:schemeClr w14:val="tx1">
                      <w14:lumMod w14:val="95000"/>
                      <w14:lumOff w14:val="5000"/>
                    </w14:schemeClr>
                  </w14:solidFill>
                </w14:textFill>
              </w:rPr>
              <w:t>有食堂无住宿人员</w:t>
            </w:r>
            <w:r>
              <w:rPr>
                <w:rFonts w:hint="default"/>
                <w:color w:val="0D0D0D" w:themeColor="text1" w:themeTint="F2"/>
                <w:sz w:val="24"/>
                <w14:textFill>
                  <w14:solidFill>
                    <w14:schemeClr w14:val="tx1">
                      <w14:lumMod w14:val="95000"/>
                      <w14:lumOff w14:val="5000"/>
                    </w14:schemeClr>
                  </w14:solidFill>
                </w14:textFill>
              </w:rPr>
              <w:t>，年工作时间300天。根据《安徽省行业用水定额》（DB34/T 679-2019），厂区</w:t>
            </w:r>
            <w:r>
              <w:rPr>
                <w:rFonts w:hint="eastAsia"/>
                <w:color w:val="0D0D0D" w:themeColor="text1" w:themeTint="F2"/>
                <w:sz w:val="24"/>
                <w:lang w:val="en-US" w:eastAsia="zh-CN"/>
                <w14:textFill>
                  <w14:solidFill>
                    <w14:schemeClr w14:val="tx1">
                      <w14:lumMod w14:val="95000"/>
                      <w14:lumOff w14:val="5000"/>
                    </w14:schemeClr>
                  </w14:solidFill>
                </w14:textFill>
              </w:rPr>
              <w:t>有食堂</w:t>
            </w:r>
            <w:r>
              <w:rPr>
                <w:rFonts w:hint="default"/>
                <w:color w:val="0D0D0D" w:themeColor="text1" w:themeTint="F2"/>
                <w:sz w:val="24"/>
                <w14:textFill>
                  <w14:solidFill>
                    <w14:schemeClr w14:val="tx1">
                      <w14:lumMod w14:val="95000"/>
                      <w14:lumOff w14:val="5000"/>
                    </w14:schemeClr>
                  </w14:solidFill>
                </w14:textFill>
              </w:rPr>
              <w:t>的员工用水量按每人每天 1</w:t>
            </w:r>
            <w:r>
              <w:rPr>
                <w:rFonts w:hint="eastAsia"/>
                <w:color w:val="0D0D0D" w:themeColor="text1" w:themeTint="F2"/>
                <w:sz w:val="24"/>
                <w:lang w:val="en-US" w:eastAsia="zh-CN"/>
                <w14:textFill>
                  <w14:solidFill>
                    <w14:schemeClr w14:val="tx1">
                      <w14:lumMod w14:val="95000"/>
                      <w14:lumOff w14:val="5000"/>
                    </w14:schemeClr>
                  </w14:solidFill>
                </w14:textFill>
              </w:rPr>
              <w:t>1</w:t>
            </w:r>
            <w:r>
              <w:rPr>
                <w:rFonts w:hint="default"/>
                <w:color w:val="0D0D0D" w:themeColor="text1" w:themeTint="F2"/>
                <w:sz w:val="24"/>
                <w14:textFill>
                  <w14:solidFill>
                    <w14:schemeClr w14:val="tx1">
                      <w14:lumMod w14:val="95000"/>
                      <w14:lumOff w14:val="5000"/>
                    </w14:schemeClr>
                  </w14:solidFill>
                </w14:textFill>
              </w:rPr>
              <w:t>0L 计，则</w:t>
            </w:r>
            <w:r>
              <w:rPr>
                <w:rFonts w:hint="eastAsia"/>
                <w:color w:val="0D0D0D" w:themeColor="text1" w:themeTint="F2"/>
                <w:sz w:val="24"/>
                <w14:textFill>
                  <w14:solidFill>
                    <w14:schemeClr w14:val="tx1">
                      <w14:lumMod w14:val="95000"/>
                      <w14:lumOff w14:val="5000"/>
                    </w14:schemeClr>
                  </w14:solidFill>
                </w14:textFill>
              </w:rPr>
              <w:t>本</w:t>
            </w:r>
            <w:r>
              <w:rPr>
                <w:rFonts w:hint="default"/>
                <w:color w:val="0D0D0D" w:themeColor="text1" w:themeTint="F2"/>
                <w:sz w:val="24"/>
                <w14:textFill>
                  <w14:solidFill>
                    <w14:schemeClr w14:val="tx1">
                      <w14:lumMod w14:val="95000"/>
                      <w14:lumOff w14:val="5000"/>
                    </w14:schemeClr>
                  </w14:solidFill>
                </w14:textFill>
              </w:rPr>
              <w:t>项目生活用水量为</w:t>
            </w:r>
            <w:r>
              <w:rPr>
                <w:rFonts w:hint="eastAsia"/>
                <w:color w:val="0D0D0D" w:themeColor="text1" w:themeTint="F2"/>
                <w:sz w:val="24"/>
                <w:lang w:val="en-US" w:eastAsia="zh-CN"/>
                <w14:textFill>
                  <w14:solidFill>
                    <w14:schemeClr w14:val="tx1">
                      <w14:lumMod w14:val="95000"/>
                      <w14:lumOff w14:val="5000"/>
                    </w14:schemeClr>
                  </w14:solidFill>
                </w14:textFill>
              </w:rPr>
              <w:t>2.31</w:t>
            </w:r>
            <w:r>
              <w:rPr>
                <w:rFonts w:hint="eastAsia"/>
                <w:color w:val="0D0D0D" w:themeColor="text1" w:themeTint="F2"/>
                <w:sz w:val="24"/>
                <w14:textFill>
                  <w14:solidFill>
                    <w14:schemeClr w14:val="tx1">
                      <w14:lumMod w14:val="95000"/>
                      <w14:lumOff w14:val="5000"/>
                    </w14:schemeClr>
                  </w14:solidFill>
                </w14:textFill>
              </w:rPr>
              <w:t xml:space="preserve"> </w:t>
            </w:r>
            <w:r>
              <w:rPr>
                <w:rFonts w:hint="default"/>
                <w:color w:val="0D0D0D" w:themeColor="text1" w:themeTint="F2"/>
                <w:sz w:val="24"/>
                <w14:textFill>
                  <w14:solidFill>
                    <w14:schemeClr w14:val="tx1">
                      <w14:lumMod w14:val="95000"/>
                      <w14:lumOff w14:val="5000"/>
                    </w14:schemeClr>
                  </w14:solidFill>
                </w14:textFill>
              </w:rPr>
              <w:t>m</w:t>
            </w:r>
            <w:r>
              <w:rPr>
                <w:rFonts w:hint="default"/>
                <w:color w:val="0D0D0D" w:themeColor="text1" w:themeTint="F2"/>
                <w:sz w:val="24"/>
                <w:vertAlign w:val="superscript"/>
                <w14:textFill>
                  <w14:solidFill>
                    <w14:schemeClr w14:val="tx1">
                      <w14:lumMod w14:val="95000"/>
                      <w14:lumOff w14:val="5000"/>
                    </w14:schemeClr>
                  </w14:solidFill>
                </w14:textFill>
              </w:rPr>
              <w:t>3</w:t>
            </w:r>
            <w:r>
              <w:rPr>
                <w:rFonts w:hint="default"/>
                <w:color w:val="0D0D0D" w:themeColor="text1" w:themeTint="F2"/>
                <w:sz w:val="24"/>
                <w14:textFill>
                  <w14:solidFill>
                    <w14:schemeClr w14:val="tx1">
                      <w14:lumMod w14:val="95000"/>
                      <w14:lumOff w14:val="5000"/>
                    </w14:schemeClr>
                  </w14:solidFill>
                </w14:textFill>
              </w:rPr>
              <w:t>/d（</w:t>
            </w:r>
            <w:r>
              <w:rPr>
                <w:rFonts w:hint="eastAsia"/>
                <w:color w:val="0D0D0D" w:themeColor="text1" w:themeTint="F2"/>
                <w:sz w:val="24"/>
                <w:lang w:val="en-US" w:eastAsia="zh-CN"/>
                <w14:textFill>
                  <w14:solidFill>
                    <w14:schemeClr w14:val="tx1">
                      <w14:lumMod w14:val="95000"/>
                      <w14:lumOff w14:val="5000"/>
                    </w14:schemeClr>
                  </w14:solidFill>
                </w14:textFill>
              </w:rPr>
              <w:t>693</w:t>
            </w:r>
            <w:r>
              <w:rPr>
                <w:rFonts w:hint="default"/>
                <w:color w:val="0D0D0D" w:themeColor="text1" w:themeTint="F2"/>
                <w:sz w:val="24"/>
                <w14:textFill>
                  <w14:solidFill>
                    <w14:schemeClr w14:val="tx1">
                      <w14:lumMod w14:val="95000"/>
                      <w14:lumOff w14:val="5000"/>
                    </w14:schemeClr>
                  </w14:solidFill>
                </w14:textFill>
              </w:rPr>
              <w:t xml:space="preserve"> m</w:t>
            </w:r>
            <w:r>
              <w:rPr>
                <w:rFonts w:hint="default"/>
                <w:color w:val="0D0D0D" w:themeColor="text1" w:themeTint="F2"/>
                <w:sz w:val="24"/>
                <w:vertAlign w:val="superscript"/>
                <w14:textFill>
                  <w14:solidFill>
                    <w14:schemeClr w14:val="tx1">
                      <w14:lumMod w14:val="95000"/>
                      <w14:lumOff w14:val="5000"/>
                    </w14:schemeClr>
                  </w14:solidFill>
                </w14:textFill>
              </w:rPr>
              <w:t>3</w:t>
            </w:r>
            <w:r>
              <w:rPr>
                <w:rFonts w:hint="default"/>
                <w:color w:val="0D0D0D" w:themeColor="text1" w:themeTint="F2"/>
                <w:sz w:val="24"/>
                <w14:textFill>
                  <w14:solidFill>
                    <w14:schemeClr w14:val="tx1">
                      <w14:lumMod w14:val="95000"/>
                      <w14:lumOff w14:val="5000"/>
                    </w14:schemeClr>
                  </w14:solidFill>
                </w14:textFill>
              </w:rPr>
              <w:t>/a）。生活污水产生量按照用水量的80%计算，则生活污水产生量为</w:t>
            </w:r>
            <w:r>
              <w:rPr>
                <w:rFonts w:hint="eastAsia"/>
                <w:color w:val="0D0D0D" w:themeColor="text1" w:themeTint="F2"/>
                <w:sz w:val="24"/>
                <w:lang w:val="en-US" w:eastAsia="zh-CN"/>
                <w14:textFill>
                  <w14:solidFill>
                    <w14:schemeClr w14:val="tx1">
                      <w14:lumMod w14:val="95000"/>
                      <w14:lumOff w14:val="5000"/>
                    </w14:schemeClr>
                  </w14:solidFill>
                </w14:textFill>
              </w:rPr>
              <w:t>1.848</w:t>
            </w:r>
            <w:r>
              <w:rPr>
                <w:rFonts w:hint="eastAsia"/>
                <w:color w:val="0D0D0D" w:themeColor="text1" w:themeTint="F2"/>
                <w:sz w:val="24"/>
                <w14:textFill>
                  <w14:solidFill>
                    <w14:schemeClr w14:val="tx1">
                      <w14:lumMod w14:val="95000"/>
                      <w14:lumOff w14:val="5000"/>
                    </w14:schemeClr>
                  </w14:solidFill>
                </w14:textFill>
              </w:rPr>
              <w:t>m</w:t>
            </w:r>
            <w:r>
              <w:rPr>
                <w:rFonts w:hint="eastAsia"/>
                <w:color w:val="0D0D0D" w:themeColor="text1" w:themeTint="F2"/>
                <w:sz w:val="24"/>
                <w:vertAlign w:val="superscript"/>
                <w14:textFill>
                  <w14:solidFill>
                    <w14:schemeClr w14:val="tx1">
                      <w14:lumMod w14:val="95000"/>
                      <w14:lumOff w14:val="5000"/>
                    </w14:schemeClr>
                  </w14:solidFill>
                </w14:textFill>
              </w:rPr>
              <w:t>3</w:t>
            </w:r>
            <w:r>
              <w:rPr>
                <w:rFonts w:hint="default"/>
                <w:color w:val="0D0D0D" w:themeColor="text1" w:themeTint="F2"/>
                <w:sz w:val="24"/>
                <w14:textFill>
                  <w14:solidFill>
                    <w14:schemeClr w14:val="tx1">
                      <w14:lumMod w14:val="95000"/>
                      <w14:lumOff w14:val="5000"/>
                    </w14:schemeClr>
                  </w14:solidFill>
                </w14:textFill>
              </w:rPr>
              <w:t>/d（</w:t>
            </w:r>
            <w:r>
              <w:rPr>
                <w:rFonts w:hint="eastAsia"/>
                <w:color w:val="0D0D0D" w:themeColor="text1" w:themeTint="F2"/>
                <w:sz w:val="24"/>
                <w:lang w:val="en-US" w:eastAsia="zh-CN"/>
                <w14:textFill>
                  <w14:solidFill>
                    <w14:schemeClr w14:val="tx1">
                      <w14:lumMod w14:val="95000"/>
                      <w14:lumOff w14:val="5000"/>
                    </w14:schemeClr>
                  </w14:solidFill>
                </w14:textFill>
              </w:rPr>
              <w:t>554.4</w:t>
            </w:r>
            <w:r>
              <w:rPr>
                <w:rFonts w:hint="eastAsia"/>
                <w:color w:val="0D0D0D" w:themeColor="text1" w:themeTint="F2"/>
                <w:sz w:val="24"/>
                <w14:textFill>
                  <w14:solidFill>
                    <w14:schemeClr w14:val="tx1">
                      <w14:lumMod w14:val="95000"/>
                      <w14:lumOff w14:val="5000"/>
                    </w14:schemeClr>
                  </w14:solidFill>
                </w14:textFill>
              </w:rPr>
              <w:t xml:space="preserve"> m</w:t>
            </w:r>
            <w:r>
              <w:rPr>
                <w:rFonts w:hint="eastAsia"/>
                <w:color w:val="0D0D0D" w:themeColor="text1" w:themeTint="F2"/>
                <w:sz w:val="24"/>
                <w:vertAlign w:val="superscript"/>
                <w14:textFill>
                  <w14:solidFill>
                    <w14:schemeClr w14:val="tx1">
                      <w14:lumMod w14:val="95000"/>
                      <w14:lumOff w14:val="5000"/>
                    </w14:schemeClr>
                  </w14:solidFill>
                </w14:textFill>
              </w:rPr>
              <w:t>3</w:t>
            </w:r>
            <w:r>
              <w:rPr>
                <w:rFonts w:hint="default"/>
                <w:color w:val="0D0D0D" w:themeColor="text1" w:themeTint="F2"/>
                <w:sz w:val="24"/>
                <w14:textFill>
                  <w14:solidFill>
                    <w14:schemeClr w14:val="tx1">
                      <w14:lumMod w14:val="95000"/>
                      <w14:lumOff w14:val="5000"/>
                    </w14:schemeClr>
                  </w14:solidFill>
                </w14:textFill>
              </w:rPr>
              <w:t>/a）。</w:t>
            </w:r>
          </w:p>
          <w:p>
            <w:pPr>
              <w:keepNext w:val="0"/>
              <w:keepLines w:val="0"/>
              <w:suppressLineNumbers w:val="0"/>
              <w:spacing w:before="0" w:beforeAutospacing="0" w:after="0" w:afterAutospacing="0" w:line="360" w:lineRule="auto"/>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drawing>
                <wp:inline distT="0" distB="0" distL="114300" distR="114300">
                  <wp:extent cx="5086985" cy="2449195"/>
                  <wp:effectExtent l="0" t="0" r="18415" b="8255"/>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pic:cNvPicPr>
                        </pic:nvPicPr>
                        <pic:blipFill>
                          <a:blip r:embed="rId8"/>
                          <a:stretch>
                            <a:fillRect/>
                          </a:stretch>
                        </pic:blipFill>
                        <pic:spPr>
                          <a:xfrm>
                            <a:off x="0" y="0"/>
                            <a:ext cx="5086985" cy="2449195"/>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jc w:val="center"/>
              <w:rPr>
                <w:rFonts w:hint="default"/>
                <w:b/>
                <w:color w:val="auto"/>
                <w:sz w:val="24"/>
              </w:rPr>
            </w:pPr>
            <w:r>
              <w:rPr>
                <w:rFonts w:hint="default"/>
                <w:b/>
                <w:color w:val="auto"/>
                <w:sz w:val="24"/>
              </w:rPr>
              <w:t>图2</w:t>
            </w:r>
            <w:r>
              <w:rPr>
                <w:rFonts w:hint="eastAsia"/>
                <w:b/>
                <w:color w:val="auto"/>
                <w:sz w:val="24"/>
              </w:rPr>
              <w:t>-1</w:t>
            </w:r>
            <w:r>
              <w:rPr>
                <w:rFonts w:hint="default"/>
                <w:b/>
                <w:color w:val="auto"/>
                <w:sz w:val="24"/>
              </w:rPr>
              <w:t xml:space="preserve">  </w:t>
            </w:r>
            <w:r>
              <w:rPr>
                <w:rFonts w:hint="eastAsia"/>
                <w:b/>
                <w:color w:val="auto"/>
                <w:sz w:val="24"/>
              </w:rPr>
              <w:t>项目</w:t>
            </w:r>
            <w:r>
              <w:rPr>
                <w:rFonts w:hint="default"/>
                <w:b/>
                <w:color w:val="auto"/>
                <w:sz w:val="24"/>
              </w:rPr>
              <w:t>水平衡图（单位：t/</w:t>
            </w:r>
            <w:r>
              <w:rPr>
                <w:rFonts w:hint="eastAsia"/>
                <w:b/>
                <w:color w:val="auto"/>
                <w:sz w:val="24"/>
              </w:rPr>
              <w:t>d</w:t>
            </w:r>
            <w:r>
              <w:rPr>
                <w:rFonts w:hint="default"/>
                <w:b/>
                <w:color w:val="auto"/>
                <w:sz w:val="24"/>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auto"/>
                <w:kern w:val="0"/>
                <w:sz w:val="24"/>
              </w:rPr>
            </w:pPr>
            <w:r>
              <w:rPr>
                <w:rFonts w:hint="default"/>
                <w:color w:val="auto"/>
                <w:kern w:val="0"/>
                <w:sz w:val="24"/>
              </w:rPr>
              <w:t>（2）排水</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auto"/>
                <w:kern w:val="0"/>
                <w:sz w:val="24"/>
              </w:rPr>
              <w:t>采用雨污分流。雨水排入雨水管网；</w:t>
            </w:r>
            <w:r>
              <w:rPr>
                <w:rFonts w:hint="eastAsia"/>
                <w:color w:val="auto"/>
                <w:kern w:val="0"/>
                <w:sz w:val="24"/>
                <w:lang w:val="en-US" w:eastAsia="zh-CN"/>
              </w:rPr>
              <w:t>脱模剂废水经沉淀池沉淀后经脱模剂回收处理机处理回用不外排</w:t>
            </w:r>
            <w:r>
              <w:rPr>
                <w:rFonts w:hint="eastAsia"/>
                <w:color w:val="auto"/>
                <w:sz w:val="24"/>
                <w:lang w:val="en-US" w:eastAsia="zh-CN"/>
              </w:rPr>
              <w:t>；打磨废水经过滤后循环使用不外排；食堂废水经隔油池处理后与其他生活污水再一起经化粪池预处理</w:t>
            </w:r>
            <w:r>
              <w:rPr>
                <w:rFonts w:hint="eastAsia"/>
                <w:color w:val="auto"/>
                <w:sz w:val="24"/>
              </w:rPr>
              <w:t>达标</w:t>
            </w:r>
            <w:r>
              <w:rPr>
                <w:rFonts w:hint="eastAsia"/>
                <w:color w:val="0D0D0D" w:themeColor="text1" w:themeTint="F2"/>
                <w:sz w:val="24"/>
                <w14:textFill>
                  <w14:solidFill>
                    <w14:schemeClr w14:val="tx1">
                      <w14:lumMod w14:val="95000"/>
                      <w14:lumOff w14:val="5000"/>
                    </w14:schemeClr>
                  </w14:solidFill>
                </w14:textFill>
              </w:rPr>
              <w:t>后接入</w:t>
            </w:r>
            <w:r>
              <w:rPr>
                <w:rFonts w:hint="eastAsia" w:hAnsi="宋体"/>
                <w:color w:val="0D0D0D" w:themeColor="text1" w:themeTint="F2"/>
                <w:kern w:val="24"/>
                <w:sz w:val="24"/>
                <w14:textFill>
                  <w14:solidFill>
                    <w14:schemeClr w14:val="tx1">
                      <w14:lumMod w14:val="95000"/>
                      <w14:lumOff w14:val="5000"/>
                    </w14:schemeClr>
                  </w14:solidFill>
                </w14:textFill>
              </w:rPr>
              <w:t>市政管网进入</w:t>
            </w:r>
            <w:r>
              <w:rPr>
                <w:rFonts w:hint="eastAsia" w:hAnsi="宋体"/>
                <w:color w:val="0D0D0D" w:themeColor="text1" w:themeTint="F2"/>
                <w:kern w:val="24"/>
                <w:sz w:val="24"/>
                <w:lang w:val="en-US" w:eastAsia="zh-CN"/>
                <w14:textFill>
                  <w14:solidFill>
                    <w14:schemeClr w14:val="tx1">
                      <w14:lumMod w14:val="95000"/>
                      <w14:lumOff w14:val="5000"/>
                    </w14:schemeClr>
                  </w14:solidFill>
                </w14:textFill>
              </w:rPr>
              <w:t>滨江污水处理厂处理</w:t>
            </w:r>
            <w:r>
              <w:rPr>
                <w:rFonts w:hint="default"/>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（3）供电</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引自开发区供电网，项目年用电量共</w:t>
            </w:r>
            <w:r>
              <w:rPr>
                <w:rFonts w:hint="eastAsia"/>
                <w:color w:val="0D0D0D" w:themeColor="text1" w:themeTint="F2"/>
                <w:kern w:val="0"/>
                <w:sz w:val="24"/>
                <w:lang w:val="en-US" w:eastAsia="zh-CN"/>
                <w14:textFill>
                  <w14:solidFill>
                    <w14:schemeClr w14:val="tx1">
                      <w14:lumMod w14:val="95000"/>
                      <w14:lumOff w14:val="5000"/>
                    </w14:schemeClr>
                  </w14:solidFill>
                </w14:textFill>
              </w:rPr>
              <w:t>12</w:t>
            </w:r>
            <w:r>
              <w:rPr>
                <w:rFonts w:hint="default"/>
                <w:color w:val="0D0D0D" w:themeColor="text1" w:themeTint="F2"/>
                <w:kern w:val="0"/>
                <w:sz w:val="24"/>
                <w14:textFill>
                  <w14:solidFill>
                    <w14:schemeClr w14:val="tx1">
                      <w14:lumMod w14:val="95000"/>
                      <w14:lumOff w14:val="5000"/>
                    </w14:schemeClr>
                  </w14:solidFill>
                </w14:textFill>
              </w:rPr>
              <w:t>0万</w:t>
            </w:r>
            <w:r>
              <w:rPr>
                <w:rFonts w:hint="eastAsia"/>
                <w:color w:val="0D0D0D" w:themeColor="text1" w:themeTint="F2"/>
                <w:kern w:val="0"/>
                <w:sz w:val="24"/>
                <w14:textFill>
                  <w14:solidFill>
                    <w14:schemeClr w14:val="tx1">
                      <w14:lumMod w14:val="95000"/>
                      <w14:lumOff w14:val="5000"/>
                    </w14:schemeClr>
                  </w14:solidFill>
                </w14:textFill>
              </w:rPr>
              <w:t>千瓦时。</w:t>
            </w:r>
          </w:p>
          <w:p>
            <w:pPr>
              <w:keepNext w:val="0"/>
              <w:keepLines w:val="0"/>
              <w:suppressLineNumbers w:val="0"/>
              <w:spacing w:before="0" w:beforeAutospacing="0" w:after="0" w:afterAutospacing="0" w:line="360" w:lineRule="auto"/>
              <w:ind w:left="0" w:right="0" w:firstLine="480"/>
              <w:rPr>
                <w:rFonts w:hint="default"/>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8</w:t>
            </w:r>
            <w:r>
              <w:rPr>
                <w:rFonts w:hint="eastAsia"/>
                <w:b/>
                <w:color w:val="0D0D0D" w:themeColor="text1" w:themeTint="F2"/>
                <w:kern w:val="0"/>
                <w:sz w:val="24"/>
                <w14:textFill>
                  <w14:solidFill>
                    <w14:schemeClr w14:val="tx1">
                      <w14:lumMod w14:val="95000"/>
                      <w14:lumOff w14:val="5000"/>
                    </w14:schemeClr>
                  </w14:solidFill>
                </w14:textFill>
              </w:rPr>
              <w:t>、生产制度和劳动定员</w:t>
            </w:r>
          </w:p>
          <w:p>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hAnsi="宋体"/>
                <w:color w:val="0D0D0D" w:themeColor="text1" w:themeTint="F2"/>
                <w:kern w:val="24"/>
                <w:sz w:val="24"/>
                <w14:textFill>
                  <w14:solidFill>
                    <w14:schemeClr w14:val="tx1">
                      <w14:lumMod w14:val="95000"/>
                      <w14:lumOff w14:val="5000"/>
                    </w14:schemeClr>
                  </w14:solidFill>
                </w14:textFill>
              </w:rPr>
            </w:pPr>
            <w:r>
              <w:rPr>
                <w:rFonts w:hint="default" w:hAnsi="宋体"/>
                <w:color w:val="0D0D0D" w:themeColor="text1" w:themeTint="F2"/>
                <w:kern w:val="24"/>
                <w:sz w:val="24"/>
                <w14:textFill>
                  <w14:solidFill>
                    <w14:schemeClr w14:val="tx1">
                      <w14:lumMod w14:val="95000"/>
                      <w14:lumOff w14:val="5000"/>
                    </w14:schemeClr>
                  </w14:solidFill>
                </w14:textFill>
              </w:rPr>
              <w:t>本项目定员</w:t>
            </w:r>
            <w:r>
              <w:rPr>
                <w:rFonts w:hint="eastAsia" w:hAnsi="宋体"/>
                <w:color w:val="0D0D0D" w:themeColor="text1" w:themeTint="F2"/>
                <w:kern w:val="24"/>
                <w:sz w:val="24"/>
                <w:lang w:val="en-US" w:eastAsia="zh-CN"/>
                <w14:textFill>
                  <w14:solidFill>
                    <w14:schemeClr w14:val="tx1">
                      <w14:lumMod w14:val="95000"/>
                      <w14:lumOff w14:val="5000"/>
                    </w14:schemeClr>
                  </w14:solidFill>
                </w14:textFill>
              </w:rPr>
              <w:t>21</w:t>
            </w:r>
            <w:r>
              <w:rPr>
                <w:rFonts w:hint="default" w:hAnsi="宋体"/>
                <w:color w:val="0D0D0D" w:themeColor="text1" w:themeTint="F2"/>
                <w:kern w:val="24"/>
                <w:sz w:val="24"/>
                <w14:textFill>
                  <w14:solidFill>
                    <w14:schemeClr w14:val="tx1">
                      <w14:lumMod w14:val="95000"/>
                      <w14:lumOff w14:val="5000"/>
                    </w14:schemeClr>
                  </w14:solidFill>
                </w14:textFill>
              </w:rPr>
              <w:t>人</w:t>
            </w:r>
            <w:r>
              <w:rPr>
                <w:rFonts w:hint="eastAsia"/>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lang w:val="en-US" w:eastAsia="zh-CN"/>
                <w14:textFill>
                  <w14:solidFill>
                    <w14:schemeClr w14:val="tx1">
                      <w14:lumMod w14:val="95000"/>
                      <w14:lumOff w14:val="5000"/>
                    </w14:schemeClr>
                  </w14:solidFill>
                </w14:textFill>
              </w:rPr>
              <w:t>厂内有食堂无住宿人员</w:t>
            </w:r>
            <w:r>
              <w:rPr>
                <w:rFonts w:hint="eastAsia" w:hAnsi="宋体"/>
                <w:color w:val="0D0D0D" w:themeColor="text1" w:themeTint="F2"/>
                <w:kern w:val="24"/>
                <w:sz w:val="24"/>
                <w:lang w:eastAsia="zh-CN"/>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年工作300</w:t>
            </w:r>
            <w:r>
              <w:rPr>
                <w:rFonts w:hint="default"/>
                <w:sz w:val="24"/>
              </w:rPr>
              <w:t>天，实行</w:t>
            </w:r>
            <w:r>
              <w:rPr>
                <w:rFonts w:hint="eastAsia"/>
                <w:sz w:val="24"/>
                <w:lang w:val="en-US" w:eastAsia="zh-CN"/>
              </w:rPr>
              <w:t>三</w:t>
            </w:r>
            <w:r>
              <w:rPr>
                <w:rFonts w:hint="default"/>
                <w:sz w:val="24"/>
              </w:rPr>
              <w:t>班制，每班工作8小时</w:t>
            </w:r>
            <w:r>
              <w:rPr>
                <w:rFonts w:hint="eastAsia" w:hAnsi="宋体"/>
                <w:color w:val="0D0D0D" w:themeColor="text1" w:themeTint="F2"/>
                <w:kern w:val="24"/>
                <w:sz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0" w:hRule="atLeast"/>
        </w:trPr>
        <w:tc>
          <w:tcPr>
            <w:tcW w:w="823"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工艺流程和产排污环节</w:t>
            </w:r>
          </w:p>
        </w:tc>
        <w:tc>
          <w:tcPr>
            <w:tcW w:w="8235" w:type="dxa"/>
          </w:tcPr>
          <w:p>
            <w:pPr>
              <w:keepNext w:val="0"/>
              <w:keepLines w:val="0"/>
              <w:suppressLineNumbers w:val="0"/>
              <w:spacing w:before="120" w:beforeLines="50" w:beforeAutospacing="0" w:after="0" w:afterAutospacing="0" w:line="360" w:lineRule="auto"/>
              <w:ind w:left="0" w:right="0"/>
              <w:jc w:val="center"/>
              <w:rPr>
                <w:rFonts w:hint="eastAsia" w:eastAsia="宋体"/>
                <w:color w:val="0D0D0D" w:themeColor="text1" w:themeTint="F2"/>
                <w:sz w:val="24"/>
                <w:lang w:eastAsia="zh-CN"/>
                <w14:textFill>
                  <w14:solidFill>
                    <w14:schemeClr w14:val="tx1">
                      <w14:lumMod w14:val="95000"/>
                      <w14:lumOff w14:val="5000"/>
                    </w14:schemeClr>
                  </w14:solidFill>
                </w14:textFill>
              </w:rPr>
            </w:pPr>
            <w:r>
              <w:rPr>
                <w:rFonts w:hint="eastAsia" w:eastAsia="宋体"/>
                <w:color w:val="0D0D0D" w:themeColor="text1" w:themeTint="F2"/>
                <w:sz w:val="24"/>
                <w:lang w:eastAsia="zh-CN"/>
                <w14:textFill>
                  <w14:solidFill>
                    <w14:schemeClr w14:val="tx1">
                      <w14:lumMod w14:val="95000"/>
                      <w14:lumOff w14:val="5000"/>
                    </w14:schemeClr>
                  </w14:solidFill>
                </w14:textFill>
              </w:rPr>
              <w:drawing>
                <wp:inline distT="0" distB="0" distL="114300" distR="114300">
                  <wp:extent cx="3533775" cy="3676650"/>
                  <wp:effectExtent l="0" t="0" r="952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3533775" cy="3676650"/>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t>图</w:t>
            </w:r>
            <w:r>
              <w:rPr>
                <w:rFonts w:hint="eastAsia"/>
                <w:b/>
                <w:color w:val="0D0D0D" w:themeColor="text1" w:themeTint="F2"/>
                <w:sz w:val="24"/>
                <w14:textFill>
                  <w14:solidFill>
                    <w14:schemeClr w14:val="tx1">
                      <w14:lumMod w14:val="95000"/>
                      <w14:lumOff w14:val="5000"/>
                    </w14:schemeClr>
                  </w14:solidFill>
                </w14:textFill>
              </w:rPr>
              <w:t>2</w:t>
            </w:r>
            <w:r>
              <w:rPr>
                <w:rFonts w:hint="default"/>
                <w:b/>
                <w:color w:val="0D0D0D" w:themeColor="text1" w:themeTint="F2"/>
                <w:sz w:val="24"/>
                <w14:textFill>
                  <w14:solidFill>
                    <w14:schemeClr w14:val="tx1">
                      <w14:lumMod w14:val="95000"/>
                      <w14:lumOff w14:val="5000"/>
                    </w14:schemeClr>
                  </w14:solidFill>
                </w14:textFill>
              </w:rPr>
              <w:t xml:space="preserve">-2  </w:t>
            </w:r>
            <w:r>
              <w:rPr>
                <w:rFonts w:hint="eastAsia"/>
                <w:b/>
                <w:color w:val="0D0D0D" w:themeColor="text1" w:themeTint="F2"/>
                <w:sz w:val="24"/>
                <w14:textFill>
                  <w14:solidFill>
                    <w14:schemeClr w14:val="tx1">
                      <w14:lumMod w14:val="95000"/>
                      <w14:lumOff w14:val="5000"/>
                    </w14:schemeClr>
                  </w14:solidFill>
                </w14:textFill>
              </w:rPr>
              <w:t>项目</w:t>
            </w:r>
            <w:r>
              <w:rPr>
                <w:rFonts w:hint="default"/>
                <w:b/>
                <w:color w:val="0D0D0D" w:themeColor="text1" w:themeTint="F2"/>
                <w:sz w:val="24"/>
                <w14:textFill>
                  <w14:solidFill>
                    <w14:schemeClr w14:val="tx1">
                      <w14:lumMod w14:val="95000"/>
                      <w14:lumOff w14:val="5000"/>
                    </w14:schemeClr>
                  </w14:solidFill>
                </w14:textFill>
              </w:rPr>
              <w:t>生产工艺流程及产污环节图</w:t>
            </w:r>
          </w:p>
          <w:p>
            <w:pPr>
              <w:keepNext w:val="0"/>
              <w:keepLines w:val="0"/>
              <w:suppressLineNumbers w:val="0"/>
              <w:spacing w:before="0" w:beforeAutospacing="0" w:after="0" w:afterAutospacing="0" w:line="360" w:lineRule="auto"/>
              <w:ind w:left="0" w:right="113"/>
              <w:rPr>
                <w:rFonts w:hint="default"/>
                <w:b/>
                <w:bCs/>
                <w:color w:val="0D0D0D" w:themeColor="text1" w:themeTint="F2"/>
                <w:sz w:val="24"/>
                <w14:textFill>
                  <w14:solidFill>
                    <w14:schemeClr w14:val="tx1">
                      <w14:lumMod w14:val="95000"/>
                      <w14:lumOff w14:val="5000"/>
                    </w14:schemeClr>
                  </w14:solidFill>
                </w14:textFill>
              </w:rPr>
            </w:pPr>
            <w:r>
              <w:rPr>
                <w:rFonts w:hint="default"/>
                <w:b/>
                <w:bCs/>
                <w:color w:val="0D0D0D" w:themeColor="text1" w:themeTint="F2"/>
                <w:sz w:val="24"/>
                <w14:textFill>
                  <w14:solidFill>
                    <w14:schemeClr w14:val="tx1">
                      <w14:lumMod w14:val="95000"/>
                      <w14:lumOff w14:val="5000"/>
                    </w14:schemeClr>
                  </w14:solidFill>
                </w14:textFill>
              </w:rPr>
              <w:t>生产工艺流程简述：</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 xml:space="preserve">（1）熔化：将外购的铝合金锭投入天然气熔化炉内进行加热熔融，加热温度约 600-700℃。熔化后的铝液利用保温炉保温，熔化工作结束后，需用水冷却炉体，冷却水循环使用，不外排。此工序产生熔化烟尘G1、天然气燃烧废气G2、炉渣S1、噪声N。 </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default"/>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2）压铸成型：通过机械手舀起适量铝合金溶液倒入压铸机内，压铸机在压力作用下将熔融金属液压射到模具中，通过循环水间接冷却成型，然后开模即可得到铝合金压铸件。开模后由压铸机配套的喷雾机喷嘴自动在模具内喷涂脱模剂，喷涂的脱模剂在模具表面形成一层吸附膜，防止铝合金在压铸成型时和模具粘连，方便压铸件脱落。本项目脱模剂使用水性脱模剂，以水稀释 150 倍后使用。 此工序产生压铸脱模废气G3、脱模剂废水W1、冷却废水W2、噪声N。</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default"/>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（3）锯切：部分压铸件有较大的边角毛刺，需用油压切边机和锯床进行锯切。此工序产生金属屑S2、噪声N。</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default"/>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（4）打磨：压铸后的铝合金件表面存有毛刺，需要通过砂带机打磨去除，此工序产生打磨粉尘 G4、打磨废水W3、噪声N。</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eastAsia"/>
                <w:color w:val="0D0D0D" w:themeColor="text1" w:themeTint="F2"/>
                <w:sz w:val="24"/>
                <w:lang w:val="en-US" w:eastAsia="zh-CN"/>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 xml:space="preserve">（5）抛丸：打磨后的铝合金件再通过抛丸机喷砂清理表面氧化层以及毛刺，提高铝合金压铸件的表面应力，抛丸机原理是利用高速回转叶轮将不锈 钢丸抛向抛丸室内的工件上，从而达到清理工件的目的。抛丸机作业时须关闭仓门，内部呈负压状态。抛丸机配套小型袋式收尘装置处理粉尘。此工序产生抛丸粉尘G5、噪声N。 </w:t>
            </w:r>
          </w:p>
          <w:p>
            <w:pPr>
              <w:keepNext w:val="0"/>
              <w:keepLines w:val="0"/>
              <w:suppressLineNumbers w:val="0"/>
              <w:tabs>
                <w:tab w:val="left" w:pos="2520"/>
              </w:tabs>
              <w:adjustRightInd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（5）检验入库：加工好的工件检验合格后即可包装入库待发货。 此工序产生不合格品 S3 。</w:t>
            </w:r>
          </w:p>
          <w:p>
            <w:pPr>
              <w:keepNext w:val="0"/>
              <w:keepLines w:val="0"/>
              <w:widowControl/>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szCs w:val="20"/>
                <w14:textFill>
                  <w14:solidFill>
                    <w14:schemeClr w14:val="tx1">
                      <w14:lumMod w14:val="95000"/>
                      <w14:lumOff w14:val="5000"/>
                    </w14:schemeClr>
                  </w14:solidFill>
                </w14:textFill>
              </w:rPr>
            </w:pPr>
            <w:r>
              <w:rPr>
                <w:rFonts w:hint="eastAsia"/>
                <w:color w:val="0D0D0D" w:themeColor="text1" w:themeTint="F2"/>
                <w:kern w:val="0"/>
                <w:sz w:val="24"/>
                <w:szCs w:val="20"/>
                <w14:textFill>
                  <w14:solidFill>
                    <w14:schemeClr w14:val="tx1">
                      <w14:lumMod w14:val="95000"/>
                      <w14:lumOff w14:val="5000"/>
                    </w14:schemeClr>
                  </w14:solidFill>
                </w14:textFill>
              </w:rPr>
              <w:t>本</w:t>
            </w:r>
            <w:r>
              <w:rPr>
                <w:rFonts w:hint="default"/>
                <w:color w:val="0D0D0D" w:themeColor="text1" w:themeTint="F2"/>
                <w:kern w:val="0"/>
                <w:sz w:val="24"/>
                <w:szCs w:val="20"/>
                <w14:textFill>
                  <w14:solidFill>
                    <w14:schemeClr w14:val="tx1">
                      <w14:lumMod w14:val="95000"/>
                      <w14:lumOff w14:val="5000"/>
                    </w14:schemeClr>
                  </w14:solidFill>
                </w14:textFill>
              </w:rPr>
              <w:t>项目运营期主要污染工序及污染因子见下表。</w:t>
            </w:r>
          </w:p>
          <w:p>
            <w:pPr>
              <w:keepNext w:val="0"/>
              <w:keepLines w:val="0"/>
              <w:suppressLineNumbers w:val="0"/>
              <w:adjustRightInd w:val="0"/>
              <w:spacing w:before="120" w:beforeLines="50" w:beforeAutospacing="0" w:after="0" w:afterAutospacing="0"/>
              <w:ind w:left="0" w:right="0" w:firstLine="482" w:firstLineChars="200"/>
              <w:jc w:val="center"/>
              <w:rPr>
                <w:rFonts w:hint="default"/>
                <w:b/>
                <w:color w:val="auto"/>
                <w:sz w:val="24"/>
              </w:rPr>
            </w:pPr>
            <w:r>
              <w:rPr>
                <w:rFonts w:hint="default"/>
                <w:b/>
                <w:color w:val="auto"/>
                <w:sz w:val="24"/>
              </w:rPr>
              <w:t>表2</w:t>
            </w:r>
            <w:r>
              <w:rPr>
                <w:rFonts w:hint="eastAsia"/>
                <w:b/>
                <w:color w:val="auto"/>
                <w:sz w:val="24"/>
              </w:rPr>
              <w:t>-</w:t>
            </w:r>
            <w:r>
              <w:rPr>
                <w:rFonts w:hint="default"/>
                <w:b/>
                <w:color w:val="auto"/>
                <w:sz w:val="24"/>
              </w:rPr>
              <w:t xml:space="preserve">6 </w:t>
            </w:r>
            <w:r>
              <w:rPr>
                <w:rFonts w:hint="eastAsia"/>
                <w:b/>
                <w:color w:val="auto"/>
                <w:sz w:val="24"/>
              </w:rPr>
              <w:t xml:space="preserve"> </w:t>
            </w:r>
            <w:r>
              <w:rPr>
                <w:rFonts w:hint="default"/>
                <w:b/>
                <w:color w:val="auto"/>
                <w:sz w:val="24"/>
              </w:rPr>
              <w:t>运营期主要污染工序一览表</w:t>
            </w:r>
          </w:p>
          <w:tbl>
            <w:tblPr>
              <w:tblStyle w:val="59"/>
              <w:tblpPr w:leftFromText="180" w:rightFromText="180" w:vertAnchor="text" w:tblpXSpec="center" w:tblpY="1"/>
              <w:tblOverlap w:val="never"/>
              <w:tblW w:w="4961"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4"/>
              <w:gridCol w:w="866"/>
              <w:gridCol w:w="1426"/>
              <w:gridCol w:w="1320"/>
              <w:gridCol w:w="2055"/>
              <w:gridCol w:w="14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542"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污染类别</w:t>
                  </w: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污染源</w:t>
                  </w:r>
                  <w:r>
                    <w:rPr>
                      <w:rFonts w:hint="eastAsia"/>
                      <w:b/>
                      <w:bCs/>
                      <w:color w:val="000000" w:themeColor="text1"/>
                      <w:szCs w:val="21"/>
                      <w14:textFill>
                        <w14:solidFill>
                          <w14:schemeClr w14:val="tx1"/>
                        </w14:solidFill>
                      </w14:textFill>
                    </w:rPr>
                    <w:t>编号</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产生工序</w:t>
                  </w:r>
                </w:p>
              </w:tc>
              <w:tc>
                <w:tcPr>
                  <w:tcW w:w="829" w:type="pct"/>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14:textFill>
                        <w14:solidFill>
                          <w14:schemeClr w14:val="tx1"/>
                        </w14:solidFill>
                      </w14:textFill>
                    </w:rPr>
                    <w:t>主要污染因</w:t>
                  </w:r>
                  <w:r>
                    <w:rPr>
                      <w:rFonts w:hint="eastAsia"/>
                      <w:b/>
                      <w:bCs/>
                      <w:color w:val="000000" w:themeColor="text1"/>
                      <w:szCs w:val="21"/>
                      <w14:textFill>
                        <w14:solidFill>
                          <w14:schemeClr w14:val="tx1"/>
                        </w14:solidFill>
                      </w14:textFill>
                    </w:rPr>
                    <w:t>子</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default"/>
                      <w:b/>
                      <w:bCs/>
                      <w:color w:val="000000" w:themeColor="text1"/>
                      <w:szCs w:val="21"/>
                      <w:lang w:val="en-US" w:eastAsia="zh-CN"/>
                      <w14:textFill>
                        <w14:solidFill>
                          <w14:schemeClr w14:val="tx1"/>
                        </w14:solidFill>
                      </w14:textFill>
                    </w:rPr>
                    <w:t>污染防治措施</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w:t>
                  </w:r>
                </w:p>
                <w:p>
                  <w:pPr>
                    <w:keepNext w:val="0"/>
                    <w:keepLines w:val="0"/>
                    <w:suppressLineNumbers w:val="0"/>
                    <w:adjustRightInd w:val="0"/>
                    <w:snapToGrid w:val="0"/>
                    <w:spacing w:before="0" w:beforeAutospacing="0" w:after="0" w:afterAutospacing="0"/>
                    <w:ind w:left="0" w:right="0"/>
                    <w:jc w:val="center"/>
                    <w:rPr>
                      <w:rFonts w:hint="default"/>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废气</w:t>
                  </w: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G1</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熔化</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颗粒物</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auto"/>
                      <w:szCs w:val="21"/>
                      <w:lang w:val="en-US" w:eastAsia="zh-CN"/>
                    </w:rPr>
                  </w:pPr>
                  <w:r>
                    <w:rPr>
                      <w:rFonts w:hint="eastAsia"/>
                      <w:bCs/>
                      <w:color w:val="auto"/>
                      <w:szCs w:val="21"/>
                      <w:lang w:val="en-US" w:eastAsia="zh-CN"/>
                    </w:rPr>
                    <w:t>集气罩+布袋除尘器+15米高排气筒（DA001）</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G2</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天然气燃烧</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颗粒物</w:t>
                  </w:r>
                  <w:r>
                    <w:rPr>
                      <w:rFonts w:hint="eastAsia"/>
                      <w:bCs/>
                      <w:color w:val="000000" w:themeColor="text1"/>
                      <w:szCs w:val="21"/>
                      <w14:textFill>
                        <w14:solidFill>
                          <w14:schemeClr w14:val="tx1"/>
                        </w14:solidFill>
                      </w14:textFill>
                    </w:rPr>
                    <w:t>、</w:t>
                  </w:r>
                  <w:r>
                    <w:rPr>
                      <w:rFonts w:hint="eastAsia"/>
                      <w:bCs/>
                      <w:color w:val="000000" w:themeColor="text1"/>
                      <w:szCs w:val="21"/>
                      <w:lang w:val="en-US" w:eastAsia="zh-CN"/>
                      <w14:textFill>
                        <w14:solidFill>
                          <w14:schemeClr w14:val="tx1"/>
                        </w14:solidFill>
                      </w14:textFill>
                    </w:rPr>
                    <w:t>氮氧化物、二氧化硫</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bCs/>
                      <w:color w:val="auto"/>
                      <w:szCs w:val="21"/>
                    </w:rPr>
                  </w:pPr>
                  <w:r>
                    <w:rPr>
                      <w:rFonts w:hint="eastAsia"/>
                      <w:bCs/>
                      <w:color w:val="auto"/>
                      <w:szCs w:val="21"/>
                      <w:lang w:val="en-US" w:eastAsia="zh-CN"/>
                    </w:rPr>
                    <w:t>集气罩+布袋除尘器+15米高排气筒（DA001）</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G3</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压铸脱模</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非甲烷总烃</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auto"/>
                      <w:szCs w:val="21"/>
                      <w:highlight w:val="none"/>
                      <w:lang w:val="en-US"/>
                    </w:rPr>
                  </w:pPr>
                  <w:r>
                    <w:rPr>
                      <w:rFonts w:hint="eastAsia"/>
                      <w:bCs/>
                      <w:color w:val="auto"/>
                      <w:szCs w:val="21"/>
                      <w:highlight w:val="none"/>
                      <w:lang w:val="en-US" w:eastAsia="zh-CN"/>
                    </w:rPr>
                    <w:t>集气罩+静电油雾净化+两级活性炭+15米高排气筒（DA002）</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G4</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打磨</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颗粒物</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auto"/>
                      <w:szCs w:val="21"/>
                      <w:lang w:val="en-US" w:eastAsia="zh-CN"/>
                    </w:rPr>
                  </w:pPr>
                  <w:r>
                    <w:rPr>
                      <w:rFonts w:hint="eastAsia"/>
                      <w:bCs/>
                      <w:color w:val="auto"/>
                      <w:szCs w:val="21"/>
                      <w:lang w:val="en-US" w:eastAsia="zh-CN"/>
                    </w:rPr>
                    <w:t>湿式除尘</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G</w:t>
                  </w:r>
                  <w:r>
                    <w:rPr>
                      <w:rFonts w:hint="default"/>
                      <w:bCs/>
                      <w:color w:val="000000" w:themeColor="text1"/>
                      <w:szCs w:val="21"/>
                      <w14:textFill>
                        <w14:solidFill>
                          <w14:schemeClr w14:val="tx1"/>
                        </w14:solidFill>
                      </w14:textFill>
                    </w:rPr>
                    <w:t>5</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抛丸</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颗粒物</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auto"/>
                      <w:szCs w:val="21"/>
                      <w:lang w:val="en-US" w:eastAsia="zh-CN"/>
                    </w:rPr>
                  </w:pPr>
                  <w:r>
                    <w:rPr>
                      <w:rFonts w:hint="eastAsia"/>
                      <w:bCs/>
                      <w:color w:val="auto"/>
                      <w:szCs w:val="21"/>
                      <w:lang w:val="en-US" w:eastAsia="zh-CN"/>
                    </w:rPr>
                    <w:t>设备密闭+设备自带袋式除尘器+15米高排气筒（DA003）</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食堂</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油烟</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auto"/>
                      <w:szCs w:val="21"/>
                      <w:lang w:val="en-US" w:eastAsia="zh-CN"/>
                    </w:rPr>
                  </w:pPr>
                  <w:r>
                    <w:rPr>
                      <w:rFonts w:hint="eastAsia"/>
                      <w:bCs/>
                      <w:color w:val="auto"/>
                      <w:szCs w:val="21"/>
                      <w:lang w:val="en-US" w:eastAsia="zh-CN"/>
                    </w:rPr>
                    <w:t>油烟净化器处理后通过管道室外排放</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废水</w:t>
                  </w: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W1</w:t>
                  </w:r>
                </w:p>
              </w:tc>
              <w:tc>
                <w:tcPr>
                  <w:tcW w:w="896"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hAnsi="宋体" w:eastAsia="宋体"/>
                      <w:bCs/>
                      <w:color w:val="000000" w:themeColor="text1"/>
                      <w:szCs w:val="21"/>
                      <w:lang w:val="en-US" w:eastAsia="zh-CN"/>
                      <w14:textFill>
                        <w14:solidFill>
                          <w14:schemeClr w14:val="tx1"/>
                        </w14:solidFill>
                      </w14:textFill>
                    </w:rPr>
                  </w:pPr>
                  <w:r>
                    <w:rPr>
                      <w:rFonts w:hint="eastAsia" w:hAnsi="宋体"/>
                      <w:bCs/>
                      <w:color w:val="000000" w:themeColor="text1"/>
                      <w:szCs w:val="21"/>
                      <w:lang w:val="en-US" w:eastAsia="zh-CN"/>
                      <w14:textFill>
                        <w14:solidFill>
                          <w14:schemeClr w14:val="tx1"/>
                        </w14:solidFill>
                      </w14:textFill>
                    </w:rPr>
                    <w:t>脱膜剂使用</w:t>
                  </w:r>
                </w:p>
              </w:tc>
              <w:tc>
                <w:tcPr>
                  <w:tcW w:w="829"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COD、BOD5、SS、NH3-N</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石油类</w:t>
                  </w:r>
                </w:p>
              </w:tc>
              <w:tc>
                <w:tcPr>
                  <w:tcW w:w="1291"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eastAsia="宋体"/>
                      <w:color w:val="auto"/>
                      <w:szCs w:val="21"/>
                      <w:lang w:val="en-US" w:eastAsia="zh-CN"/>
                    </w:rPr>
                  </w:pPr>
                  <w:r>
                    <w:rPr>
                      <w:rFonts w:hint="eastAsia"/>
                      <w:color w:val="auto"/>
                      <w:szCs w:val="21"/>
                      <w:lang w:val="en-US" w:eastAsia="zh-CN"/>
                    </w:rPr>
                    <w:t>沉淀池沉淀后经脱模剂回收处理机处理回用</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W2</w:t>
                  </w:r>
                </w:p>
              </w:tc>
              <w:tc>
                <w:tcPr>
                  <w:tcW w:w="896"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eastAsia" w:hAnsi="宋体"/>
                      <w:bCs/>
                      <w:color w:val="000000" w:themeColor="text1"/>
                      <w:szCs w:val="21"/>
                      <w14:textFill>
                        <w14:solidFill>
                          <w14:schemeClr w14:val="tx1"/>
                        </w14:solidFill>
                      </w14:textFill>
                    </w:rPr>
                    <w:t>设备冷却</w:t>
                  </w:r>
                </w:p>
              </w:tc>
              <w:tc>
                <w:tcPr>
                  <w:tcW w:w="829"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COD、</w:t>
                  </w:r>
                  <w:r>
                    <w:rPr>
                      <w:rFonts w:hint="default"/>
                      <w:bCs/>
                      <w:color w:val="000000" w:themeColor="text1"/>
                      <w:szCs w:val="21"/>
                      <w14:textFill>
                        <w14:solidFill>
                          <w14:schemeClr w14:val="tx1"/>
                        </w14:solidFill>
                      </w14:textFill>
                    </w:rPr>
                    <w:t>NH</w:t>
                  </w:r>
                  <w:r>
                    <w:rPr>
                      <w:rFonts w:hint="default"/>
                      <w:bCs/>
                      <w:color w:val="000000" w:themeColor="text1"/>
                      <w:szCs w:val="21"/>
                      <w:vertAlign w:val="subscript"/>
                      <w14:textFill>
                        <w14:solidFill>
                          <w14:schemeClr w14:val="tx1"/>
                        </w14:solidFill>
                      </w14:textFill>
                    </w:rPr>
                    <w:t>3</w:t>
                  </w:r>
                  <w:r>
                    <w:rPr>
                      <w:rFonts w:hint="default"/>
                      <w:bCs/>
                      <w:color w:val="000000" w:themeColor="text1"/>
                      <w:szCs w:val="21"/>
                      <w14:textFill>
                        <w14:solidFill>
                          <w14:schemeClr w14:val="tx1"/>
                        </w14:solidFill>
                      </w14:textFill>
                    </w:rPr>
                    <w:t>-N</w:t>
                  </w:r>
                </w:p>
              </w:tc>
              <w:tc>
                <w:tcPr>
                  <w:tcW w:w="1291"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循环使用</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W3</w:t>
                  </w:r>
                </w:p>
              </w:tc>
              <w:tc>
                <w:tcPr>
                  <w:tcW w:w="896"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hAnsi="宋体" w:eastAsia="宋体"/>
                      <w:bCs/>
                      <w:color w:val="000000" w:themeColor="text1"/>
                      <w:szCs w:val="21"/>
                      <w:lang w:val="en-US" w:eastAsia="zh-CN"/>
                      <w14:textFill>
                        <w14:solidFill>
                          <w14:schemeClr w14:val="tx1"/>
                        </w14:solidFill>
                      </w14:textFill>
                    </w:rPr>
                  </w:pPr>
                  <w:r>
                    <w:rPr>
                      <w:rFonts w:hint="eastAsia" w:hAnsi="宋体"/>
                      <w:bCs/>
                      <w:color w:val="000000" w:themeColor="text1"/>
                      <w:szCs w:val="21"/>
                      <w:lang w:val="en-US" w:eastAsia="zh-CN"/>
                      <w14:textFill>
                        <w14:solidFill>
                          <w14:schemeClr w14:val="tx1"/>
                        </w14:solidFill>
                      </w14:textFill>
                    </w:rPr>
                    <w:t>打磨</w:t>
                  </w:r>
                </w:p>
              </w:tc>
              <w:tc>
                <w:tcPr>
                  <w:tcW w:w="829"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COD、BOD5、SS、NH3-N</w:t>
                  </w:r>
                </w:p>
              </w:tc>
              <w:tc>
                <w:tcPr>
                  <w:tcW w:w="1291"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eastAsia"/>
                      <w:color w:val="auto"/>
                      <w:szCs w:val="21"/>
                      <w:highlight w:val="none"/>
                      <w:lang w:val="en-US" w:eastAsia="zh-CN"/>
                    </w:rPr>
                  </w:pPr>
                  <w:r>
                    <w:rPr>
                      <w:rFonts w:hint="eastAsia"/>
                      <w:color w:val="auto"/>
                      <w:szCs w:val="21"/>
                      <w:highlight w:val="none"/>
                      <w:lang w:val="en-US" w:eastAsia="zh-CN"/>
                    </w:rPr>
                    <w:t>经过滤后循环使用</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生活污水</w:t>
                  </w:r>
                </w:p>
              </w:tc>
              <w:tc>
                <w:tcPr>
                  <w:tcW w:w="896"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员工生活</w:t>
                  </w:r>
                </w:p>
              </w:tc>
              <w:tc>
                <w:tcPr>
                  <w:tcW w:w="829"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default"/>
                      <w:bCs/>
                      <w:color w:val="000000" w:themeColor="text1"/>
                      <w:szCs w:val="21"/>
                      <w14:textFill>
                        <w14:solidFill>
                          <w14:schemeClr w14:val="tx1"/>
                        </w14:solidFill>
                      </w14:textFill>
                    </w:rPr>
                    <w:t>COD</w:t>
                  </w:r>
                  <w:r>
                    <w:rPr>
                      <w:rFonts w:hint="default" w:hAnsi="宋体"/>
                      <w:bCs/>
                      <w:color w:val="000000" w:themeColor="text1"/>
                      <w:szCs w:val="21"/>
                      <w14:textFill>
                        <w14:solidFill>
                          <w14:schemeClr w14:val="tx1"/>
                        </w14:solidFill>
                      </w14:textFill>
                    </w:rPr>
                    <w:t>、</w:t>
                  </w:r>
                  <w:r>
                    <w:rPr>
                      <w:rFonts w:hint="default"/>
                      <w:bCs/>
                      <w:color w:val="000000" w:themeColor="text1"/>
                      <w:szCs w:val="21"/>
                      <w14:textFill>
                        <w14:solidFill>
                          <w14:schemeClr w14:val="tx1"/>
                        </w14:solidFill>
                      </w14:textFill>
                    </w:rPr>
                    <w:t>BOD</w:t>
                  </w:r>
                  <w:r>
                    <w:rPr>
                      <w:rFonts w:hint="default"/>
                      <w:bCs/>
                      <w:color w:val="000000" w:themeColor="text1"/>
                      <w:szCs w:val="21"/>
                      <w:vertAlign w:val="subscript"/>
                      <w14:textFill>
                        <w14:solidFill>
                          <w14:schemeClr w14:val="tx1"/>
                        </w14:solidFill>
                      </w14:textFill>
                    </w:rPr>
                    <w:t>5</w:t>
                  </w:r>
                  <w:r>
                    <w:rPr>
                      <w:rFonts w:hint="default" w:hAnsi="宋体"/>
                      <w:bCs/>
                      <w:color w:val="000000" w:themeColor="text1"/>
                      <w:szCs w:val="21"/>
                      <w14:textFill>
                        <w14:solidFill>
                          <w14:schemeClr w14:val="tx1"/>
                        </w14:solidFill>
                      </w14:textFill>
                    </w:rPr>
                    <w:t>、</w:t>
                  </w:r>
                  <w:r>
                    <w:rPr>
                      <w:rFonts w:hint="default"/>
                      <w:bCs/>
                      <w:color w:val="000000" w:themeColor="text1"/>
                      <w:szCs w:val="21"/>
                      <w14:textFill>
                        <w14:solidFill>
                          <w14:schemeClr w14:val="tx1"/>
                        </w14:solidFill>
                      </w14:textFill>
                    </w:rPr>
                    <w:t>SS</w:t>
                  </w:r>
                  <w:r>
                    <w:rPr>
                      <w:rFonts w:hint="default" w:hAnsi="宋体"/>
                      <w:bCs/>
                      <w:color w:val="000000" w:themeColor="text1"/>
                      <w:szCs w:val="21"/>
                      <w14:textFill>
                        <w14:solidFill>
                          <w14:schemeClr w14:val="tx1"/>
                        </w14:solidFill>
                      </w14:textFill>
                    </w:rPr>
                    <w:t>、</w:t>
                  </w:r>
                  <w:r>
                    <w:rPr>
                      <w:rFonts w:hint="default"/>
                      <w:bCs/>
                      <w:color w:val="000000" w:themeColor="text1"/>
                      <w:szCs w:val="21"/>
                      <w14:textFill>
                        <w14:solidFill>
                          <w14:schemeClr w14:val="tx1"/>
                        </w14:solidFill>
                      </w14:textFill>
                    </w:rPr>
                    <w:t>NH</w:t>
                  </w:r>
                  <w:r>
                    <w:rPr>
                      <w:rFonts w:hint="default"/>
                      <w:bCs/>
                      <w:color w:val="000000" w:themeColor="text1"/>
                      <w:szCs w:val="21"/>
                      <w:vertAlign w:val="subscript"/>
                      <w14:textFill>
                        <w14:solidFill>
                          <w14:schemeClr w14:val="tx1"/>
                        </w14:solidFill>
                      </w14:textFill>
                    </w:rPr>
                    <w:t>3</w:t>
                  </w:r>
                  <w:r>
                    <w:rPr>
                      <w:rFonts w:hint="default"/>
                      <w:bCs/>
                      <w:color w:val="000000" w:themeColor="text1"/>
                      <w:szCs w:val="21"/>
                      <w14:textFill>
                        <w14:solidFill>
                          <w14:schemeClr w14:val="tx1"/>
                        </w14:solidFill>
                      </w14:textFill>
                    </w:rPr>
                    <w:t>-N</w:t>
                  </w:r>
                  <w:r>
                    <w:rPr>
                      <w:rFonts w:hint="eastAsia"/>
                      <w:bCs/>
                      <w:color w:val="000000" w:themeColor="text1"/>
                      <w:szCs w:val="21"/>
                      <w:lang w:eastAsia="zh-CN"/>
                      <w14:textFill>
                        <w14:solidFill>
                          <w14:schemeClr w14:val="tx1"/>
                        </w14:solidFill>
                      </w14:textFill>
                    </w:rPr>
                    <w:t>、</w:t>
                  </w:r>
                  <w:r>
                    <w:rPr>
                      <w:rFonts w:hint="eastAsia"/>
                      <w:bCs/>
                      <w:color w:val="000000" w:themeColor="text1"/>
                      <w:szCs w:val="21"/>
                      <w:lang w:val="en-US" w:eastAsia="zh-CN"/>
                      <w14:textFill>
                        <w14:solidFill>
                          <w14:schemeClr w14:val="tx1"/>
                        </w14:solidFill>
                      </w14:textFill>
                    </w:rPr>
                    <w:t>动植物油</w:t>
                  </w:r>
                </w:p>
              </w:tc>
              <w:tc>
                <w:tcPr>
                  <w:tcW w:w="1291"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隔油池+化粪池</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eastAsia"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噪声</w:t>
                  </w: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设备噪声</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设备运行</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机械噪声</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default" w:hAnsi="宋体"/>
                      <w:bCs/>
                      <w:color w:val="000000" w:themeColor="text1"/>
                      <w:szCs w:val="21"/>
                      <w:lang w:val="en-US" w:eastAsia="zh-CN"/>
                      <w14:textFill>
                        <w14:solidFill>
                          <w14:schemeClr w14:val="tx1"/>
                        </w14:solidFill>
                      </w14:textFill>
                    </w:rPr>
                    <w:t>选用低噪声设备，并安装减振垫</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固</w:t>
                  </w:r>
                  <w:r>
                    <w:rPr>
                      <w:rFonts w:hint="eastAsia"/>
                      <w:bCs/>
                      <w:color w:val="000000" w:themeColor="text1"/>
                      <w:szCs w:val="21"/>
                      <w14:textFill>
                        <w14:solidFill>
                          <w14:schemeClr w14:val="tx1"/>
                        </w14:solidFill>
                      </w14:textFill>
                    </w:rPr>
                    <w:t>废</w:t>
                  </w: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S1</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熔化</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eastAsia="宋体"/>
                      <w:color w:val="000000" w:themeColor="text1"/>
                      <w:szCs w:val="21"/>
                      <w:lang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炉渣</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2</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锯切</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eastAsia="宋体"/>
                      <w:color w:val="000000" w:themeColor="text1"/>
                      <w:szCs w:val="21"/>
                      <w:lang w:eastAsia="zh-CN"/>
                      <w14:textFill>
                        <w14:solidFill>
                          <w14:schemeClr w14:val="tx1"/>
                        </w14:solidFill>
                      </w14:textFill>
                    </w:rPr>
                  </w:pPr>
                  <w:r>
                    <w:rPr>
                      <w:rFonts w:hint="eastAsia" w:hAnsi="宋体"/>
                      <w:color w:val="000000" w:themeColor="text1"/>
                      <w:szCs w:val="21"/>
                      <w:lang w:val="en-US" w:eastAsia="zh-CN"/>
                      <w14:textFill>
                        <w14:solidFill>
                          <w14:schemeClr w14:val="tx1"/>
                        </w14:solidFill>
                      </w14:textFill>
                    </w:rPr>
                    <w:t>金属屑</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3</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检验</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不合格</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hAnsi="宋体"/>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4</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lang w:val="en-US" w:eastAsia="zh-CN"/>
                      <w14:textFill>
                        <w14:solidFill>
                          <w14:schemeClr w14:val="tx1"/>
                        </w14:solidFill>
                      </w14:textFill>
                    </w:rPr>
                    <w:t>抛丸</w:t>
                  </w:r>
                </w:p>
              </w:tc>
              <w:tc>
                <w:tcPr>
                  <w:tcW w:w="829"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废抛丸砂</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5</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color w:val="000000" w:themeColor="text1"/>
                      <w:szCs w:val="21"/>
                      <w:lang w:val="en-US" w:eastAsia="zh-CN"/>
                      <w14:textFill>
                        <w14:solidFill>
                          <w14:schemeClr w14:val="tx1"/>
                        </w14:solidFill>
                      </w14:textFill>
                    </w:rPr>
                    <w:t>打磨</w:t>
                  </w:r>
                </w:p>
              </w:tc>
              <w:tc>
                <w:tcPr>
                  <w:tcW w:w="829"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废</w:t>
                  </w:r>
                  <w:r>
                    <w:rPr>
                      <w:rFonts w:hint="eastAsia"/>
                      <w:color w:val="000000" w:themeColor="text1"/>
                      <w:szCs w:val="21"/>
                      <w:lang w:val="en-US" w:eastAsia="zh-CN"/>
                      <w14:textFill>
                        <w14:solidFill>
                          <w14:schemeClr w14:val="tx1"/>
                        </w14:solidFill>
                      </w14:textFill>
                    </w:rPr>
                    <w:t>砂轮带</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6</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打磨</w:t>
                  </w:r>
                </w:p>
              </w:tc>
              <w:tc>
                <w:tcPr>
                  <w:tcW w:w="829"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湿式除尘沉渣</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olor w:val="000000" w:themeColor="text1"/>
                      <w:szCs w:val="21"/>
                      <w14:textFill>
                        <w14:solidFill>
                          <w14:schemeClr w14:val="tx1"/>
                        </w14:solidFill>
                      </w14:textFill>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7</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压铸脱模</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废脱模剂桶</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8</w:t>
                  </w:r>
                </w:p>
              </w:tc>
              <w:tc>
                <w:tcPr>
                  <w:tcW w:w="896"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设备维护</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废液压油</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9</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eastAsia="宋体"/>
                      <w:bCs/>
                      <w:color w:val="000000" w:themeColor="text1"/>
                      <w:szCs w:val="21"/>
                      <w:lang w:val="en-US" w:eastAsia="zh-CN"/>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default"/>
                      <w:color w:val="000000" w:themeColor="text1"/>
                      <w:szCs w:val="21"/>
                      <w14:textFill>
                        <w14:solidFill>
                          <w14:schemeClr w14:val="tx1"/>
                        </w14:solidFill>
                      </w14:textFill>
                    </w:rPr>
                    <w:t>废</w:t>
                  </w:r>
                  <w:r>
                    <w:rPr>
                      <w:rFonts w:hint="eastAsia"/>
                      <w:color w:val="000000" w:themeColor="text1"/>
                      <w:szCs w:val="21"/>
                      <w:lang w:val="en-US" w:eastAsia="zh-CN"/>
                      <w14:textFill>
                        <w14:solidFill>
                          <w14:schemeClr w14:val="tx1"/>
                        </w14:solidFill>
                      </w14:textFill>
                    </w:rPr>
                    <w:t>润滑油</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default"/>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10</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hAnsi="宋体"/>
                      <w:color w:val="000000" w:themeColor="text1"/>
                      <w:szCs w:val="21"/>
                      <w14:textFill>
                        <w14:solidFill>
                          <w14:schemeClr w14:val="tx1"/>
                        </w14:solidFill>
                      </w14:textFill>
                    </w:rPr>
                    <w:t>废</w:t>
                  </w:r>
                  <w:r>
                    <w:rPr>
                      <w:rFonts w:hint="eastAsia" w:hAnsi="宋体"/>
                      <w:color w:val="000000" w:themeColor="text1"/>
                      <w:szCs w:val="21"/>
                      <w:lang w:val="en-US" w:eastAsia="zh-CN"/>
                      <w14:textFill>
                        <w14:solidFill>
                          <w14:schemeClr w14:val="tx1"/>
                        </w14:solidFill>
                      </w14:textFill>
                    </w:rPr>
                    <w:t>油桶</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11</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废含油手套、抹布</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eastAsia"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12</w:t>
                  </w:r>
                </w:p>
              </w:tc>
              <w:tc>
                <w:tcPr>
                  <w:tcW w:w="896"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lang w:val="en-US"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废水处理</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废脱模液沉渣</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000000" w:themeColor="text1"/>
                      <w:kern w:val="2"/>
                      <w:sz w:val="21"/>
                      <w:szCs w:val="21"/>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13</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bCs/>
                      <w:color w:val="000000" w:themeColor="text1"/>
                      <w:szCs w:val="21"/>
                      <w:lang w:val="en-US" w:eastAsia="zh-CN"/>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废脱模液</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auto"/>
                      <w:kern w:val="2"/>
                      <w:sz w:val="21"/>
                      <w:szCs w:val="21"/>
                      <w:lang w:val="en-US" w:eastAsia="zh-CN" w:bidi="ar-SA"/>
                    </w:rPr>
                  </w:pPr>
                  <w:r>
                    <w:rPr>
                      <w:rFonts w:hint="eastAsia" w:hAnsi="宋体"/>
                      <w:color w:val="auto"/>
                      <w:szCs w:val="21"/>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auto"/>
                      <w:kern w:val="2"/>
                      <w:sz w:val="21"/>
                      <w:szCs w:val="21"/>
                      <w:lang w:val="en-US" w:eastAsia="zh-CN" w:bidi="ar-SA"/>
                    </w:rPr>
                  </w:pPr>
                  <w:r>
                    <w:rPr>
                      <w:rFonts w:hint="default" w:hAnsi="宋体"/>
                      <w:bCs/>
                      <w:color w:val="auto"/>
                      <w:szCs w:val="21"/>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14</w:t>
                  </w:r>
                </w:p>
              </w:tc>
              <w:tc>
                <w:tcPr>
                  <w:tcW w:w="896"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r>
                    <w:rPr>
                      <w:rFonts w:hint="eastAsia"/>
                      <w:bCs/>
                      <w:color w:val="000000" w:themeColor="text1"/>
                      <w:szCs w:val="21"/>
                      <w:lang w:val="en-US" w:eastAsia="zh-CN"/>
                      <w14:textFill>
                        <w14:solidFill>
                          <w14:schemeClr w14:val="tx1"/>
                        </w14:solidFill>
                      </w14:textFill>
                    </w:rPr>
                    <w:t>废气处理</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废布袋</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000000" w:themeColor="text1"/>
                      <w:kern w:val="2"/>
                      <w:sz w:val="21"/>
                      <w:szCs w:val="21"/>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15</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eastAsia="宋体"/>
                      <w:bCs/>
                      <w:color w:val="000000" w:themeColor="text1"/>
                      <w:szCs w:val="21"/>
                      <w:lang w:eastAsia="zh-CN"/>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废活性炭</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000000" w:themeColor="text1"/>
                      <w:kern w:val="2"/>
                      <w:sz w:val="21"/>
                      <w:szCs w:val="21"/>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bCs/>
                      <w:color w:val="000000" w:themeColor="text1"/>
                      <w:szCs w:val="21"/>
                      <w14:textFill>
                        <w14:solidFill>
                          <w14:schemeClr w14:val="tx1"/>
                        </w14:solidFill>
                      </w14:textFill>
                    </w:rPr>
                    <w:t>S</w:t>
                  </w:r>
                  <w:r>
                    <w:rPr>
                      <w:rFonts w:hint="eastAsia"/>
                      <w:bCs/>
                      <w:color w:val="000000" w:themeColor="text1"/>
                      <w:szCs w:val="21"/>
                      <w:lang w:val="en-US" w:eastAsia="zh-CN"/>
                      <w14:textFill>
                        <w14:solidFill>
                          <w14:schemeClr w14:val="tx1"/>
                        </w14:solidFill>
                      </w14:textFill>
                    </w:rPr>
                    <w:t>16</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bCs/>
                      <w:color w:val="000000" w:themeColor="text1"/>
                      <w:szCs w:val="21"/>
                      <w:lang w:val="en-US" w:eastAsia="zh-CN"/>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金属粉尘</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hAnsi="宋体"/>
                      <w:color w:val="auto"/>
                      <w:szCs w:val="21"/>
                    </w:rPr>
                  </w:pPr>
                  <w:r>
                    <w:rPr>
                      <w:rFonts w:hint="eastAsia" w:hAnsi="宋体"/>
                      <w:color w:val="auto"/>
                      <w:szCs w:val="21"/>
                    </w:rPr>
                    <w:t>集中收集后外售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hAnsi="宋体"/>
                      <w:bCs/>
                      <w:color w:val="000000" w:themeColor="text1"/>
                      <w:szCs w:val="21"/>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t>S1</w:t>
                  </w:r>
                  <w:r>
                    <w:rPr>
                      <w:rFonts w:hint="eastAsia" w:cs="Times New Roman"/>
                      <w:bCs/>
                      <w:color w:val="000000" w:themeColor="text1"/>
                      <w:kern w:val="2"/>
                      <w:sz w:val="21"/>
                      <w:szCs w:val="21"/>
                      <w:lang w:val="en-US" w:eastAsia="zh-CN" w:bidi="ar-SA"/>
                      <w14:textFill>
                        <w14:solidFill>
                          <w14:schemeClr w14:val="tx1"/>
                        </w14:solidFill>
                      </w14:textFill>
                    </w:rPr>
                    <w:t>7</w:t>
                  </w:r>
                </w:p>
              </w:tc>
              <w:tc>
                <w:tcPr>
                  <w:tcW w:w="89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eastAsia"/>
                      <w:bCs/>
                      <w:color w:val="000000" w:themeColor="text1"/>
                      <w:szCs w:val="21"/>
                      <w:lang w:val="en-US" w:eastAsia="zh-CN"/>
                      <w14:textFill>
                        <w14:solidFill>
                          <w14:schemeClr w14:val="tx1"/>
                        </w14:solidFill>
                      </w14:textFill>
                    </w:rPr>
                  </w:pP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铝灰</w:t>
                  </w:r>
                </w:p>
              </w:tc>
              <w:tc>
                <w:tcPr>
                  <w:tcW w:w="1291"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宋体" w:eastAsia="宋体" w:cs="Times New Roman"/>
                      <w:color w:val="auto"/>
                      <w:kern w:val="2"/>
                      <w:sz w:val="21"/>
                      <w:szCs w:val="21"/>
                      <w:lang w:val="en-US" w:eastAsia="zh-CN" w:bidi="ar-SA"/>
                    </w:rPr>
                  </w:pPr>
                  <w:r>
                    <w:rPr>
                      <w:rFonts w:hint="eastAsia" w:hAnsi="宋体"/>
                      <w:color w:val="auto"/>
                      <w:szCs w:val="21"/>
                    </w:rPr>
                    <w:t>委托资质单位处置</w:t>
                  </w:r>
                </w:p>
              </w:tc>
              <w:tc>
                <w:tcPr>
                  <w:tcW w:w="89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宋体" w:eastAsia="宋体" w:cs="Times New Roman"/>
                      <w:bCs/>
                      <w:color w:val="000000" w:themeColor="text1"/>
                      <w:kern w:val="2"/>
                      <w:sz w:val="21"/>
                      <w:szCs w:val="21"/>
                      <w:lang w:val="en-US" w:eastAsia="zh-CN" w:bidi="ar-SA"/>
                      <w14:textFill>
                        <w14:solidFill>
                          <w14:schemeClr w14:val="tx1"/>
                        </w14:solidFill>
                      </w14:textFill>
                    </w:rPr>
                  </w:pPr>
                  <w:r>
                    <w:rPr>
                      <w:rFonts w:hint="default" w:hAnsi="宋体"/>
                      <w:bCs/>
                      <w:color w:val="000000" w:themeColor="text1"/>
                      <w:szCs w:val="21"/>
                      <w14:textFill>
                        <w14:solidFill>
                          <w14:schemeClr w14:val="tx1"/>
                        </w14:solidFill>
                      </w14:textFill>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42"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p>
              </w:tc>
              <w:tc>
                <w:tcPr>
                  <w:tcW w:w="544" w:type="pct"/>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生活垃圾</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职</w:t>
                  </w:r>
                  <w:r>
                    <w:rPr>
                      <w:rFonts w:hint="eastAsia"/>
                      <w:bCs/>
                      <w:color w:val="000000" w:themeColor="text1"/>
                      <w:szCs w:val="21"/>
                      <w14:textFill>
                        <w14:solidFill>
                          <w14:schemeClr w14:val="tx1"/>
                        </w14:solidFill>
                      </w14:textFill>
                    </w:rPr>
                    <w:t>工</w:t>
                  </w:r>
                  <w:r>
                    <w:rPr>
                      <w:rFonts w:hint="default"/>
                      <w:bCs/>
                      <w:color w:val="000000" w:themeColor="text1"/>
                      <w:szCs w:val="21"/>
                      <w14:textFill>
                        <w14:solidFill>
                          <w14:schemeClr w14:val="tx1"/>
                        </w14:solidFill>
                      </w14:textFill>
                    </w:rPr>
                    <w:t>生活</w:t>
                  </w:r>
                </w:p>
              </w:tc>
              <w:tc>
                <w:tcPr>
                  <w:tcW w:w="829"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生活垃圾</w:t>
                  </w:r>
                </w:p>
              </w:tc>
              <w:tc>
                <w:tcPr>
                  <w:tcW w:w="1291"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default"/>
                      <w:bCs/>
                      <w:color w:val="000000" w:themeColor="text1"/>
                      <w:szCs w:val="21"/>
                      <w14:textFill>
                        <w14:solidFill>
                          <w14:schemeClr w14:val="tx1"/>
                        </w14:solidFill>
                      </w14:textFill>
                    </w:rPr>
                    <w:t>环卫部门处理</w:t>
                  </w:r>
                </w:p>
              </w:tc>
              <w:tc>
                <w:tcPr>
                  <w:tcW w:w="896" w:type="pct"/>
                  <w:vAlign w:val="center"/>
                </w:tcPr>
                <w:p>
                  <w:pPr>
                    <w:keepNext w:val="0"/>
                    <w:keepLines w:val="0"/>
                    <w:suppressLineNumbers w:val="0"/>
                    <w:adjustRightInd w:val="0"/>
                    <w:snapToGrid w:val="0"/>
                    <w:spacing w:before="0" w:beforeAutospacing="0" w:after="0" w:afterAutospacing="0"/>
                    <w:ind w:left="0" w:right="0"/>
                    <w:jc w:val="center"/>
                    <w:rPr>
                      <w:rFonts w:hint="default"/>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间断</w:t>
                  </w:r>
                </w:p>
              </w:tc>
            </w:tr>
          </w:tbl>
          <w:p>
            <w:pPr>
              <w:keepNext w:val="0"/>
              <w:keepLines w:val="0"/>
              <w:suppressLineNumbers w:val="0"/>
              <w:autoSpaceDE w:val="0"/>
              <w:autoSpaceDN w:val="0"/>
              <w:adjustRightInd w:val="0"/>
              <w:snapToGrid w:val="0"/>
              <w:spacing w:before="0" w:beforeAutospacing="0" w:after="0" w:afterAutospacing="0"/>
              <w:ind w:left="0" w:right="0"/>
              <w:rPr>
                <w:rFonts w:hint="default" w:cs="宋体"/>
                <w:color w:val="0D0D0D" w:themeColor="text1" w:themeTint="F2"/>
                <w:kern w:val="0"/>
                <w:sz w:val="24"/>
                <w14:textFill>
                  <w14:solidFill>
                    <w14:schemeClr w14:val="tx1">
                      <w14:lumMod w14:val="95000"/>
                      <w14:lumOff w14:val="5000"/>
                    </w14:schemeClr>
                  </w14:solidFill>
                </w14:textFill>
              </w:rPr>
            </w:pPr>
          </w:p>
          <w:p>
            <w:pPr>
              <w:keepNext w:val="0"/>
              <w:keepLines w:val="0"/>
              <w:widowControl/>
              <w:suppressLineNumbers w:val="0"/>
              <w:spacing w:before="0" w:beforeAutospacing="0" w:after="0" w:afterAutospacing="0" w:line="360" w:lineRule="auto"/>
              <w:ind w:left="0" w:right="0"/>
              <w:rPr>
                <w:rFonts w:hint="default" w:cs="宋体"/>
                <w:color w:val="0D0D0D" w:themeColor="text1" w:themeTint="F2"/>
                <w:kern w:val="0"/>
                <w:sz w:val="24"/>
                <w14:textFill>
                  <w14:solidFill>
                    <w14:schemeClr w14:val="tx1">
                      <w14:lumMod w14:val="95000"/>
                      <w14:lumOff w14:val="5000"/>
                    </w14:schemeClr>
                  </w14:solidFill>
                </w14:textFill>
              </w:rPr>
            </w:pPr>
          </w:p>
          <w:p>
            <w:pPr>
              <w:keepNext w:val="0"/>
              <w:keepLines w:val="0"/>
              <w:widowControl/>
              <w:suppressLineNumbers w:val="0"/>
              <w:spacing w:before="0" w:beforeAutospacing="0" w:after="0" w:afterAutospacing="0" w:line="360" w:lineRule="auto"/>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p>
            <w:pPr>
              <w:keepNext w:val="0"/>
              <w:keepLines w:val="0"/>
              <w:widowControl/>
              <w:suppressLineNumbers w:val="0"/>
              <w:spacing w:before="0" w:beforeAutospacing="0" w:after="0" w:afterAutospacing="0" w:line="360" w:lineRule="auto"/>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p>
            <w:pPr>
              <w:keepNext w:val="0"/>
              <w:keepLines w:val="0"/>
              <w:widowControl/>
              <w:suppressLineNumbers w:val="0"/>
              <w:spacing w:before="0" w:beforeAutospacing="0" w:after="0" w:afterAutospacing="0" w:line="360" w:lineRule="auto"/>
              <w:ind w:left="0" w:right="0"/>
              <w:rPr>
                <w:rFonts w:hint="default" w:cs="宋体"/>
                <w:color w:val="0D0D0D" w:themeColor="text1" w:themeTint="F2"/>
                <w:kern w:val="0"/>
                <w:sz w:val="24"/>
                <w14:textFill>
                  <w14:solidFill>
                    <w14:schemeClr w14:val="tx1">
                      <w14:lumMod w14:val="95000"/>
                      <w14:lumOff w14:val="5000"/>
                    </w14:schemeClr>
                  </w14:solidFill>
                </w14:textFill>
              </w:rPr>
            </w:pPr>
          </w:p>
        </w:tc>
      </w:tr>
    </w:tbl>
    <w:tbl>
      <w:tblPr>
        <w:tblStyle w:val="59"/>
        <w:tblW w:w="9033"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56"/>
        <w:gridCol w:w="857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609" w:hRule="atLeast"/>
        </w:trPr>
        <w:tc>
          <w:tcPr>
            <w:tcW w:w="456" w:type="dxa"/>
            <w:shd w:val="clear" w:color="auto" w:fill="auto"/>
            <w:vAlign w:val="center"/>
          </w:tcPr>
          <w:p>
            <w:pPr>
              <w:keepNext w:val="0"/>
              <w:keepLines w:val="0"/>
              <w:suppressLineNumbers w:val="0"/>
              <w:spacing w:before="0" w:beforeAutospacing="0" w:after="0" w:afterAutospacing="0"/>
              <w:ind w:left="0" w:right="0"/>
              <w:jc w:val="center"/>
              <w:rPr>
                <w:rFonts w:hint="eastAsia" w:eastAsia="宋体" w:cs="宋体"/>
                <w:color w:val="0D0D0D" w:themeColor="text1" w:themeTint="F2"/>
                <w:sz w:val="24"/>
                <w:lang w:val="zh-CN" w:eastAsia="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ind w:left="0" w:right="0"/>
              <w:jc w:val="center"/>
              <w:rPr>
                <w:rFonts w:hint="default" w:cs="宋体"/>
                <w:color w:val="0D0D0D" w:themeColor="text1" w:themeTint="F2"/>
                <w:sz w:val="24"/>
                <w:lang w:val="zh-CN"/>
                <w14:textFill>
                  <w14:solidFill>
                    <w14:schemeClr w14:val="tx1">
                      <w14:lumMod w14:val="95000"/>
                      <w14:lumOff w14:val="5000"/>
                    </w14:schemeClr>
                  </w14:solidFill>
                </w14:textFill>
              </w:rPr>
            </w:pPr>
            <w:r>
              <w:rPr>
                <w:rFonts w:hint="eastAsia" w:cs="宋体"/>
                <w:color w:val="0D0D0D" w:themeColor="text1" w:themeTint="F2"/>
                <w:sz w:val="24"/>
                <w:lang w:val="zh-CN"/>
                <w14:textFill>
                  <w14:solidFill>
                    <w14:schemeClr w14:val="tx1">
                      <w14:lumMod w14:val="95000"/>
                      <w14:lumOff w14:val="5000"/>
                    </w14:schemeClr>
                  </w14:solidFill>
                </w14:textFill>
              </w:rPr>
              <w:t>与项目有关的原有环境污染问题</w:t>
            </w:r>
          </w:p>
        </w:tc>
        <w:tc>
          <w:tcPr>
            <w:tcW w:w="8577" w:type="dxa"/>
            <w:shd w:val="clear" w:color="auto" w:fill="auto"/>
          </w:tcPr>
          <w:p>
            <w:pPr>
              <w:keepNext w:val="0"/>
              <w:keepLines w:val="0"/>
              <w:suppressLineNumbers w:val="0"/>
              <w:tabs>
                <w:tab w:val="left" w:pos="5040"/>
              </w:tabs>
              <w:spacing w:before="0" w:beforeAutospacing="0" w:after="0" w:afterAutospacing="0"/>
              <w:ind w:left="0" w:right="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bookmarkStart w:id="3" w:name="_Hlk81862382"/>
            <w:r>
              <w:rPr>
                <w:rFonts w:hint="default" w:eastAsiaTheme="minorEastAsia"/>
                <w:color w:val="0D0D0D" w:themeColor="text1" w:themeTint="F2"/>
                <w:sz w:val="24"/>
                <w14:textFill>
                  <w14:solidFill>
                    <w14:schemeClr w14:val="tx1">
                      <w14:lumMod w14:val="95000"/>
                      <w14:lumOff w14:val="5000"/>
                    </w14:schemeClr>
                  </w14:solidFill>
                </w14:textFill>
              </w:rPr>
              <w:t>本项目为新建项目，位于</w:t>
            </w:r>
            <w:r>
              <w:rPr>
                <w:rFonts w:hint="default" w:eastAsiaTheme="minorEastAsia"/>
                <w:color w:val="0D0D0D" w:themeColor="text1" w:themeTint="F2"/>
                <w:sz w:val="24"/>
                <w:lang w:val="en-US" w:eastAsia="zh-CN"/>
                <w14:textFill>
                  <w14:solidFill>
                    <w14:schemeClr w14:val="tx1">
                      <w14:lumMod w14:val="95000"/>
                      <w14:lumOff w14:val="5000"/>
                    </w14:schemeClr>
                  </w14:solidFill>
                </w14:textFill>
              </w:rPr>
              <w:t>三山经济开发区创业路8号</w:t>
            </w:r>
            <w:r>
              <w:rPr>
                <w:rFonts w:hint="default" w:eastAsiaTheme="minorEastAsia"/>
                <w:color w:val="0D0D0D" w:themeColor="text1" w:themeTint="F2"/>
                <w:sz w:val="24"/>
                <w14:textFill>
                  <w14:solidFill>
                    <w14:schemeClr w14:val="tx1">
                      <w14:lumMod w14:val="95000"/>
                      <w14:lumOff w14:val="5000"/>
                    </w14:schemeClr>
                  </w14:solidFill>
                </w14:textFill>
              </w:rPr>
              <w:t>，租赁</w:t>
            </w:r>
            <w:r>
              <w:rPr>
                <w:rFonts w:hint="eastAsia" w:eastAsiaTheme="minorEastAsia"/>
                <w:color w:val="0D0D0D" w:themeColor="text1" w:themeTint="F2"/>
                <w:sz w:val="24"/>
                <w:lang w:val="en-US" w:eastAsia="zh-CN"/>
                <w14:textFill>
                  <w14:solidFill>
                    <w14:schemeClr w14:val="tx1">
                      <w14:lumMod w14:val="95000"/>
                      <w14:lumOff w14:val="5000"/>
                    </w14:schemeClr>
                  </w14:solidFill>
                </w14:textFill>
              </w:rPr>
              <w:t>芜湖闳润现代农业装备制造有限公司</w:t>
            </w:r>
            <w:r>
              <w:rPr>
                <w:rFonts w:hint="default" w:eastAsiaTheme="minorEastAsia"/>
                <w:color w:val="0D0D0D" w:themeColor="text1" w:themeTint="F2"/>
                <w:sz w:val="24"/>
                <w14:textFill>
                  <w14:solidFill>
                    <w14:schemeClr w14:val="tx1">
                      <w14:lumMod w14:val="95000"/>
                      <w14:lumOff w14:val="5000"/>
                    </w14:schemeClr>
                  </w14:solidFill>
                </w14:textFill>
              </w:rPr>
              <w:t>厂房。根据现场实地勘察</w:t>
            </w:r>
            <w:r>
              <w:rPr>
                <w:rFonts w:hint="default"/>
                <w:color w:val="0D0D0D" w:themeColor="text1" w:themeTint="F2"/>
                <w:sz w:val="24"/>
                <w14:textFill>
                  <w14:solidFill>
                    <w14:schemeClr w14:val="tx1">
                      <w14:lumMod w14:val="95000"/>
                      <w14:lumOff w14:val="5000"/>
                    </w14:schemeClr>
                  </w14:solidFill>
                </w14:textFill>
              </w:rPr>
              <w:t>，该厂房一直空置</w:t>
            </w:r>
            <w:r>
              <w:rPr>
                <w:rFonts w:hint="default"/>
                <w:color w:val="0D0D0D" w:themeColor="text1" w:themeTint="F2"/>
                <w:kern w:val="24"/>
                <w:sz w:val="24"/>
                <w14:textFill>
                  <w14:solidFill>
                    <w14:schemeClr w14:val="tx1">
                      <w14:lumMod w14:val="95000"/>
                      <w14:lumOff w14:val="5000"/>
                    </w14:schemeClr>
                  </w14:solidFill>
                </w14:textFill>
              </w:rPr>
              <w:t>。不存在原</w:t>
            </w:r>
            <w:r>
              <w:rPr>
                <w:rFonts w:hint="eastAsia" w:hAnsi="宋体"/>
                <w:color w:val="0D0D0D" w:themeColor="text1" w:themeTint="F2"/>
                <w:kern w:val="24"/>
                <w:sz w:val="24"/>
                <w14:textFill>
                  <w14:solidFill>
                    <w14:schemeClr w14:val="tx1">
                      <w14:lumMod w14:val="95000"/>
                      <w14:lumOff w14:val="5000"/>
                    </w14:schemeClr>
                  </w14:solidFill>
                </w14:textFill>
              </w:rPr>
              <w:t>有设备或原辅材料的存放，因此不存在环保遗留问题。</w:t>
            </w:r>
            <w:bookmarkEnd w:id="3"/>
          </w:p>
        </w:tc>
      </w:tr>
    </w:tbl>
    <w:p>
      <w:pPr>
        <w:pStyle w:val="54"/>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sectPr>
          <w:footerReference r:id="rId4" w:type="default"/>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p>
      <w:pPr>
        <w:pStyle w:val="54"/>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pPr>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三、区域环境质量现状、环境保护目标及评价标准</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00"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区域</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环境</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质量</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现状</w:t>
            </w:r>
          </w:p>
        </w:tc>
        <w:tc>
          <w:tcPr>
            <w:tcW w:w="8190" w:type="dxa"/>
            <w:vAlign w:val="center"/>
          </w:tcPr>
          <w:p>
            <w:pPr>
              <w:keepNext w:val="0"/>
              <w:keepLines w:val="0"/>
              <w:suppressLineNumbers w:val="0"/>
              <w:spacing w:before="120" w:beforeLines="5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1、区域大气环境质量现状</w:t>
            </w:r>
          </w:p>
          <w:p>
            <w:pPr>
              <w:keepNext w:val="0"/>
              <w:keepLines w:val="0"/>
              <w:suppressLineNumbers w:val="0"/>
              <w:spacing w:before="0" w:beforeAutospacing="0" w:after="0" w:afterAutospacing="0" w:line="360" w:lineRule="auto"/>
              <w:ind w:left="0" w:right="0" w:firstLine="482"/>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（1）空气质量达标区判定</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default"/>
                <w:sz w:val="24"/>
              </w:rPr>
              <w:t>根据芜湖市生态环境局网站公示的2022年度生态环境状况公报（https://sthjj.wuhu.gov.cn/hbyw/hjzl/hjzlgb/8409556..html）。全年环境空气优良天数为293天（其中，优84天，良209天），同比2021年减少17天，优良天数比例为80.3%，同比2021年下降4.6个百分点，污染天数为72天（其中，轻度污染65天，中度污染6天，重度污染1天，无严重污染天气）。</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default"/>
                <w:sz w:val="24"/>
              </w:rPr>
              <w:t>2022年，芜湖市以NO</w:t>
            </w:r>
            <w:r>
              <w:rPr>
                <w:rFonts w:hint="default"/>
                <w:sz w:val="24"/>
                <w:vertAlign w:val="subscript"/>
              </w:rPr>
              <w:t>2</w:t>
            </w:r>
            <w:r>
              <w:rPr>
                <w:rFonts w:hint="default"/>
                <w:sz w:val="24"/>
              </w:rPr>
              <w:t>为首要污染物的天数为12天，占比3.3%；以O</w:t>
            </w:r>
            <w:r>
              <w:rPr>
                <w:rFonts w:hint="default"/>
                <w:sz w:val="24"/>
                <w:vertAlign w:val="subscript"/>
              </w:rPr>
              <w:t>3</w:t>
            </w:r>
            <w:r>
              <w:rPr>
                <w:rFonts w:hint="default"/>
                <w:sz w:val="24"/>
              </w:rPr>
              <w:t>（日最大8小时滑动平均）为首要污染物的天数为183天，占比50.1%；以PM</w:t>
            </w:r>
            <w:r>
              <w:rPr>
                <w:rFonts w:hint="default"/>
                <w:sz w:val="24"/>
                <w:vertAlign w:val="subscript"/>
              </w:rPr>
              <w:t>10</w:t>
            </w:r>
            <w:r>
              <w:rPr>
                <w:rFonts w:hint="default"/>
                <w:sz w:val="24"/>
              </w:rPr>
              <w:t>为首要污染物的天数为24天，占比6.6%；以PM</w:t>
            </w:r>
            <w:r>
              <w:rPr>
                <w:rFonts w:hint="default"/>
                <w:sz w:val="24"/>
                <w:vertAlign w:val="subscript"/>
              </w:rPr>
              <w:t>2.5</w:t>
            </w:r>
            <w:r>
              <w:rPr>
                <w:rFonts w:hint="default"/>
                <w:sz w:val="24"/>
              </w:rPr>
              <w:t>为首要污染物的天数为66天，占比18.1%（部分天数同时存在多个首要污染物）。</w:t>
            </w:r>
          </w:p>
          <w:p>
            <w:pPr>
              <w:keepNext w:val="0"/>
              <w:keepLines w:val="0"/>
              <w:suppressLineNumbers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sz w:val="24"/>
              </w:rPr>
              <w:t>各项污染物指标监测结果：PM</w:t>
            </w:r>
            <w:r>
              <w:rPr>
                <w:rFonts w:hint="default"/>
                <w:sz w:val="24"/>
                <w:vertAlign w:val="subscript"/>
              </w:rPr>
              <w:t>2.5</w:t>
            </w:r>
            <w:r>
              <w:rPr>
                <w:rFonts w:hint="default"/>
                <w:sz w:val="24"/>
              </w:rPr>
              <w:t>年均值为34 μg/m</w:t>
            </w:r>
            <w:r>
              <w:rPr>
                <w:rFonts w:hint="default"/>
                <w:sz w:val="24"/>
                <w:vertAlign w:val="superscript"/>
              </w:rPr>
              <w:t>3</w:t>
            </w:r>
            <w:r>
              <w:rPr>
                <w:rFonts w:hint="default"/>
                <w:sz w:val="24"/>
              </w:rPr>
              <w:t>，同比持平，连续三年达到国家环境空气质量二级标准；PM</w:t>
            </w:r>
            <w:r>
              <w:rPr>
                <w:rFonts w:hint="default"/>
                <w:sz w:val="24"/>
                <w:vertAlign w:val="subscript"/>
              </w:rPr>
              <w:t>10</w:t>
            </w:r>
            <w:r>
              <w:rPr>
                <w:rFonts w:hint="default"/>
                <w:sz w:val="24"/>
              </w:rPr>
              <w:t>年均值为55 μg/m</w:t>
            </w:r>
            <w:r>
              <w:rPr>
                <w:rFonts w:hint="default"/>
                <w:sz w:val="24"/>
                <w:vertAlign w:val="superscript"/>
              </w:rPr>
              <w:t>3</w:t>
            </w:r>
            <w:r>
              <w:rPr>
                <w:rFonts w:hint="default"/>
                <w:sz w:val="24"/>
              </w:rPr>
              <w:t>，同比下降3.51%；NO</w:t>
            </w:r>
            <w:r>
              <w:rPr>
                <w:rFonts w:hint="default"/>
                <w:sz w:val="24"/>
                <w:vertAlign w:val="subscript"/>
              </w:rPr>
              <w:t>2</w:t>
            </w:r>
            <w:r>
              <w:rPr>
                <w:rFonts w:hint="default"/>
                <w:sz w:val="24"/>
              </w:rPr>
              <w:t>年均值为30 μg/m</w:t>
            </w:r>
            <w:r>
              <w:rPr>
                <w:rFonts w:hint="default"/>
                <w:sz w:val="24"/>
                <w:vertAlign w:val="superscript"/>
              </w:rPr>
              <w:t>3</w:t>
            </w:r>
            <w:r>
              <w:rPr>
                <w:rFonts w:hint="default"/>
                <w:sz w:val="24"/>
              </w:rPr>
              <w:t>，同比下降6.25%；SO</w:t>
            </w:r>
            <w:r>
              <w:rPr>
                <w:rFonts w:hint="default"/>
                <w:sz w:val="24"/>
                <w:vertAlign w:val="subscript"/>
              </w:rPr>
              <w:t>2</w:t>
            </w:r>
            <w:r>
              <w:rPr>
                <w:rFonts w:hint="default"/>
                <w:sz w:val="24"/>
              </w:rPr>
              <w:t>年均值为9 μg/m</w:t>
            </w:r>
            <w:r>
              <w:rPr>
                <w:rFonts w:hint="default"/>
                <w:sz w:val="24"/>
                <w:vertAlign w:val="superscript"/>
              </w:rPr>
              <w:t>3</w:t>
            </w:r>
            <w:r>
              <w:rPr>
                <w:rFonts w:hint="default"/>
                <w:sz w:val="24"/>
              </w:rPr>
              <w:t>，同比持平；CO日均值第95百分位数为1.0 mg/m</w:t>
            </w:r>
            <w:r>
              <w:rPr>
                <w:rFonts w:hint="default"/>
                <w:sz w:val="24"/>
                <w:vertAlign w:val="superscript"/>
              </w:rPr>
              <w:t>3</w:t>
            </w:r>
            <w:r>
              <w:rPr>
                <w:rFonts w:hint="default"/>
                <w:sz w:val="24"/>
              </w:rPr>
              <w:t>，同比下降9.09%，均达到国家环境空气质量一级标准；O</w:t>
            </w:r>
            <w:r>
              <w:rPr>
                <w:rFonts w:hint="default"/>
                <w:sz w:val="24"/>
                <w:vertAlign w:val="subscript"/>
              </w:rPr>
              <w:t>3</w:t>
            </w:r>
            <w:r>
              <w:rPr>
                <w:rFonts w:hint="default"/>
                <w:sz w:val="24"/>
              </w:rPr>
              <w:t>日最大8小时第90百分位数为162 μg/m</w:t>
            </w:r>
            <w:r>
              <w:rPr>
                <w:rFonts w:hint="default"/>
                <w:sz w:val="24"/>
                <w:vertAlign w:val="superscript"/>
              </w:rPr>
              <w:t>3</w:t>
            </w:r>
            <w:r>
              <w:rPr>
                <w:rFonts w:hint="default"/>
                <w:sz w:val="24"/>
              </w:rPr>
              <w:t>，同比上升6.58%。全市空气质量持续改善</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（2）其他污染物环境质量现状（引用数据）</w:t>
            </w:r>
          </w:p>
          <w:p>
            <w:pPr>
              <w:keepNext w:val="0"/>
              <w:keepLines w:val="0"/>
              <w:suppressLineNumbers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本项目非甲烷总烃引用周边</w:t>
            </w:r>
            <w:r>
              <w:rPr>
                <w:rFonts w:hint="default"/>
                <w:color w:val="0D0D0D" w:themeColor="text1" w:themeTint="F2"/>
                <w:sz w:val="24"/>
                <w14:textFill>
                  <w14:solidFill>
                    <w14:schemeClr w14:val="tx1">
                      <w14:lumMod w14:val="95000"/>
                      <w14:lumOff w14:val="5000"/>
                    </w14:schemeClr>
                  </w14:solidFill>
                </w14:textFill>
              </w:rPr>
              <w:t>5</w:t>
            </w:r>
            <w:r>
              <w:rPr>
                <w:rFonts w:hint="eastAsia"/>
                <w:color w:val="0D0D0D" w:themeColor="text1" w:themeTint="F2"/>
                <w:sz w:val="24"/>
                <w14:textFill>
                  <w14:solidFill>
                    <w14:schemeClr w14:val="tx1">
                      <w14:lumMod w14:val="95000"/>
                      <w14:lumOff w14:val="5000"/>
                    </w14:schemeClr>
                  </w14:solidFill>
                </w14:textFill>
              </w:rPr>
              <w:t>千米范围内近</w:t>
            </w:r>
            <w:r>
              <w:rPr>
                <w:rFonts w:hint="default"/>
                <w:color w:val="0D0D0D" w:themeColor="text1" w:themeTint="F2"/>
                <w:sz w:val="24"/>
                <w14:textFill>
                  <w14:solidFill>
                    <w14:schemeClr w14:val="tx1">
                      <w14:lumMod w14:val="95000"/>
                      <w14:lumOff w14:val="5000"/>
                    </w14:schemeClr>
                  </w14:solidFill>
                </w14:textFill>
              </w:rPr>
              <w:t>3</w:t>
            </w:r>
            <w:r>
              <w:rPr>
                <w:rFonts w:hint="eastAsia"/>
                <w:color w:val="0D0D0D" w:themeColor="text1" w:themeTint="F2"/>
                <w:sz w:val="24"/>
                <w14:textFill>
                  <w14:solidFill>
                    <w14:schemeClr w14:val="tx1">
                      <w14:lumMod w14:val="95000"/>
                      <w14:lumOff w14:val="5000"/>
                    </w14:schemeClr>
                  </w14:solidFill>
                </w14:textFill>
              </w:rPr>
              <w:t>年的现有监测数据（数据来源于</w:t>
            </w:r>
            <w:r>
              <w:rPr>
                <w:rFonts w:hint="eastAsia"/>
                <w:color w:val="0D0D0D" w:themeColor="text1" w:themeTint="F2"/>
                <w:sz w:val="24"/>
                <w:lang w:val="en-US" w:eastAsia="zh-CN"/>
                <w14:textFill>
                  <w14:solidFill>
                    <w14:schemeClr w14:val="tx1">
                      <w14:lumMod w14:val="95000"/>
                      <w14:lumOff w14:val="5000"/>
                    </w14:schemeClr>
                  </w14:solidFill>
                </w14:textFill>
              </w:rPr>
              <w:t>《安徽梅地亚包装印务有限公司年产5亿只环保包装袋智能化生产线项目环境影响报告书》中梅地亚公司监测点位</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firstLineChars="200"/>
              <w:rPr>
                <w:rFonts w:hint="default" w:hAnsi="宋体"/>
                <w:color w:val="0D0D0D" w:themeColor="text1" w:themeTint="F2"/>
                <w:sz w:val="24"/>
                <w14:textFill>
                  <w14:solidFill>
                    <w14:schemeClr w14:val="tx1">
                      <w14:lumMod w14:val="95000"/>
                      <w14:lumOff w14:val="5000"/>
                    </w14:schemeClr>
                  </w14:solidFill>
                </w14:textFill>
              </w:rPr>
            </w:pPr>
            <w:r>
              <w:rPr>
                <w:rFonts w:hint="default" w:hAnsi="宋体"/>
                <w:color w:val="0D0D0D" w:themeColor="text1" w:themeTint="F2"/>
                <w:sz w:val="24"/>
                <w14:textFill>
                  <w14:solidFill>
                    <w14:schemeClr w14:val="tx1">
                      <w14:lumMod w14:val="95000"/>
                      <w14:lumOff w14:val="5000"/>
                    </w14:schemeClr>
                  </w14:solidFill>
                </w14:textFill>
              </w:rPr>
              <w:t>监测点位信息见下表：</w:t>
            </w:r>
          </w:p>
          <w:p>
            <w:pPr>
              <w:keepNext w:val="0"/>
              <w:keepLines w:val="0"/>
              <w:suppressLineNumbers w:val="0"/>
              <w:spacing w:before="0" w:beforeAutospacing="0" w:after="0" w:afterAutospacing="0"/>
              <w:ind w:left="0" w:right="0" w:firstLine="482" w:firstLineChars="200"/>
              <w:jc w:val="center"/>
              <w:rPr>
                <w:rFonts w:hint="default"/>
                <w:b/>
                <w:bCs/>
                <w:color w:val="0D0D0D" w:themeColor="text1" w:themeTint="F2"/>
                <w:sz w:val="24"/>
                <w14:textFill>
                  <w14:solidFill>
                    <w14:schemeClr w14:val="tx1">
                      <w14:lumMod w14:val="95000"/>
                      <w14:lumOff w14:val="5000"/>
                    </w14:schemeClr>
                  </w14:solidFill>
                </w14:textFill>
              </w:rPr>
            </w:pPr>
            <w:r>
              <w:rPr>
                <w:rFonts w:hint="default" w:hAnsi="宋体"/>
                <w:b/>
                <w:bCs/>
                <w:color w:val="0D0D0D" w:themeColor="text1" w:themeTint="F2"/>
                <w:sz w:val="24"/>
                <w14:textFill>
                  <w14:solidFill>
                    <w14:schemeClr w14:val="tx1">
                      <w14:lumMod w14:val="95000"/>
                      <w14:lumOff w14:val="5000"/>
                    </w14:schemeClr>
                  </w14:solidFill>
                </w14:textFill>
              </w:rPr>
              <w:t>表</w:t>
            </w:r>
            <w:r>
              <w:rPr>
                <w:rFonts w:hint="eastAsia"/>
                <w:b/>
                <w:bCs/>
                <w:color w:val="0D0D0D" w:themeColor="text1" w:themeTint="F2"/>
                <w:sz w:val="24"/>
                <w14:textFill>
                  <w14:solidFill>
                    <w14:schemeClr w14:val="tx1">
                      <w14:lumMod w14:val="95000"/>
                      <w14:lumOff w14:val="5000"/>
                    </w14:schemeClr>
                  </w14:solidFill>
                </w14:textFill>
              </w:rPr>
              <w:t>3-</w:t>
            </w:r>
            <w:r>
              <w:rPr>
                <w:rFonts w:hint="default"/>
                <w:b/>
                <w:bCs/>
                <w:color w:val="0D0D0D" w:themeColor="text1" w:themeTint="F2"/>
                <w:sz w:val="24"/>
                <w14:textFill>
                  <w14:solidFill>
                    <w14:schemeClr w14:val="tx1">
                      <w14:lumMod w14:val="95000"/>
                      <w14:lumOff w14:val="5000"/>
                    </w14:schemeClr>
                  </w14:solidFill>
                </w14:textFill>
              </w:rPr>
              <w:t xml:space="preserve">1  </w:t>
            </w:r>
            <w:r>
              <w:rPr>
                <w:rFonts w:hint="default" w:hAnsi="宋体"/>
                <w:b/>
                <w:bCs/>
                <w:color w:val="0D0D0D" w:themeColor="text1" w:themeTint="F2"/>
                <w:sz w:val="24"/>
                <w14:textFill>
                  <w14:solidFill>
                    <w14:schemeClr w14:val="tx1">
                      <w14:lumMod w14:val="95000"/>
                      <w14:lumOff w14:val="5000"/>
                    </w14:schemeClr>
                  </w14:solidFill>
                </w14:textFill>
              </w:rPr>
              <w:t>监测点位基本信息</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111"/>
              <w:gridCol w:w="1940"/>
              <w:gridCol w:w="1796"/>
              <w:gridCol w:w="17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67"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点位</w:t>
                  </w:r>
                  <w:r>
                    <w:rPr>
                      <w:rFonts w:hint="default" w:hAnsi="Calibri"/>
                      <w:b/>
                      <w:bCs/>
                      <w:color w:val="0D0D0D" w:themeColor="text1" w:themeTint="F2"/>
                      <w:szCs w:val="21"/>
                      <w14:textFill>
                        <w14:solidFill>
                          <w14:schemeClr w14:val="tx1">
                            <w14:lumMod w14:val="95000"/>
                            <w14:lumOff w14:val="5000"/>
                          </w14:schemeClr>
                        </w14:solidFill>
                      </w14:textFill>
                    </w:rPr>
                    <w:t>名称</w:t>
                  </w:r>
                </w:p>
              </w:tc>
              <w:tc>
                <w:tcPr>
                  <w:tcW w:w="696"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监测</w:t>
                  </w:r>
                  <w:r>
                    <w:rPr>
                      <w:rFonts w:hint="default" w:hAnsi="Calibri"/>
                      <w:b/>
                      <w:bCs/>
                      <w:color w:val="0D0D0D" w:themeColor="text1" w:themeTint="F2"/>
                      <w:szCs w:val="21"/>
                      <w14:textFill>
                        <w14:solidFill>
                          <w14:schemeClr w14:val="tx1">
                            <w14:lumMod w14:val="95000"/>
                            <w14:lumOff w14:val="5000"/>
                          </w14:schemeClr>
                        </w14:solidFill>
                      </w14:textFill>
                    </w:rPr>
                    <w:t>因子</w:t>
                  </w:r>
                </w:p>
              </w:tc>
              <w:tc>
                <w:tcPr>
                  <w:tcW w:w="1215"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监测时段</w:t>
                  </w:r>
                </w:p>
              </w:tc>
              <w:tc>
                <w:tcPr>
                  <w:tcW w:w="1125"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相对本项目</w:t>
                  </w:r>
                  <w:r>
                    <w:rPr>
                      <w:rFonts w:hint="default" w:hAnsi="Calibri"/>
                      <w:b/>
                      <w:bCs/>
                      <w:color w:val="0D0D0D" w:themeColor="text1" w:themeTint="F2"/>
                      <w:szCs w:val="21"/>
                      <w14:textFill>
                        <w14:solidFill>
                          <w14:schemeClr w14:val="tx1">
                            <w14:lumMod w14:val="95000"/>
                            <w14:lumOff w14:val="5000"/>
                          </w14:schemeClr>
                        </w14:solidFill>
                      </w14:textFill>
                    </w:rPr>
                    <w:t>厂址方位</w:t>
                  </w:r>
                </w:p>
              </w:tc>
              <w:tc>
                <w:tcPr>
                  <w:tcW w:w="1095"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相对</w:t>
                  </w:r>
                  <w:r>
                    <w:rPr>
                      <w:rFonts w:hint="default" w:hAnsi="Calibri"/>
                      <w:b/>
                      <w:bCs/>
                      <w:color w:val="0D0D0D" w:themeColor="text1" w:themeTint="F2"/>
                      <w:szCs w:val="21"/>
                      <w14:textFill>
                        <w14:solidFill>
                          <w14:schemeClr w14:val="tx1">
                            <w14:lumMod w14:val="95000"/>
                            <w14:lumOff w14:val="5000"/>
                          </w14:schemeClr>
                        </w14:solidFill>
                      </w14:textFill>
                    </w:rPr>
                    <w:t>厂界距离</w:t>
                  </w:r>
                  <w:r>
                    <w:rPr>
                      <w:rFonts w:hint="default"/>
                      <w:b/>
                      <w:bCs/>
                      <w:color w:val="0D0D0D" w:themeColor="text1" w:themeTint="F2"/>
                      <w:szCs w:val="21"/>
                      <w14:textFill>
                        <w14:solidFill>
                          <w14:schemeClr w14:val="tx1">
                            <w14:lumMod w14:val="95000"/>
                            <w14:lumOff w14:val="5000"/>
                          </w14:schemeClr>
                        </w14:solidFill>
                      </w14:textFill>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67"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696"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1215"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1125"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1095"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867" w:type="pct"/>
                  <w:vAlign w:val="center"/>
                </w:tcPr>
                <w:p>
                  <w:pPr>
                    <w:keepNext w:val="0"/>
                    <w:keepLines w:val="0"/>
                    <w:suppressLineNumbers w:val="0"/>
                    <w:spacing w:before="0" w:beforeAutospacing="0" w:after="0" w:afterAutospacing="0"/>
                    <w:ind w:left="0" w:right="0"/>
                    <w:jc w:val="center"/>
                    <w:rPr>
                      <w:rFonts w:hint="default"/>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安徽梅地亚包装印务有限公司</w:t>
                  </w:r>
                </w:p>
              </w:tc>
              <w:tc>
                <w:tcPr>
                  <w:tcW w:w="696"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非甲烷总烃</w:t>
                  </w:r>
                </w:p>
              </w:tc>
              <w:tc>
                <w:tcPr>
                  <w:tcW w:w="1215"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202</w:t>
                  </w:r>
                  <w:r>
                    <w:rPr>
                      <w:rFonts w:hint="eastAsia"/>
                      <w:color w:val="0D0D0D" w:themeColor="text1" w:themeTint="F2"/>
                      <w:szCs w:val="21"/>
                      <w:lang w:val="en-US" w:eastAsia="zh-CN"/>
                      <w14:textFill>
                        <w14:solidFill>
                          <w14:schemeClr w14:val="tx1">
                            <w14:lumMod w14:val="95000"/>
                            <w14:lumOff w14:val="5000"/>
                          </w14:schemeClr>
                        </w14:solidFill>
                      </w14:textFill>
                    </w:rPr>
                    <w:t>2</w:t>
                  </w:r>
                  <w:r>
                    <w:rPr>
                      <w:rFonts w:hint="default" w:hAnsi="宋体"/>
                      <w:color w:val="0D0D0D" w:themeColor="text1" w:themeTint="F2"/>
                      <w:szCs w:val="21"/>
                      <w14:textFill>
                        <w14:solidFill>
                          <w14:schemeClr w14:val="tx1">
                            <w14:lumMod w14:val="95000"/>
                            <w14:lumOff w14:val="5000"/>
                          </w14:schemeClr>
                        </w14:solidFill>
                      </w14:textFill>
                    </w:rPr>
                    <w:t>年</w:t>
                  </w:r>
                  <w:r>
                    <w:rPr>
                      <w:rFonts w:hint="eastAsia"/>
                      <w:color w:val="0D0D0D" w:themeColor="text1" w:themeTint="F2"/>
                      <w:szCs w:val="21"/>
                      <w:lang w:val="en-US" w:eastAsia="zh-CN"/>
                      <w14:textFill>
                        <w14:solidFill>
                          <w14:schemeClr w14:val="tx1">
                            <w14:lumMod w14:val="95000"/>
                            <w14:lumOff w14:val="5000"/>
                          </w14:schemeClr>
                        </w14:solidFill>
                      </w14:textFill>
                    </w:rPr>
                    <w:t>4</w:t>
                  </w:r>
                  <w:r>
                    <w:rPr>
                      <w:rFonts w:hint="default" w:hAnsi="宋体"/>
                      <w:color w:val="0D0D0D" w:themeColor="text1" w:themeTint="F2"/>
                      <w:szCs w:val="21"/>
                      <w14:textFill>
                        <w14:solidFill>
                          <w14:schemeClr w14:val="tx1">
                            <w14:lumMod w14:val="95000"/>
                            <w14:lumOff w14:val="5000"/>
                          </w14:schemeClr>
                        </w14:solidFill>
                      </w14:textFill>
                    </w:rPr>
                    <w:t>月1</w:t>
                  </w:r>
                  <w:r>
                    <w:rPr>
                      <w:rFonts w:hint="eastAsia" w:hAnsi="宋体"/>
                      <w:color w:val="0D0D0D" w:themeColor="text1" w:themeTint="F2"/>
                      <w:szCs w:val="21"/>
                      <w:lang w:val="en-US" w:eastAsia="zh-CN"/>
                      <w14:textFill>
                        <w14:solidFill>
                          <w14:schemeClr w14:val="tx1">
                            <w14:lumMod w14:val="95000"/>
                            <w14:lumOff w14:val="5000"/>
                          </w14:schemeClr>
                        </w14:solidFill>
                      </w14:textFill>
                    </w:rPr>
                    <w:t>8</w:t>
                  </w:r>
                  <w:r>
                    <w:rPr>
                      <w:rFonts w:hint="default" w:hAnsi="宋体"/>
                      <w:color w:val="0D0D0D" w:themeColor="text1" w:themeTint="F2"/>
                      <w:szCs w:val="21"/>
                      <w14:textFill>
                        <w14:solidFill>
                          <w14:schemeClr w14:val="tx1">
                            <w14:lumMod w14:val="95000"/>
                            <w14:lumOff w14:val="5000"/>
                          </w14:schemeClr>
                        </w14:solidFill>
                      </w14:textFill>
                    </w:rPr>
                    <w:t>日</w:t>
                  </w:r>
                  <w:r>
                    <w:rPr>
                      <w:rFonts w:hint="default"/>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4</w:t>
                  </w:r>
                  <w:r>
                    <w:rPr>
                      <w:rFonts w:hint="eastAsia"/>
                      <w:color w:val="0D0D0D" w:themeColor="text1" w:themeTint="F2"/>
                      <w:szCs w:val="21"/>
                      <w14:textFill>
                        <w14:solidFill>
                          <w14:schemeClr w14:val="tx1">
                            <w14:lumMod w14:val="95000"/>
                            <w14:lumOff w14:val="5000"/>
                          </w14:schemeClr>
                        </w14:solidFill>
                      </w14:textFill>
                    </w:rPr>
                    <w:t>月</w:t>
                  </w:r>
                  <w:r>
                    <w:rPr>
                      <w:rFonts w:hint="default"/>
                      <w:color w:val="0D0D0D" w:themeColor="text1" w:themeTint="F2"/>
                      <w:szCs w:val="21"/>
                      <w14:textFill>
                        <w14:solidFill>
                          <w14:schemeClr w14:val="tx1">
                            <w14:lumMod w14:val="95000"/>
                            <w14:lumOff w14:val="5000"/>
                          </w14:schemeClr>
                        </w14:solidFill>
                      </w14:textFill>
                    </w:rPr>
                    <w:t>2</w:t>
                  </w:r>
                  <w:r>
                    <w:rPr>
                      <w:rFonts w:hint="eastAsia"/>
                      <w:color w:val="0D0D0D" w:themeColor="text1" w:themeTint="F2"/>
                      <w:szCs w:val="21"/>
                      <w:lang w:val="en-US" w:eastAsia="zh-CN"/>
                      <w14:textFill>
                        <w14:solidFill>
                          <w14:schemeClr w14:val="tx1">
                            <w14:lumMod w14:val="95000"/>
                            <w14:lumOff w14:val="5000"/>
                          </w14:schemeClr>
                        </w14:solidFill>
                      </w14:textFill>
                    </w:rPr>
                    <w:t>4</w:t>
                  </w:r>
                  <w:r>
                    <w:rPr>
                      <w:rFonts w:hint="default" w:hAnsi="宋体"/>
                      <w:color w:val="0D0D0D" w:themeColor="text1" w:themeTint="F2"/>
                      <w:szCs w:val="21"/>
                      <w14:textFill>
                        <w14:solidFill>
                          <w14:schemeClr w14:val="tx1">
                            <w14:lumMod w14:val="95000"/>
                            <w14:lumOff w14:val="5000"/>
                          </w14:schemeClr>
                        </w14:solidFill>
                      </w14:textFill>
                    </w:rPr>
                    <w:t>日</w:t>
                  </w:r>
                </w:p>
              </w:tc>
              <w:tc>
                <w:tcPr>
                  <w:tcW w:w="1125" w:type="pct"/>
                  <w:vAlign w:val="center"/>
                </w:tcPr>
                <w:p>
                  <w:pPr>
                    <w:keepNext w:val="0"/>
                    <w:keepLines w:val="0"/>
                    <w:suppressLineNumbers w:val="0"/>
                    <w:spacing w:before="0" w:beforeAutospacing="0" w:after="0" w:afterAutospacing="0"/>
                    <w:ind w:left="0" w:right="0"/>
                    <w:jc w:val="center"/>
                    <w:rPr>
                      <w:rFonts w:hint="default"/>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N</w:t>
                  </w:r>
                  <w:r>
                    <w:rPr>
                      <w:rFonts w:hint="eastAsia"/>
                      <w:color w:val="0D0D0D" w:themeColor="text1" w:themeTint="F2"/>
                      <w14:textFill>
                        <w14:solidFill>
                          <w14:schemeClr w14:val="tx1">
                            <w14:lumMod w14:val="95000"/>
                            <w14:lumOff w14:val="5000"/>
                          </w14:schemeClr>
                        </w14:solidFill>
                      </w14:textFill>
                    </w:rPr>
                    <w:t>W</w:t>
                  </w:r>
                </w:p>
              </w:tc>
              <w:tc>
                <w:tcPr>
                  <w:tcW w:w="1095" w:type="pct"/>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2700</w:t>
                  </w:r>
                </w:p>
              </w:tc>
            </w:tr>
          </w:tbl>
          <w:p>
            <w:pPr>
              <w:keepNext w:val="0"/>
              <w:keepLines w:val="0"/>
              <w:suppressLineNumbers w:val="0"/>
              <w:spacing w:before="0" w:beforeAutospacing="0" w:after="0" w:afterAutospacing="0" w:line="360" w:lineRule="auto"/>
              <w:ind w:left="0" w:right="0"/>
              <w:jc w:val="both"/>
              <w:rPr>
                <w:rFonts w:hint="eastAsia" w:ascii="宋体" w:hAnsi="宋体"/>
                <w:color w:val="0D0D0D" w:themeColor="text1" w:themeTint="F2"/>
                <w:sz w:val="24"/>
                <w:lang w:eastAsia="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jc w:val="both"/>
              <w:rPr>
                <w:rFonts w:hint="eastAsia" w:ascii="宋体" w:hAnsi="宋体" w:eastAsia="宋体"/>
                <w:color w:val="0D0D0D" w:themeColor="text1" w:themeTint="F2"/>
                <w:sz w:val="24"/>
                <w:lang w:eastAsia="zh-CN"/>
                <w14:textFill>
                  <w14:solidFill>
                    <w14:schemeClr w14:val="tx1">
                      <w14:lumMod w14:val="95000"/>
                      <w14:lumOff w14:val="5000"/>
                    </w14:schemeClr>
                  </w14:solidFill>
                </w14:textFill>
              </w:rPr>
            </w:pPr>
            <w:r>
              <w:rPr>
                <w:rFonts w:hint="default"/>
                <w:sz w:val="24"/>
              </w:rPr>
              <mc:AlternateContent>
                <mc:Choice Requires="wps">
                  <w:drawing>
                    <wp:anchor distT="0" distB="0" distL="114300" distR="114300" simplePos="0" relativeHeight="251660288" behindDoc="0" locked="0" layoutInCell="1" allowOverlap="1">
                      <wp:simplePos x="0" y="0"/>
                      <wp:positionH relativeFrom="column">
                        <wp:posOffset>599440</wp:posOffset>
                      </wp:positionH>
                      <wp:positionV relativeFrom="paragraph">
                        <wp:posOffset>773430</wp:posOffset>
                      </wp:positionV>
                      <wp:extent cx="752475" cy="314325"/>
                      <wp:effectExtent l="0" t="0" r="0" b="0"/>
                      <wp:wrapNone/>
                      <wp:docPr id="4" name="文本框 4"/>
                      <wp:cNvGraphicFramePr/>
                      <a:graphic xmlns:a="http://schemas.openxmlformats.org/drawingml/2006/main">
                        <a:graphicData uri="http://schemas.microsoft.com/office/word/2010/wordprocessingShape">
                          <wps:wsp>
                            <wps:cNvSpPr txBox="1"/>
                            <wps:spPr>
                              <a:xfrm>
                                <a:off x="0" y="0"/>
                                <a:ext cx="75247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0000"/>
                                      <w:lang w:val="en-US" w:eastAsia="zh-CN"/>
                                    </w:rPr>
                                  </w:pPr>
                                  <w:r>
                                    <w:rPr>
                                      <w:rFonts w:hint="eastAsia"/>
                                      <w:b/>
                                      <w:bCs/>
                                      <w:color w:val="FF0000"/>
                                      <w:lang w:val="en-US" w:eastAsia="zh-CN"/>
                                    </w:rPr>
                                    <w:t>监测点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2pt;margin-top:60.9pt;height:24.75pt;width:59.25pt;z-index:251660288;mso-width-relative:page;mso-height-relative:page;" filled="f" stroked="f" coordsize="21600,21600" o:gfxdata="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6Syl7NoAAAAKAQAADwAAAAAAAAABACAAAAAiAAAAZHJz&#10;L2Rvd25yZXYueG1sUEsBAhQAFAAAAAgAh07iQGQJwvA7AgAAZQQAAA4AAAAAAAAAAQAgAAAAKQEA&#10;AGRycy9lMm9Eb2MueG1sUEsFBgAAAAAGAAYAWQEAANYFAAAAAA==&#10;">
                      <v:fill on="f" focussize="0,0"/>
                      <v:stroke on="f" weight="0.5pt"/>
                      <v:imagedata o:title=""/>
                      <o:lock v:ext="edit" aspectratio="f"/>
                      <v:textbox>
                        <w:txbxContent>
                          <w:p>
                            <w:pPr>
                              <w:rPr>
                                <w:rFonts w:hint="default" w:eastAsia="宋体"/>
                                <w:b/>
                                <w:bCs/>
                                <w:color w:val="FF0000"/>
                                <w:lang w:val="en-US" w:eastAsia="zh-CN"/>
                              </w:rPr>
                            </w:pPr>
                            <w:r>
                              <w:rPr>
                                <w:rFonts w:hint="eastAsia"/>
                                <w:b/>
                                <w:bCs/>
                                <w:color w:val="FF0000"/>
                                <w:lang w:val="en-US" w:eastAsia="zh-CN"/>
                              </w:rPr>
                              <w:t>监测点</w:t>
                            </w:r>
                          </w:p>
                        </w:txbxContent>
                      </v:textbox>
                    </v:shape>
                  </w:pict>
                </mc:Fallback>
              </mc:AlternateContent>
            </w:r>
            <w:r>
              <w:rPr>
                <w:rFonts w:hint="default"/>
                <w:sz w:val="24"/>
              </w:rPr>
              <mc:AlternateContent>
                <mc:Choice Requires="wps">
                  <w:drawing>
                    <wp:anchor distT="0" distB="0" distL="114300" distR="114300" simplePos="0" relativeHeight="251659264" behindDoc="0" locked="0" layoutInCell="1" allowOverlap="1">
                      <wp:simplePos x="0" y="0"/>
                      <wp:positionH relativeFrom="column">
                        <wp:posOffset>4399915</wp:posOffset>
                      </wp:positionH>
                      <wp:positionV relativeFrom="paragraph">
                        <wp:posOffset>1811655</wp:posOffset>
                      </wp:positionV>
                      <wp:extent cx="752475" cy="314325"/>
                      <wp:effectExtent l="0" t="0" r="0" b="0"/>
                      <wp:wrapNone/>
                      <wp:docPr id="3" name="文本框 3"/>
                      <wp:cNvGraphicFramePr/>
                      <a:graphic xmlns:a="http://schemas.openxmlformats.org/drawingml/2006/main">
                        <a:graphicData uri="http://schemas.microsoft.com/office/word/2010/wordprocessingShape">
                          <wps:wsp>
                            <wps:cNvSpPr txBox="1"/>
                            <wps:spPr>
                              <a:xfrm>
                                <a:off x="5766435" y="3220085"/>
                                <a:ext cx="752475" cy="3143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color w:val="FF0000"/>
                                      <w:lang w:val="en-US" w:eastAsia="zh-CN"/>
                                    </w:rPr>
                                  </w:pPr>
                                  <w:r>
                                    <w:rPr>
                                      <w:rFonts w:hint="eastAsia"/>
                                      <w:b/>
                                      <w:bCs/>
                                      <w:color w:val="FF0000"/>
                                      <w:lang w:val="en-US" w:eastAsia="zh-CN"/>
                                    </w:rPr>
                                    <w:t>本项目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45pt;margin-top:142.65pt;height:24.75pt;width:59.25pt;z-index:251659264;mso-width-relative:page;mso-height-relative:page;" filled="f" stroked="f" coordsize="21600,21600" o:gfxdata="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GBQcencAAAACwEAAA8AAAAAAAAA&#10;AQAgAAAAIgAAAGRycy9kb3ducmV2LnhtbFBLAQIUABQAAAAIAIdO4kBEb5RcRgIAAHEEAAAOAAAA&#10;AAAAAAEAIAAAACsBAABkcnMvZTJvRG9jLnhtbFBLBQYAAAAABgAGAFkBAADjBQAAAAA=&#10;">
                      <v:fill on="f" focussize="0,0"/>
                      <v:stroke on="f" weight="0.5pt"/>
                      <v:imagedata o:title=""/>
                      <o:lock v:ext="edit" aspectratio="f"/>
                      <v:textbox>
                        <w:txbxContent>
                          <w:p>
                            <w:pPr>
                              <w:rPr>
                                <w:rFonts w:hint="default" w:eastAsia="宋体"/>
                                <w:b/>
                                <w:bCs/>
                                <w:color w:val="FF0000"/>
                                <w:lang w:val="en-US" w:eastAsia="zh-CN"/>
                              </w:rPr>
                            </w:pPr>
                            <w:r>
                              <w:rPr>
                                <w:rFonts w:hint="eastAsia"/>
                                <w:b/>
                                <w:bCs/>
                                <w:color w:val="FF0000"/>
                                <w:lang w:val="en-US" w:eastAsia="zh-CN"/>
                              </w:rPr>
                              <w:t>本项目</w:t>
                            </w:r>
                          </w:p>
                        </w:txbxContent>
                      </v:textbox>
                    </v:shape>
                  </w:pict>
                </mc:Fallback>
              </mc:AlternateContent>
            </w:r>
            <w:r>
              <w:rPr>
                <w:rFonts w:hint="eastAsia" w:ascii="宋体" w:hAnsi="宋体"/>
                <w:color w:val="0D0D0D" w:themeColor="text1" w:themeTint="F2"/>
                <w:sz w:val="24"/>
                <w:lang w:eastAsia="zh-CN"/>
                <w14:textFill>
                  <w14:solidFill>
                    <w14:schemeClr w14:val="tx1">
                      <w14:lumMod w14:val="95000"/>
                      <w14:lumOff w14:val="5000"/>
                    </w14:schemeClr>
                  </w14:solidFill>
                </w14:textFill>
              </w:rPr>
              <w:drawing>
                <wp:inline distT="0" distB="0" distL="114300" distR="114300">
                  <wp:extent cx="5055870" cy="2885440"/>
                  <wp:effectExtent l="0" t="0" r="11430" b="10160"/>
                  <wp:docPr id="1" name="图片 1" descr="d2b055761085b0fbcf6b8a604db4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2b055761085b0fbcf6b8a604db4a5a"/>
                          <pic:cNvPicPr>
                            <a:picLocks noChangeAspect="1"/>
                          </pic:cNvPicPr>
                        </pic:nvPicPr>
                        <pic:blipFill>
                          <a:blip r:embed="rId10"/>
                          <a:stretch>
                            <a:fillRect/>
                          </a:stretch>
                        </pic:blipFill>
                        <pic:spPr>
                          <a:xfrm>
                            <a:off x="0" y="0"/>
                            <a:ext cx="5055870" cy="2885440"/>
                          </a:xfrm>
                          <a:prstGeom prst="rect">
                            <a:avLst/>
                          </a:prstGeom>
                        </pic:spPr>
                      </pic:pic>
                    </a:graphicData>
                  </a:graphic>
                </wp:inline>
              </w:drawing>
            </w:r>
          </w:p>
          <w:p>
            <w:pPr>
              <w:keepNext w:val="0"/>
              <w:keepLines w:val="0"/>
              <w:suppressLineNumbers w:val="0"/>
              <w:spacing w:before="0" w:beforeAutospacing="0" w:after="0" w:afterAutospacing="0" w:line="360" w:lineRule="auto"/>
              <w:ind w:left="0" w:right="0" w:firstLine="482" w:firstLineChars="200"/>
              <w:jc w:val="center"/>
              <w:rPr>
                <w:rFonts w:hint="eastAsia" w:ascii="宋体" w:hAnsi="宋体"/>
                <w:b/>
                <w:bCs/>
                <w:color w:val="0D0D0D" w:themeColor="text1" w:themeTint="F2"/>
                <w:sz w:val="24"/>
                <w14:textFill>
                  <w14:solidFill>
                    <w14:schemeClr w14:val="tx1">
                      <w14:lumMod w14:val="95000"/>
                      <w14:lumOff w14:val="5000"/>
                    </w14:schemeClr>
                  </w14:solidFill>
                </w14:textFill>
              </w:rPr>
            </w:pPr>
            <w:r>
              <w:rPr>
                <w:rFonts w:hint="eastAsia" w:ascii="宋体" w:hAnsi="宋体"/>
                <w:b/>
                <w:bCs/>
                <w:color w:val="0D0D0D" w:themeColor="text1" w:themeTint="F2"/>
                <w:sz w:val="24"/>
                <w14:textFill>
                  <w14:solidFill>
                    <w14:schemeClr w14:val="tx1">
                      <w14:lumMod w14:val="95000"/>
                      <w14:lumOff w14:val="5000"/>
                    </w14:schemeClr>
                  </w14:solidFill>
                </w14:textFill>
              </w:rPr>
              <w:t>图3-1 监测点位与项目位置图</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监测</w:t>
            </w:r>
            <w:r>
              <w:rPr>
                <w:rFonts w:hint="default" w:ascii="宋体" w:hAnsi="宋体"/>
                <w:color w:val="0D0D0D" w:themeColor="text1" w:themeTint="F2"/>
                <w:sz w:val="24"/>
                <w14:textFill>
                  <w14:solidFill>
                    <w14:schemeClr w14:val="tx1">
                      <w14:lumMod w14:val="95000"/>
                      <w14:lumOff w14:val="5000"/>
                    </w14:schemeClr>
                  </w14:solidFill>
                </w14:textFill>
              </w:rPr>
              <w:t>结果见下表：</w:t>
            </w:r>
          </w:p>
          <w:p>
            <w:pPr>
              <w:keepNext w:val="0"/>
              <w:keepLines w:val="0"/>
              <w:suppressLineNumbers w:val="0"/>
              <w:spacing w:before="0" w:beforeAutospacing="0" w:after="0" w:afterAutospacing="0"/>
              <w:ind w:left="0" w:right="0" w:firstLine="482" w:firstLineChars="200"/>
              <w:jc w:val="center"/>
              <w:rPr>
                <w:rFonts w:hint="default" w:hAnsi="宋体"/>
                <w:b/>
                <w:bCs/>
                <w:color w:val="0D0D0D" w:themeColor="text1" w:themeTint="F2"/>
                <w:sz w:val="24"/>
                <w14:textFill>
                  <w14:solidFill>
                    <w14:schemeClr w14:val="tx1">
                      <w14:lumMod w14:val="95000"/>
                      <w14:lumOff w14:val="5000"/>
                    </w14:schemeClr>
                  </w14:solidFill>
                </w14:textFill>
              </w:rPr>
            </w:pPr>
            <w:r>
              <w:rPr>
                <w:rFonts w:hint="default" w:hAnsi="宋体"/>
                <w:b/>
                <w:bCs/>
                <w:color w:val="0D0D0D" w:themeColor="text1" w:themeTint="F2"/>
                <w:sz w:val="24"/>
                <w14:textFill>
                  <w14:solidFill>
                    <w14:schemeClr w14:val="tx1">
                      <w14:lumMod w14:val="95000"/>
                      <w14:lumOff w14:val="5000"/>
                    </w14:schemeClr>
                  </w14:solidFill>
                </w14:textFill>
              </w:rPr>
              <w:t>表</w:t>
            </w:r>
            <w:r>
              <w:rPr>
                <w:rFonts w:hint="eastAsia" w:hAnsi="宋体"/>
                <w:b/>
                <w:bCs/>
                <w:color w:val="0D0D0D" w:themeColor="text1" w:themeTint="F2"/>
                <w:sz w:val="24"/>
                <w14:textFill>
                  <w14:solidFill>
                    <w14:schemeClr w14:val="tx1">
                      <w14:lumMod w14:val="95000"/>
                      <w14:lumOff w14:val="5000"/>
                    </w14:schemeClr>
                  </w14:solidFill>
                </w14:textFill>
              </w:rPr>
              <w:t>3-</w:t>
            </w:r>
            <w:r>
              <w:rPr>
                <w:rFonts w:hint="default" w:hAnsi="宋体"/>
                <w:b/>
                <w:bCs/>
                <w:color w:val="0D0D0D" w:themeColor="text1" w:themeTint="F2"/>
                <w:sz w:val="24"/>
                <w14:textFill>
                  <w14:solidFill>
                    <w14:schemeClr w14:val="tx1">
                      <w14:lumMod w14:val="95000"/>
                      <w14:lumOff w14:val="5000"/>
                    </w14:schemeClr>
                  </w14:solidFill>
                </w14:textFill>
              </w:rPr>
              <w:t xml:space="preserve">2  </w:t>
            </w:r>
            <w:r>
              <w:rPr>
                <w:rFonts w:hint="eastAsia" w:hAnsi="宋体"/>
                <w:b/>
                <w:bCs/>
                <w:color w:val="0D0D0D" w:themeColor="text1" w:themeTint="F2"/>
                <w:sz w:val="24"/>
                <w14:textFill>
                  <w14:solidFill>
                    <w14:schemeClr w14:val="tx1">
                      <w14:lumMod w14:val="95000"/>
                      <w14:lumOff w14:val="5000"/>
                    </w14:schemeClr>
                  </w14:solidFill>
                </w14:textFill>
              </w:rPr>
              <w:t>非甲烷总烃</w:t>
            </w:r>
            <w:r>
              <w:rPr>
                <w:rFonts w:hint="default" w:hAnsi="宋体"/>
                <w:b/>
                <w:bCs/>
                <w:color w:val="0D0D0D" w:themeColor="text1" w:themeTint="F2"/>
                <w:sz w:val="24"/>
                <w14:textFill>
                  <w14:solidFill>
                    <w14:schemeClr w14:val="tx1">
                      <w14:lumMod w14:val="95000"/>
                      <w14:lumOff w14:val="5000"/>
                    </w14:schemeClr>
                  </w14:solidFill>
                </w14:textFill>
              </w:rPr>
              <w:t>环境质量现状一览表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990"/>
              <w:gridCol w:w="1219"/>
              <w:gridCol w:w="1412"/>
              <w:gridCol w:w="1690"/>
              <w:gridCol w:w="827"/>
              <w:gridCol w:w="10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4"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点位</w:t>
                  </w:r>
                  <w:r>
                    <w:rPr>
                      <w:rFonts w:hint="default" w:hAnsi="Calibri"/>
                      <w:b/>
                      <w:bCs/>
                      <w:color w:val="0D0D0D" w:themeColor="text1" w:themeTint="F2"/>
                      <w:szCs w:val="21"/>
                      <w14:textFill>
                        <w14:solidFill>
                          <w14:schemeClr w14:val="tx1">
                            <w14:lumMod w14:val="95000"/>
                            <w14:lumOff w14:val="5000"/>
                          </w14:schemeClr>
                        </w14:solidFill>
                      </w14:textFill>
                    </w:rPr>
                    <w:t>名称</w:t>
                  </w:r>
                </w:p>
              </w:tc>
              <w:tc>
                <w:tcPr>
                  <w:tcW w:w="620"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污染物</w:t>
                  </w:r>
                </w:p>
              </w:tc>
              <w:tc>
                <w:tcPr>
                  <w:tcW w:w="764"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平均时间</w:t>
                  </w:r>
                </w:p>
              </w:tc>
              <w:tc>
                <w:tcPr>
                  <w:tcW w:w="885"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评价标准（</w:t>
                  </w:r>
                  <w:r>
                    <w:rPr>
                      <w:rFonts w:hint="default"/>
                      <w:b/>
                      <w:bCs/>
                      <w:color w:val="0D0D0D" w:themeColor="text1" w:themeTint="F2"/>
                      <w:szCs w:val="21"/>
                      <w14:textFill>
                        <w14:solidFill>
                          <w14:schemeClr w14:val="tx1">
                            <w14:lumMod w14:val="95000"/>
                            <w14:lumOff w14:val="5000"/>
                          </w14:schemeClr>
                        </w14:solidFill>
                      </w14:textFill>
                    </w:rPr>
                    <w:t>ug/m³</w:t>
                  </w:r>
                  <w:r>
                    <w:rPr>
                      <w:rFonts w:hint="default" w:hAnsi="宋体"/>
                      <w:b/>
                      <w:bCs/>
                      <w:color w:val="0D0D0D" w:themeColor="text1" w:themeTint="F2"/>
                      <w:szCs w:val="21"/>
                      <w14:textFill>
                        <w14:solidFill>
                          <w14:schemeClr w14:val="tx1">
                            <w14:lumMod w14:val="95000"/>
                            <w14:lumOff w14:val="5000"/>
                          </w14:schemeClr>
                        </w14:solidFill>
                      </w14:textFill>
                    </w:rPr>
                    <w:t>）</w:t>
                  </w:r>
                </w:p>
              </w:tc>
              <w:tc>
                <w:tcPr>
                  <w:tcW w:w="1059"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监测浓度范围（</w:t>
                  </w:r>
                  <w:r>
                    <w:rPr>
                      <w:rFonts w:hint="default"/>
                      <w:b/>
                      <w:bCs/>
                      <w:color w:val="0D0D0D" w:themeColor="text1" w:themeTint="F2"/>
                      <w:szCs w:val="21"/>
                      <w14:textFill>
                        <w14:solidFill>
                          <w14:schemeClr w14:val="tx1">
                            <w14:lumMod w14:val="95000"/>
                            <w14:lumOff w14:val="5000"/>
                          </w14:schemeClr>
                        </w14:solidFill>
                      </w14:textFill>
                    </w:rPr>
                    <w:t>mg/m³</w:t>
                  </w:r>
                  <w:r>
                    <w:rPr>
                      <w:rFonts w:hint="default" w:hAnsi="宋体"/>
                      <w:b/>
                      <w:bCs/>
                      <w:color w:val="0D0D0D" w:themeColor="text1" w:themeTint="F2"/>
                      <w:szCs w:val="21"/>
                      <w14:textFill>
                        <w14:solidFill>
                          <w14:schemeClr w14:val="tx1">
                            <w14:lumMod w14:val="95000"/>
                            <w14:lumOff w14:val="5000"/>
                          </w14:schemeClr>
                        </w14:solidFill>
                      </w14:textFill>
                    </w:rPr>
                    <w:t>）</w:t>
                  </w:r>
                </w:p>
              </w:tc>
              <w:tc>
                <w:tcPr>
                  <w:tcW w:w="518"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超标率</w:t>
                  </w:r>
                  <w:r>
                    <w:rPr>
                      <w:rFonts w:hint="default"/>
                      <w:b/>
                      <w:bCs/>
                      <w:color w:val="0D0D0D" w:themeColor="text1" w:themeTint="F2"/>
                      <w:szCs w:val="21"/>
                      <w14:textFill>
                        <w14:solidFill>
                          <w14:schemeClr w14:val="tx1">
                            <w14:lumMod w14:val="95000"/>
                            <w14:lumOff w14:val="5000"/>
                          </w14:schemeClr>
                        </w14:solidFill>
                      </w14:textFill>
                    </w:rPr>
                    <w:t>%</w:t>
                  </w:r>
                </w:p>
              </w:tc>
              <w:tc>
                <w:tcPr>
                  <w:tcW w:w="640" w:type="pct"/>
                  <w:vMerge w:val="restart"/>
                  <w:vAlign w:val="center"/>
                </w:tcPr>
                <w:p>
                  <w:pPr>
                    <w:keepNext w:val="0"/>
                    <w:keepLines w:val="0"/>
                    <w:suppressLineNumbers w:val="0"/>
                    <w:spacing w:before="0" w:beforeAutospacing="0" w:after="0" w:afterAutospacing="0"/>
                    <w:ind w:left="0" w:right="0"/>
                    <w:jc w:val="center"/>
                    <w:rPr>
                      <w:rFonts w:hint="default"/>
                      <w:b/>
                      <w:bCs/>
                      <w:color w:val="0D0D0D" w:themeColor="text1" w:themeTint="F2"/>
                      <w:szCs w:val="21"/>
                      <w14:textFill>
                        <w14:solidFill>
                          <w14:schemeClr w14:val="tx1">
                            <w14:lumMod w14:val="95000"/>
                            <w14:lumOff w14:val="5000"/>
                          </w14:schemeClr>
                        </w14:solidFill>
                      </w14:textFill>
                    </w:rPr>
                  </w:pPr>
                  <w:r>
                    <w:rPr>
                      <w:rFonts w:hint="default" w:hAnsi="宋体"/>
                      <w:b/>
                      <w:bCs/>
                      <w:color w:val="0D0D0D" w:themeColor="text1" w:themeTint="F2"/>
                      <w:szCs w:val="21"/>
                      <w14:textFill>
                        <w14:solidFill>
                          <w14:schemeClr w14:val="tx1">
                            <w14:lumMod w14:val="95000"/>
                            <w14:lumOff w14:val="5000"/>
                          </w14:schemeClr>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4"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620"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764"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885"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1059"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518"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c>
                <w:tcPr>
                  <w:tcW w:w="640" w:type="pct"/>
                  <w:vMerge w:val="continue"/>
                  <w:vAlign w:val="center"/>
                </w:tcPr>
                <w:p>
                  <w:pPr>
                    <w:keepNext w:val="0"/>
                    <w:keepLines w:val="0"/>
                    <w:suppressLineNumbers w:val="0"/>
                    <w:spacing w:before="0" w:beforeAutospacing="0" w:after="0" w:afterAutospacing="0"/>
                    <w:ind w:left="0" w:right="0"/>
                    <w:rPr>
                      <w:rFonts w:hint="default"/>
                      <w:b/>
                      <w:bCs/>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4" w:type="pct"/>
                  <w:vAlign w:val="center"/>
                </w:tcPr>
                <w:p>
                  <w:pPr>
                    <w:keepNext w:val="0"/>
                    <w:keepLines w:val="0"/>
                    <w:suppressLineNumbers w:val="0"/>
                    <w:spacing w:before="0" w:beforeAutospacing="0" w:after="0" w:afterAutospacing="0"/>
                    <w:ind w:left="0" w:right="0"/>
                    <w:jc w:val="center"/>
                    <w:rPr>
                      <w:rFonts w:hint="default"/>
                      <w:color w:val="0D0D0D" w:themeColor="text1" w:themeTint="F2"/>
                      <w14:textFill>
                        <w14:solidFill>
                          <w14:schemeClr w14:val="tx1">
                            <w14:lumMod w14:val="95000"/>
                            <w14:lumOff w14:val="5000"/>
                          </w14:schemeClr>
                        </w14:solidFill>
                      </w14:textFill>
                    </w:rPr>
                  </w:pPr>
                  <w:r>
                    <w:rPr>
                      <w:rFonts w:hint="eastAsia"/>
                      <w:color w:val="0D0D0D" w:themeColor="text1" w:themeTint="F2"/>
                      <w:lang w:val="en-US" w:eastAsia="zh-CN"/>
                      <w14:textFill>
                        <w14:solidFill>
                          <w14:schemeClr w14:val="tx1">
                            <w14:lumMod w14:val="95000"/>
                            <w14:lumOff w14:val="5000"/>
                          </w14:schemeClr>
                        </w14:solidFill>
                      </w14:textFill>
                    </w:rPr>
                    <w:t>安徽梅地亚包装印务有限公司</w:t>
                  </w:r>
                </w:p>
              </w:tc>
              <w:tc>
                <w:tcPr>
                  <w:tcW w:w="620"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非甲烷总烃</w:t>
                  </w:r>
                </w:p>
              </w:tc>
              <w:tc>
                <w:tcPr>
                  <w:tcW w:w="764"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小时浓度</w:t>
                  </w:r>
                </w:p>
              </w:tc>
              <w:tc>
                <w:tcPr>
                  <w:tcW w:w="885"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2</w:t>
                  </w:r>
                </w:p>
              </w:tc>
              <w:tc>
                <w:tcPr>
                  <w:tcW w:w="1059"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19</w:t>
                  </w:r>
                  <w:r>
                    <w:rPr>
                      <w:rFonts w:hint="eastAsia"/>
                      <w:color w:val="0D0D0D" w:themeColor="text1" w:themeTint="F2"/>
                      <w:szCs w:val="21"/>
                      <w14:textFill>
                        <w14:solidFill>
                          <w14:schemeClr w14:val="tx1">
                            <w14:lumMod w14:val="95000"/>
                            <w14:lumOff w14:val="5000"/>
                          </w14:schemeClr>
                        </w14:solidFill>
                      </w14:textFill>
                    </w:rPr>
                    <w:t>~</w:t>
                  </w: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3</w:t>
                  </w:r>
                  <w:r>
                    <w:rPr>
                      <w:rFonts w:hint="default"/>
                      <w:color w:val="0D0D0D" w:themeColor="text1" w:themeTint="F2"/>
                      <w:szCs w:val="21"/>
                      <w14:textFill>
                        <w14:solidFill>
                          <w14:schemeClr w14:val="tx1">
                            <w14:lumMod w14:val="95000"/>
                            <w14:lumOff w14:val="5000"/>
                          </w14:schemeClr>
                        </w14:solidFill>
                      </w14:textFill>
                    </w:rPr>
                    <w:t>7</w:t>
                  </w:r>
                </w:p>
              </w:tc>
              <w:tc>
                <w:tcPr>
                  <w:tcW w:w="518"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p>
              </w:tc>
              <w:tc>
                <w:tcPr>
                  <w:tcW w:w="640"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hAnsi="宋体"/>
                      <w:color w:val="0D0D0D" w:themeColor="text1" w:themeTint="F2"/>
                      <w:szCs w:val="21"/>
                      <w14:textFill>
                        <w14:solidFill>
                          <w14:schemeClr w14:val="tx1">
                            <w14:lumMod w14:val="95000"/>
                            <w14:lumOff w14:val="5000"/>
                          </w14:schemeClr>
                        </w14:solidFill>
                      </w14:textFill>
                    </w:rPr>
                    <w:t>达标</w:t>
                  </w:r>
                </w:p>
              </w:tc>
            </w:tr>
          </w:tbl>
          <w:p>
            <w:pPr>
              <w:keepNext w:val="0"/>
              <w:keepLines w:val="0"/>
              <w:suppressLineNumbers w:val="0"/>
              <w:spacing w:before="0" w:beforeAutospacing="0" w:after="0" w:afterAutospacing="0" w:line="360" w:lineRule="auto"/>
              <w:ind w:left="0" w:right="0" w:firstLine="480" w:firstLineChars="200"/>
              <w:rPr>
                <w:rFonts w:hint="default" w:hAnsi="宋体"/>
                <w:color w:val="0D0D0D" w:themeColor="text1" w:themeTint="F2"/>
                <w:sz w:val="24"/>
                <w14:textFill>
                  <w14:solidFill>
                    <w14:schemeClr w14:val="tx1">
                      <w14:lumMod w14:val="95000"/>
                      <w14:lumOff w14:val="5000"/>
                    </w14:schemeClr>
                  </w14:solidFill>
                </w14:textFill>
              </w:rPr>
            </w:pPr>
            <w:r>
              <w:rPr>
                <w:rFonts w:hint="default" w:hAnsi="宋体"/>
                <w:color w:val="0D0D0D" w:themeColor="text1" w:themeTint="F2"/>
                <w:sz w:val="24"/>
                <w14:textFill>
                  <w14:solidFill>
                    <w14:schemeClr w14:val="tx1">
                      <w14:lumMod w14:val="95000"/>
                      <w14:lumOff w14:val="5000"/>
                    </w14:schemeClr>
                  </w14:solidFill>
                </w14:textFill>
              </w:rPr>
              <w:t>由上表可知，项目所在区域</w:t>
            </w:r>
            <w:r>
              <w:rPr>
                <w:rFonts w:hint="eastAsia" w:hAnsi="宋体"/>
                <w:color w:val="0D0D0D" w:themeColor="text1" w:themeTint="F2"/>
                <w:sz w:val="24"/>
                <w14:textFill>
                  <w14:solidFill>
                    <w14:schemeClr w14:val="tx1">
                      <w14:lumMod w14:val="95000"/>
                      <w14:lumOff w14:val="5000"/>
                    </w14:schemeClr>
                  </w14:solidFill>
                </w14:textFill>
              </w:rPr>
              <w:t>非甲烷总烃</w:t>
            </w:r>
            <w:r>
              <w:rPr>
                <w:rFonts w:hint="default" w:hAnsi="宋体"/>
                <w:color w:val="0D0D0D" w:themeColor="text1" w:themeTint="F2"/>
                <w:sz w:val="24"/>
                <w14:textFill>
                  <w14:solidFill>
                    <w14:schemeClr w14:val="tx1">
                      <w14:lumMod w14:val="95000"/>
                      <w14:lumOff w14:val="5000"/>
                    </w14:schemeClr>
                  </w14:solidFill>
                </w14:textFill>
              </w:rPr>
              <w:t>小时浓度值满足</w:t>
            </w:r>
            <w:r>
              <w:rPr>
                <w:rFonts w:hint="eastAsia" w:hAnsi="宋体"/>
                <w:color w:val="0D0D0D" w:themeColor="text1" w:themeTint="F2"/>
                <w:sz w:val="24"/>
                <w14:textFill>
                  <w14:solidFill>
                    <w14:schemeClr w14:val="tx1">
                      <w14:lumMod w14:val="95000"/>
                      <w14:lumOff w14:val="5000"/>
                    </w14:schemeClr>
                  </w14:solidFill>
                </w14:textFill>
              </w:rPr>
              <w:t>《大气污染物综合排放标准详解》中</w:t>
            </w:r>
            <w:r>
              <w:rPr>
                <w:rFonts w:hint="default" w:hAnsi="宋体"/>
                <w:color w:val="0D0D0D" w:themeColor="text1" w:themeTint="F2"/>
                <w:sz w:val="24"/>
                <w14:textFill>
                  <w14:solidFill>
                    <w14:schemeClr w14:val="tx1">
                      <w14:lumMod w14:val="95000"/>
                      <w14:lumOff w14:val="5000"/>
                    </w14:schemeClr>
                  </w14:solidFill>
                </w14:textFill>
              </w:rPr>
              <w:t>标准值。</w:t>
            </w:r>
          </w:p>
          <w:p>
            <w:pPr>
              <w:keepNext w:val="0"/>
              <w:keepLines w:val="0"/>
              <w:widowControl/>
              <w:suppressLineNumbers w:val="0"/>
              <w:spacing w:before="0" w:beforeAutospacing="0" w:after="0" w:afterAutospacing="0" w:line="360" w:lineRule="auto"/>
              <w:ind w:left="0" w:right="0" w:firstLine="458" w:firstLineChars="190"/>
              <w:jc w:val="left"/>
              <w:rPr>
                <w:rFonts w:hint="default"/>
                <w:b/>
                <w:bCs/>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2、</w:t>
            </w:r>
            <w:r>
              <w:rPr>
                <w:rFonts w:hint="default"/>
                <w:b/>
                <w:bCs/>
                <w:color w:val="0D0D0D" w:themeColor="text1" w:themeTint="F2"/>
                <w:kern w:val="0"/>
                <w:sz w:val="24"/>
                <w14:textFill>
                  <w14:solidFill>
                    <w14:schemeClr w14:val="tx1">
                      <w14:lumMod w14:val="95000"/>
                      <w14:lumOff w14:val="5000"/>
                    </w14:schemeClr>
                  </w14:solidFill>
                </w14:textFill>
              </w:rPr>
              <w:t>地表水环境质量现状</w:t>
            </w:r>
          </w:p>
          <w:p>
            <w:pPr>
              <w:keepNext w:val="0"/>
              <w:keepLines w:val="0"/>
              <w:suppressLineNumbers w:val="0"/>
              <w:spacing w:before="0" w:beforeAutospacing="0" w:after="0" w:afterAutospacing="0" w:line="360" w:lineRule="auto"/>
              <w:ind w:left="0" w:right="0" w:firstLine="480" w:firstLineChars="200"/>
              <w:rPr>
                <w:rFonts w:hint="default"/>
                <w:bCs/>
                <w:color w:val="0D0D0D"/>
                <w:sz w:val="24"/>
                <w:lang w:val="en-US" w:eastAsia="zh-CN"/>
              </w:rPr>
            </w:pPr>
            <w:r>
              <w:rPr>
                <w:rFonts w:hint="default"/>
                <w:bCs/>
                <w:color w:val="0D0D0D"/>
                <w:sz w:val="24"/>
                <w:lang w:val="en-US" w:eastAsia="zh-CN"/>
              </w:rPr>
              <w:t xml:space="preserve">根据《建设项目环境影响报告表编制技术指南（污染影响类）》（试行）中相关要求，地表水环境质量现状引用与建设项目距离近的有效数据，包括近3年的规划环境影响评价的监测数据，所在流域控制单元内国家、地方控制断面监测数据，生态环境主管部门发布的水环境质量数据或地表水达标情况的 结论。 </w:t>
            </w:r>
          </w:p>
          <w:p>
            <w:pPr>
              <w:keepNext w:val="0"/>
              <w:keepLines w:val="0"/>
              <w:suppressLineNumbers w:val="0"/>
              <w:spacing w:before="0" w:beforeAutospacing="0" w:after="0" w:afterAutospacing="0" w:line="360" w:lineRule="auto"/>
              <w:ind w:left="0" w:right="0" w:firstLine="480" w:firstLineChars="200"/>
              <w:rPr>
                <w:rFonts w:hint="default"/>
                <w:bCs/>
                <w:color w:val="0D0D0D"/>
                <w:sz w:val="24"/>
                <w:lang w:val="en-US" w:eastAsia="zh-CN"/>
              </w:rPr>
            </w:pPr>
            <w:r>
              <w:rPr>
                <w:rFonts w:hint="default"/>
                <w:bCs/>
                <w:color w:val="0D0D0D"/>
                <w:sz w:val="24"/>
                <w:lang w:val="en-US" w:eastAsia="zh-CN"/>
              </w:rPr>
              <w:t xml:space="preserve">本次引用2024年1月15日芜湖市生态环境局发布的《芜湖市2023 年12月环境质量月报》中对长江芜湖段的监测结果。 </w:t>
            </w:r>
          </w:p>
          <w:p>
            <w:pPr>
              <w:keepNext w:val="0"/>
              <w:keepLines w:val="0"/>
              <w:suppressLineNumbers w:val="0"/>
              <w:spacing w:before="0" w:beforeAutospacing="0" w:after="0" w:afterAutospacing="0" w:line="360" w:lineRule="auto"/>
              <w:ind w:left="0" w:right="0" w:firstLine="480" w:firstLineChars="200"/>
              <w:rPr>
                <w:rFonts w:hint="default"/>
                <w:bCs/>
                <w:color w:val="0D0D0D"/>
                <w:sz w:val="24"/>
                <w:lang w:val="en-US" w:eastAsia="zh-CN"/>
              </w:rPr>
            </w:pPr>
            <w:r>
              <w:rPr>
                <w:rFonts w:hint="default"/>
                <w:bCs/>
                <w:color w:val="0D0D0D"/>
                <w:sz w:val="24"/>
                <w:lang w:val="en-US" w:eastAsia="zh-CN"/>
              </w:rPr>
              <w:t xml:space="preserve">根据《芜湖市 2023 年 12 月环境质量月报》，2023 年 12 月份，长江国控断面东西梁山（芜湖-马鞍山市界）断面水质能够达到《地表水环境质量标准》 （GB3838-2002）中Ⅱ类标准，长江省控评价考核断面弋矶山、桂花桥水质能够达到《地表水环境质量标准》（GB3838-2002）中Ⅱ类标准。 </w:t>
            </w:r>
          </w:p>
          <w:p>
            <w:pPr>
              <w:keepNext w:val="0"/>
              <w:keepLines w:val="0"/>
              <w:suppressLineNumbers w:val="0"/>
              <w:spacing w:before="0" w:beforeAutospacing="0" w:after="0" w:afterAutospacing="0" w:line="360" w:lineRule="auto"/>
              <w:ind w:left="0" w:right="0" w:firstLine="482" w:firstLineChars="200"/>
              <w:rPr>
                <w:rFonts w:hint="default"/>
                <w:b/>
                <w:bCs w:val="0"/>
                <w:color w:val="0D0D0D"/>
                <w:sz w:val="24"/>
              </w:rPr>
            </w:pPr>
            <w:r>
              <w:rPr>
                <w:rFonts w:hint="default"/>
                <w:b/>
                <w:bCs w:val="0"/>
                <w:color w:val="0D0D0D"/>
                <w:sz w:val="24"/>
              </w:rPr>
              <w:t>表3-3 芜湖市2023年12月份地表水评价考核断面水质综合评价结果</w:t>
            </w:r>
          </w:p>
          <w:tbl>
            <w:tblPr>
              <w:tblStyle w:val="59"/>
              <w:tblW w:w="5000"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18"/>
              <w:gridCol w:w="989"/>
              <w:gridCol w:w="1220"/>
              <w:gridCol w:w="1413"/>
              <w:gridCol w:w="1691"/>
              <w:gridCol w:w="827"/>
              <w:gridCol w:w="1022"/>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12" w:type="pct"/>
                  <w:vMerge w:val="restart"/>
                  <w:tcBorders>
                    <w:top w:val="single" w:color="auto" w:sz="12"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断面类型</w:t>
                  </w:r>
                </w:p>
              </w:tc>
              <w:tc>
                <w:tcPr>
                  <w:tcW w:w="619"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河流名称</w:t>
                  </w:r>
                </w:p>
              </w:tc>
              <w:tc>
                <w:tcPr>
                  <w:tcW w:w="764"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断面名称</w:t>
                  </w:r>
                </w:p>
              </w:tc>
              <w:tc>
                <w:tcPr>
                  <w:tcW w:w="885"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 xml:space="preserve">断面属性 </w:t>
                  </w:r>
                </w:p>
              </w:tc>
              <w:tc>
                <w:tcPr>
                  <w:tcW w:w="1059"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监测年份</w:t>
                  </w:r>
                </w:p>
              </w:tc>
              <w:tc>
                <w:tcPr>
                  <w:tcW w:w="518"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监测月份</w:t>
                  </w:r>
                </w:p>
              </w:tc>
              <w:tc>
                <w:tcPr>
                  <w:tcW w:w="640" w:type="pct"/>
                  <w:vMerge w:val="restart"/>
                  <w:tcBorders>
                    <w:top w:val="single" w:color="auto" w:sz="12"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color w:val="0C0C0C"/>
                      <w:kern w:val="2"/>
                      <w:sz w:val="21"/>
                      <w:szCs w:val="21"/>
                    </w:rPr>
                  </w:pPr>
                  <w:r>
                    <w:rPr>
                      <w:rFonts w:hint="eastAsia" w:ascii="宋体" w:hAnsi="宋体" w:eastAsia="宋体" w:cs="宋体"/>
                      <w:b/>
                      <w:bCs/>
                      <w:color w:val="0C0C0C"/>
                      <w:kern w:val="2"/>
                      <w:sz w:val="21"/>
                      <w:szCs w:val="21"/>
                      <w:lang w:val="en-US" w:eastAsia="zh-CN" w:bidi="ar"/>
                    </w:rPr>
                    <w:t>当月水质类别</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12" w:type="pct"/>
                  <w:vMerge w:val="continue"/>
                  <w:tcBorders>
                    <w:top w:val="single" w:color="auto" w:sz="12"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19"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764"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885"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059"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18"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0" w:type="pct"/>
                  <w:vMerge w:val="continue"/>
                  <w:tcBorders>
                    <w:top w:val="single" w:color="auto" w:sz="12"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1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河流</w:t>
                  </w:r>
                </w:p>
              </w:tc>
              <w:tc>
                <w:tcPr>
                  <w:tcW w:w="61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 xml:space="preserve">长江 </w:t>
                  </w:r>
                </w:p>
              </w:tc>
              <w:tc>
                <w:tcPr>
                  <w:tcW w:w="76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桂花桥</w:t>
                  </w:r>
                </w:p>
              </w:tc>
              <w:tc>
                <w:tcPr>
                  <w:tcW w:w="88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省控评价考核</w:t>
                  </w:r>
                </w:p>
              </w:tc>
              <w:tc>
                <w:tcPr>
                  <w:tcW w:w="105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2023年</w:t>
                  </w:r>
                </w:p>
              </w:tc>
              <w:tc>
                <w:tcPr>
                  <w:tcW w:w="5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 xml:space="preserve">12月 </w:t>
                  </w:r>
                </w:p>
              </w:tc>
              <w:tc>
                <w:tcPr>
                  <w:tcW w:w="640"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Ⅱ</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12"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河流</w:t>
                  </w:r>
                </w:p>
              </w:tc>
              <w:tc>
                <w:tcPr>
                  <w:tcW w:w="61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 xml:space="preserve">长江 </w:t>
                  </w:r>
                </w:p>
              </w:tc>
              <w:tc>
                <w:tcPr>
                  <w:tcW w:w="76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弋矶山</w:t>
                  </w:r>
                </w:p>
              </w:tc>
              <w:tc>
                <w:tcPr>
                  <w:tcW w:w="88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省控评价考核</w:t>
                  </w:r>
                </w:p>
              </w:tc>
              <w:tc>
                <w:tcPr>
                  <w:tcW w:w="105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2023年</w:t>
                  </w:r>
                </w:p>
              </w:tc>
              <w:tc>
                <w:tcPr>
                  <w:tcW w:w="51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 xml:space="preserve">12月 </w:t>
                  </w:r>
                </w:p>
              </w:tc>
              <w:tc>
                <w:tcPr>
                  <w:tcW w:w="640" w:type="pct"/>
                  <w:tcBorders>
                    <w:top w:val="single" w:color="auto" w:sz="4" w:space="0"/>
                    <w:left w:val="single" w:color="auto" w:sz="4" w:space="0"/>
                    <w:bottom w:val="single" w:color="auto" w:sz="4" w:space="0"/>
                    <w:right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Ⅱ</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512" w:type="pct"/>
                  <w:tcBorders>
                    <w:top w:val="single" w:color="auto" w:sz="4" w:space="0"/>
                    <w:left w:val="nil"/>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河流</w:t>
                  </w:r>
                </w:p>
              </w:tc>
              <w:tc>
                <w:tcPr>
                  <w:tcW w:w="619"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 xml:space="preserve">长江 </w:t>
                  </w:r>
                </w:p>
              </w:tc>
              <w:tc>
                <w:tcPr>
                  <w:tcW w:w="764"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 xml:space="preserve">东西梁山 </w:t>
                  </w:r>
                </w:p>
              </w:tc>
              <w:tc>
                <w:tcPr>
                  <w:tcW w:w="885"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国控，市界芜湖市-马鞍山市</w:t>
                  </w:r>
                </w:p>
              </w:tc>
              <w:tc>
                <w:tcPr>
                  <w:tcW w:w="1059"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2023年</w:t>
                  </w:r>
                </w:p>
              </w:tc>
              <w:tc>
                <w:tcPr>
                  <w:tcW w:w="518" w:type="pct"/>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kern w:val="2"/>
                      <w:sz w:val="21"/>
                      <w:szCs w:val="21"/>
                      <w:lang w:val="en-US" w:eastAsia="zh-CN" w:bidi="ar"/>
                    </w:rPr>
                    <w:t xml:space="preserve">12月 </w:t>
                  </w:r>
                </w:p>
              </w:tc>
              <w:tc>
                <w:tcPr>
                  <w:tcW w:w="640" w:type="pct"/>
                  <w:tcBorders>
                    <w:top w:val="single" w:color="auto" w:sz="4" w:space="0"/>
                    <w:left w:val="single" w:color="auto" w:sz="4" w:space="0"/>
                    <w:bottom w:val="single" w:color="auto" w:sz="12" w:space="0"/>
                    <w:right w:val="nil"/>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C0C0C"/>
                      <w:kern w:val="2"/>
                      <w:sz w:val="21"/>
                      <w:szCs w:val="21"/>
                      <w:lang w:val="en-US" w:eastAsia="zh-CN" w:bidi="ar-SA"/>
                    </w:rPr>
                  </w:pPr>
                  <w:r>
                    <w:rPr>
                      <w:rFonts w:hint="eastAsia" w:ascii="宋体" w:hAnsi="宋体" w:eastAsia="宋体" w:cs="宋体"/>
                      <w:color w:val="0C0C0C"/>
                      <w:kern w:val="2"/>
                      <w:sz w:val="21"/>
                      <w:szCs w:val="21"/>
                      <w:lang w:val="en-US" w:eastAsia="zh-CN" w:bidi="ar"/>
                    </w:rPr>
                    <w:t>Ⅱ</w:t>
                  </w:r>
                </w:p>
              </w:tc>
            </w:tr>
          </w:tbl>
          <w:p>
            <w:pPr>
              <w:keepNext w:val="0"/>
              <w:keepLines w:val="0"/>
              <w:suppressLineNumbers w:val="0"/>
              <w:spacing w:before="0" w:beforeAutospacing="0" w:after="0" w:afterAutospacing="0" w:line="360" w:lineRule="auto"/>
              <w:ind w:left="0" w:right="0" w:firstLine="480" w:firstLineChars="200"/>
              <w:rPr>
                <w:rFonts w:hint="default"/>
                <w:bCs/>
                <w:color w:val="0D0D0D"/>
                <w:sz w:val="24"/>
              </w:rPr>
            </w:pPr>
            <w:r>
              <w:rPr>
                <w:rFonts w:hint="default"/>
                <w:bCs/>
                <w:color w:val="0D0D0D"/>
                <w:sz w:val="24"/>
                <w:lang w:val="en-US" w:eastAsia="zh-CN"/>
              </w:rPr>
              <w:t xml:space="preserve">综上可知，长江芜湖段地表水环境质量能够满足《地表水环境质量标准》 （GB3838-2002）中Ⅲ类标准。 </w:t>
            </w:r>
          </w:p>
          <w:p>
            <w:pPr>
              <w:keepNext w:val="0"/>
              <w:keepLines w:val="0"/>
              <w:widowControl/>
              <w:suppressLineNumbers w:val="0"/>
              <w:spacing w:before="120" w:beforeLines="50" w:beforeAutospacing="0" w:after="0" w:afterAutospacing="0" w:line="360" w:lineRule="auto"/>
              <w:ind w:left="0" w:right="0" w:firstLine="458" w:firstLineChars="190"/>
              <w:jc w:val="left"/>
              <w:rPr>
                <w:rFonts w:hint="default"/>
                <w:b/>
                <w:bCs/>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3</w:t>
            </w:r>
            <w:r>
              <w:rPr>
                <w:rFonts w:hint="default"/>
                <w:b/>
                <w:color w:val="0D0D0D" w:themeColor="text1" w:themeTint="F2"/>
                <w:kern w:val="0"/>
                <w:sz w:val="24"/>
                <w14:textFill>
                  <w14:solidFill>
                    <w14:schemeClr w14:val="tx1">
                      <w14:lumMod w14:val="95000"/>
                      <w14:lumOff w14:val="5000"/>
                    </w14:schemeClr>
                  </w14:solidFill>
                </w14:textFill>
              </w:rPr>
              <w:t>、</w:t>
            </w:r>
            <w:r>
              <w:rPr>
                <w:rFonts w:hint="eastAsia"/>
                <w:b/>
                <w:bCs/>
                <w:color w:val="0D0D0D" w:themeColor="text1" w:themeTint="F2"/>
                <w:kern w:val="0"/>
                <w:sz w:val="24"/>
                <w14:textFill>
                  <w14:solidFill>
                    <w14:schemeClr w14:val="tx1">
                      <w14:lumMod w14:val="95000"/>
                      <w14:lumOff w14:val="5000"/>
                    </w14:schemeClr>
                  </w14:solidFill>
                </w14:textFill>
              </w:rPr>
              <w:t>噪声</w:t>
            </w:r>
            <w:r>
              <w:rPr>
                <w:rFonts w:hint="default"/>
                <w:b/>
                <w:bCs/>
                <w:color w:val="0D0D0D" w:themeColor="text1" w:themeTint="F2"/>
                <w:kern w:val="0"/>
                <w:sz w:val="24"/>
                <w14:textFill>
                  <w14:solidFill>
                    <w14:schemeClr w14:val="tx1">
                      <w14:lumMod w14:val="95000"/>
                      <w14:lumOff w14:val="5000"/>
                    </w14:schemeClr>
                  </w14:solidFill>
                </w14:textFill>
              </w:rPr>
              <w:t>环境质量现状</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bCs/>
                <w:sz w:val="24"/>
              </w:rPr>
              <w:t>根据《建设项目环境影响报告表编制技术指南(污染影响类) (试行)》中</w:t>
            </w:r>
            <w:r>
              <w:rPr>
                <w:rFonts w:hint="eastAsia"/>
                <w:bCs/>
                <w:sz w:val="24"/>
              </w:rPr>
              <w:t>“</w:t>
            </w:r>
            <w:r>
              <w:rPr>
                <w:rFonts w:hint="default"/>
                <w:bCs/>
                <w:sz w:val="24"/>
              </w:rPr>
              <w:t>区域环境质量</w:t>
            </w:r>
            <w:r>
              <w:rPr>
                <w:rFonts w:hint="eastAsia"/>
                <w:bCs/>
                <w:sz w:val="24"/>
              </w:rPr>
              <w:t>”</w:t>
            </w:r>
            <w:r>
              <w:rPr>
                <w:rFonts w:hint="default"/>
                <w:bCs/>
                <w:sz w:val="24"/>
              </w:rPr>
              <w:t>的</w:t>
            </w:r>
            <w:r>
              <w:rPr>
                <w:rFonts w:hint="eastAsia"/>
                <w:bCs/>
                <w:sz w:val="24"/>
              </w:rPr>
              <w:t>“</w:t>
            </w:r>
            <w:r>
              <w:rPr>
                <w:rFonts w:hint="default"/>
                <w:bCs/>
                <w:sz w:val="24"/>
              </w:rPr>
              <w:t>3、声环境—厂界外周边50米范围内存在声环境保护目标的建设项目，应监测保护目标声环境质量现状并评价达标情况。各点位应监测昼夜间噪声，监测时间不少于1天</w:t>
            </w:r>
            <w:r>
              <w:rPr>
                <w:rFonts w:hint="eastAsia"/>
                <w:bCs/>
                <w:sz w:val="24"/>
              </w:rPr>
              <w:t>”</w:t>
            </w:r>
            <w:r>
              <w:rPr>
                <w:rFonts w:hint="default"/>
                <w:bCs/>
                <w:sz w:val="24"/>
              </w:rPr>
              <w:t>。</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bCs/>
                <w:sz w:val="24"/>
              </w:rPr>
              <w:t>本项目厂界外周边50米范围内不存在声环境保护目标，故无需进行声现状监测。</w:t>
            </w:r>
          </w:p>
          <w:p>
            <w:pPr>
              <w:keepNext w:val="0"/>
              <w:keepLines w:val="0"/>
              <w:suppressLineNumbers w:val="0"/>
              <w:spacing w:before="0" w:beforeAutospacing="0" w:after="0" w:afterAutospacing="0" w:line="360" w:lineRule="auto"/>
              <w:ind w:left="0" w:right="0" w:firstLine="480" w:firstLineChars="200"/>
              <w:rPr>
                <w:rFonts w:hint="default"/>
                <w:bCs/>
                <w:color w:val="0D0D0D"/>
                <w:sz w:val="24"/>
              </w:rPr>
            </w:pPr>
            <w:r>
              <w:rPr>
                <w:rFonts w:hint="default"/>
                <w:bCs/>
                <w:color w:val="0D0D0D"/>
                <w:sz w:val="24"/>
              </w:rPr>
              <w:t>根据《芜湖市2022年环境状况公报》：</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default"/>
                <w:sz w:val="24"/>
              </w:rPr>
              <w:t>1、道路交通噪声质量概况</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eastAsia"/>
                <w:sz w:val="24"/>
              </w:rPr>
              <w:t>2022年全市主要交通干线噪声等效声级平均值为66.5分贝，低于国家标准3.5分贝，交通噪声等效声级平均值比2021年降低1.1分贝</w:t>
            </w:r>
            <w:r>
              <w:rPr>
                <w:rFonts w:hint="default"/>
                <w:sz w:val="24"/>
              </w:rPr>
              <w:t>。</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eastAsia"/>
                <w:sz w:val="24"/>
              </w:rPr>
              <w:t>根据道路交通噪声强度等级划分，芜湖市道路交通噪声强度为一级，芜湖市的道路交通声环境质量优</w:t>
            </w:r>
            <w:r>
              <w:rPr>
                <w:rFonts w:hint="default"/>
                <w:sz w:val="24"/>
              </w:rPr>
              <w:t>。</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default"/>
                <w:sz w:val="24"/>
              </w:rPr>
              <w:t>2、区域环境噪声质量概况</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eastAsia"/>
                <w:sz w:val="24"/>
              </w:rPr>
              <w:t>2022年全市区域声环境平均等效声级为56.2分贝，各类功能区噪声符合国家标准，比上年降低了2分贝</w:t>
            </w:r>
            <w:r>
              <w:rPr>
                <w:rFonts w:hint="default"/>
                <w:sz w:val="24"/>
              </w:rPr>
              <w:t>。</w:t>
            </w:r>
          </w:p>
          <w:p>
            <w:pPr>
              <w:keepNext w:val="0"/>
              <w:keepLines w:val="0"/>
              <w:suppressLineNumbers w:val="0"/>
              <w:adjustRightInd w:val="0"/>
              <w:spacing w:before="0" w:beforeAutospacing="0" w:after="0" w:afterAutospacing="0" w:line="360" w:lineRule="auto"/>
              <w:ind w:left="0" w:right="0" w:firstLine="480" w:firstLineChars="200"/>
              <w:rPr>
                <w:rFonts w:hint="default"/>
                <w:sz w:val="24"/>
              </w:rPr>
            </w:pPr>
            <w:r>
              <w:rPr>
                <w:rFonts w:hint="default"/>
                <w:sz w:val="24"/>
              </w:rPr>
              <w:t>3、功能区环境噪声质量概况</w:t>
            </w:r>
          </w:p>
          <w:p>
            <w:pPr>
              <w:keepNext w:val="0"/>
              <w:keepLines w:val="0"/>
              <w:suppressLineNumbers w:val="0"/>
              <w:spacing w:before="0" w:beforeAutospacing="0" w:after="0" w:afterAutospacing="0" w:line="360" w:lineRule="auto"/>
              <w:ind w:left="0" w:right="0" w:firstLine="480" w:firstLineChars="200"/>
              <w:rPr>
                <w:rFonts w:hint="default"/>
                <w:bCs/>
                <w:color w:val="0D0D0D" w:themeColor="text1" w:themeTint="F2"/>
                <w:sz w:val="24"/>
                <w14:textFill>
                  <w14:solidFill>
                    <w14:schemeClr w14:val="tx1">
                      <w14:lumMod w14:val="95000"/>
                      <w14:lumOff w14:val="5000"/>
                    </w14:schemeClr>
                  </w14:solidFill>
                </w14:textFill>
              </w:rPr>
            </w:pPr>
            <w:r>
              <w:rPr>
                <w:rFonts w:hint="eastAsia"/>
                <w:sz w:val="24"/>
              </w:rPr>
              <w:t>2022年共设监测点10个，其中：1类标准适用区设监测点1个，2类标准适用区设监测点5个，3类标准适用区设监测点2个，四类标准适用区设监测点2个。芜湖市各功能区的环境噪声声级大致是随着1类标准适用区&lt;2类标准适用区&lt;3类标准适用区&lt;4类标准适用区依次递增，这一点和功能区的区域功能划分是完全一致的</w:t>
            </w:r>
            <w:r>
              <w:rPr>
                <w:rFonts w:hint="default"/>
                <w:bCs/>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firstLineChars="20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pStyle w:val="24"/>
              <w:keepNext w:val="0"/>
              <w:keepLines w:val="0"/>
              <w:suppressLineNumbers w:val="0"/>
              <w:spacing w:beforeAutospacing="0" w:afterAutospacing="0"/>
              <w:ind w:lef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ind w:left="0" w:right="0"/>
              <w:rPr>
                <w:rFonts w:hint="default"/>
                <w:bCs/>
                <w:color w:val="0D0D0D" w:themeColor="text1" w:themeTint="F2"/>
                <w:sz w:val="24"/>
                <w14:textFill>
                  <w14:solidFill>
                    <w14:schemeClr w14:val="tx1">
                      <w14:lumMod w14:val="95000"/>
                      <w14:lumOff w14:val="5000"/>
                    </w14:schemeClr>
                  </w14:solidFill>
                </w14:textFill>
              </w:rPr>
            </w:pPr>
          </w:p>
          <w:p>
            <w:pPr>
              <w:pStyle w:val="24"/>
              <w:keepNext w:val="0"/>
              <w:keepLines w:val="0"/>
              <w:suppressLineNumbers w:val="0"/>
              <w:spacing w:beforeAutospacing="0" w:afterAutospacing="0"/>
              <w:ind w:lef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ind w:left="0" w:right="0"/>
              <w:rPr>
                <w:rFonts w:hint="default"/>
                <w:bCs/>
                <w:color w:val="0D0D0D" w:themeColor="text1" w:themeTint="F2"/>
                <w:sz w:val="24"/>
                <w14:textFill>
                  <w14:solidFill>
                    <w14:schemeClr w14:val="tx1">
                      <w14:lumMod w14:val="95000"/>
                      <w14:lumOff w14:val="5000"/>
                    </w14:schemeClr>
                  </w14:solidFill>
                </w14:textFill>
              </w:rPr>
            </w:pPr>
          </w:p>
          <w:p>
            <w:pPr>
              <w:pStyle w:val="24"/>
              <w:keepNext w:val="0"/>
              <w:keepLines w:val="0"/>
              <w:suppressLineNumbers w:val="0"/>
              <w:spacing w:beforeAutospacing="0" w:afterAutospacing="0"/>
              <w:ind w:lef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bCs/>
                <w:color w:val="0D0D0D" w:themeColor="text1" w:themeTint="F2"/>
                <w:sz w:val="24"/>
                <w14:textFill>
                  <w14:solidFill>
                    <w14:schemeClr w14:val="tx1">
                      <w14:lumMod w14:val="95000"/>
                      <w14:lumOff w14:val="5000"/>
                    </w14:schemeClr>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环境</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目标</w:t>
            </w:r>
          </w:p>
        </w:tc>
        <w:tc>
          <w:tcPr>
            <w:tcW w:w="8190" w:type="dxa"/>
            <w:vAlign w:val="center"/>
          </w:tcPr>
          <w:p>
            <w:pPr>
              <w:keepNext w:val="0"/>
              <w:keepLines w:val="0"/>
              <w:widowControl/>
              <w:suppressLineNumbers w:val="0"/>
              <w:spacing w:before="0" w:beforeAutospacing="0" w:after="0" w:afterAutospacing="0" w:line="480" w:lineRule="exact"/>
              <w:ind w:left="0" w:right="0" w:firstLine="472" w:firstLineChars="197"/>
              <w:jc w:val="left"/>
              <w:rPr>
                <w:rFonts w:hint="default"/>
                <w:snapToGrid w:val="0"/>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项目</w:t>
            </w:r>
            <w:r>
              <w:rPr>
                <w:rFonts w:hint="eastAsia"/>
                <w:snapToGrid w:val="0"/>
                <w:color w:val="0D0D0D" w:themeColor="text1" w:themeTint="F2"/>
                <w:kern w:val="0"/>
                <w:sz w:val="24"/>
                <w14:textFill>
                  <w14:solidFill>
                    <w14:schemeClr w14:val="tx1">
                      <w14:lumMod w14:val="95000"/>
                      <w14:lumOff w14:val="5000"/>
                    </w14:schemeClr>
                  </w14:solidFill>
                </w14:textFill>
              </w:rPr>
              <w:t>位于</w:t>
            </w:r>
            <w:r>
              <w:rPr>
                <w:rFonts w:hint="eastAsia"/>
                <w:color w:val="0D0D0D" w:themeColor="text1" w:themeTint="F2"/>
                <w:sz w:val="24"/>
                <w:lang w:val="en-US" w:eastAsia="zh-CN"/>
                <w14:textFill>
                  <w14:solidFill>
                    <w14:schemeClr w14:val="tx1">
                      <w14:lumMod w14:val="95000"/>
                      <w14:lumOff w14:val="5000"/>
                    </w14:schemeClr>
                  </w14:solidFill>
                </w14:textFill>
              </w:rPr>
              <w:t>三山经济开发区创业路8号</w:t>
            </w:r>
            <w:r>
              <w:rPr>
                <w:rFonts w:hint="eastAsia"/>
                <w:color w:val="0D0D0D" w:themeColor="text1" w:themeTint="F2"/>
                <w:kern w:val="0"/>
                <w:sz w:val="24"/>
                <w14:textFill>
                  <w14:solidFill>
                    <w14:schemeClr w14:val="tx1">
                      <w14:lumMod w14:val="95000"/>
                      <w14:lumOff w14:val="5000"/>
                    </w14:schemeClr>
                  </w14:solidFill>
                </w14:textFill>
              </w:rPr>
              <w:t>。</w:t>
            </w:r>
            <w:r>
              <w:rPr>
                <w:rFonts w:hint="eastAsia"/>
                <w:snapToGrid w:val="0"/>
                <w:color w:val="0D0D0D" w:themeColor="text1" w:themeTint="F2"/>
                <w:kern w:val="0"/>
                <w:sz w:val="24"/>
                <w14:textFill>
                  <w14:solidFill>
                    <w14:schemeClr w14:val="tx1">
                      <w14:lumMod w14:val="95000"/>
                      <w14:lumOff w14:val="5000"/>
                    </w14:schemeClr>
                  </w14:solidFill>
                </w14:textFill>
              </w:rPr>
              <w:t>通过对项目的实地勘查，评价范围内无自然保护区、风景名胜区、饮用水源保护区和文物古迹等需要特殊保护的环境敏感对象。根据本项目的污染特征及项目所在区域的环境质量现状，项目环境保护对象及其保护级别见表3-</w:t>
            </w:r>
            <w:r>
              <w:rPr>
                <w:rFonts w:hint="eastAsia"/>
                <w:snapToGrid w:val="0"/>
                <w:color w:val="0D0D0D" w:themeColor="text1" w:themeTint="F2"/>
                <w:kern w:val="0"/>
                <w:sz w:val="24"/>
                <w:lang w:val="en-US" w:eastAsia="zh-CN"/>
                <w14:textFill>
                  <w14:solidFill>
                    <w14:schemeClr w14:val="tx1">
                      <w14:lumMod w14:val="95000"/>
                      <w14:lumOff w14:val="5000"/>
                    </w14:schemeClr>
                  </w14:solidFill>
                </w14:textFill>
              </w:rPr>
              <w:t>4</w:t>
            </w:r>
            <w:r>
              <w:rPr>
                <w:rFonts w:hint="eastAsia"/>
                <w:snapToGrid w:val="0"/>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460" w:lineRule="exact"/>
              <w:ind w:left="0" w:right="0"/>
              <w:jc w:val="center"/>
              <w:rPr>
                <w:rFonts w:hint="default" w:hAnsi="宋体"/>
                <w:b/>
                <w:color w:val="0D0D0D" w:themeColor="text1" w:themeTint="F2"/>
                <w:sz w:val="24"/>
                <w14:textFill>
                  <w14:solidFill>
                    <w14:schemeClr w14:val="tx1">
                      <w14:lumMod w14:val="95000"/>
                      <w14:lumOff w14:val="5000"/>
                    </w14:schemeClr>
                  </w14:solidFill>
                </w14:textFill>
              </w:rPr>
            </w:pPr>
            <w:r>
              <w:rPr>
                <w:rFonts w:hint="default" w:hAnsi="宋体"/>
                <w:b/>
                <w:color w:val="0D0D0D" w:themeColor="text1" w:themeTint="F2"/>
                <w:sz w:val="24"/>
                <w14:textFill>
                  <w14:solidFill>
                    <w14:schemeClr w14:val="tx1">
                      <w14:lumMod w14:val="95000"/>
                      <w14:lumOff w14:val="5000"/>
                    </w14:schemeClr>
                  </w14:solidFill>
                </w14:textFill>
              </w:rPr>
              <w:t>表</w:t>
            </w:r>
            <w:r>
              <w:rPr>
                <w:rFonts w:hint="eastAsia" w:hAnsi="宋体"/>
                <w:b/>
                <w:color w:val="0D0D0D" w:themeColor="text1" w:themeTint="F2"/>
                <w:sz w:val="24"/>
                <w14:textFill>
                  <w14:solidFill>
                    <w14:schemeClr w14:val="tx1">
                      <w14:lumMod w14:val="95000"/>
                      <w14:lumOff w14:val="5000"/>
                    </w14:schemeClr>
                  </w14:solidFill>
                </w14:textFill>
              </w:rPr>
              <w:t>3-</w:t>
            </w:r>
            <w:r>
              <w:rPr>
                <w:rFonts w:hint="eastAsia" w:hAnsi="宋体"/>
                <w:b/>
                <w:color w:val="0D0D0D" w:themeColor="text1" w:themeTint="F2"/>
                <w:sz w:val="24"/>
                <w:lang w:val="en-US" w:eastAsia="zh-CN"/>
                <w14:textFill>
                  <w14:solidFill>
                    <w14:schemeClr w14:val="tx1">
                      <w14:lumMod w14:val="95000"/>
                      <w14:lumOff w14:val="5000"/>
                    </w14:schemeClr>
                  </w14:solidFill>
                </w14:textFill>
              </w:rPr>
              <w:t>4</w:t>
            </w:r>
            <w:r>
              <w:rPr>
                <w:rFonts w:hint="eastAsia" w:hAnsi="宋体"/>
                <w:b/>
                <w:color w:val="0D0D0D" w:themeColor="text1" w:themeTint="F2"/>
                <w:sz w:val="24"/>
                <w14:textFill>
                  <w14:solidFill>
                    <w14:schemeClr w14:val="tx1">
                      <w14:lumMod w14:val="95000"/>
                      <w14:lumOff w14:val="5000"/>
                    </w14:schemeClr>
                  </w14:solidFill>
                </w14:textFill>
              </w:rPr>
              <w:t xml:space="preserve"> </w:t>
            </w:r>
            <w:r>
              <w:rPr>
                <w:rFonts w:hint="default" w:hAnsi="宋体"/>
                <w:b/>
                <w:color w:val="0D0D0D" w:themeColor="text1" w:themeTint="F2"/>
                <w:sz w:val="24"/>
                <w14:textFill>
                  <w14:solidFill>
                    <w14:schemeClr w14:val="tx1">
                      <w14:lumMod w14:val="95000"/>
                      <w14:lumOff w14:val="5000"/>
                    </w14:schemeClr>
                  </w14:solidFill>
                </w14:textFill>
              </w:rPr>
              <w:t xml:space="preserve"> 主要环境保护目标</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659"/>
              <w:gridCol w:w="1407"/>
              <w:gridCol w:w="1310"/>
              <w:gridCol w:w="558"/>
              <w:gridCol w:w="854"/>
              <w:gridCol w:w="682"/>
              <w:gridCol w:w="20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环境</w:t>
                  </w:r>
                </w:p>
              </w:tc>
              <w:tc>
                <w:tcPr>
                  <w:tcW w:w="659"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环境保护对象</w:t>
                  </w:r>
                </w:p>
              </w:tc>
              <w:tc>
                <w:tcPr>
                  <w:tcW w:w="2717" w:type="dxa"/>
                  <w:gridSpan w:val="2"/>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坐标（°）</w:t>
                  </w:r>
                </w:p>
              </w:tc>
              <w:tc>
                <w:tcPr>
                  <w:tcW w:w="558"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相对方位</w:t>
                  </w:r>
                </w:p>
              </w:tc>
              <w:tc>
                <w:tcPr>
                  <w:tcW w:w="854"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规模</w:t>
                  </w:r>
                </w:p>
              </w:tc>
              <w:tc>
                <w:tcPr>
                  <w:tcW w:w="682"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距离(m)</w:t>
                  </w:r>
                </w:p>
              </w:tc>
              <w:tc>
                <w:tcPr>
                  <w:tcW w:w="2016" w:type="dxa"/>
                  <w:vMerge w:val="restart"/>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环境保护级别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c>
                <w:tcPr>
                  <w:tcW w:w="659"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c>
                <w:tcPr>
                  <w:tcW w:w="1407"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经度</w:t>
                  </w:r>
                </w:p>
              </w:tc>
              <w:tc>
                <w:tcPr>
                  <w:tcW w:w="1310"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纬度</w:t>
                  </w:r>
                </w:p>
              </w:tc>
              <w:tc>
                <w:tcPr>
                  <w:tcW w:w="558"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c>
                <w:tcPr>
                  <w:tcW w:w="854"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c>
                <w:tcPr>
                  <w:tcW w:w="682"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c>
                <w:tcPr>
                  <w:tcW w:w="2016" w:type="dxa"/>
                  <w:vMerge w:val="continue"/>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大气环境</w:t>
                  </w:r>
                </w:p>
              </w:tc>
              <w:tc>
                <w:tcPr>
                  <w:tcW w:w="659" w:type="dxa"/>
                  <w:vAlign w:val="center"/>
                </w:tcPr>
                <w:p>
                  <w:pPr>
                    <w:keepNext w:val="0"/>
                    <w:keepLines w:val="0"/>
                    <w:suppressLineNumbers w:val="0"/>
                    <w:spacing w:before="0" w:beforeAutospacing="0" w:after="0" w:afterAutospacing="0"/>
                    <w:ind w:left="-57" w:right="-57"/>
                    <w:jc w:val="center"/>
                    <w:rPr>
                      <w:rFonts w:hint="eastAsia"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查村民散户</w:t>
                  </w:r>
                </w:p>
              </w:tc>
              <w:tc>
                <w:tcPr>
                  <w:tcW w:w="1407" w:type="dxa"/>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118.230139896</w:t>
                  </w:r>
                </w:p>
              </w:tc>
              <w:tc>
                <w:tcPr>
                  <w:tcW w:w="1310" w:type="dxa"/>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31.214565968</w:t>
                  </w:r>
                </w:p>
              </w:tc>
              <w:tc>
                <w:tcPr>
                  <w:tcW w:w="558"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SE</w:t>
                  </w:r>
                </w:p>
              </w:tc>
              <w:tc>
                <w:tcPr>
                  <w:tcW w:w="854" w:type="dxa"/>
                  <w:vAlign w:val="center"/>
                </w:tcPr>
                <w:p>
                  <w:pPr>
                    <w:keepNext w:val="0"/>
                    <w:keepLines w:val="0"/>
                    <w:suppressLineNumbers w:val="0"/>
                    <w:spacing w:before="0" w:beforeAutospacing="0" w:after="0" w:afterAutospacing="0"/>
                    <w:ind w:left="-57" w:right="-57"/>
                    <w:jc w:val="center"/>
                    <w:rPr>
                      <w:rFonts w:hint="eastAsia"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15户，52人</w:t>
                  </w:r>
                </w:p>
              </w:tc>
              <w:tc>
                <w:tcPr>
                  <w:tcW w:w="682" w:type="dxa"/>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245</w:t>
                  </w:r>
                </w:p>
              </w:tc>
              <w:tc>
                <w:tcPr>
                  <w:tcW w:w="2016" w:type="dxa"/>
                  <w:vAlign w:val="center"/>
                </w:tcPr>
                <w:p>
                  <w:pPr>
                    <w:keepNext w:val="0"/>
                    <w:keepLines w:val="0"/>
                    <w:suppressLineNumbers w:val="0"/>
                    <w:spacing w:before="0" w:beforeAutospacing="0" w:after="0" w:afterAutospacing="0"/>
                    <w:ind w:left="-57" w:right="-57"/>
                    <w:jc w:val="center"/>
                    <w:rPr>
                      <w:rFonts w:hint="default"/>
                      <w:bCs/>
                      <w:color w:val="0D0D0D" w:themeColor="text1" w:themeTint="F2"/>
                      <w:szCs w:val="21"/>
                      <w14:textFill>
                        <w14:solidFill>
                          <w14:schemeClr w14:val="tx1">
                            <w14:lumMod w14:val="95000"/>
                            <w14:lumOff w14:val="5000"/>
                          </w14:schemeClr>
                        </w14:solidFill>
                      </w14:textFill>
                    </w:rPr>
                  </w:pPr>
                  <w:r>
                    <w:rPr>
                      <w:rFonts w:hint="default"/>
                      <w:bCs/>
                      <w:color w:val="0D0D0D" w:themeColor="text1" w:themeTint="F2"/>
                      <w:szCs w:val="21"/>
                      <w14:textFill>
                        <w14:solidFill>
                          <w14:schemeClr w14:val="tx1">
                            <w14:lumMod w14:val="95000"/>
                            <w14:lumOff w14:val="5000"/>
                          </w14:schemeClr>
                        </w14:solidFill>
                      </w14:textFill>
                    </w:rPr>
                    <w:t>《环境空气质量标准》（GB3095-2012）中二级标准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Merge w:val="restart"/>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地表</w:t>
                  </w:r>
                  <w:r>
                    <w:rPr>
                      <w:rFonts w:hint="default"/>
                      <w:color w:val="0D0D0D" w:themeColor="text1" w:themeTint="F2"/>
                      <w:szCs w:val="21"/>
                      <w14:textFill>
                        <w14:solidFill>
                          <w14:schemeClr w14:val="tx1">
                            <w14:lumMod w14:val="95000"/>
                            <w14:lumOff w14:val="5000"/>
                          </w14:schemeClr>
                        </w14:solidFill>
                      </w14:textFill>
                    </w:rPr>
                    <w:t>水环境</w:t>
                  </w:r>
                </w:p>
              </w:tc>
              <w:tc>
                <w:tcPr>
                  <w:tcW w:w="659" w:type="dxa"/>
                  <w:vAlign w:val="center"/>
                </w:tcPr>
                <w:p>
                  <w:pPr>
                    <w:keepNext w:val="0"/>
                    <w:keepLines w:val="0"/>
                    <w:suppressLineNumbers w:val="0"/>
                    <w:spacing w:before="0" w:beforeAutospacing="0" w:after="0" w:afterAutospacing="0"/>
                    <w:ind w:left="-57" w:right="-57"/>
                    <w:jc w:val="center"/>
                    <w:rPr>
                      <w:rFonts w:hint="default"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长江</w:t>
                  </w:r>
                </w:p>
              </w:tc>
              <w:tc>
                <w:tcPr>
                  <w:tcW w:w="140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31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558"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NW</w:t>
                  </w:r>
                </w:p>
              </w:tc>
              <w:tc>
                <w:tcPr>
                  <w:tcW w:w="854" w:type="dxa"/>
                  <w:vAlign w:val="center"/>
                </w:tcPr>
                <w:p>
                  <w:pPr>
                    <w:keepNext w:val="0"/>
                    <w:keepLines w:val="0"/>
                    <w:suppressLineNumbers w:val="0"/>
                    <w:spacing w:before="0" w:beforeAutospacing="0" w:after="0" w:afterAutospacing="0"/>
                    <w:ind w:left="-57" w:right="-57"/>
                    <w:jc w:val="center"/>
                    <w:rPr>
                      <w:rFonts w:hint="default"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大型</w:t>
                  </w:r>
                </w:p>
              </w:tc>
              <w:tc>
                <w:tcPr>
                  <w:tcW w:w="68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6900</w:t>
                  </w:r>
                </w:p>
              </w:tc>
              <w:tc>
                <w:tcPr>
                  <w:tcW w:w="2016" w:type="dxa"/>
                  <w:vMerge w:val="restart"/>
                  <w:vAlign w:val="center"/>
                </w:tcPr>
                <w:p>
                  <w:pPr>
                    <w:keepNext w:val="0"/>
                    <w:keepLines w:val="0"/>
                    <w:suppressLineNumbers w:val="0"/>
                    <w:spacing w:before="0" w:beforeAutospacing="0" w:after="0" w:afterAutospacing="0"/>
                    <w:ind w:left="-57" w:right="-57"/>
                    <w:jc w:val="center"/>
                    <w:rPr>
                      <w:rFonts w:hint="default"/>
                      <w:bCs/>
                      <w:color w:val="0D0D0D" w:themeColor="text1" w:themeTint="F2"/>
                      <w:szCs w:val="21"/>
                      <w14:textFill>
                        <w14:solidFill>
                          <w14:schemeClr w14:val="tx1">
                            <w14:lumMod w14:val="95000"/>
                            <w14:lumOff w14:val="5000"/>
                          </w14:schemeClr>
                        </w14:solidFill>
                      </w14:textFill>
                    </w:rPr>
                  </w:pPr>
                  <w:r>
                    <w:rPr>
                      <w:rFonts w:hint="default"/>
                      <w:bCs/>
                      <w:color w:val="0D0D0D" w:themeColor="text1" w:themeTint="F2"/>
                      <w:szCs w:val="21"/>
                      <w14:textFill>
                        <w14:solidFill>
                          <w14:schemeClr w14:val="tx1">
                            <w14:lumMod w14:val="95000"/>
                            <w14:lumOff w14:val="5000"/>
                          </w14:schemeClr>
                        </w14:solidFill>
                      </w14:textFill>
                    </w:rPr>
                    <w:t>《地表水环境质量标准》</w:t>
                  </w:r>
                  <w:r>
                    <w:rPr>
                      <w:rFonts w:hint="eastAsia"/>
                      <w:bCs/>
                      <w:color w:val="0D0D0D" w:themeColor="text1" w:themeTint="F2"/>
                      <w:szCs w:val="21"/>
                      <w14:textFill>
                        <w14:solidFill>
                          <w14:schemeClr w14:val="tx1">
                            <w14:lumMod w14:val="95000"/>
                            <w14:lumOff w14:val="5000"/>
                          </w14:schemeClr>
                        </w14:solidFill>
                      </w14:textFill>
                    </w:rPr>
                    <w:t>（</w:t>
                  </w:r>
                  <w:r>
                    <w:rPr>
                      <w:rFonts w:hint="default"/>
                      <w:bCs/>
                      <w:color w:val="0D0D0D" w:themeColor="text1" w:themeTint="F2"/>
                      <w:szCs w:val="21"/>
                      <w14:textFill>
                        <w14:solidFill>
                          <w14:schemeClr w14:val="tx1">
                            <w14:lumMod w14:val="95000"/>
                            <w14:lumOff w14:val="5000"/>
                          </w14:schemeClr>
                        </w14:solidFill>
                      </w14:textFill>
                    </w:rPr>
                    <w:t>GB3838-2002</w:t>
                  </w:r>
                  <w:r>
                    <w:rPr>
                      <w:rFonts w:hint="eastAsia"/>
                      <w:bCs/>
                      <w:color w:val="0D0D0D" w:themeColor="text1" w:themeTint="F2"/>
                      <w:szCs w:val="21"/>
                      <w14:textFill>
                        <w14:solidFill>
                          <w14:schemeClr w14:val="tx1">
                            <w14:lumMod w14:val="95000"/>
                            <w14:lumOff w14:val="5000"/>
                          </w14:schemeClr>
                        </w14:solidFill>
                      </w14:textFill>
                    </w:rPr>
                    <w:t>）</w:t>
                  </w:r>
                  <w:r>
                    <w:rPr>
                      <w:rFonts w:hint="default"/>
                      <w:bCs/>
                      <w:color w:val="0D0D0D" w:themeColor="text1" w:themeTint="F2"/>
                      <w:szCs w:val="21"/>
                      <w14:textFill>
                        <w14:solidFill>
                          <w14:schemeClr w14:val="tx1">
                            <w14:lumMod w14:val="95000"/>
                            <w14:lumOff w14:val="5000"/>
                          </w14:schemeClr>
                        </w14:solidFill>
                      </w14:textFill>
                    </w:rPr>
                    <w:t>中的</w:t>
                  </w:r>
                  <w:r>
                    <w:rPr>
                      <w:rFonts w:hint="default"/>
                      <w:color w:val="0D0D0D" w:themeColor="text1" w:themeTint="F2"/>
                      <w:szCs w:val="21"/>
                      <w14:textFill>
                        <w14:solidFill>
                          <w14:schemeClr w14:val="tx1">
                            <w14:lumMod w14:val="95000"/>
                            <w14:lumOff w14:val="5000"/>
                          </w14:schemeClr>
                        </w14:solidFill>
                      </w14:textFill>
                    </w:rPr>
                    <w:t>Ⅲ</w:t>
                  </w:r>
                  <w:r>
                    <w:rPr>
                      <w:rFonts w:hint="default"/>
                      <w:bCs/>
                      <w:color w:val="0D0D0D" w:themeColor="text1" w:themeTint="F2"/>
                      <w:szCs w:val="21"/>
                      <w14:textFill>
                        <w14:solidFill>
                          <w14:schemeClr w14:val="tx1">
                            <w14:lumMod w14:val="95000"/>
                            <w14:lumOff w14:val="5000"/>
                          </w14:schemeClr>
                        </w14:solidFill>
                      </w14:textFill>
                    </w:rPr>
                    <w:t>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659" w:type="dxa"/>
                  <w:vAlign w:val="center"/>
                </w:tcPr>
                <w:p>
                  <w:pPr>
                    <w:keepNext w:val="0"/>
                    <w:keepLines w:val="0"/>
                    <w:suppressLineNumbers w:val="0"/>
                    <w:spacing w:before="0" w:beforeAutospacing="0" w:after="0" w:afterAutospacing="0"/>
                    <w:ind w:left="-57" w:right="-57"/>
                    <w:jc w:val="center"/>
                    <w:rPr>
                      <w:rFonts w:hint="default"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lang w:val="en-US" w:eastAsia="zh-CN"/>
                      <w14:textFill>
                        <w14:solidFill>
                          <w14:schemeClr w14:val="tx1">
                            <w14:lumMod w14:val="95000"/>
                            <w14:lumOff w14:val="5000"/>
                          </w14:schemeClr>
                        </w14:solidFill>
                      </w14:textFill>
                    </w:rPr>
                    <w:t>横</w:t>
                  </w:r>
                  <w:r>
                    <w:rPr>
                      <w:rFonts w:hint="eastAsia" w:ascii="宋体" w:cs="宋体"/>
                      <w:color w:val="0D0D0D" w:themeColor="text1" w:themeTint="F2"/>
                      <w:kern w:val="0"/>
                      <w:szCs w:val="21"/>
                      <w14:textFill>
                        <w14:solidFill>
                          <w14:schemeClr w14:val="tx1">
                            <w14:lumMod w14:val="95000"/>
                            <w14:lumOff w14:val="5000"/>
                          </w14:schemeClr>
                        </w14:solidFill>
                      </w14:textFill>
                    </w:rPr>
                    <w:t>山河</w:t>
                  </w:r>
                </w:p>
              </w:tc>
              <w:tc>
                <w:tcPr>
                  <w:tcW w:w="140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31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558"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NW</w:t>
                  </w:r>
                </w:p>
              </w:tc>
              <w:tc>
                <w:tcPr>
                  <w:tcW w:w="854" w:type="dxa"/>
                  <w:vAlign w:val="center"/>
                </w:tcPr>
                <w:p>
                  <w:pPr>
                    <w:keepNext w:val="0"/>
                    <w:keepLines w:val="0"/>
                    <w:suppressLineNumbers w:val="0"/>
                    <w:spacing w:before="0" w:beforeAutospacing="0" w:after="0" w:afterAutospacing="0"/>
                    <w:ind w:left="-57" w:right="-57"/>
                    <w:jc w:val="center"/>
                    <w:rPr>
                      <w:rFonts w:hint="default" w:ascii="宋体" w:cs="宋体"/>
                      <w:color w:val="0D0D0D" w:themeColor="text1" w:themeTint="F2"/>
                      <w:kern w:val="0"/>
                      <w:szCs w:val="21"/>
                      <w14:textFill>
                        <w14:solidFill>
                          <w14:schemeClr w14:val="tx1">
                            <w14:lumMod w14:val="95000"/>
                            <w14:lumOff w14:val="5000"/>
                          </w14:schemeClr>
                        </w14:solidFill>
                      </w14:textFill>
                    </w:rPr>
                  </w:pPr>
                  <w:r>
                    <w:rPr>
                      <w:rFonts w:hint="eastAsia" w:ascii="宋体" w:cs="宋体"/>
                      <w:color w:val="0D0D0D" w:themeColor="text1" w:themeTint="F2"/>
                      <w:kern w:val="0"/>
                      <w:szCs w:val="21"/>
                      <w14:textFill>
                        <w14:solidFill>
                          <w14:schemeClr w14:val="tx1">
                            <w14:lumMod w14:val="95000"/>
                            <w14:lumOff w14:val="5000"/>
                          </w14:schemeClr>
                        </w14:solidFill>
                      </w14:textFill>
                    </w:rPr>
                    <w:t>小型</w:t>
                  </w:r>
                </w:p>
              </w:tc>
              <w:tc>
                <w:tcPr>
                  <w:tcW w:w="68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eastAsia"/>
                      <w:color w:val="0D0D0D" w:themeColor="text1" w:themeTint="F2"/>
                      <w:szCs w:val="21"/>
                      <w:lang w:val="en-US" w:eastAsia="zh-CN"/>
                      <w14:textFill>
                        <w14:solidFill>
                          <w14:schemeClr w14:val="tx1">
                            <w14:lumMod w14:val="95000"/>
                            <w14:lumOff w14:val="5000"/>
                          </w14:schemeClr>
                        </w14:solidFill>
                      </w14:textFill>
                    </w:rPr>
                    <w:t>492</w:t>
                  </w:r>
                </w:p>
              </w:tc>
              <w:tc>
                <w:tcPr>
                  <w:tcW w:w="2016" w:type="dxa"/>
                  <w:vMerge w:val="continue"/>
                  <w:vAlign w:val="center"/>
                </w:tcPr>
                <w:p>
                  <w:pPr>
                    <w:keepNext w:val="0"/>
                    <w:keepLines w:val="0"/>
                    <w:suppressLineNumbers w:val="0"/>
                    <w:spacing w:before="0" w:beforeAutospacing="0" w:after="0" w:afterAutospacing="0"/>
                    <w:ind w:left="-57" w:right="-57"/>
                    <w:jc w:val="center"/>
                    <w:rPr>
                      <w:rFonts w:hint="default"/>
                      <w:bCs/>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4"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声环境</w:t>
                  </w:r>
                </w:p>
              </w:tc>
              <w:tc>
                <w:tcPr>
                  <w:tcW w:w="659"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项目</w:t>
                  </w:r>
                </w:p>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厂界</w:t>
                  </w:r>
                </w:p>
              </w:tc>
              <w:tc>
                <w:tcPr>
                  <w:tcW w:w="140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31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558"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四周</w:t>
                  </w:r>
                </w:p>
              </w:tc>
              <w:tc>
                <w:tcPr>
                  <w:tcW w:w="854"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w:t>
                  </w:r>
                </w:p>
              </w:tc>
              <w:tc>
                <w:tcPr>
                  <w:tcW w:w="682" w:type="dxa"/>
                  <w:vAlign w:val="center"/>
                </w:tcPr>
                <w:p>
                  <w:pPr>
                    <w:keepNext w:val="0"/>
                    <w:keepLines w:val="0"/>
                    <w:suppressLineNumbers w:val="0"/>
                    <w:adjustRightInd w:val="0"/>
                    <w:snapToGrid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p>
              </w:tc>
              <w:tc>
                <w:tcPr>
                  <w:tcW w:w="2016" w:type="dxa"/>
                  <w:vAlign w:val="center"/>
                </w:tcPr>
                <w:p>
                  <w:pPr>
                    <w:keepNext w:val="0"/>
                    <w:keepLines w:val="0"/>
                    <w:suppressLineNumbers w:val="0"/>
                    <w:spacing w:before="0" w:beforeAutospacing="0" w:after="0" w:afterAutospacing="0"/>
                    <w:ind w:left="-57" w:right="-57"/>
                    <w:jc w:val="center"/>
                    <w:rPr>
                      <w:rFonts w:hint="default"/>
                      <w:bCs/>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《声环境质量标准》</w:t>
                  </w:r>
                  <w:r>
                    <w:rPr>
                      <w:rFonts w:hint="eastAsia"/>
                      <w:color w:val="0D0D0D" w:themeColor="text1" w:themeTint="F2"/>
                      <w:szCs w:val="21"/>
                      <w14:textFill>
                        <w14:solidFill>
                          <w14:schemeClr w14:val="tx1">
                            <w14:lumMod w14:val="95000"/>
                            <w14:lumOff w14:val="5000"/>
                          </w14:schemeClr>
                        </w14:solidFill>
                      </w14:textFill>
                    </w:rPr>
                    <w:t>（</w:t>
                  </w:r>
                  <w:r>
                    <w:rPr>
                      <w:rFonts w:hint="default"/>
                      <w:color w:val="0D0D0D" w:themeColor="text1" w:themeTint="F2"/>
                      <w:szCs w:val="21"/>
                      <w14:textFill>
                        <w14:solidFill>
                          <w14:schemeClr w14:val="tx1">
                            <w14:lumMod w14:val="95000"/>
                            <w14:lumOff w14:val="5000"/>
                          </w14:schemeClr>
                        </w14:solidFill>
                      </w14:textFill>
                    </w:rPr>
                    <w:t>GB3096-2008</w:t>
                  </w:r>
                  <w:r>
                    <w:rPr>
                      <w:rFonts w:hint="eastAsia"/>
                      <w:color w:val="0D0D0D" w:themeColor="text1" w:themeTint="F2"/>
                      <w:szCs w:val="21"/>
                      <w14:textFill>
                        <w14:solidFill>
                          <w14:schemeClr w14:val="tx1">
                            <w14:lumMod w14:val="95000"/>
                            <w14:lumOff w14:val="5000"/>
                          </w14:schemeClr>
                        </w14:solidFill>
                      </w14:textFill>
                    </w:rPr>
                    <w:t>）3</w:t>
                  </w:r>
                  <w:r>
                    <w:rPr>
                      <w:rFonts w:hint="default"/>
                      <w:color w:val="0D0D0D" w:themeColor="text1" w:themeTint="F2"/>
                      <w:szCs w:val="21"/>
                      <w14:textFill>
                        <w14:solidFill>
                          <w14:schemeClr w14:val="tx1">
                            <w14:lumMod w14:val="95000"/>
                            <w14:lumOff w14:val="5000"/>
                          </w14:schemeClr>
                        </w14:solidFill>
                      </w14:textFill>
                    </w:rPr>
                    <w:t>类标准</w:t>
                  </w:r>
                </w:p>
              </w:tc>
            </w:tr>
          </w:tbl>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jc w:val="center"/>
              <w:rPr>
                <w:rFonts w:hint="default"/>
                <w:b/>
                <w:bCs/>
                <w:color w:val="0D0D0D" w:themeColor="text1" w:themeTint="F2"/>
                <w:lang w:val="en-US" w:eastAsia="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14:textFill>
                  <w14:solidFill>
                    <w14:schemeClr w14:val="tx1">
                      <w14:lumMod w14:val="95000"/>
                      <w14:lumOff w14:val="5000"/>
                    </w14:schemeClr>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0" w:type="dxa"/>
            <w:tcMar>
              <w:left w:w="28" w:type="dxa"/>
              <w:right w:w="28"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污染</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物排</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放控</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制标</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准</w:t>
            </w:r>
          </w:p>
        </w:tc>
        <w:tc>
          <w:tcPr>
            <w:tcW w:w="8190" w:type="dxa"/>
            <w:vAlign w:val="center"/>
          </w:tcPr>
          <w:p>
            <w:pPr>
              <w:keepNext w:val="0"/>
              <w:keepLines w:val="0"/>
              <w:widowControl/>
              <w:suppressLineNumbers w:val="0"/>
              <w:spacing w:before="240" w:beforeLines="100" w:beforeAutospacing="0" w:after="0" w:afterAutospacing="0" w:line="360" w:lineRule="auto"/>
              <w:ind w:left="0" w:right="0" w:firstLine="482" w:firstLineChars="200"/>
              <w:jc w:val="left"/>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1</w:t>
            </w:r>
            <w:r>
              <w:rPr>
                <w:rFonts w:hint="eastAsia"/>
                <w:b/>
                <w:color w:val="0D0D0D" w:themeColor="text1" w:themeTint="F2"/>
                <w:kern w:val="0"/>
                <w:sz w:val="24"/>
                <w:szCs w:val="20"/>
                <w14:textFill>
                  <w14:solidFill>
                    <w14:schemeClr w14:val="tx1">
                      <w14:lumMod w14:val="95000"/>
                      <w14:lumOff w14:val="5000"/>
                    </w14:schemeClr>
                  </w14:solidFill>
                </w14:textFill>
              </w:rPr>
              <w:t>、废水</w:t>
            </w:r>
          </w:p>
          <w:p>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 xml:space="preserve">现有项目外排废水仅为生活污水，经隔油池、化粪池处理后接入市政污水管网，进入滨江污水处理厂，废水排放执行《污水综合排放标准》（GB8978-1996）表 4 中三级标准。滨江污水处理厂废水排放执行《城镇污水处理厂污染物排放标准》（GB18918-2002）一级A标准。具体见下表。 </w:t>
            </w:r>
          </w:p>
          <w:p>
            <w:pPr>
              <w:keepNext w:val="0"/>
              <w:keepLines w:val="0"/>
              <w:widowControl/>
              <w:suppressLineNumbers w:val="0"/>
              <w:spacing w:before="0" w:beforeAutospacing="0" w:after="0" w:afterAutospacing="0"/>
              <w:ind w:left="0" w:right="0"/>
              <w:jc w:val="center"/>
              <w:rPr>
                <w:rFonts w:hint="default"/>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表</w:t>
            </w:r>
            <w:r>
              <w:rPr>
                <w:rFonts w:hint="eastAsia"/>
                <w:b/>
                <w:color w:val="0D0D0D" w:themeColor="text1" w:themeTint="F2"/>
                <w:kern w:val="0"/>
                <w:sz w:val="24"/>
                <w14:textFill>
                  <w14:solidFill>
                    <w14:schemeClr w14:val="tx1">
                      <w14:lumMod w14:val="95000"/>
                      <w14:lumOff w14:val="5000"/>
                    </w14:schemeClr>
                  </w14:solidFill>
                </w14:textFill>
              </w:rPr>
              <w:t>3-</w:t>
            </w:r>
            <w:r>
              <w:rPr>
                <w:rFonts w:hint="eastAsia"/>
                <w:b/>
                <w:color w:val="0D0D0D" w:themeColor="text1" w:themeTint="F2"/>
                <w:kern w:val="0"/>
                <w:sz w:val="24"/>
                <w:lang w:val="en-US" w:eastAsia="zh-CN"/>
                <w14:textFill>
                  <w14:solidFill>
                    <w14:schemeClr w14:val="tx1">
                      <w14:lumMod w14:val="95000"/>
                      <w14:lumOff w14:val="5000"/>
                    </w14:schemeClr>
                  </w14:solidFill>
                </w14:textFill>
              </w:rPr>
              <w:t>5</w:t>
            </w:r>
            <w:r>
              <w:rPr>
                <w:rFonts w:hint="default"/>
                <w:b/>
                <w:color w:val="0D0D0D" w:themeColor="text1" w:themeTint="F2"/>
                <w:kern w:val="0"/>
                <w:sz w:val="24"/>
                <w14:textFill>
                  <w14:solidFill>
                    <w14:schemeClr w14:val="tx1">
                      <w14:lumMod w14:val="95000"/>
                      <w14:lumOff w14:val="5000"/>
                    </w14:schemeClr>
                  </w14:solidFill>
                </w14:textFill>
              </w:rPr>
              <w:t xml:space="preserve">  </w:t>
            </w:r>
            <w:r>
              <w:rPr>
                <w:rFonts w:hint="eastAsia"/>
                <w:b/>
                <w:color w:val="0D0D0D" w:themeColor="text1" w:themeTint="F2"/>
                <w:kern w:val="0"/>
                <w:sz w:val="24"/>
                <w14:textFill>
                  <w14:solidFill>
                    <w14:schemeClr w14:val="tx1">
                      <w14:lumMod w14:val="95000"/>
                      <w14:lumOff w14:val="5000"/>
                    </w14:schemeClr>
                  </w14:solidFill>
                </w14:textFill>
              </w:rPr>
              <w:t>废水污染物</w:t>
            </w:r>
            <w:r>
              <w:rPr>
                <w:rFonts w:hint="default"/>
                <w:b/>
                <w:color w:val="0D0D0D" w:themeColor="text1" w:themeTint="F2"/>
                <w:kern w:val="0"/>
                <w:sz w:val="24"/>
                <w14:textFill>
                  <w14:solidFill>
                    <w14:schemeClr w14:val="tx1">
                      <w14:lumMod w14:val="95000"/>
                      <w14:lumOff w14:val="5000"/>
                    </w14:schemeClr>
                  </w14:solidFill>
                </w14:textFill>
              </w:rPr>
              <w:t>排放</w:t>
            </w:r>
            <w:r>
              <w:rPr>
                <w:rFonts w:hint="eastAsia"/>
                <w:b/>
                <w:color w:val="0D0D0D" w:themeColor="text1" w:themeTint="F2"/>
                <w:kern w:val="0"/>
                <w:sz w:val="24"/>
                <w14:textFill>
                  <w14:solidFill>
                    <w14:schemeClr w14:val="tx1">
                      <w14:lumMod w14:val="95000"/>
                      <w14:lumOff w14:val="5000"/>
                    </w14:schemeClr>
                  </w14:solidFill>
                </w14:textFill>
              </w:rPr>
              <w:t>限值</w:t>
            </w:r>
            <w:r>
              <w:rPr>
                <w:rFonts w:hint="default"/>
                <w:b/>
                <w:color w:val="0D0D0D" w:themeColor="text1" w:themeTint="F2"/>
                <w:kern w:val="0"/>
                <w:sz w:val="24"/>
                <w14:textFill>
                  <w14:solidFill>
                    <w14:schemeClr w14:val="tx1">
                      <w14:lumMod w14:val="95000"/>
                      <w14:lumOff w14:val="5000"/>
                    </w14:schemeClr>
                  </w14:solidFill>
                </w14:textFill>
              </w:rPr>
              <w:t xml:space="preserve">    单位：mg/L（pH除外）</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97"/>
              <w:gridCol w:w="646"/>
              <w:gridCol w:w="811"/>
              <w:gridCol w:w="852"/>
              <w:gridCol w:w="634"/>
              <w:gridCol w:w="11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442"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b/>
                      <w:color w:val="0D0D0D" w:themeColor="text1" w:themeTint="F2"/>
                      <w:kern w:val="0"/>
                      <w14:textFill>
                        <w14:solidFill>
                          <w14:schemeClr w14:val="tx1">
                            <w14:lumMod w14:val="95000"/>
                            <w14:lumOff w14:val="5000"/>
                          </w14:schemeClr>
                        </w14:solidFill>
                      </w14:textFill>
                    </w:rPr>
                    <w:t>污染物</w:t>
                  </w:r>
                  <w:r>
                    <w:rPr>
                      <w:rFonts w:hint="eastAsia"/>
                      <w:b/>
                      <w:color w:val="0D0D0D" w:themeColor="text1" w:themeTint="F2"/>
                      <w:kern w:val="0"/>
                      <w14:textFill>
                        <w14:solidFill>
                          <w14:schemeClr w14:val="tx1">
                            <w14:lumMod w14:val="95000"/>
                            <w14:lumOff w14:val="5000"/>
                          </w14:schemeClr>
                        </w14:solidFill>
                      </w14:textFill>
                    </w:rPr>
                    <w:t>因子</w:t>
                  </w:r>
                </w:p>
              </w:tc>
              <w:tc>
                <w:tcPr>
                  <w:tcW w:w="405"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hAnsi="宋体"/>
                      <w:b/>
                      <w:color w:val="0D0D0D" w:themeColor="text1" w:themeTint="F2"/>
                      <w:kern w:val="24"/>
                      <w:szCs w:val="21"/>
                      <w14:textFill>
                        <w14:solidFill>
                          <w14:schemeClr w14:val="tx1">
                            <w14:lumMod w14:val="95000"/>
                            <w14:lumOff w14:val="5000"/>
                          </w14:schemeClr>
                        </w14:solidFill>
                      </w14:textFill>
                    </w:rPr>
                    <w:t>pH</w:t>
                  </w:r>
                </w:p>
              </w:tc>
              <w:tc>
                <w:tcPr>
                  <w:tcW w:w="508"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hAnsi="宋体"/>
                      <w:b/>
                      <w:color w:val="0D0D0D" w:themeColor="text1" w:themeTint="F2"/>
                      <w:kern w:val="24"/>
                      <w:szCs w:val="21"/>
                      <w14:textFill>
                        <w14:solidFill>
                          <w14:schemeClr w14:val="tx1">
                            <w14:lumMod w14:val="95000"/>
                            <w14:lumOff w14:val="5000"/>
                          </w14:schemeClr>
                        </w14:solidFill>
                      </w14:textFill>
                    </w:rPr>
                    <w:t>COD</w:t>
                  </w:r>
                </w:p>
              </w:tc>
              <w:tc>
                <w:tcPr>
                  <w:tcW w:w="534"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hAnsi="宋体"/>
                      <w:b/>
                      <w:color w:val="0D0D0D" w:themeColor="text1" w:themeTint="F2"/>
                      <w:kern w:val="24"/>
                      <w:szCs w:val="21"/>
                      <w14:textFill>
                        <w14:solidFill>
                          <w14:schemeClr w14:val="tx1">
                            <w14:lumMod w14:val="95000"/>
                            <w14:lumOff w14:val="5000"/>
                          </w14:schemeClr>
                        </w14:solidFill>
                      </w14:textFill>
                    </w:rPr>
                    <w:t>BOD</w:t>
                  </w:r>
                  <w:r>
                    <w:rPr>
                      <w:rFonts w:hint="default" w:hAnsi="宋体"/>
                      <w:b/>
                      <w:color w:val="0D0D0D" w:themeColor="text1" w:themeTint="F2"/>
                      <w:kern w:val="24"/>
                      <w:szCs w:val="21"/>
                      <w:vertAlign w:val="subscript"/>
                      <w14:textFill>
                        <w14:solidFill>
                          <w14:schemeClr w14:val="tx1">
                            <w14:lumMod w14:val="95000"/>
                            <w14:lumOff w14:val="5000"/>
                          </w14:schemeClr>
                        </w14:solidFill>
                      </w14:textFill>
                    </w:rPr>
                    <w:t>5</w:t>
                  </w:r>
                </w:p>
              </w:tc>
              <w:tc>
                <w:tcPr>
                  <w:tcW w:w="397"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hAnsi="宋体"/>
                      <w:b/>
                      <w:color w:val="0D0D0D" w:themeColor="text1" w:themeTint="F2"/>
                      <w:kern w:val="24"/>
                      <w:szCs w:val="21"/>
                      <w14:textFill>
                        <w14:solidFill>
                          <w14:schemeClr w14:val="tx1">
                            <w14:lumMod w14:val="95000"/>
                            <w14:lumOff w14:val="5000"/>
                          </w14:schemeClr>
                        </w14:solidFill>
                      </w14:textFill>
                    </w:rPr>
                    <w:t>SS</w:t>
                  </w:r>
                </w:p>
              </w:tc>
              <w:tc>
                <w:tcPr>
                  <w:tcW w:w="714"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kern w:val="0"/>
                      <w14:textFill>
                        <w14:solidFill>
                          <w14:schemeClr w14:val="tx1">
                            <w14:lumMod w14:val="95000"/>
                            <w14:lumOff w14:val="5000"/>
                          </w14:schemeClr>
                        </w14:solidFill>
                      </w14:textFill>
                    </w:rPr>
                  </w:pPr>
                  <w:r>
                    <w:rPr>
                      <w:rFonts w:hint="default" w:hAnsi="宋体"/>
                      <w:b/>
                      <w:color w:val="0D0D0D" w:themeColor="text1" w:themeTint="F2"/>
                      <w:kern w:val="24"/>
                      <w:szCs w:val="21"/>
                      <w14:textFill>
                        <w14:solidFill>
                          <w14:schemeClr w14:val="tx1">
                            <w14:lumMod w14:val="95000"/>
                            <w14:lumOff w14:val="5000"/>
                          </w14:schemeClr>
                        </w14:solidFill>
                      </w14:textFill>
                    </w:rPr>
                    <w:t>NH</w:t>
                  </w:r>
                  <w:r>
                    <w:rPr>
                      <w:rFonts w:hint="default" w:hAnsi="宋体"/>
                      <w:b/>
                      <w:color w:val="0D0D0D" w:themeColor="text1" w:themeTint="F2"/>
                      <w:kern w:val="24"/>
                      <w:szCs w:val="21"/>
                      <w:vertAlign w:val="subscript"/>
                      <w14:textFill>
                        <w14:solidFill>
                          <w14:schemeClr w14:val="tx1">
                            <w14:lumMod w14:val="95000"/>
                            <w14:lumOff w14:val="5000"/>
                          </w14:schemeClr>
                        </w14:solidFill>
                      </w14:textFill>
                    </w:rPr>
                    <w:t>3</w:t>
                  </w:r>
                  <w:r>
                    <w:rPr>
                      <w:rFonts w:hint="default" w:hAnsi="宋体"/>
                      <w:b/>
                      <w:color w:val="0D0D0D" w:themeColor="text1" w:themeTint="F2"/>
                      <w:kern w:val="24"/>
                      <w:szCs w:val="21"/>
                      <w14:textFill>
                        <w14:solidFill>
                          <w14:schemeClr w14:val="tx1">
                            <w14:lumMod w14:val="95000"/>
                            <w14:lumOff w14:val="5000"/>
                          </w14:schemeClr>
                        </w14:solidFill>
                      </w14:textFill>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442"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《污水综合排放标准》（</w:t>
                  </w:r>
                  <w:r>
                    <w:rPr>
                      <w:rFonts w:hint="default" w:hAnsi="宋体"/>
                      <w:color w:val="0D0D0D" w:themeColor="text1" w:themeTint="F2"/>
                      <w:kern w:val="24"/>
                      <w:szCs w:val="21"/>
                      <w14:textFill>
                        <w14:solidFill>
                          <w14:schemeClr w14:val="tx1">
                            <w14:lumMod w14:val="95000"/>
                            <w14:lumOff w14:val="5000"/>
                          </w14:schemeClr>
                        </w14:solidFill>
                      </w14:textFill>
                    </w:rPr>
                    <w:t>GB8978-1996</w:t>
                  </w:r>
                  <w:r>
                    <w:rPr>
                      <w:rFonts w:hint="eastAsia" w:hAnsi="宋体"/>
                      <w:color w:val="0D0D0D" w:themeColor="text1" w:themeTint="F2"/>
                      <w:kern w:val="24"/>
                      <w:szCs w:val="21"/>
                      <w14:textFill>
                        <w14:solidFill>
                          <w14:schemeClr w14:val="tx1">
                            <w14:lumMod w14:val="95000"/>
                            <w14:lumOff w14:val="5000"/>
                          </w14:schemeClr>
                        </w14:solidFill>
                      </w14:textFill>
                    </w:rPr>
                    <w:t>）表</w:t>
                  </w:r>
                  <w:r>
                    <w:rPr>
                      <w:rFonts w:hint="default" w:hAnsi="宋体"/>
                      <w:color w:val="0D0D0D" w:themeColor="text1" w:themeTint="F2"/>
                      <w:kern w:val="24"/>
                      <w:szCs w:val="21"/>
                      <w14:textFill>
                        <w14:solidFill>
                          <w14:schemeClr w14:val="tx1">
                            <w14:lumMod w14:val="95000"/>
                            <w14:lumOff w14:val="5000"/>
                          </w14:schemeClr>
                        </w14:solidFill>
                      </w14:textFill>
                    </w:rPr>
                    <w:t>4</w:t>
                  </w:r>
                  <w:r>
                    <w:rPr>
                      <w:rFonts w:hint="eastAsia" w:hAnsi="宋体"/>
                      <w:color w:val="0D0D0D" w:themeColor="text1" w:themeTint="F2"/>
                      <w:kern w:val="24"/>
                      <w:szCs w:val="21"/>
                      <w14:textFill>
                        <w14:solidFill>
                          <w14:schemeClr w14:val="tx1">
                            <w14:lumMod w14:val="95000"/>
                            <w14:lumOff w14:val="5000"/>
                          </w14:schemeClr>
                        </w14:solidFill>
                      </w14:textFill>
                    </w:rPr>
                    <w:t>中三级标准</w:t>
                  </w:r>
                </w:p>
              </w:tc>
              <w:tc>
                <w:tcPr>
                  <w:tcW w:w="405"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6~</w:t>
                  </w:r>
                  <w:r>
                    <w:rPr>
                      <w:rFonts w:hint="default" w:hAnsi="宋体"/>
                      <w:color w:val="0D0D0D" w:themeColor="text1" w:themeTint="F2"/>
                      <w:kern w:val="24"/>
                      <w:szCs w:val="21"/>
                      <w14:textFill>
                        <w14:solidFill>
                          <w14:schemeClr w14:val="tx1">
                            <w14:lumMod w14:val="95000"/>
                            <w14:lumOff w14:val="5000"/>
                          </w14:schemeClr>
                        </w14:solidFill>
                      </w14:textFill>
                    </w:rPr>
                    <w:t>9</w:t>
                  </w:r>
                </w:p>
              </w:tc>
              <w:tc>
                <w:tcPr>
                  <w:tcW w:w="508"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5</w:t>
                  </w:r>
                  <w:r>
                    <w:rPr>
                      <w:rFonts w:hint="default" w:hAnsi="宋体"/>
                      <w:color w:val="0D0D0D" w:themeColor="text1" w:themeTint="F2"/>
                      <w:kern w:val="24"/>
                      <w:szCs w:val="21"/>
                      <w14:textFill>
                        <w14:solidFill>
                          <w14:schemeClr w14:val="tx1">
                            <w14:lumMod w14:val="95000"/>
                            <w14:lumOff w14:val="5000"/>
                          </w14:schemeClr>
                        </w14:solidFill>
                      </w14:textFill>
                    </w:rPr>
                    <w:t>00</w:t>
                  </w:r>
                </w:p>
              </w:tc>
              <w:tc>
                <w:tcPr>
                  <w:tcW w:w="534"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3</w:t>
                  </w:r>
                  <w:r>
                    <w:rPr>
                      <w:rFonts w:hint="default" w:hAnsi="宋体"/>
                      <w:color w:val="0D0D0D" w:themeColor="text1" w:themeTint="F2"/>
                      <w:kern w:val="24"/>
                      <w:szCs w:val="21"/>
                      <w14:textFill>
                        <w14:solidFill>
                          <w14:schemeClr w14:val="tx1">
                            <w14:lumMod w14:val="95000"/>
                            <w14:lumOff w14:val="5000"/>
                          </w14:schemeClr>
                        </w14:solidFill>
                      </w14:textFill>
                    </w:rPr>
                    <w:t>00</w:t>
                  </w:r>
                </w:p>
              </w:tc>
              <w:tc>
                <w:tcPr>
                  <w:tcW w:w="397"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4</w:t>
                  </w:r>
                  <w:r>
                    <w:rPr>
                      <w:rFonts w:hint="default" w:hAnsi="宋体"/>
                      <w:color w:val="0D0D0D" w:themeColor="text1" w:themeTint="F2"/>
                      <w:kern w:val="24"/>
                      <w:szCs w:val="21"/>
                      <w14:textFill>
                        <w14:solidFill>
                          <w14:schemeClr w14:val="tx1">
                            <w14:lumMod w14:val="95000"/>
                            <w14:lumOff w14:val="5000"/>
                          </w14:schemeClr>
                        </w14:solidFill>
                      </w14:textFill>
                    </w:rPr>
                    <w:t>00</w:t>
                  </w:r>
                </w:p>
              </w:tc>
              <w:tc>
                <w:tcPr>
                  <w:tcW w:w="714" w:type="pct"/>
                  <w:vAlign w:val="center"/>
                </w:tcPr>
                <w:p>
                  <w:pPr>
                    <w:keepNext w:val="0"/>
                    <w:keepLines w:val="0"/>
                    <w:suppressLineNumbers w:val="0"/>
                    <w:spacing w:before="0" w:beforeAutospacing="0" w:after="0" w:afterAutospacing="0"/>
                    <w:ind w:left="0" w:right="0"/>
                    <w:jc w:val="center"/>
                    <w:rPr>
                      <w:rFonts w:hint="eastAsia" w:hAnsi="宋体" w:eastAsia="宋体"/>
                      <w:color w:val="0D0D0D" w:themeColor="text1" w:themeTint="F2"/>
                      <w:kern w:val="24"/>
                      <w:szCs w:val="21"/>
                      <w:lang w:eastAsia="zh-CN"/>
                      <w14:textFill>
                        <w14:solidFill>
                          <w14:schemeClr w14:val="tx1">
                            <w14:lumMod w14:val="95000"/>
                            <w14:lumOff w14:val="5000"/>
                          </w14:schemeClr>
                        </w14:solidFill>
                      </w14:textFill>
                    </w:rPr>
                  </w:pP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42"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《城镇污水处理厂污染物排放标准》（</w:t>
                  </w:r>
                  <w:r>
                    <w:rPr>
                      <w:rFonts w:hint="default" w:hAnsi="宋体"/>
                      <w:color w:val="0D0D0D" w:themeColor="text1" w:themeTint="F2"/>
                      <w:kern w:val="24"/>
                      <w:szCs w:val="21"/>
                      <w14:textFill>
                        <w14:solidFill>
                          <w14:schemeClr w14:val="tx1">
                            <w14:lumMod w14:val="95000"/>
                            <w14:lumOff w14:val="5000"/>
                          </w14:schemeClr>
                        </w14:solidFill>
                      </w14:textFill>
                    </w:rPr>
                    <w:t>GB18918-2002</w:t>
                  </w:r>
                  <w:r>
                    <w:rPr>
                      <w:rFonts w:hint="eastAsia" w:hAnsi="宋体"/>
                      <w:color w:val="0D0D0D" w:themeColor="text1" w:themeTint="F2"/>
                      <w:kern w:val="24"/>
                      <w:szCs w:val="21"/>
                      <w14:textFill>
                        <w14:solidFill>
                          <w14:schemeClr w14:val="tx1">
                            <w14:lumMod w14:val="95000"/>
                            <w14:lumOff w14:val="5000"/>
                          </w14:schemeClr>
                        </w14:solidFill>
                      </w14:textFill>
                    </w:rPr>
                    <w:t>）表</w:t>
                  </w:r>
                  <w:r>
                    <w:rPr>
                      <w:rFonts w:hint="default" w:hAnsi="宋体"/>
                      <w:color w:val="0D0D0D" w:themeColor="text1" w:themeTint="F2"/>
                      <w:kern w:val="24"/>
                      <w:szCs w:val="21"/>
                      <w14:textFill>
                        <w14:solidFill>
                          <w14:schemeClr w14:val="tx1">
                            <w14:lumMod w14:val="95000"/>
                            <w14:lumOff w14:val="5000"/>
                          </w14:schemeClr>
                        </w14:solidFill>
                      </w14:textFill>
                    </w:rPr>
                    <w:t>1</w:t>
                  </w:r>
                  <w:r>
                    <w:rPr>
                      <w:rFonts w:hint="eastAsia" w:hAnsi="宋体"/>
                      <w:color w:val="0D0D0D" w:themeColor="text1" w:themeTint="F2"/>
                      <w:kern w:val="24"/>
                      <w:szCs w:val="21"/>
                      <w14:textFill>
                        <w14:solidFill>
                          <w14:schemeClr w14:val="tx1">
                            <w14:lumMod w14:val="95000"/>
                            <w14:lumOff w14:val="5000"/>
                          </w14:schemeClr>
                        </w14:solidFill>
                      </w14:textFill>
                    </w:rPr>
                    <w:t>中一级</w:t>
                  </w:r>
                  <w:r>
                    <w:rPr>
                      <w:rFonts w:hint="default" w:hAnsi="宋体"/>
                      <w:color w:val="0D0D0D" w:themeColor="text1" w:themeTint="F2"/>
                      <w:kern w:val="24"/>
                      <w:szCs w:val="21"/>
                      <w14:textFill>
                        <w14:solidFill>
                          <w14:schemeClr w14:val="tx1">
                            <w14:lumMod w14:val="95000"/>
                            <w14:lumOff w14:val="5000"/>
                          </w14:schemeClr>
                        </w14:solidFill>
                      </w14:textFill>
                    </w:rPr>
                    <w:t>A</w:t>
                  </w:r>
                  <w:r>
                    <w:rPr>
                      <w:rFonts w:hint="eastAsia" w:hAnsi="宋体"/>
                      <w:color w:val="0D0D0D" w:themeColor="text1" w:themeTint="F2"/>
                      <w:kern w:val="24"/>
                      <w:szCs w:val="21"/>
                      <w14:textFill>
                        <w14:solidFill>
                          <w14:schemeClr w14:val="tx1">
                            <w14:lumMod w14:val="95000"/>
                            <w14:lumOff w14:val="5000"/>
                          </w14:schemeClr>
                        </w14:solidFill>
                      </w14:textFill>
                    </w:rPr>
                    <w:t>标准</w:t>
                  </w:r>
                </w:p>
              </w:tc>
              <w:tc>
                <w:tcPr>
                  <w:tcW w:w="405"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default" w:hAnsi="宋体"/>
                      <w:color w:val="0D0D0D" w:themeColor="text1" w:themeTint="F2"/>
                      <w:kern w:val="24"/>
                      <w:szCs w:val="21"/>
                      <w14:textFill>
                        <w14:solidFill>
                          <w14:schemeClr w14:val="tx1">
                            <w14:lumMod w14:val="95000"/>
                            <w14:lumOff w14:val="5000"/>
                          </w14:schemeClr>
                        </w14:solidFill>
                      </w14:textFill>
                    </w:rPr>
                    <w:t>6～9</w:t>
                  </w:r>
                </w:p>
              </w:tc>
              <w:tc>
                <w:tcPr>
                  <w:tcW w:w="508"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0"/>
                      <w14:textFill>
                        <w14:solidFill>
                          <w14:schemeClr w14:val="tx1">
                            <w14:lumMod w14:val="95000"/>
                            <w14:lumOff w14:val="5000"/>
                          </w14:schemeClr>
                        </w14:solidFill>
                      </w14:textFill>
                    </w:rPr>
                    <w:t>50</w:t>
                  </w:r>
                </w:p>
              </w:tc>
              <w:tc>
                <w:tcPr>
                  <w:tcW w:w="534"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0"/>
                      <w14:textFill>
                        <w14:solidFill>
                          <w14:schemeClr w14:val="tx1">
                            <w14:lumMod w14:val="95000"/>
                            <w14:lumOff w14:val="5000"/>
                          </w14:schemeClr>
                        </w14:solidFill>
                      </w14:textFill>
                    </w:rPr>
                    <w:t>10</w:t>
                  </w:r>
                </w:p>
              </w:tc>
              <w:tc>
                <w:tcPr>
                  <w:tcW w:w="397"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0"/>
                      <w14:textFill>
                        <w14:solidFill>
                          <w14:schemeClr w14:val="tx1">
                            <w14:lumMod w14:val="95000"/>
                            <w14:lumOff w14:val="5000"/>
                          </w14:schemeClr>
                        </w14:solidFill>
                      </w14:textFill>
                    </w:rPr>
                    <w:t>10</w:t>
                  </w:r>
                </w:p>
              </w:tc>
              <w:tc>
                <w:tcPr>
                  <w:tcW w:w="714" w:type="pct"/>
                  <w:vAlign w:val="center"/>
                </w:tcPr>
                <w:p>
                  <w:pPr>
                    <w:keepNext w:val="0"/>
                    <w:keepLines w:val="0"/>
                    <w:suppressLineNumbers w:val="0"/>
                    <w:spacing w:before="0" w:beforeAutospacing="0" w:after="0" w:afterAutospacing="0"/>
                    <w:ind w:left="0" w:right="0"/>
                    <w:jc w:val="center"/>
                    <w:rPr>
                      <w:rFonts w:hint="default" w:hAnsi="宋体"/>
                      <w:color w:val="0D0D0D" w:themeColor="text1" w:themeTint="F2"/>
                      <w:kern w:val="24"/>
                      <w:szCs w:val="21"/>
                      <w14:textFill>
                        <w14:solidFill>
                          <w14:schemeClr w14:val="tx1">
                            <w14:lumMod w14:val="95000"/>
                            <w14:lumOff w14:val="5000"/>
                          </w14:schemeClr>
                        </w14:solidFill>
                      </w14:textFill>
                    </w:rPr>
                  </w:pPr>
                  <w:r>
                    <w:rPr>
                      <w:rFonts w:hint="default"/>
                      <w:color w:val="0D0D0D" w:themeColor="text1" w:themeTint="F2"/>
                      <w:kern w:val="0"/>
                      <w14:textFill>
                        <w14:solidFill>
                          <w14:schemeClr w14:val="tx1">
                            <w14:lumMod w14:val="95000"/>
                            <w14:lumOff w14:val="5000"/>
                          </w14:schemeClr>
                        </w14:solidFill>
                      </w14:textFill>
                    </w:rPr>
                    <w:t>5（8）</w:t>
                  </w:r>
                </w:p>
              </w:tc>
            </w:tr>
          </w:tbl>
          <w:p>
            <w:pPr>
              <w:keepNext w:val="0"/>
              <w:keepLines w:val="0"/>
              <w:widowControl/>
              <w:suppressLineNumbers w:val="0"/>
              <w:spacing w:before="240" w:beforeLines="100" w:beforeAutospacing="0" w:after="0" w:afterAutospacing="0" w:line="360" w:lineRule="auto"/>
              <w:ind w:left="0" w:right="0" w:firstLine="482" w:firstLineChars="200"/>
              <w:jc w:val="left"/>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2</w:t>
            </w:r>
            <w:r>
              <w:rPr>
                <w:rFonts w:hint="eastAsia"/>
                <w:b/>
                <w:color w:val="0D0D0D" w:themeColor="text1" w:themeTint="F2"/>
                <w:kern w:val="0"/>
                <w:sz w:val="24"/>
                <w:szCs w:val="20"/>
                <w14:textFill>
                  <w14:solidFill>
                    <w14:schemeClr w14:val="tx1">
                      <w14:lumMod w14:val="95000"/>
                      <w14:lumOff w14:val="5000"/>
                    </w14:schemeClr>
                  </w14:solidFill>
                </w14:textFill>
              </w:rPr>
              <w:t>、废气</w:t>
            </w:r>
          </w:p>
          <w:p>
            <w:pPr>
              <w:keepNext w:val="0"/>
              <w:keepLines w:val="0"/>
              <w:widowControl/>
              <w:suppressLineNumbers w:val="0"/>
              <w:adjustRightInd w:val="0"/>
              <w:snapToGrid w:val="0"/>
              <w:spacing w:before="0" w:beforeAutospacing="0" w:after="0" w:afterAutospacing="0" w:line="360" w:lineRule="auto"/>
              <w:ind w:left="0" w:right="0" w:firstLine="480" w:firstLineChars="200"/>
              <w:jc w:val="left"/>
              <w:rPr>
                <w:rFonts w:hint="eastAsia" w:eastAsia="宋体"/>
                <w:color w:val="auto"/>
                <w:sz w:val="24"/>
                <w:lang w:val="en-US" w:eastAsia="zh-CN"/>
              </w:rPr>
            </w:pPr>
            <w:r>
              <w:rPr>
                <w:rFonts w:hint="eastAsia" w:eastAsia="宋体"/>
                <w:color w:val="0D0D0D" w:themeColor="text1" w:themeTint="F2"/>
                <w:sz w:val="24"/>
                <w:lang w:val="en-US" w:eastAsia="zh-CN"/>
                <w14:textFill>
                  <w14:solidFill>
                    <w14:schemeClr w14:val="tx1">
                      <w14:lumMod w14:val="95000"/>
                      <w14:lumOff w14:val="5000"/>
                    </w14:schemeClr>
                  </w14:solidFill>
                </w14:textFill>
              </w:rPr>
              <w:t>本项目生产过程中产生的颗粒物、SO</w:t>
            </w:r>
            <w:r>
              <w:rPr>
                <w:rFonts w:hint="eastAsia" w:eastAsia="宋体"/>
                <w:color w:val="0D0D0D" w:themeColor="text1" w:themeTint="F2"/>
                <w:sz w:val="24"/>
                <w:vertAlign w:val="subscript"/>
                <w:lang w:val="en-US" w:eastAsia="zh-CN"/>
                <w14:textFill>
                  <w14:solidFill>
                    <w14:schemeClr w14:val="tx1">
                      <w14:lumMod w14:val="95000"/>
                      <w14:lumOff w14:val="5000"/>
                    </w14:schemeClr>
                  </w14:solidFill>
                </w14:textFill>
              </w:rPr>
              <w:t>2</w:t>
            </w:r>
            <w:r>
              <w:rPr>
                <w:rFonts w:hint="eastAsia" w:eastAsia="宋体"/>
                <w:color w:val="0D0D0D" w:themeColor="text1" w:themeTint="F2"/>
                <w:sz w:val="24"/>
                <w:lang w:val="en-US" w:eastAsia="zh-CN"/>
                <w14:textFill>
                  <w14:solidFill>
                    <w14:schemeClr w14:val="tx1">
                      <w14:lumMod w14:val="95000"/>
                      <w14:lumOff w14:val="5000"/>
                    </w14:schemeClr>
                  </w14:solidFill>
                </w14:textFill>
              </w:rPr>
              <w:t>、NOx 有组织排放执行《铸造工业 大气污染物排放标准》（GB39726-2020）表 1 限值要求；脱模废气中非甲烷总烃有组织排放执行《大气污染物综合排放标准》（GB16297-1996）表 2 二级标准。厂区内颗粒物、非甲烷总烃无组织排放执行《铸造工业大气污染物排放标准》（GB39726-2020）表 A.1 限值要求，厂界非甲烷总烃无组织排放执行《大气污染物综合排放标准》（GB16297-1996）表 2 中无组织排放限值。</w:t>
            </w:r>
            <w:r>
              <w:rPr>
                <w:rFonts w:hint="eastAsia" w:eastAsia="宋体"/>
                <w:color w:val="auto"/>
                <w:sz w:val="24"/>
                <w:lang w:val="en-US" w:eastAsia="zh-CN"/>
              </w:rPr>
              <w:t>食堂油烟参照执行《饮食业油烟排放标准（试行）》（GB18483-2001）</w:t>
            </w:r>
            <w:r>
              <w:rPr>
                <w:rFonts w:hint="eastAsia"/>
                <w:color w:val="auto"/>
                <w:sz w:val="24"/>
                <w:lang w:val="en-US" w:eastAsia="zh-CN"/>
              </w:rPr>
              <w:t>小</w:t>
            </w:r>
            <w:r>
              <w:rPr>
                <w:rFonts w:hint="eastAsia" w:eastAsia="宋体"/>
                <w:color w:val="auto"/>
                <w:sz w:val="24"/>
                <w:lang w:val="en-US" w:eastAsia="zh-CN"/>
              </w:rPr>
              <w:t>型标准。</w:t>
            </w:r>
          </w:p>
          <w:p>
            <w:pPr>
              <w:keepNext w:val="0"/>
              <w:keepLines w:val="0"/>
              <w:suppressLineNumbers w:val="0"/>
              <w:adjustRightInd w:val="0"/>
              <w:spacing w:before="0" w:beforeAutospacing="0" w:after="0" w:afterAutospacing="0"/>
              <w:ind w:left="0" w:right="0"/>
              <w:jc w:val="center"/>
              <w:rPr>
                <w:rFonts w:hint="default" w:hAnsi="宋体"/>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szCs w:val="28"/>
                <w14:textFill>
                  <w14:solidFill>
                    <w14:schemeClr w14:val="tx1">
                      <w14:lumMod w14:val="95000"/>
                      <w14:lumOff w14:val="5000"/>
                    </w14:schemeClr>
                  </w14:solidFill>
                </w14:textFill>
              </w:rPr>
              <w:t>表</w:t>
            </w:r>
            <w:r>
              <w:rPr>
                <w:rFonts w:hint="eastAsia"/>
                <w:b/>
                <w:color w:val="0D0D0D" w:themeColor="text1" w:themeTint="F2"/>
                <w:sz w:val="24"/>
                <w:szCs w:val="28"/>
                <w14:textFill>
                  <w14:solidFill>
                    <w14:schemeClr w14:val="tx1">
                      <w14:lumMod w14:val="95000"/>
                      <w14:lumOff w14:val="5000"/>
                    </w14:schemeClr>
                  </w14:solidFill>
                </w14:textFill>
              </w:rPr>
              <w:t>3-</w:t>
            </w:r>
            <w:r>
              <w:rPr>
                <w:rFonts w:hint="eastAsia"/>
                <w:b/>
                <w:color w:val="0D0D0D" w:themeColor="text1" w:themeTint="F2"/>
                <w:sz w:val="24"/>
                <w:szCs w:val="28"/>
                <w:lang w:val="en-US" w:eastAsia="zh-CN"/>
                <w14:textFill>
                  <w14:solidFill>
                    <w14:schemeClr w14:val="tx1">
                      <w14:lumMod w14:val="95000"/>
                      <w14:lumOff w14:val="5000"/>
                    </w14:schemeClr>
                  </w14:solidFill>
                </w14:textFill>
              </w:rPr>
              <w:t>6</w:t>
            </w:r>
            <w:r>
              <w:rPr>
                <w:rFonts w:hint="default"/>
                <w:b/>
                <w:color w:val="0D0D0D" w:themeColor="text1" w:themeTint="F2"/>
                <w:sz w:val="24"/>
                <w:szCs w:val="28"/>
                <w14:textFill>
                  <w14:solidFill>
                    <w14:schemeClr w14:val="tx1">
                      <w14:lumMod w14:val="95000"/>
                      <w14:lumOff w14:val="5000"/>
                    </w14:schemeClr>
                  </w14:solidFill>
                </w14:textFill>
              </w:rPr>
              <w:t xml:space="preserve"> </w:t>
            </w:r>
            <w:r>
              <w:rPr>
                <w:rFonts w:hint="eastAsia"/>
                <w:b/>
                <w:color w:val="0D0D0D" w:themeColor="text1" w:themeTint="F2"/>
                <w:sz w:val="24"/>
                <w:szCs w:val="28"/>
                <w14:textFill>
                  <w14:solidFill>
                    <w14:schemeClr w14:val="tx1">
                      <w14:lumMod w14:val="95000"/>
                      <w14:lumOff w14:val="5000"/>
                    </w14:schemeClr>
                  </w14:solidFill>
                </w14:textFill>
              </w:rPr>
              <w:t xml:space="preserve"> </w:t>
            </w:r>
            <w:r>
              <w:rPr>
                <w:rFonts w:hint="default" w:hAnsi="宋体"/>
                <w:b/>
                <w:color w:val="0D0D0D" w:themeColor="text1" w:themeTint="F2"/>
                <w:sz w:val="24"/>
                <w14:textFill>
                  <w14:solidFill>
                    <w14:schemeClr w14:val="tx1">
                      <w14:lumMod w14:val="95000"/>
                      <w14:lumOff w14:val="5000"/>
                    </w14:schemeClr>
                  </w14:solidFill>
                </w14:textFill>
              </w:rPr>
              <w:t>大气污染物有组织排放标准</w:t>
            </w:r>
            <w:r>
              <w:rPr>
                <w:rFonts w:hint="eastAsia" w:hAnsi="宋体"/>
                <w:b/>
                <w:color w:val="0D0D0D" w:themeColor="text1" w:themeTint="F2"/>
                <w:sz w:val="24"/>
                <w14:textFill>
                  <w14:solidFill>
                    <w14:schemeClr w14:val="tx1">
                      <w14:lumMod w14:val="95000"/>
                      <w14:lumOff w14:val="5000"/>
                    </w14:schemeClr>
                  </w14:solidFill>
                </w14:textFill>
              </w:rPr>
              <w:t>限值</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29"/>
              <w:gridCol w:w="676"/>
              <w:gridCol w:w="810"/>
              <w:gridCol w:w="1081"/>
              <w:gridCol w:w="1460"/>
              <w:gridCol w:w="1337"/>
              <w:gridCol w:w="17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519"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产污工序</w:t>
                  </w:r>
                </w:p>
              </w:tc>
              <w:tc>
                <w:tcPr>
                  <w:tcW w:w="423"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排气筒编号</w:t>
                  </w:r>
                </w:p>
              </w:tc>
              <w:tc>
                <w:tcPr>
                  <w:tcW w:w="507"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排气筒高度（m）</w:t>
                  </w:r>
                </w:p>
              </w:tc>
              <w:tc>
                <w:tcPr>
                  <w:tcW w:w="677"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污染物名称</w:t>
                  </w:r>
                </w:p>
              </w:tc>
              <w:tc>
                <w:tcPr>
                  <w:tcW w:w="914"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最高允许排放浓度（mg/m</w:t>
                  </w:r>
                  <w:r>
                    <w:rPr>
                      <w:rFonts w:hint="default"/>
                      <w:b/>
                      <w:color w:val="0D0D0D" w:themeColor="text1" w:themeTint="F2"/>
                      <w:szCs w:val="21"/>
                      <w:vertAlign w:val="superscript"/>
                      <w14:textFill>
                        <w14:solidFill>
                          <w14:schemeClr w14:val="tx1">
                            <w14:lumMod w14:val="95000"/>
                            <w14:lumOff w14:val="5000"/>
                          </w14:schemeClr>
                        </w14:solidFill>
                      </w14:textFill>
                    </w:rPr>
                    <w:t>3</w:t>
                  </w:r>
                  <w:r>
                    <w:rPr>
                      <w:rFonts w:hint="default"/>
                      <w:b/>
                      <w:color w:val="0D0D0D" w:themeColor="text1" w:themeTint="F2"/>
                      <w:szCs w:val="21"/>
                      <w14:textFill>
                        <w14:solidFill>
                          <w14:schemeClr w14:val="tx1">
                            <w14:lumMod w14:val="95000"/>
                            <w14:lumOff w14:val="5000"/>
                          </w14:schemeClr>
                        </w14:solidFill>
                      </w14:textFill>
                    </w:rPr>
                    <w:t>）</w:t>
                  </w:r>
                </w:p>
              </w:tc>
              <w:tc>
                <w:tcPr>
                  <w:tcW w:w="837"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最高允许排放速率（kg/h）</w:t>
                  </w:r>
                </w:p>
              </w:tc>
              <w:tc>
                <w:tcPr>
                  <w:tcW w:w="1119" w:type="pct"/>
                  <w:vAlign w:val="center"/>
                </w:tcPr>
                <w:p>
                  <w:pPr>
                    <w:keepNext w:val="0"/>
                    <w:keepLines w:val="0"/>
                    <w:suppressLineNumbers w:val="0"/>
                    <w:spacing w:before="0" w:beforeAutospacing="0" w:after="0" w:afterAutospacing="0" w:line="240" w:lineRule="exact"/>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020" w:hRule="atLeast"/>
                <w:jc w:val="center"/>
              </w:trPr>
              <w:tc>
                <w:tcPr>
                  <w:tcW w:w="519" w:type="pct"/>
                  <w:vMerge w:val="restart"/>
                  <w:vAlign w:val="center"/>
                </w:tcPr>
                <w:p>
                  <w:pPr>
                    <w:keepNext w:val="0"/>
                    <w:keepLines w:val="0"/>
                    <w:suppressLineNumbers w:val="0"/>
                    <w:spacing w:before="0" w:beforeAutospacing="0" w:after="0" w:afterAutospacing="0" w:line="24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熔化、天然气燃烧</w:t>
                  </w:r>
                </w:p>
              </w:tc>
              <w:tc>
                <w:tcPr>
                  <w:tcW w:w="423" w:type="pct"/>
                  <w:vMerge w:val="restar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DA001</w:t>
                  </w:r>
                </w:p>
              </w:tc>
              <w:tc>
                <w:tcPr>
                  <w:tcW w:w="507" w:type="pct"/>
                  <w:vMerge w:val="restar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5</w:t>
                  </w:r>
                </w:p>
              </w:tc>
              <w:tc>
                <w:tcPr>
                  <w:tcW w:w="677" w:type="pct"/>
                  <w:vAlign w:val="center"/>
                </w:tcPr>
                <w:p>
                  <w:pPr>
                    <w:keepNext w:val="0"/>
                    <w:keepLines w:val="0"/>
                    <w:suppressLineNumbers w:val="0"/>
                    <w:spacing w:before="0" w:beforeAutospacing="0" w:after="0" w:afterAutospacing="0" w:line="240" w:lineRule="exact"/>
                    <w:ind w:left="0" w:right="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颗粒物</w:t>
                  </w:r>
                </w:p>
              </w:tc>
              <w:tc>
                <w:tcPr>
                  <w:tcW w:w="914" w:type="pct"/>
                  <w:vAlign w:val="center"/>
                </w:tcPr>
                <w:p>
                  <w:pPr>
                    <w:keepNext w:val="0"/>
                    <w:keepLines w:val="0"/>
                    <w:suppressLineNumbers w:val="0"/>
                    <w:spacing w:before="0" w:beforeAutospacing="0" w:after="0" w:afterAutospacing="0" w:line="24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30</w:t>
                  </w:r>
                </w:p>
              </w:tc>
              <w:tc>
                <w:tcPr>
                  <w:tcW w:w="837"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9" w:type="pct"/>
                  <w:vMerge w:val="restart"/>
                  <w:vAlign w:val="center"/>
                </w:tcPr>
                <w:p>
                  <w:pPr>
                    <w:keepNext w:val="0"/>
                    <w:keepLines w:val="0"/>
                    <w:suppressLineNumbers w:val="0"/>
                    <w:spacing w:before="0" w:beforeAutospacing="0" w:after="0" w:afterAutospacing="0" w:line="240" w:lineRule="exact"/>
                    <w:ind w:left="0" w:right="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《铸造工业大气污 </w:t>
                  </w:r>
                </w:p>
                <w:p>
                  <w:pPr>
                    <w:keepNext w:val="0"/>
                    <w:keepLines w:val="0"/>
                    <w:suppressLineNumbers w:val="0"/>
                    <w:spacing w:before="0" w:beforeAutospacing="0" w:after="0" w:afterAutospacing="0" w:line="240" w:lineRule="exact"/>
                    <w:ind w:left="0" w:right="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染物排放标准》 </w:t>
                  </w:r>
                </w:p>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（GB39726-2020）表 1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519" w:type="pct"/>
                  <w:vMerge w:val="continue"/>
                  <w:vAlign w:val="center"/>
                </w:tcPr>
                <w:p>
                  <w:pPr>
                    <w:keepNext w:val="0"/>
                    <w:keepLines w:val="0"/>
                    <w:suppressLineNumbers w:val="0"/>
                    <w:spacing w:before="0" w:beforeAutospacing="0" w:after="0" w:afterAutospacing="0" w:line="240" w:lineRule="exact"/>
                    <w:ind w:left="0" w:right="0"/>
                    <w:jc w:val="center"/>
                    <w:rPr>
                      <w:rFonts w:hint="default"/>
                      <w:bCs/>
                      <w:color w:val="0D0D0D" w:themeColor="text1" w:themeTint="F2"/>
                      <w:szCs w:val="21"/>
                      <w14:textFill>
                        <w14:solidFill>
                          <w14:schemeClr w14:val="tx1">
                            <w14:lumMod w14:val="95000"/>
                            <w14:lumOff w14:val="5000"/>
                          </w14:schemeClr>
                        </w14:solidFill>
                      </w14:textFill>
                    </w:rPr>
                  </w:pPr>
                </w:p>
              </w:tc>
              <w:tc>
                <w:tcPr>
                  <w:tcW w:w="423"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07"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677" w:type="pct"/>
                  <w:vAlign w:val="center"/>
                </w:tcPr>
                <w:p>
                  <w:pPr>
                    <w:keepNext w:val="0"/>
                    <w:keepLines w:val="0"/>
                    <w:suppressLineNumbers w:val="0"/>
                    <w:spacing w:before="0" w:beforeAutospacing="0" w:after="0" w:afterAutospacing="0" w:line="240" w:lineRule="exact"/>
                    <w:ind w:left="0" w:right="0"/>
                    <w:jc w:val="center"/>
                    <w:rPr>
                      <w:rFonts w:hint="default"/>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NOx</w:t>
                  </w:r>
                </w:p>
              </w:tc>
              <w:tc>
                <w:tcPr>
                  <w:tcW w:w="914" w:type="pct"/>
                  <w:vAlign w:val="center"/>
                </w:tcPr>
                <w:p>
                  <w:pPr>
                    <w:keepNext w:val="0"/>
                    <w:keepLines w:val="0"/>
                    <w:suppressLineNumbers w:val="0"/>
                    <w:spacing w:before="0" w:beforeAutospacing="0" w:after="0" w:afterAutospacing="0" w:line="24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400</w:t>
                  </w:r>
                </w:p>
              </w:tc>
              <w:tc>
                <w:tcPr>
                  <w:tcW w:w="837"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9"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519" w:type="pct"/>
                  <w:vMerge w:val="continue"/>
                  <w:vAlign w:val="center"/>
                </w:tcPr>
                <w:p>
                  <w:pPr>
                    <w:keepNext w:val="0"/>
                    <w:keepLines w:val="0"/>
                    <w:suppressLineNumbers w:val="0"/>
                    <w:spacing w:before="0" w:beforeAutospacing="0" w:after="0" w:afterAutospacing="0" w:line="240" w:lineRule="exact"/>
                    <w:ind w:left="0" w:right="0"/>
                    <w:jc w:val="center"/>
                    <w:rPr>
                      <w:rFonts w:hint="default"/>
                      <w:bCs/>
                      <w:color w:val="0D0D0D" w:themeColor="text1" w:themeTint="F2"/>
                      <w:szCs w:val="21"/>
                      <w14:textFill>
                        <w14:solidFill>
                          <w14:schemeClr w14:val="tx1">
                            <w14:lumMod w14:val="95000"/>
                            <w14:lumOff w14:val="5000"/>
                          </w14:schemeClr>
                        </w14:solidFill>
                      </w14:textFill>
                    </w:rPr>
                  </w:pPr>
                </w:p>
              </w:tc>
              <w:tc>
                <w:tcPr>
                  <w:tcW w:w="423"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507"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677" w:type="pct"/>
                  <w:vAlign w:val="center"/>
                </w:tcPr>
                <w:p>
                  <w:pPr>
                    <w:keepNext w:val="0"/>
                    <w:keepLines w:val="0"/>
                    <w:suppressLineNumbers w:val="0"/>
                    <w:spacing w:before="0" w:beforeAutospacing="0" w:after="0" w:afterAutospacing="0" w:line="240" w:lineRule="exact"/>
                    <w:ind w:left="0" w:right="0"/>
                    <w:jc w:val="center"/>
                    <w:rPr>
                      <w:rFonts w:hint="eastAsia"/>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SO</w:t>
                  </w:r>
                  <w:r>
                    <w:rPr>
                      <w:rFonts w:hint="eastAsia"/>
                      <w:bCs/>
                      <w:color w:val="0D0D0D" w:themeColor="text1" w:themeTint="F2"/>
                      <w:szCs w:val="21"/>
                      <w:vertAlign w:val="subscript"/>
                      <w:lang w:val="en-US" w:eastAsia="zh-CN"/>
                      <w14:textFill>
                        <w14:solidFill>
                          <w14:schemeClr w14:val="tx1">
                            <w14:lumMod w14:val="95000"/>
                            <w14:lumOff w14:val="5000"/>
                          </w14:schemeClr>
                        </w14:solidFill>
                      </w14:textFill>
                    </w:rPr>
                    <w:t>2</w:t>
                  </w:r>
                </w:p>
              </w:tc>
              <w:tc>
                <w:tcPr>
                  <w:tcW w:w="914" w:type="pct"/>
                  <w:vAlign w:val="center"/>
                </w:tcPr>
                <w:p>
                  <w:pPr>
                    <w:keepNext w:val="0"/>
                    <w:keepLines w:val="0"/>
                    <w:suppressLineNumbers w:val="0"/>
                    <w:spacing w:before="0" w:beforeAutospacing="0" w:after="0" w:afterAutospacing="0" w:line="24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100</w:t>
                  </w:r>
                </w:p>
              </w:tc>
              <w:tc>
                <w:tcPr>
                  <w:tcW w:w="837" w:type="pct"/>
                  <w:vAlign w:val="center"/>
                </w:tcPr>
                <w:p>
                  <w:pPr>
                    <w:keepNext w:val="0"/>
                    <w:keepLines w:val="0"/>
                    <w:suppressLineNumbers w:val="0"/>
                    <w:spacing w:before="0" w:beforeAutospacing="0" w:after="0" w:afterAutospacing="0" w:line="240" w:lineRule="exact"/>
                    <w:ind w:left="0" w:right="0"/>
                    <w:jc w:val="center"/>
                    <w:rPr>
                      <w:rFonts w:hint="eastAsia"/>
                      <w:color w:val="0D0D0D" w:themeColor="text1" w:themeTint="F2"/>
                      <w:szCs w:val="21"/>
                      <w14:textFill>
                        <w14:solidFill>
                          <w14:schemeClr w14:val="tx1">
                            <w14:lumMod w14:val="95000"/>
                            <w14:lumOff w14:val="5000"/>
                          </w14:schemeClr>
                        </w14:solidFill>
                      </w14:textFill>
                    </w:rPr>
                  </w:pPr>
                </w:p>
              </w:tc>
              <w:tc>
                <w:tcPr>
                  <w:tcW w:w="1119"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519" w:type="pct"/>
                  <w:vAlign w:val="center"/>
                </w:tcPr>
                <w:p>
                  <w:pPr>
                    <w:keepNext w:val="0"/>
                    <w:keepLines w:val="0"/>
                    <w:suppressLineNumbers w:val="0"/>
                    <w:spacing w:before="0" w:beforeAutospacing="0" w:after="0" w:afterAutospacing="0" w:line="240" w:lineRule="exact"/>
                    <w:ind w:left="0" w:right="0"/>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抛丸</w:t>
                  </w:r>
                </w:p>
              </w:tc>
              <w:tc>
                <w:tcPr>
                  <w:tcW w:w="423" w:type="pct"/>
                  <w:vAlign w:val="center"/>
                </w:tcPr>
                <w:p>
                  <w:pPr>
                    <w:keepNext w:val="0"/>
                    <w:keepLines w:val="0"/>
                    <w:suppressLineNumbers w:val="0"/>
                    <w:spacing w:before="0" w:beforeAutospacing="0" w:after="0" w:afterAutospacing="0" w:line="240" w:lineRule="exact"/>
                    <w:ind w:left="0" w:right="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D</w:t>
                  </w:r>
                  <w:r>
                    <w:rPr>
                      <w:rFonts w:hint="default"/>
                      <w:color w:val="0D0D0D" w:themeColor="text1" w:themeTint="F2"/>
                      <w:szCs w:val="21"/>
                      <w14:textFill>
                        <w14:solidFill>
                          <w14:schemeClr w14:val="tx1">
                            <w14:lumMod w14:val="95000"/>
                            <w14:lumOff w14:val="5000"/>
                          </w14:schemeClr>
                        </w14:solidFill>
                      </w14:textFill>
                    </w:rPr>
                    <w:t>A00</w:t>
                  </w:r>
                  <w:r>
                    <w:rPr>
                      <w:rFonts w:hint="eastAsia"/>
                      <w:color w:val="0D0D0D" w:themeColor="text1" w:themeTint="F2"/>
                      <w:szCs w:val="21"/>
                      <w:lang w:val="en-US" w:eastAsia="zh-CN"/>
                      <w14:textFill>
                        <w14:solidFill>
                          <w14:schemeClr w14:val="tx1">
                            <w14:lumMod w14:val="95000"/>
                            <w14:lumOff w14:val="5000"/>
                          </w14:schemeClr>
                        </w14:solidFill>
                      </w14:textFill>
                    </w:rPr>
                    <w:t>3</w:t>
                  </w:r>
                </w:p>
              </w:tc>
              <w:tc>
                <w:tcPr>
                  <w:tcW w:w="507"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5</w:t>
                  </w:r>
                </w:p>
              </w:tc>
              <w:tc>
                <w:tcPr>
                  <w:tcW w:w="677"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914" w:type="pct"/>
                  <w:vAlign w:val="center"/>
                </w:tcPr>
                <w:p>
                  <w:pPr>
                    <w:keepNext w:val="0"/>
                    <w:keepLines w:val="0"/>
                    <w:suppressLineNumbers w:val="0"/>
                    <w:spacing w:before="0" w:beforeAutospacing="0" w:after="0" w:afterAutospacing="0" w:line="240" w:lineRule="exact"/>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30</w:t>
                  </w:r>
                </w:p>
              </w:tc>
              <w:tc>
                <w:tcPr>
                  <w:tcW w:w="837"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9" w:type="pct"/>
                  <w:vMerge w:val="continue"/>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97" w:hRule="atLeast"/>
                <w:jc w:val="center"/>
              </w:trPr>
              <w:tc>
                <w:tcPr>
                  <w:tcW w:w="519" w:type="pct"/>
                  <w:vAlign w:val="center"/>
                </w:tcPr>
                <w:p>
                  <w:pPr>
                    <w:keepNext w:val="0"/>
                    <w:keepLines w:val="0"/>
                    <w:suppressLineNumbers w:val="0"/>
                    <w:spacing w:before="0" w:beforeAutospacing="0" w:after="0" w:afterAutospacing="0" w:line="240" w:lineRule="exact"/>
                    <w:ind w:left="0" w:right="0"/>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脱模</w:t>
                  </w:r>
                </w:p>
              </w:tc>
              <w:tc>
                <w:tcPr>
                  <w:tcW w:w="423" w:type="pct"/>
                  <w:vAlign w:val="center"/>
                </w:tcPr>
                <w:p>
                  <w:pPr>
                    <w:keepNext w:val="0"/>
                    <w:keepLines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DA002</w:t>
                  </w:r>
                </w:p>
              </w:tc>
              <w:tc>
                <w:tcPr>
                  <w:tcW w:w="507" w:type="pct"/>
                  <w:vAlign w:val="center"/>
                </w:tcPr>
                <w:p>
                  <w:pPr>
                    <w:keepNext w:val="0"/>
                    <w:keepLines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15</w:t>
                  </w:r>
                </w:p>
              </w:tc>
              <w:tc>
                <w:tcPr>
                  <w:tcW w:w="677" w:type="pct"/>
                  <w:vAlign w:val="center"/>
                </w:tcPr>
                <w:p>
                  <w:pPr>
                    <w:keepNext w:val="0"/>
                    <w:keepLines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非甲烷总烃</w:t>
                  </w:r>
                </w:p>
              </w:tc>
              <w:tc>
                <w:tcPr>
                  <w:tcW w:w="914" w:type="pct"/>
                  <w:vAlign w:val="center"/>
                </w:tcPr>
                <w:p>
                  <w:pPr>
                    <w:keepNext w:val="0"/>
                    <w:keepLines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eastAsia="宋体"/>
                      <w:color w:val="0D0D0D" w:themeColor="text1" w:themeTint="F2"/>
                      <w:szCs w:val="21"/>
                      <w:lang w:val="en-US" w:eastAsia="zh-CN"/>
                      <w14:textFill>
                        <w14:solidFill>
                          <w14:schemeClr w14:val="tx1">
                            <w14:lumMod w14:val="95000"/>
                            <w14:lumOff w14:val="5000"/>
                          </w14:schemeClr>
                        </w14:solidFill>
                      </w14:textFill>
                    </w:rPr>
                    <w:t>120</w:t>
                  </w:r>
                </w:p>
              </w:tc>
              <w:tc>
                <w:tcPr>
                  <w:tcW w:w="837" w:type="pct"/>
                  <w:vAlign w:val="center"/>
                </w:tcPr>
                <w:p>
                  <w:pPr>
                    <w:keepNext w:val="0"/>
                    <w:keepLines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119" w:type="pct"/>
                  <w:vAlign w:val="center"/>
                </w:tcPr>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lang w:val="en-US" w:eastAsia="zh-CN"/>
                      <w14:textFill>
                        <w14:solidFill>
                          <w14:schemeClr w14:val="tx1">
                            <w14:lumMod w14:val="95000"/>
                            <w14:lumOff w14:val="5000"/>
                          </w14:schemeClr>
                        </w14:solidFill>
                      </w14:textFill>
                    </w:rPr>
                    <w:t xml:space="preserve">《大气污染物综合 </w:t>
                  </w:r>
                </w:p>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lang w:val="en-US" w:eastAsia="zh-CN"/>
                      <w14:textFill>
                        <w14:solidFill>
                          <w14:schemeClr w14:val="tx1">
                            <w14:lumMod w14:val="95000"/>
                            <w14:lumOff w14:val="5000"/>
                          </w14:schemeClr>
                        </w14:solidFill>
                      </w14:textFill>
                    </w:rPr>
                    <w:t xml:space="preserve">排放标准》 </w:t>
                  </w:r>
                </w:p>
                <w:p>
                  <w:pPr>
                    <w:keepNext w:val="0"/>
                    <w:keepLines w:val="0"/>
                    <w:suppressLineNumbers w:val="0"/>
                    <w:spacing w:before="0" w:beforeAutospacing="0" w:after="0" w:afterAutospacing="0" w:line="240" w:lineRule="exact"/>
                    <w:ind w:left="0" w:right="0"/>
                    <w:jc w:val="center"/>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lang w:val="en-US" w:eastAsia="zh-CN"/>
                      <w14:textFill>
                        <w14:solidFill>
                          <w14:schemeClr w14:val="tx1">
                            <w14:lumMod w14:val="95000"/>
                            <w14:lumOff w14:val="5000"/>
                          </w14:schemeClr>
                        </w14:solidFill>
                      </w14:textFill>
                    </w:rPr>
                    <w:t>（GB16297-1996）表 2</w:t>
                  </w:r>
                </w:p>
              </w:tc>
            </w:tr>
          </w:tbl>
          <w:p>
            <w:pPr>
              <w:pStyle w:val="415"/>
              <w:keepNext w:val="0"/>
              <w:keepLines w:val="0"/>
              <w:suppressLineNumbers w:val="0"/>
              <w:snapToGrid w:val="0"/>
              <w:spacing w:before="240" w:beforeLines="100" w:beforeAutospacing="0" w:after="24" w:afterAutospacing="0" w:line="240" w:lineRule="auto"/>
              <w:ind w:left="0" w:right="0" w:firstLine="0" w:firstLineChars="0"/>
              <w:jc w:val="center"/>
              <w:rPr>
                <w:rFonts w:hint="default" w:cs="Times New Roman"/>
                <w:b/>
                <w:color w:val="0D0D0D" w:themeColor="text1" w:themeTint="F2"/>
                <w14:textFill>
                  <w14:solidFill>
                    <w14:schemeClr w14:val="tx1">
                      <w14:lumMod w14:val="95000"/>
                      <w14:lumOff w14:val="5000"/>
                    </w14:schemeClr>
                  </w14:solidFill>
                </w14:textFill>
              </w:rPr>
            </w:pPr>
            <w:r>
              <w:rPr>
                <w:rFonts w:hint="default" w:cs="Times New Roman"/>
                <w:b/>
                <w:color w:val="0D0D0D" w:themeColor="text1" w:themeTint="F2"/>
                <w14:textFill>
                  <w14:solidFill>
                    <w14:schemeClr w14:val="tx1">
                      <w14:lumMod w14:val="95000"/>
                      <w14:lumOff w14:val="5000"/>
                    </w14:schemeClr>
                  </w14:solidFill>
                </w14:textFill>
              </w:rPr>
              <w:t>表3</w:t>
            </w:r>
            <w:r>
              <w:rPr>
                <w:rFonts w:hint="eastAsia" w:cs="Times New Roman"/>
                <w:b/>
                <w:color w:val="0D0D0D" w:themeColor="text1" w:themeTint="F2"/>
                <w14:textFill>
                  <w14:solidFill>
                    <w14:schemeClr w14:val="tx1">
                      <w14:lumMod w14:val="95000"/>
                      <w14:lumOff w14:val="5000"/>
                    </w14:schemeClr>
                  </w14:solidFill>
                </w14:textFill>
              </w:rPr>
              <w:t>-</w:t>
            </w:r>
            <w:r>
              <w:rPr>
                <w:rFonts w:hint="eastAsia" w:cs="Times New Roman"/>
                <w:b/>
                <w:color w:val="0D0D0D" w:themeColor="text1" w:themeTint="F2"/>
                <w:lang w:val="en-US" w:eastAsia="zh-CN"/>
                <w14:textFill>
                  <w14:solidFill>
                    <w14:schemeClr w14:val="tx1">
                      <w14:lumMod w14:val="95000"/>
                      <w14:lumOff w14:val="5000"/>
                    </w14:schemeClr>
                  </w14:solidFill>
                </w14:textFill>
              </w:rPr>
              <w:t>7</w:t>
            </w:r>
            <w:r>
              <w:rPr>
                <w:rFonts w:hint="default" w:cs="Times New Roman"/>
                <w:b/>
                <w:color w:val="0D0D0D" w:themeColor="text1" w:themeTint="F2"/>
                <w14:textFill>
                  <w14:solidFill>
                    <w14:schemeClr w14:val="tx1">
                      <w14:lumMod w14:val="95000"/>
                      <w14:lumOff w14:val="5000"/>
                    </w14:schemeClr>
                  </w14:solidFill>
                </w14:textFill>
              </w:rPr>
              <w:t xml:space="preserve">  </w:t>
            </w:r>
            <w:r>
              <w:rPr>
                <w:rFonts w:hint="default" w:cs="Times New Roman"/>
                <w:b/>
                <w:color w:val="0D0D0D" w:themeColor="text1" w:themeTint="F2"/>
                <w:lang w:val="en-US" w:eastAsia="zh-CN"/>
                <w14:textFill>
                  <w14:solidFill>
                    <w14:schemeClr w14:val="tx1">
                      <w14:lumMod w14:val="95000"/>
                      <w14:lumOff w14:val="5000"/>
                    </w14:schemeClr>
                  </w14:solidFill>
                </w14:textFill>
              </w:rPr>
              <w:t>项目厂区内废气无组织排放标准 单位：mg/m</w:t>
            </w:r>
            <w:r>
              <w:rPr>
                <w:rFonts w:hint="default" w:cs="Times New Roman"/>
                <w:b/>
                <w:color w:val="0D0D0D" w:themeColor="text1" w:themeTint="F2"/>
                <w:vertAlign w:val="superscript"/>
                <w:lang w:val="en-US" w:eastAsia="zh-CN"/>
                <w14:textFill>
                  <w14:solidFill>
                    <w14:schemeClr w14:val="tx1">
                      <w14:lumMod w14:val="95000"/>
                      <w14:lumOff w14:val="5000"/>
                    </w14:schemeClr>
                  </w14:solidFill>
                </w14:textFill>
              </w:rPr>
              <w:t>3</w:t>
            </w:r>
            <w:r>
              <w:rPr>
                <w:rFonts w:hint="default" w:cs="Times New Roman"/>
                <w:b/>
                <w:color w:val="0D0D0D" w:themeColor="text1" w:themeTint="F2"/>
                <w:lang w:val="en-US" w:eastAsia="zh-CN"/>
                <w14:textFill>
                  <w14:solidFill>
                    <w14:schemeClr w14:val="tx1">
                      <w14:lumMod w14:val="95000"/>
                      <w14:lumOff w14:val="5000"/>
                    </w14:schemeClr>
                  </w14:solidFill>
                </w14:textFill>
              </w:rPr>
              <w:t xml:space="preserve"> </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0"/>
              <w:gridCol w:w="1231"/>
              <w:gridCol w:w="2636"/>
              <w:gridCol w:w="28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8"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污染物</w:t>
                  </w:r>
                </w:p>
              </w:tc>
              <w:tc>
                <w:tcPr>
                  <w:tcW w:w="771"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排放限值（mg/m</w:t>
                  </w:r>
                  <w:r>
                    <w:rPr>
                      <w:rFonts w:hint="default"/>
                      <w:b/>
                      <w:color w:val="0D0D0D" w:themeColor="text1" w:themeTint="F2"/>
                      <w:szCs w:val="21"/>
                      <w:vertAlign w:val="superscript"/>
                      <w14:textFill>
                        <w14:solidFill>
                          <w14:schemeClr w14:val="tx1">
                            <w14:lumMod w14:val="95000"/>
                            <w14:lumOff w14:val="5000"/>
                          </w14:schemeClr>
                        </w14:solidFill>
                      </w14:textFill>
                    </w:rPr>
                    <w:t>3</w:t>
                  </w:r>
                  <w:r>
                    <w:rPr>
                      <w:rFonts w:hint="default"/>
                      <w:b/>
                      <w:color w:val="0D0D0D" w:themeColor="text1" w:themeTint="F2"/>
                      <w:szCs w:val="21"/>
                      <w14:textFill>
                        <w14:solidFill>
                          <w14:schemeClr w14:val="tx1">
                            <w14:lumMod w14:val="95000"/>
                            <w14:lumOff w14:val="5000"/>
                          </w14:schemeClr>
                        </w14:solidFill>
                      </w14:textFill>
                    </w:rPr>
                    <w:t>）</w:t>
                  </w:r>
                </w:p>
              </w:tc>
              <w:tc>
                <w:tcPr>
                  <w:tcW w:w="1651"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sz w:val="24"/>
                      <w:szCs w:val="24"/>
                      <w14:textFill>
                        <w14:solidFill>
                          <w14:schemeClr w14:val="tx1">
                            <w14:lumMod w14:val="95000"/>
                            <w14:lumOff w14:val="5000"/>
                          </w14:schemeClr>
                        </w14:solidFill>
                      </w14:textFill>
                    </w:rPr>
                  </w:pPr>
                  <w:r>
                    <w:rPr>
                      <w:rFonts w:hint="default"/>
                      <w:b/>
                      <w:color w:val="0D0D0D" w:themeColor="text1" w:themeTint="F2"/>
                      <w:sz w:val="24"/>
                      <w:szCs w:val="24"/>
                      <w14:textFill>
                        <w14:solidFill>
                          <w14:schemeClr w14:val="tx1">
                            <w14:lumMod w14:val="95000"/>
                            <w14:lumOff w14:val="5000"/>
                          </w14:schemeClr>
                        </w14:solidFill>
                      </w14:textFill>
                    </w:rPr>
                    <w:t>监控点/限值含义</w:t>
                  </w:r>
                </w:p>
              </w:tc>
              <w:tc>
                <w:tcPr>
                  <w:tcW w:w="1768" w:type="pct"/>
                  <w:vAlign w:val="center"/>
                </w:tcPr>
                <w:p>
                  <w:pPr>
                    <w:keepNext w:val="0"/>
                    <w:keepLines w:val="0"/>
                    <w:suppressLineNumbers w:val="0"/>
                    <w:spacing w:before="0" w:beforeAutospacing="0" w:after="0" w:afterAutospacing="0"/>
                    <w:ind w:left="0" w:right="0"/>
                    <w:jc w:val="center"/>
                    <w:rPr>
                      <w:rFonts w:hint="default"/>
                      <w:b/>
                      <w:color w:val="0D0D0D" w:themeColor="text1" w:themeTint="F2"/>
                      <w:sz w:val="24"/>
                      <w:szCs w:val="24"/>
                      <w14:textFill>
                        <w14:solidFill>
                          <w14:schemeClr w14:val="tx1">
                            <w14:lumMod w14:val="95000"/>
                            <w14:lumOff w14:val="5000"/>
                          </w14:schemeClr>
                        </w14:solidFill>
                      </w14:textFill>
                    </w:rPr>
                  </w:pPr>
                  <w:r>
                    <w:rPr>
                      <w:rFonts w:hint="default"/>
                      <w:b/>
                      <w:color w:val="0D0D0D" w:themeColor="text1" w:themeTint="F2"/>
                      <w:sz w:val="24"/>
                      <w:szCs w:val="24"/>
                      <w14:textFill>
                        <w14:solidFill>
                          <w14:schemeClr w14:val="tx1">
                            <w14:lumMod w14:val="95000"/>
                            <w14:lumOff w14:val="5000"/>
                          </w14:schemeClr>
                        </w14:solidFill>
                      </w14:textFill>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8"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771" w:type="pct"/>
                  <w:vAlign w:val="center"/>
                </w:tcPr>
                <w:p>
                  <w:pPr>
                    <w:keepNext w:val="0"/>
                    <w:keepLines w:val="0"/>
                    <w:suppressLineNumbers w:val="0"/>
                    <w:spacing w:before="0" w:beforeAutospacing="0" w:after="0" w:afterAutospacing="0"/>
                    <w:ind w:left="0" w:right="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5</w:t>
                  </w:r>
                </w:p>
              </w:tc>
              <w:tc>
                <w:tcPr>
                  <w:tcW w:w="1651"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 w:val="24"/>
                      <w:szCs w:val="24"/>
                      <w14:textFill>
                        <w14:solidFill>
                          <w14:schemeClr w14:val="tx1">
                            <w14:lumMod w14:val="95000"/>
                            <w14:lumOff w14:val="5000"/>
                          </w14:schemeClr>
                        </w14:solidFill>
                      </w14:textFill>
                    </w:rPr>
                  </w:pPr>
                  <w:r>
                    <w:rPr>
                      <w:rFonts w:hint="eastAsia" w:eastAsia="宋体"/>
                      <w:color w:val="000000" w:themeColor="text1"/>
                      <w:szCs w:val="21"/>
                      <w:lang w:val="en-US" w:eastAsia="zh-CN"/>
                      <w14:textFill>
                        <w14:solidFill>
                          <w14:schemeClr w14:val="tx1"/>
                        </w14:solidFill>
                      </w14:textFill>
                    </w:rPr>
                    <w:t>监控点处 1h 平均浓度值</w:t>
                  </w:r>
                </w:p>
              </w:tc>
              <w:tc>
                <w:tcPr>
                  <w:tcW w:w="1768" w:type="pct"/>
                  <w:vMerge w:val="restart"/>
                  <w:vAlign w:val="center"/>
                </w:tcPr>
                <w:p>
                  <w:pPr>
                    <w:keepNext w:val="0"/>
                    <w:keepLines w:val="0"/>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default" w:eastAsia="宋体"/>
                      <w:color w:val="000000" w:themeColor="text1"/>
                      <w:szCs w:val="21"/>
                      <w:lang w:val="en-US" w:eastAsia="zh-CN"/>
                      <w14:textFill>
                        <w14:solidFill>
                          <w14:schemeClr w14:val="tx1"/>
                        </w14:solidFill>
                      </w14:textFill>
                    </w:rPr>
                    <w:t xml:space="preserve">《铸造工业大气污染物排放 标准》（GB39726-2020）中 </w:t>
                  </w:r>
                </w:p>
                <w:p>
                  <w:pPr>
                    <w:keepNext w:val="0"/>
                    <w:keepLines w:val="0"/>
                    <w:suppressLineNumbers w:val="0"/>
                    <w:spacing w:before="0" w:beforeAutospacing="0" w:after="0" w:afterAutospacing="0"/>
                    <w:ind w:left="0" w:right="0"/>
                    <w:jc w:val="center"/>
                    <w:rPr>
                      <w:rFonts w:hint="default"/>
                      <w:color w:val="0D0D0D" w:themeColor="text1" w:themeTint="F2"/>
                      <w:sz w:val="24"/>
                      <w:szCs w:val="24"/>
                      <w14:textFill>
                        <w14:solidFill>
                          <w14:schemeClr w14:val="tx1">
                            <w14:lumMod w14:val="95000"/>
                            <w14:lumOff w14:val="5000"/>
                          </w14:schemeClr>
                        </w14:solidFill>
                      </w14:textFill>
                    </w:rPr>
                  </w:pPr>
                  <w:r>
                    <w:rPr>
                      <w:rFonts w:hint="default" w:eastAsia="宋体"/>
                      <w:color w:val="000000" w:themeColor="text1"/>
                      <w:szCs w:val="21"/>
                      <w:lang w:val="en-US" w:eastAsia="zh-CN"/>
                      <w14:textFill>
                        <w14:solidFill>
                          <w14:schemeClr w14:val="tx1"/>
                        </w14:solidFill>
                      </w14:textFill>
                    </w:rPr>
                    <w:t xml:space="preserve">表 A.1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8" w:type="pct"/>
                  <w:vMerge w:val="restart"/>
                  <w:vAlign w:val="center"/>
                </w:tcPr>
                <w:p>
                  <w:pPr>
                    <w:keepNext w:val="0"/>
                    <w:keepLines w:val="0"/>
                    <w:suppressLineNumbers w:val="0"/>
                    <w:spacing w:before="0" w:beforeAutospacing="0" w:after="0" w:afterAutospacing="0"/>
                    <w:ind w:left="-105" w:leftChars="-50" w:right="-105" w:rightChars="-5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非甲烷总烃</w:t>
                  </w:r>
                </w:p>
              </w:tc>
              <w:tc>
                <w:tcPr>
                  <w:tcW w:w="771" w:type="pct"/>
                  <w:vAlign w:val="center"/>
                </w:tcPr>
                <w:p>
                  <w:pPr>
                    <w:keepNext w:val="0"/>
                    <w:keepLines w:val="0"/>
                    <w:suppressLineNumbers w:val="0"/>
                    <w:spacing w:before="0" w:beforeAutospacing="0" w:after="0" w:afterAutospacing="0"/>
                    <w:ind w:left="0" w:right="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10</w:t>
                  </w:r>
                </w:p>
              </w:tc>
              <w:tc>
                <w:tcPr>
                  <w:tcW w:w="1651" w:type="pct"/>
                  <w:vAlign w:val="center"/>
                </w:tcPr>
                <w:p>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监控点处 1h 平均浓度值</w:t>
                  </w:r>
                </w:p>
              </w:tc>
              <w:tc>
                <w:tcPr>
                  <w:tcW w:w="1768" w:type="pct"/>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8" w:type="pct"/>
                  <w:vMerge w:val="continue"/>
                  <w:vAlign w:val="center"/>
                </w:tcPr>
                <w:p>
                  <w:pPr>
                    <w:keepNext w:val="0"/>
                    <w:keepLines w:val="0"/>
                    <w:suppressLineNumbers w:val="0"/>
                    <w:spacing w:before="0" w:beforeAutospacing="0" w:after="0" w:afterAutospacing="0"/>
                    <w:ind w:left="-105" w:leftChars="-50" w:right="-105" w:rightChars="-50"/>
                    <w:jc w:val="center"/>
                    <w:rPr>
                      <w:rFonts w:hint="default"/>
                      <w:color w:val="000000" w:themeColor="text1"/>
                      <w:szCs w:val="21"/>
                      <w:lang w:val="en-US" w:eastAsia="zh-CN"/>
                      <w14:textFill>
                        <w14:solidFill>
                          <w14:schemeClr w14:val="tx1"/>
                        </w14:solidFill>
                      </w14:textFill>
                    </w:rPr>
                  </w:pPr>
                </w:p>
              </w:tc>
              <w:tc>
                <w:tcPr>
                  <w:tcW w:w="771" w:type="pct"/>
                  <w:vAlign w:val="center"/>
                </w:tcPr>
                <w:p>
                  <w:pPr>
                    <w:keepNext w:val="0"/>
                    <w:keepLines w:val="0"/>
                    <w:suppressLineNumbers w:val="0"/>
                    <w:spacing w:before="0" w:beforeAutospacing="0" w:after="0" w:afterAutospacing="0"/>
                    <w:ind w:left="0" w:right="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30</w:t>
                  </w:r>
                </w:p>
              </w:tc>
              <w:tc>
                <w:tcPr>
                  <w:tcW w:w="1651" w:type="pct"/>
                  <w:vAlign w:val="center"/>
                </w:tcPr>
                <w:p>
                  <w:pPr>
                    <w:keepNext w:val="0"/>
                    <w:keepLines w:val="0"/>
                    <w:suppressLineNumbers w:val="0"/>
                    <w:spacing w:before="0" w:beforeAutospacing="0" w:after="0" w:afterAutospacing="0"/>
                    <w:ind w:left="0" w:right="0"/>
                    <w:jc w:val="center"/>
                    <w:rPr>
                      <w:rFonts w:hint="eastAsia"/>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监控点处任意一次浓度值</w:t>
                  </w:r>
                </w:p>
              </w:tc>
              <w:tc>
                <w:tcPr>
                  <w:tcW w:w="1768" w:type="pct"/>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r>
          </w:tbl>
          <w:p>
            <w:pPr>
              <w:keepNext w:val="0"/>
              <w:keepLines w:val="0"/>
              <w:widowControl/>
              <w:suppressLineNumbers w:val="0"/>
              <w:spacing w:before="120" w:beforeLines="50" w:beforeAutospacing="0" w:after="0" w:afterAutospacing="0" w:line="360" w:lineRule="auto"/>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lang w:val="en-US" w:eastAsia="zh-CN"/>
                <w14:textFill>
                  <w14:solidFill>
                    <w14:schemeClr w14:val="tx1">
                      <w14:lumMod w14:val="95000"/>
                      <w14:lumOff w14:val="5000"/>
                    </w14:schemeClr>
                  </w14:solidFill>
                </w14:textFill>
              </w:rPr>
              <w:t>表 3-</w:t>
            </w:r>
            <w:r>
              <w:rPr>
                <w:rFonts w:hint="eastAsia"/>
                <w:b/>
                <w:color w:val="0D0D0D" w:themeColor="text1" w:themeTint="F2"/>
                <w:kern w:val="0"/>
                <w:sz w:val="24"/>
                <w:szCs w:val="20"/>
                <w:lang w:val="en-US" w:eastAsia="zh-CN"/>
                <w14:textFill>
                  <w14:solidFill>
                    <w14:schemeClr w14:val="tx1">
                      <w14:lumMod w14:val="95000"/>
                      <w14:lumOff w14:val="5000"/>
                    </w14:schemeClr>
                  </w14:solidFill>
                </w14:textFill>
              </w:rPr>
              <w:t xml:space="preserve">8 </w:t>
            </w:r>
            <w:r>
              <w:rPr>
                <w:rFonts w:hint="default"/>
                <w:b/>
                <w:color w:val="0D0D0D" w:themeColor="text1" w:themeTint="F2"/>
                <w:kern w:val="0"/>
                <w:sz w:val="24"/>
                <w:szCs w:val="20"/>
                <w:lang w:val="en-US" w:eastAsia="zh-CN"/>
                <w14:textFill>
                  <w14:solidFill>
                    <w14:schemeClr w14:val="tx1">
                      <w14:lumMod w14:val="95000"/>
                      <w14:lumOff w14:val="5000"/>
                    </w14:schemeClr>
                  </w14:solidFill>
                </w14:textFill>
              </w:rPr>
              <w:t xml:space="preserve"> 项目厂界无组织排放标准 单位：mg/m</w:t>
            </w:r>
            <w:r>
              <w:rPr>
                <w:rFonts w:hint="default"/>
                <w:b/>
                <w:color w:val="0D0D0D" w:themeColor="text1" w:themeTint="F2"/>
                <w:kern w:val="0"/>
                <w:sz w:val="24"/>
                <w:szCs w:val="20"/>
                <w:vertAlign w:val="superscript"/>
                <w:lang w:val="en-US" w:eastAsia="zh-CN"/>
                <w14:textFill>
                  <w14:solidFill>
                    <w14:schemeClr w14:val="tx1">
                      <w14:lumMod w14:val="95000"/>
                      <w14:lumOff w14:val="5000"/>
                    </w14:schemeClr>
                  </w14:solidFill>
                </w14:textFill>
              </w:rPr>
              <w:t>3</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90"/>
              <w:gridCol w:w="1231"/>
              <w:gridCol w:w="2637"/>
              <w:gridCol w:w="28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08"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污染物</w:t>
                  </w:r>
                </w:p>
              </w:tc>
              <w:tc>
                <w:tcPr>
                  <w:tcW w:w="771"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排放限值（</w:t>
                  </w:r>
                  <w:r>
                    <w:rPr>
                      <w:rFonts w:hint="default" w:ascii="Times New Roman" w:hAnsi="Times New Roman" w:eastAsia="宋体" w:cs="Times New Roman"/>
                      <w:b/>
                      <w:bCs w:val="0"/>
                      <w:color w:val="0C0C0C"/>
                      <w:kern w:val="2"/>
                      <w:sz w:val="21"/>
                      <w:szCs w:val="21"/>
                      <w:lang w:val="en-US" w:eastAsia="zh-CN" w:bidi="ar"/>
                    </w:rPr>
                    <w:t>mg/m</w:t>
                  </w:r>
                  <w:r>
                    <w:rPr>
                      <w:rFonts w:hint="default" w:ascii="Times New Roman" w:hAnsi="Times New Roman" w:eastAsia="宋体" w:cs="Times New Roman"/>
                      <w:b/>
                      <w:bCs w:val="0"/>
                      <w:color w:val="0C0C0C"/>
                      <w:kern w:val="2"/>
                      <w:sz w:val="21"/>
                      <w:szCs w:val="21"/>
                      <w:vertAlign w:val="superscript"/>
                      <w:lang w:val="en-US" w:eastAsia="zh-CN" w:bidi="ar"/>
                    </w:rPr>
                    <w:t>3</w:t>
                  </w:r>
                  <w:r>
                    <w:rPr>
                      <w:rFonts w:hint="eastAsia" w:ascii="宋体" w:hAnsi="宋体" w:eastAsia="宋体" w:cs="宋体"/>
                      <w:b/>
                      <w:bCs w:val="0"/>
                      <w:color w:val="0C0C0C"/>
                      <w:kern w:val="2"/>
                      <w:sz w:val="21"/>
                      <w:szCs w:val="21"/>
                      <w:lang w:val="en-US" w:eastAsia="zh-CN" w:bidi="ar"/>
                    </w:rPr>
                    <w:t>）</w:t>
                  </w:r>
                </w:p>
              </w:tc>
              <w:tc>
                <w:tcPr>
                  <w:tcW w:w="1652"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4"/>
                      <w:szCs w:val="24"/>
                    </w:rPr>
                  </w:pPr>
                  <w:r>
                    <w:rPr>
                      <w:rFonts w:hint="eastAsia" w:ascii="宋体" w:hAnsi="宋体" w:eastAsia="宋体" w:cs="宋体"/>
                      <w:b/>
                      <w:bCs w:val="0"/>
                      <w:color w:val="0C0C0C"/>
                      <w:kern w:val="2"/>
                      <w:sz w:val="24"/>
                      <w:szCs w:val="24"/>
                      <w:lang w:val="en-US" w:eastAsia="zh-CN" w:bidi="ar"/>
                    </w:rPr>
                    <w:t>监控点</w:t>
                  </w:r>
                  <w:r>
                    <w:rPr>
                      <w:rFonts w:hint="default" w:ascii="Times New Roman" w:hAnsi="Times New Roman" w:eastAsia="宋体" w:cs="Times New Roman"/>
                      <w:b/>
                      <w:bCs w:val="0"/>
                      <w:color w:val="0C0C0C"/>
                      <w:kern w:val="2"/>
                      <w:sz w:val="24"/>
                      <w:szCs w:val="24"/>
                      <w:lang w:val="en-US" w:eastAsia="zh-CN" w:bidi="ar"/>
                    </w:rPr>
                    <w:t>/</w:t>
                  </w:r>
                  <w:r>
                    <w:rPr>
                      <w:rFonts w:hint="eastAsia" w:ascii="宋体" w:hAnsi="宋体" w:eastAsia="宋体" w:cs="宋体"/>
                      <w:b/>
                      <w:bCs w:val="0"/>
                      <w:color w:val="0C0C0C"/>
                      <w:kern w:val="2"/>
                      <w:sz w:val="24"/>
                      <w:szCs w:val="24"/>
                      <w:lang w:val="en-US" w:eastAsia="zh-CN" w:bidi="ar"/>
                    </w:rPr>
                    <w:t>限值含义</w:t>
                  </w:r>
                </w:p>
              </w:tc>
              <w:tc>
                <w:tcPr>
                  <w:tcW w:w="1768"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
                      <w:bCs w:val="0"/>
                      <w:color w:val="0C0C0C"/>
                      <w:kern w:val="2"/>
                      <w:sz w:val="24"/>
                      <w:szCs w:val="24"/>
                    </w:rPr>
                  </w:pPr>
                  <w:r>
                    <w:rPr>
                      <w:rFonts w:hint="eastAsia" w:ascii="宋体" w:hAnsi="宋体" w:eastAsia="宋体" w:cs="宋体"/>
                      <w:b/>
                      <w:bCs w:val="0"/>
                      <w:color w:val="0C0C0C"/>
                      <w:kern w:val="2"/>
                      <w:sz w:val="24"/>
                      <w:szCs w:val="24"/>
                      <w:lang w:val="en-US" w:eastAsia="zh-CN" w:bidi="ar"/>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808"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00000"/>
                      <w:kern w:val="2"/>
                      <w:sz w:val="21"/>
                      <w:szCs w:val="21"/>
                    </w:rPr>
                  </w:pPr>
                  <w:r>
                    <w:rPr>
                      <w:rFonts w:hint="eastAsia" w:ascii="宋体" w:hAnsi="宋体" w:eastAsia="宋体" w:cs="宋体"/>
                      <w:color w:val="000000"/>
                      <w:kern w:val="2"/>
                      <w:sz w:val="21"/>
                      <w:szCs w:val="21"/>
                      <w:lang w:val="en-US" w:eastAsia="zh-CN" w:bidi="ar"/>
                    </w:rPr>
                    <w:t>非甲烷总烃</w:t>
                  </w:r>
                </w:p>
              </w:tc>
              <w:tc>
                <w:tcPr>
                  <w:tcW w:w="771"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rPr>
                  </w:pPr>
                  <w:r>
                    <w:rPr>
                      <w:rFonts w:hint="eastAsia" w:ascii="Times New Roman" w:hAnsi="Times New Roman" w:eastAsia="宋体" w:cs="Times New Roman"/>
                      <w:color w:val="000000"/>
                      <w:kern w:val="2"/>
                      <w:sz w:val="21"/>
                      <w:szCs w:val="21"/>
                      <w:lang w:val="en-US" w:eastAsia="zh-CN" w:bidi="ar"/>
                    </w:rPr>
                    <w:t>4</w:t>
                  </w:r>
                </w:p>
              </w:tc>
              <w:tc>
                <w:tcPr>
                  <w:tcW w:w="1652" w:type="pct"/>
                  <w:tcBorders>
                    <w:tl2br w:val="nil"/>
                    <w:tr2bl w:val="nil"/>
                  </w:tcBorders>
                  <w:shd w:val="clear" w:color="auto" w:fill="auto"/>
                  <w:vAlign w:val="center"/>
                </w:tcPr>
                <w:p>
                  <w:pPr>
                    <w:keepNext w:val="0"/>
                    <w:keepLines w:val="0"/>
                    <w:widowControl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rPr>
                  </w:pPr>
                  <w:r>
                    <w:rPr>
                      <w:rFonts w:hint="eastAsia" w:ascii="宋体" w:hAnsi="宋体" w:eastAsia="宋体" w:cs="宋体"/>
                      <w:color w:val="000000"/>
                      <w:kern w:val="2"/>
                      <w:sz w:val="21"/>
                      <w:szCs w:val="21"/>
                      <w:lang w:val="en-US" w:eastAsia="zh-CN" w:bidi="ar"/>
                    </w:rPr>
                    <w:t>周界外浓度最高点</w:t>
                  </w:r>
                </w:p>
              </w:tc>
              <w:tc>
                <w:tcPr>
                  <w:tcW w:w="1768" w:type="pct"/>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宋体" w:hAnsi="宋体" w:eastAsia="宋体" w:cs="宋体"/>
                      <w:color w:val="000000"/>
                      <w:kern w:val="2"/>
                      <w:sz w:val="21"/>
                      <w:szCs w:val="21"/>
                      <w:lang w:val="en-US" w:eastAsia="zh-CN" w:bidi="ar"/>
                    </w:rPr>
                  </w:pPr>
                  <w:r>
                    <w:rPr>
                      <w:rFonts w:hint="default" w:ascii="宋体" w:hAnsi="宋体" w:eastAsia="宋体" w:cs="宋体"/>
                      <w:color w:val="000000"/>
                      <w:kern w:val="2"/>
                      <w:sz w:val="21"/>
                      <w:szCs w:val="21"/>
                      <w:lang w:val="en-US" w:eastAsia="zh-CN" w:bidi="ar"/>
                    </w:rPr>
                    <w:t xml:space="preserve">《大气污染物综合排放标 </w:t>
                  </w:r>
                </w:p>
                <w:p>
                  <w:pPr>
                    <w:keepNext w:val="0"/>
                    <w:keepLines w:val="0"/>
                    <w:suppressLineNumbers w:val="0"/>
                    <w:spacing w:before="0" w:beforeAutospacing="0" w:after="0" w:afterAutospacing="0"/>
                    <w:ind w:left="0" w:right="0"/>
                    <w:rPr>
                      <w:rFonts w:hint="default" w:ascii="Times New Roman" w:hAnsi="Times New Roman" w:cs="Times New Roman"/>
                      <w:sz w:val="20"/>
                      <w:szCs w:val="20"/>
                    </w:rPr>
                  </w:pPr>
                  <w:r>
                    <w:rPr>
                      <w:rFonts w:hint="default" w:ascii="宋体" w:hAnsi="宋体" w:eastAsia="宋体" w:cs="宋体"/>
                      <w:color w:val="000000"/>
                      <w:kern w:val="2"/>
                      <w:sz w:val="21"/>
                      <w:szCs w:val="21"/>
                      <w:lang w:val="en-US" w:eastAsia="zh-CN" w:bidi="ar"/>
                    </w:rPr>
                    <w:t>准》（GB16297-1996）表 2</w:t>
                  </w:r>
                </w:p>
              </w:tc>
            </w:tr>
          </w:tbl>
          <w:p>
            <w:pPr>
              <w:keepNext w:val="0"/>
              <w:keepLines w:val="0"/>
              <w:widowControl/>
              <w:suppressLineNumbers w:val="0"/>
              <w:spacing w:before="0" w:beforeLines="0" w:beforeAutospacing="0" w:after="0" w:afterLines="0" w:afterAutospacing="0" w:line="360" w:lineRule="auto"/>
              <w:ind w:left="0" w:right="0" w:firstLine="480" w:firstLineChars="200"/>
              <w:jc w:val="left"/>
              <w:rPr>
                <w:rFonts w:hint="default"/>
                <w:b/>
                <w:color w:val="000000"/>
                <w:kern w:val="0"/>
                <w:sz w:val="24"/>
                <w:szCs w:val="20"/>
              </w:rPr>
            </w:pPr>
            <w:r>
              <w:rPr>
                <w:rFonts w:hint="eastAsia"/>
                <w:color w:val="000000"/>
                <w:sz w:val="24"/>
                <w:szCs w:val="24"/>
              </w:rPr>
              <w:t>食堂油烟排放执行《饮食业油烟排放标准（试行）》（GB18483-2001）标准，具体见下表。</w:t>
            </w:r>
          </w:p>
          <w:p>
            <w:pPr>
              <w:keepNext w:val="0"/>
              <w:keepLines w:val="0"/>
              <w:suppressLineNumbers w:val="0"/>
              <w:autoSpaceDE w:val="0"/>
              <w:autoSpaceDN w:val="0"/>
              <w:spacing w:before="0" w:beforeLines="0" w:beforeAutospacing="0" w:after="0" w:afterLines="0" w:afterAutospacing="0" w:line="360" w:lineRule="auto"/>
              <w:ind w:left="0" w:right="0"/>
              <w:jc w:val="center"/>
              <w:rPr>
                <w:rFonts w:hint="default"/>
                <w:b/>
                <w:color w:val="000000"/>
                <w:sz w:val="24"/>
                <w:szCs w:val="24"/>
              </w:rPr>
            </w:pPr>
            <w:r>
              <w:rPr>
                <w:rFonts w:hint="eastAsia"/>
                <w:b/>
                <w:color w:val="000000"/>
                <w:sz w:val="24"/>
                <w:szCs w:val="24"/>
              </w:rPr>
              <w:t>表3-9《饮食业油烟排放标准》（GB18483-2001）</w:t>
            </w:r>
          </w:p>
          <w:tbl>
            <w:tblPr>
              <w:tblStyle w:val="59"/>
              <w:tblpPr w:leftFromText="181" w:rightFromText="181" w:vertAnchor="text" w:horzAnchor="page" w:tblpX="137" w:tblpY="58"/>
              <w:tblOverlap w:val="never"/>
              <w:tblW w:w="4998" w:type="pct"/>
              <w:tblInd w:w="-10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602"/>
              <w:gridCol w:w="1711"/>
              <w:gridCol w:w="1829"/>
              <w:gridCol w:w="1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12" w:space="0"/>
                    <w:left w:val="nil"/>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eastAsia"/>
                      <w:b/>
                      <w:color w:val="000000"/>
                      <w:sz w:val="21"/>
                      <w:szCs w:val="21"/>
                    </w:rPr>
                    <w:t>规模</w:t>
                  </w:r>
                </w:p>
              </w:tc>
              <w:tc>
                <w:tcPr>
                  <w:tcW w:w="1072"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eastAsia"/>
                      <w:b/>
                      <w:color w:val="000000"/>
                      <w:sz w:val="21"/>
                      <w:szCs w:val="21"/>
                    </w:rPr>
                    <w:t>小型</w:t>
                  </w:r>
                </w:p>
              </w:tc>
              <w:tc>
                <w:tcPr>
                  <w:tcW w:w="1146"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eastAsia"/>
                      <w:b/>
                      <w:color w:val="000000"/>
                      <w:sz w:val="21"/>
                      <w:szCs w:val="21"/>
                    </w:rPr>
                    <w:t>中型</w:t>
                  </w:r>
                </w:p>
              </w:tc>
              <w:tc>
                <w:tcPr>
                  <w:tcW w:w="1150" w:type="pct"/>
                  <w:tcBorders>
                    <w:top w:val="single" w:color="auto" w:sz="12" w:space="0"/>
                    <w:left w:val="single" w:color="auto" w:sz="4" w:space="0"/>
                    <w:bottom w:val="single" w:color="auto" w:sz="4" w:space="0"/>
                    <w:right w:val="nil"/>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eastAsia"/>
                      <w:b/>
                      <w:color w:val="000000"/>
                      <w:sz w:val="21"/>
                      <w:szCs w:val="21"/>
                    </w:rP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12" w:space="0"/>
                    <w:left w:val="nil"/>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eastAsia"/>
                      <w:color w:val="000000"/>
                      <w:sz w:val="21"/>
                      <w:szCs w:val="21"/>
                    </w:rPr>
                    <w:t>基准灶头数</w:t>
                  </w:r>
                </w:p>
              </w:tc>
              <w:tc>
                <w:tcPr>
                  <w:tcW w:w="1072"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default"/>
                      <w:color w:val="000000"/>
                      <w:kern w:val="0"/>
                      <w:sz w:val="21"/>
                      <w:szCs w:val="21"/>
                      <w:lang w:bidi="ar"/>
                    </w:rPr>
                    <w:t>≥1</w:t>
                  </w:r>
                  <w:r>
                    <w:rPr>
                      <w:rFonts w:hint="eastAsia"/>
                      <w:color w:val="000000"/>
                      <w:kern w:val="0"/>
                      <w:sz w:val="21"/>
                      <w:szCs w:val="21"/>
                      <w:lang w:bidi="ar"/>
                    </w:rPr>
                    <w:t>，＜3</w:t>
                  </w:r>
                </w:p>
              </w:tc>
              <w:tc>
                <w:tcPr>
                  <w:tcW w:w="1146" w:type="pct"/>
                  <w:tcBorders>
                    <w:top w:val="single" w:color="auto" w:sz="12" w:space="0"/>
                    <w:left w:val="single" w:color="auto" w:sz="4" w:space="0"/>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default"/>
                      <w:color w:val="000000"/>
                      <w:kern w:val="0"/>
                      <w:sz w:val="21"/>
                      <w:szCs w:val="21"/>
                      <w:lang w:bidi="ar"/>
                    </w:rPr>
                    <w:t>≥3</w:t>
                  </w:r>
                  <w:r>
                    <w:rPr>
                      <w:rFonts w:hint="eastAsia"/>
                      <w:color w:val="000000"/>
                      <w:kern w:val="0"/>
                      <w:sz w:val="21"/>
                      <w:szCs w:val="21"/>
                      <w:lang w:bidi="ar"/>
                    </w:rPr>
                    <w:t>，＜6</w:t>
                  </w:r>
                </w:p>
              </w:tc>
              <w:tc>
                <w:tcPr>
                  <w:tcW w:w="1150" w:type="pct"/>
                  <w:tcBorders>
                    <w:top w:val="single" w:color="auto" w:sz="12" w:space="0"/>
                    <w:left w:val="single" w:color="auto" w:sz="4" w:space="0"/>
                    <w:bottom w:val="single" w:color="auto" w:sz="4" w:space="0"/>
                    <w:right w:val="nil"/>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b/>
                      <w:color w:val="000000"/>
                      <w:sz w:val="21"/>
                      <w:szCs w:val="21"/>
                    </w:rPr>
                  </w:pPr>
                  <w:r>
                    <w:rPr>
                      <w:rFonts w:hint="default"/>
                      <w:color w:val="000000"/>
                      <w:kern w:val="0"/>
                      <w:sz w:val="21"/>
                      <w:szCs w:val="21"/>
                      <w:lang w:bidi="ar"/>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31" w:type="pct"/>
                  <w:tcBorders>
                    <w:top w:val="single" w:color="auto" w:sz="4" w:space="0"/>
                    <w:left w:val="nil"/>
                    <w:bottom w:val="single" w:color="auto" w:sz="4"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最高允许排放浓度（mg/m</w:t>
                  </w:r>
                  <w:r>
                    <w:rPr>
                      <w:rFonts w:hint="default"/>
                      <w:color w:val="000000"/>
                      <w:sz w:val="21"/>
                      <w:szCs w:val="21"/>
                      <w:vertAlign w:val="superscript"/>
                    </w:rPr>
                    <w:t>3</w:t>
                  </w:r>
                  <w:r>
                    <w:rPr>
                      <w:rFonts w:hint="eastAsia"/>
                      <w:color w:val="000000"/>
                      <w:sz w:val="21"/>
                      <w:szCs w:val="21"/>
                    </w:rPr>
                    <w:t>）</w:t>
                  </w:r>
                </w:p>
              </w:tc>
              <w:tc>
                <w:tcPr>
                  <w:tcW w:w="3368" w:type="pct"/>
                  <w:gridSpan w:val="3"/>
                  <w:tcBorders>
                    <w:top w:val="single" w:color="auto" w:sz="4" w:space="0"/>
                    <w:left w:val="single" w:color="auto" w:sz="4" w:space="0"/>
                    <w:bottom w:val="single" w:color="auto" w:sz="4" w:space="0"/>
                    <w:right w:val="nil"/>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default"/>
                      <w:color w:val="00000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1" w:type="pct"/>
                  <w:tcBorders>
                    <w:top w:val="single" w:color="auto" w:sz="4" w:space="0"/>
                    <w:left w:val="nil"/>
                    <w:bottom w:val="single" w:color="auto" w:sz="12"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eastAsia"/>
                      <w:color w:val="000000"/>
                      <w:sz w:val="21"/>
                      <w:szCs w:val="21"/>
                    </w:rPr>
                    <w:t>净化设施最低去除效率</w:t>
                  </w:r>
                </w:p>
              </w:tc>
              <w:tc>
                <w:tcPr>
                  <w:tcW w:w="1072"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default"/>
                      <w:color w:val="000000"/>
                      <w:sz w:val="21"/>
                      <w:szCs w:val="21"/>
                    </w:rPr>
                    <w:t>60</w:t>
                  </w:r>
                </w:p>
              </w:tc>
              <w:tc>
                <w:tcPr>
                  <w:tcW w:w="1146"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default"/>
                      <w:color w:val="000000"/>
                      <w:sz w:val="21"/>
                      <w:szCs w:val="21"/>
                    </w:rPr>
                    <w:t>75</w:t>
                  </w:r>
                </w:p>
              </w:tc>
              <w:tc>
                <w:tcPr>
                  <w:tcW w:w="1150" w:type="pct"/>
                  <w:tcBorders>
                    <w:top w:val="single" w:color="auto" w:sz="4" w:space="0"/>
                    <w:left w:val="single" w:color="auto" w:sz="4" w:space="0"/>
                    <w:bottom w:val="single" w:color="auto" w:sz="12" w:space="0"/>
                    <w:right w:val="nil"/>
                    <w:tl2br w:val="nil"/>
                    <w:tr2bl w:val="nil"/>
                  </w:tcBorders>
                  <w:noWrap w:val="0"/>
                  <w:vAlign w:val="center"/>
                </w:tcPr>
                <w:p>
                  <w:pPr>
                    <w:keepNext w:val="0"/>
                    <w:keepLines w:val="0"/>
                    <w:widowControl/>
                    <w:suppressLineNumbers w:val="0"/>
                    <w:spacing w:before="0" w:beforeAutospacing="0" w:after="0" w:afterAutospacing="0"/>
                    <w:ind w:left="0" w:right="0"/>
                    <w:jc w:val="center"/>
                    <w:rPr>
                      <w:rFonts w:hint="default"/>
                      <w:color w:val="000000"/>
                      <w:sz w:val="21"/>
                      <w:szCs w:val="21"/>
                    </w:rPr>
                  </w:pPr>
                  <w:r>
                    <w:rPr>
                      <w:rFonts w:hint="default"/>
                      <w:color w:val="000000"/>
                      <w:sz w:val="21"/>
                      <w:szCs w:val="21"/>
                    </w:rPr>
                    <w:t>85</w:t>
                  </w:r>
                </w:p>
              </w:tc>
            </w:tr>
          </w:tbl>
          <w:p>
            <w:pPr>
              <w:keepNext w:val="0"/>
              <w:keepLines w:val="0"/>
              <w:widowControl/>
              <w:suppressLineNumbers w:val="0"/>
              <w:spacing w:before="120" w:beforeLines="50" w:beforeAutospacing="0" w:after="0" w:afterAutospacing="0" w:line="360" w:lineRule="auto"/>
              <w:ind w:left="0" w:right="0" w:firstLine="472" w:firstLineChars="196"/>
              <w:jc w:val="left"/>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3.</w:t>
            </w:r>
            <w:r>
              <w:rPr>
                <w:rFonts w:hint="eastAsia"/>
                <w:b/>
                <w:color w:val="0D0D0D" w:themeColor="text1" w:themeTint="F2"/>
                <w:kern w:val="0"/>
                <w:sz w:val="24"/>
                <w:szCs w:val="20"/>
                <w14:textFill>
                  <w14:solidFill>
                    <w14:schemeClr w14:val="tx1">
                      <w14:lumMod w14:val="95000"/>
                      <w14:lumOff w14:val="5000"/>
                    </w14:schemeClr>
                  </w14:solidFill>
                </w14:textFill>
              </w:rPr>
              <w:t>噪声</w:t>
            </w:r>
          </w:p>
          <w:p>
            <w:pPr>
              <w:keepNext w:val="0"/>
              <w:keepLines w:val="0"/>
              <w:widowControl/>
              <w:suppressLineNumbers w:val="0"/>
              <w:spacing w:before="0" w:beforeAutospacing="0" w:after="0" w:afterAutospacing="0" w:line="360" w:lineRule="auto"/>
              <w:ind w:left="-2" w:leftChars="-1" w:right="0" w:firstLine="480" w:firstLineChars="200"/>
              <w:jc w:val="left"/>
              <w:rPr>
                <w:rFonts w:hint="default"/>
                <w:color w:val="0D0D0D" w:themeColor="text1" w:themeTint="F2"/>
                <w:kern w:val="0"/>
                <w:sz w:val="24"/>
                <w:szCs w:val="20"/>
                <w14:textFill>
                  <w14:solidFill>
                    <w14:schemeClr w14:val="tx1">
                      <w14:lumMod w14:val="95000"/>
                      <w14:lumOff w14:val="5000"/>
                    </w14:schemeClr>
                  </w14:solidFill>
                </w14:textFill>
              </w:rPr>
            </w:pPr>
            <w:r>
              <w:rPr>
                <w:rFonts w:hint="eastAsia"/>
                <w:color w:val="0D0D0D" w:themeColor="text1" w:themeTint="F2"/>
                <w:kern w:val="0"/>
                <w:sz w:val="24"/>
                <w:szCs w:val="20"/>
                <w14:textFill>
                  <w14:solidFill>
                    <w14:schemeClr w14:val="tx1">
                      <w14:lumMod w14:val="95000"/>
                      <w14:lumOff w14:val="5000"/>
                    </w14:schemeClr>
                  </w14:solidFill>
                </w14:textFill>
              </w:rPr>
              <w:t>项目</w:t>
            </w:r>
            <w:r>
              <w:rPr>
                <w:rFonts w:hint="default"/>
                <w:color w:val="0D0D0D" w:themeColor="text1" w:themeTint="F2"/>
                <w:kern w:val="0"/>
                <w:sz w:val="24"/>
                <w:szCs w:val="20"/>
                <w14:textFill>
                  <w14:solidFill>
                    <w14:schemeClr w14:val="tx1">
                      <w14:lumMod w14:val="95000"/>
                      <w14:lumOff w14:val="5000"/>
                    </w14:schemeClr>
                  </w14:solidFill>
                </w14:textFill>
              </w:rPr>
              <w:t>施工期噪声执行《建筑施工场界环境噪声排放标准》（GB12523-2011）中的规定。</w:t>
            </w:r>
            <w:r>
              <w:rPr>
                <w:rFonts w:hint="eastAsia"/>
                <w:color w:val="0D0D0D" w:themeColor="text1" w:themeTint="F2"/>
                <w:kern w:val="0"/>
                <w:sz w:val="24"/>
                <w:szCs w:val="20"/>
                <w14:textFill>
                  <w14:solidFill>
                    <w14:schemeClr w14:val="tx1">
                      <w14:lumMod w14:val="95000"/>
                      <w14:lumOff w14:val="5000"/>
                    </w14:schemeClr>
                  </w14:solidFill>
                </w14:textFill>
              </w:rPr>
              <w:t>运营期噪声执行《工业企业厂界环境噪声排放标准》（</w:t>
            </w:r>
            <w:r>
              <w:rPr>
                <w:rFonts w:hint="default"/>
                <w:bCs/>
                <w:color w:val="0D0D0D" w:themeColor="text1" w:themeTint="F2"/>
                <w:kern w:val="0"/>
                <w:sz w:val="24"/>
                <w:szCs w:val="20"/>
                <w14:textFill>
                  <w14:solidFill>
                    <w14:schemeClr w14:val="tx1">
                      <w14:lumMod w14:val="95000"/>
                      <w14:lumOff w14:val="5000"/>
                    </w14:schemeClr>
                  </w14:solidFill>
                </w14:textFill>
              </w:rPr>
              <w:t>GB12348-2008</w:t>
            </w:r>
            <w:r>
              <w:rPr>
                <w:rFonts w:hint="eastAsia"/>
                <w:bCs/>
                <w:color w:val="0D0D0D" w:themeColor="text1" w:themeTint="F2"/>
                <w:kern w:val="0"/>
                <w:sz w:val="24"/>
                <w:szCs w:val="20"/>
                <w14:textFill>
                  <w14:solidFill>
                    <w14:schemeClr w14:val="tx1">
                      <w14:lumMod w14:val="95000"/>
                      <w14:lumOff w14:val="5000"/>
                    </w14:schemeClr>
                  </w14:solidFill>
                </w14:textFill>
              </w:rPr>
              <w:t>）</w:t>
            </w:r>
            <w:r>
              <w:rPr>
                <w:rFonts w:hint="eastAsia"/>
                <w:color w:val="0D0D0D" w:themeColor="text1" w:themeTint="F2"/>
                <w:kern w:val="0"/>
                <w:sz w:val="24"/>
                <w:szCs w:val="20"/>
                <w14:textFill>
                  <w14:solidFill>
                    <w14:schemeClr w14:val="tx1">
                      <w14:lumMod w14:val="95000"/>
                      <w14:lumOff w14:val="5000"/>
                    </w14:schemeClr>
                  </w14:solidFill>
                </w14:textFill>
              </w:rPr>
              <w:t>中的3类标准。</w:t>
            </w:r>
          </w:p>
          <w:p>
            <w:pPr>
              <w:keepNext w:val="0"/>
              <w:keepLines w:val="0"/>
              <w:widowControl/>
              <w:suppressLineNumbers w:val="0"/>
              <w:spacing w:before="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r>
              <w:rPr>
                <w:rFonts w:hint="eastAsia"/>
                <w:b/>
                <w:color w:val="0D0D0D" w:themeColor="text1" w:themeTint="F2"/>
                <w:kern w:val="0"/>
                <w:sz w:val="24"/>
                <w:szCs w:val="20"/>
                <w14:textFill>
                  <w14:solidFill>
                    <w14:schemeClr w14:val="tx1">
                      <w14:lumMod w14:val="95000"/>
                      <w14:lumOff w14:val="5000"/>
                    </w14:schemeClr>
                  </w14:solidFill>
                </w14:textFill>
              </w:rPr>
              <w:t>表3-</w:t>
            </w:r>
            <w:r>
              <w:rPr>
                <w:rFonts w:hint="eastAsia"/>
                <w:b/>
                <w:color w:val="0D0D0D" w:themeColor="text1" w:themeTint="F2"/>
                <w:kern w:val="0"/>
                <w:sz w:val="24"/>
                <w:szCs w:val="20"/>
                <w:lang w:val="en-US" w:eastAsia="zh-CN"/>
                <w14:textFill>
                  <w14:solidFill>
                    <w14:schemeClr w14:val="tx1">
                      <w14:lumMod w14:val="95000"/>
                      <w14:lumOff w14:val="5000"/>
                    </w14:schemeClr>
                  </w14:solidFill>
                </w14:textFill>
              </w:rPr>
              <w:t>10</w:t>
            </w:r>
            <w:r>
              <w:rPr>
                <w:rFonts w:hint="default"/>
                <w:b/>
                <w:color w:val="0D0D0D" w:themeColor="text1" w:themeTint="F2"/>
                <w:kern w:val="0"/>
                <w:sz w:val="24"/>
                <w:szCs w:val="20"/>
                <w14:textFill>
                  <w14:solidFill>
                    <w14:schemeClr w14:val="tx1">
                      <w14:lumMod w14:val="95000"/>
                      <w14:lumOff w14:val="5000"/>
                    </w14:schemeClr>
                  </w14:solidFill>
                </w14:textFill>
              </w:rPr>
              <w:t xml:space="preserve">  </w:t>
            </w:r>
            <w:r>
              <w:rPr>
                <w:rFonts w:hint="eastAsia"/>
                <w:b/>
                <w:color w:val="0D0D0D" w:themeColor="text1" w:themeTint="F2"/>
                <w:kern w:val="0"/>
                <w:sz w:val="24"/>
                <w:szCs w:val="20"/>
                <w14:textFill>
                  <w14:solidFill>
                    <w14:schemeClr w14:val="tx1">
                      <w14:lumMod w14:val="95000"/>
                      <w14:lumOff w14:val="5000"/>
                    </w14:schemeClr>
                  </w14:solidFill>
                </w14:textFill>
              </w:rPr>
              <w:t>项目环境噪声排放标准</w:t>
            </w:r>
            <w:r>
              <w:rPr>
                <w:rFonts w:hint="eastAsia" w:hAnsi="宋体"/>
                <w:b/>
                <w:color w:val="0D0D0D" w:themeColor="text1" w:themeTint="F2"/>
                <w:sz w:val="24"/>
                <w14:textFill>
                  <w14:solidFill>
                    <w14:schemeClr w14:val="tx1">
                      <w14:lumMod w14:val="95000"/>
                      <w14:lumOff w14:val="5000"/>
                    </w14:schemeClr>
                  </w14:solidFill>
                </w14:textFill>
              </w:rPr>
              <w:t>限值</w:t>
            </w:r>
            <w:r>
              <w:rPr>
                <w:rFonts w:hint="default"/>
                <w:b/>
                <w:color w:val="0D0D0D" w:themeColor="text1" w:themeTint="F2"/>
                <w:kern w:val="0"/>
                <w:sz w:val="24"/>
                <w:szCs w:val="20"/>
                <w14:textFill>
                  <w14:solidFill>
                    <w14:schemeClr w14:val="tx1">
                      <w14:lumMod w14:val="95000"/>
                      <w14:lumOff w14:val="5000"/>
                    </w14:schemeClr>
                  </w14:solidFill>
                </w14:textFill>
              </w:rPr>
              <w:t xml:space="preserve">     </w:t>
            </w:r>
            <w:r>
              <w:rPr>
                <w:rFonts w:hint="eastAsia"/>
                <w:b/>
                <w:color w:val="0D0D0D" w:themeColor="text1" w:themeTint="F2"/>
                <w:kern w:val="0"/>
                <w:sz w:val="24"/>
                <w:szCs w:val="20"/>
                <w14:textFill>
                  <w14:solidFill>
                    <w14:schemeClr w14:val="tx1">
                      <w14:lumMod w14:val="95000"/>
                      <w14:lumOff w14:val="5000"/>
                    </w14:schemeClr>
                  </w14:solidFill>
                </w14:textFill>
              </w:rPr>
              <w:t>单位：</w:t>
            </w:r>
            <w:r>
              <w:rPr>
                <w:rFonts w:hint="default"/>
                <w:b/>
                <w:color w:val="0D0D0D" w:themeColor="text1" w:themeTint="F2"/>
                <w:kern w:val="0"/>
                <w:sz w:val="24"/>
                <w:szCs w:val="20"/>
                <w14:textFill>
                  <w14:solidFill>
                    <w14:schemeClr w14:val="tx1">
                      <w14:lumMod w14:val="95000"/>
                      <w14:lumOff w14:val="5000"/>
                    </w14:schemeClr>
                  </w14:solidFill>
                </w14:textFill>
              </w:rPr>
              <w:t>dB(A)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1649"/>
              <w:gridCol w:w="1649"/>
              <w:gridCol w:w="30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3" w:type="pct"/>
                  <w:vMerge w:val="restart"/>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类别</w:t>
                  </w:r>
                </w:p>
              </w:tc>
              <w:tc>
                <w:tcPr>
                  <w:tcW w:w="2066" w:type="pct"/>
                  <w:gridSpan w:val="2"/>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标准值</w:t>
                  </w:r>
                  <w:r>
                    <w:rPr>
                      <w:rFonts w:hint="default"/>
                      <w:b/>
                      <w:color w:val="0D0D0D" w:themeColor="text1" w:themeTint="F2"/>
                      <w:kern w:val="0"/>
                      <w:szCs w:val="21"/>
                      <w14:textFill>
                        <w14:solidFill>
                          <w14:schemeClr w14:val="tx1">
                            <w14:lumMod w14:val="95000"/>
                            <w14:lumOff w14:val="5000"/>
                          </w14:schemeClr>
                        </w14:solidFill>
                      </w14:textFill>
                    </w:rPr>
                    <w:t>dB(A</w:t>
                  </w:r>
                  <w:r>
                    <w:rPr>
                      <w:rFonts w:hint="eastAsia"/>
                      <w:b/>
                      <w:color w:val="0D0D0D" w:themeColor="text1" w:themeTint="F2"/>
                      <w:kern w:val="0"/>
                      <w:szCs w:val="21"/>
                      <w14:textFill>
                        <w14:solidFill>
                          <w14:schemeClr w14:val="tx1">
                            <w14:lumMod w14:val="95000"/>
                            <w14:lumOff w14:val="5000"/>
                          </w14:schemeClr>
                        </w14:solidFill>
                      </w14:textFill>
                    </w:rPr>
                    <w:t>)</w:t>
                  </w:r>
                </w:p>
              </w:tc>
              <w:tc>
                <w:tcPr>
                  <w:tcW w:w="1881" w:type="pct"/>
                  <w:vMerge w:val="restart"/>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3" w:type="pct"/>
                  <w:vMerge w:val="continue"/>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p>
              </w:tc>
              <w:tc>
                <w:tcPr>
                  <w:tcW w:w="1033" w:type="pct"/>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昼间</w:t>
                  </w:r>
                </w:p>
              </w:tc>
              <w:tc>
                <w:tcPr>
                  <w:tcW w:w="1033" w:type="pct"/>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夜间</w:t>
                  </w:r>
                </w:p>
              </w:tc>
              <w:tc>
                <w:tcPr>
                  <w:tcW w:w="1881" w:type="pct"/>
                  <w:vMerge w:val="continue"/>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w:t>
                  </w:r>
                </w:p>
              </w:tc>
              <w:tc>
                <w:tcPr>
                  <w:tcW w:w="103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70</w:t>
                  </w:r>
                </w:p>
              </w:tc>
              <w:tc>
                <w:tcPr>
                  <w:tcW w:w="103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55</w:t>
                  </w:r>
                </w:p>
              </w:tc>
              <w:tc>
                <w:tcPr>
                  <w:tcW w:w="1881"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《建筑施工场界环境噪声排放标准》（GB12523-2011）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5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3类</w:t>
                  </w:r>
                </w:p>
              </w:tc>
              <w:tc>
                <w:tcPr>
                  <w:tcW w:w="103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6</w:t>
                  </w:r>
                  <w:r>
                    <w:rPr>
                      <w:rFonts w:hint="eastAsia"/>
                      <w:color w:val="0D0D0D" w:themeColor="text1" w:themeTint="F2"/>
                      <w:kern w:val="0"/>
                      <w:szCs w:val="21"/>
                      <w14:textFill>
                        <w14:solidFill>
                          <w14:schemeClr w14:val="tx1">
                            <w14:lumMod w14:val="95000"/>
                            <w14:lumOff w14:val="5000"/>
                          </w14:schemeClr>
                        </w14:solidFill>
                      </w14:textFill>
                    </w:rPr>
                    <w:t>5</w:t>
                  </w:r>
                </w:p>
              </w:tc>
              <w:tc>
                <w:tcPr>
                  <w:tcW w:w="1033"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5</w:t>
                  </w:r>
                  <w:r>
                    <w:rPr>
                      <w:rFonts w:hint="eastAsia"/>
                      <w:color w:val="0D0D0D" w:themeColor="text1" w:themeTint="F2"/>
                      <w:kern w:val="0"/>
                      <w:szCs w:val="21"/>
                      <w14:textFill>
                        <w14:solidFill>
                          <w14:schemeClr w14:val="tx1">
                            <w14:lumMod w14:val="95000"/>
                            <w14:lumOff w14:val="5000"/>
                          </w14:schemeClr>
                        </w14:solidFill>
                      </w14:textFill>
                    </w:rPr>
                    <w:t>5</w:t>
                  </w:r>
                </w:p>
              </w:tc>
              <w:tc>
                <w:tcPr>
                  <w:tcW w:w="1881"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《工业企业厂界环境噪声排放标准》（</w:t>
                  </w:r>
                  <w:r>
                    <w:rPr>
                      <w:rFonts w:hint="default"/>
                      <w:bCs/>
                      <w:color w:val="0D0D0D" w:themeColor="text1" w:themeTint="F2"/>
                      <w:kern w:val="0"/>
                      <w:szCs w:val="21"/>
                      <w14:textFill>
                        <w14:solidFill>
                          <w14:schemeClr w14:val="tx1">
                            <w14:lumMod w14:val="95000"/>
                            <w14:lumOff w14:val="5000"/>
                          </w14:schemeClr>
                        </w14:solidFill>
                      </w14:textFill>
                    </w:rPr>
                    <w:t>GB12348-2008</w:t>
                  </w:r>
                  <w:r>
                    <w:rPr>
                      <w:rFonts w:hint="eastAsia"/>
                      <w:bCs/>
                      <w:color w:val="0D0D0D" w:themeColor="text1" w:themeTint="F2"/>
                      <w:kern w:val="0"/>
                      <w:szCs w:val="21"/>
                      <w14:textFill>
                        <w14:solidFill>
                          <w14:schemeClr w14:val="tx1">
                            <w14:lumMod w14:val="95000"/>
                            <w14:lumOff w14:val="5000"/>
                          </w14:schemeClr>
                        </w14:solidFill>
                      </w14:textFill>
                    </w:rPr>
                    <w:t>）</w:t>
                  </w:r>
                </w:p>
              </w:tc>
            </w:tr>
          </w:tbl>
          <w:p>
            <w:pPr>
              <w:keepNext w:val="0"/>
              <w:keepLines w:val="0"/>
              <w:widowControl/>
              <w:suppressLineNumbers w:val="0"/>
              <w:spacing w:before="120" w:beforeLines="50" w:beforeAutospacing="0" w:after="0" w:afterAutospacing="0" w:line="360" w:lineRule="auto"/>
              <w:ind w:left="0" w:right="0" w:firstLine="482" w:firstLineChars="200"/>
              <w:jc w:val="left"/>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4.</w:t>
            </w:r>
            <w:r>
              <w:rPr>
                <w:rFonts w:hint="eastAsia"/>
                <w:b/>
                <w:color w:val="0D0D0D" w:themeColor="text1" w:themeTint="F2"/>
                <w:kern w:val="0"/>
                <w:sz w:val="24"/>
                <w:szCs w:val="20"/>
                <w14:textFill>
                  <w14:solidFill>
                    <w14:schemeClr w14:val="tx1">
                      <w14:lumMod w14:val="95000"/>
                      <w14:lumOff w14:val="5000"/>
                    </w14:schemeClr>
                  </w14:solidFill>
                </w14:textFill>
              </w:rPr>
              <w:t>固废</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一般固废执行《一般工业固体废物贮存和填埋污染控制标准》（</w:t>
            </w:r>
            <w:r>
              <w:rPr>
                <w:rFonts w:hint="default"/>
                <w:color w:val="0D0D0D" w:themeColor="text1" w:themeTint="F2"/>
                <w:sz w:val="24"/>
                <w14:textFill>
                  <w14:solidFill>
                    <w14:schemeClr w14:val="tx1">
                      <w14:lumMod w14:val="95000"/>
                      <w14:lumOff w14:val="5000"/>
                    </w14:schemeClr>
                  </w14:solidFill>
                </w14:textFill>
              </w:rPr>
              <w:t>GB18599-20</w:t>
            </w:r>
            <w:r>
              <w:rPr>
                <w:rFonts w:hint="eastAsia"/>
                <w:color w:val="0D0D0D" w:themeColor="text1" w:themeTint="F2"/>
                <w:sz w:val="24"/>
                <w14:textFill>
                  <w14:solidFill>
                    <w14:schemeClr w14:val="tx1">
                      <w14:lumMod w14:val="95000"/>
                      <w14:lumOff w14:val="5000"/>
                    </w14:schemeClr>
                  </w14:solidFill>
                </w14:textFill>
              </w:rPr>
              <w:t>20）；危险固废执行《危险废物贮存污染控制标准》（</w:t>
            </w:r>
            <w:r>
              <w:rPr>
                <w:rFonts w:hint="default"/>
                <w:color w:val="0D0D0D" w:themeColor="text1" w:themeTint="F2"/>
                <w:sz w:val="24"/>
                <w14:textFill>
                  <w14:solidFill>
                    <w14:schemeClr w14:val="tx1">
                      <w14:lumMod w14:val="95000"/>
                      <w14:lumOff w14:val="5000"/>
                    </w14:schemeClr>
                  </w14:solidFill>
                </w14:textFill>
              </w:rPr>
              <w:t>GB1859</w:t>
            </w:r>
            <w:r>
              <w:rPr>
                <w:rFonts w:hint="eastAsia"/>
                <w:color w:val="0D0D0D" w:themeColor="text1" w:themeTint="F2"/>
                <w:sz w:val="24"/>
                <w:lang w:val="en-US" w:eastAsia="zh-CN"/>
                <w14:textFill>
                  <w14:solidFill>
                    <w14:schemeClr w14:val="tx1">
                      <w14:lumMod w14:val="95000"/>
                      <w14:lumOff w14:val="5000"/>
                    </w14:schemeClr>
                  </w14:solidFill>
                </w14:textFill>
              </w:rPr>
              <w:t>7</w:t>
            </w:r>
            <w:r>
              <w:rPr>
                <w:rFonts w:hint="default"/>
                <w:color w:val="0D0D0D" w:themeColor="text1" w:themeTint="F2"/>
                <w:sz w:val="24"/>
                <w14:textFill>
                  <w14:solidFill>
                    <w14:schemeClr w14:val="tx1">
                      <w14:lumMod w14:val="95000"/>
                      <w14:lumOff w14:val="5000"/>
                    </w14:schemeClr>
                  </w14:solidFill>
                </w14:textFill>
              </w:rPr>
              <w:t>-2023</w:t>
            </w:r>
            <w:r>
              <w:rPr>
                <w:rFonts w:hint="eastAsia"/>
                <w:color w:val="0D0D0D" w:themeColor="text1" w:themeTint="F2"/>
                <w:sz w:val="24"/>
                <w14:textFill>
                  <w14:solidFill>
                    <w14:schemeClr w14:val="tx1">
                      <w14:lumMod w14:val="95000"/>
                      <w14:lumOff w14:val="5000"/>
                    </w14:schemeClr>
                  </w14:solidFill>
                </w14:textFill>
              </w:rPr>
              <w:t>）</w:t>
            </w:r>
            <w:r>
              <w:rPr>
                <w:rFonts w:hint="eastAsia" w:ascii="宋体" w:cs="宋体"/>
                <w:color w:val="0D0D0D" w:themeColor="text1" w:themeTint="F2"/>
                <w:kern w:val="0"/>
                <w:sz w:val="24"/>
                <w14:textFill>
                  <w14:solidFill>
                    <w14:schemeClr w14:val="tx1">
                      <w14:lumMod w14:val="95000"/>
                      <w14:lumOff w14:val="5000"/>
                    </w14:schemeClr>
                  </w14:solidFill>
                </w14:textFill>
              </w:rPr>
              <w:t>中的有关规定</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420" w:lineRule="exact"/>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420" w:lineRule="exact"/>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420" w:lineRule="exact"/>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420" w:lineRule="exact"/>
              <w:ind w:left="0" w:right="0"/>
              <w:rPr>
                <w:rFonts w:hint="default"/>
                <w:color w:val="0D0D0D" w:themeColor="text1" w:themeTint="F2"/>
                <w:sz w:val="24"/>
                <w14:textFill>
                  <w14:solidFill>
                    <w14:schemeClr w14:val="tx1">
                      <w14:lumMod w14:val="95000"/>
                      <w14:lumOff w14:val="5000"/>
                    </w14:schemeClr>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68" w:hRule="atLeast"/>
          <w:jc w:val="center"/>
        </w:trPr>
        <w:tc>
          <w:tcPr>
            <w:tcW w:w="800" w:type="dxa"/>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总量</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控制</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指标</w:t>
            </w:r>
          </w:p>
        </w:tc>
        <w:tc>
          <w:tcPr>
            <w:tcW w:w="8190" w:type="dxa"/>
          </w:tcPr>
          <w:p>
            <w:pPr>
              <w:keepNext w:val="0"/>
              <w:keepLines w:val="0"/>
              <w:suppressLineNumbers w:val="0"/>
              <w:spacing w:before="0" w:beforeAutospacing="0" w:after="0" w:afterAutospacing="0" w:line="360" w:lineRule="auto"/>
              <w:ind w:left="0" w:right="0"/>
              <w:rPr>
                <w:rFonts w:hint="default"/>
                <w:b/>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14:textFill>
                  <w14:solidFill>
                    <w14:schemeClr w14:val="tx1">
                      <w14:lumMod w14:val="95000"/>
                      <w14:lumOff w14:val="5000"/>
                    </w14:schemeClr>
                  </w14:solidFill>
                </w14:textFill>
              </w:rPr>
              <w:t>、总量控制因子</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根据“十四五”主要污染物总量控制规划，本项目涉及的总量控制因子为COD、NH</w:t>
            </w:r>
            <w:r>
              <w:rPr>
                <w:rFonts w:hint="eastAsia"/>
                <w:color w:val="0D0D0D" w:themeColor="text1" w:themeTint="F2"/>
                <w:sz w:val="24"/>
                <w:vertAlign w:val="subscript"/>
                <w14:textFill>
                  <w14:solidFill>
                    <w14:schemeClr w14:val="tx1">
                      <w14:lumMod w14:val="95000"/>
                      <w14:lumOff w14:val="5000"/>
                    </w14:schemeClr>
                  </w14:solidFill>
                </w14:textFill>
              </w:rPr>
              <w:t>3</w:t>
            </w:r>
            <w:r>
              <w:rPr>
                <w:rFonts w:hint="eastAsia"/>
                <w:color w:val="0D0D0D" w:themeColor="text1" w:themeTint="F2"/>
                <w:sz w:val="24"/>
                <w14:textFill>
                  <w14:solidFill>
                    <w14:schemeClr w14:val="tx1">
                      <w14:lumMod w14:val="95000"/>
                      <w14:lumOff w14:val="5000"/>
                    </w14:schemeClr>
                  </w14:solidFill>
                </w14:textFill>
              </w:rPr>
              <w:t>-N及</w:t>
            </w:r>
            <w:r>
              <w:rPr>
                <w:rFonts w:hint="eastAsia"/>
                <w:color w:val="0D0D0D" w:themeColor="text1" w:themeTint="F2"/>
                <w:sz w:val="24"/>
                <w:lang w:val="zh-CN"/>
                <w14:textFill>
                  <w14:solidFill>
                    <w14:schemeClr w14:val="tx1">
                      <w14:lumMod w14:val="95000"/>
                      <w14:lumOff w14:val="5000"/>
                    </w14:schemeClr>
                  </w14:solidFill>
                </w14:textFill>
              </w:rPr>
              <w:t>VOCs</w:t>
            </w:r>
            <w:r>
              <w:rPr>
                <w:rFonts w:hint="eastAsia"/>
                <w:color w:val="0D0D0D" w:themeColor="text1" w:themeTint="F2"/>
                <w:sz w:val="24"/>
                <w14:textFill>
                  <w14:solidFill>
                    <w14:schemeClr w14:val="tx1">
                      <w14:lumMod w14:val="95000"/>
                      <w14:lumOff w14:val="5000"/>
                    </w14:schemeClr>
                  </w14:solidFill>
                </w14:textFill>
              </w:rPr>
              <w:t>、N</w:t>
            </w:r>
            <w:r>
              <w:rPr>
                <w:rFonts w:hint="default"/>
                <w:color w:val="0D0D0D" w:themeColor="text1" w:themeTint="F2"/>
                <w:sz w:val="24"/>
                <w14:textFill>
                  <w14:solidFill>
                    <w14:schemeClr w14:val="tx1">
                      <w14:lumMod w14:val="95000"/>
                      <w14:lumOff w14:val="5000"/>
                    </w14:schemeClr>
                  </w14:solidFill>
                </w14:textFill>
              </w:rPr>
              <w:t>Ox</w:t>
            </w:r>
            <w:r>
              <w:rPr>
                <w:rFonts w:hint="eastAsia"/>
                <w:color w:val="0D0D0D" w:themeColor="text1" w:themeTint="F2"/>
                <w:sz w:val="24"/>
                <w:lang w:val="zh-CN"/>
                <w14:textFill>
                  <w14:solidFill>
                    <w14:schemeClr w14:val="tx1">
                      <w14:lumMod w14:val="95000"/>
                      <w14:lumOff w14:val="5000"/>
                    </w14:schemeClr>
                  </w14:solidFill>
                </w14:textFill>
              </w:rPr>
              <w:t>，其中</w:t>
            </w:r>
            <w:r>
              <w:rPr>
                <w:rFonts w:hint="eastAsia"/>
                <w:color w:val="0D0D0D" w:themeColor="text1" w:themeTint="F2"/>
                <w:sz w:val="24"/>
                <w14:textFill>
                  <w14:solidFill>
                    <w14:schemeClr w14:val="tx1">
                      <w14:lumMod w14:val="95000"/>
                      <w14:lumOff w14:val="5000"/>
                    </w14:schemeClr>
                  </w14:solidFill>
                </w14:textFill>
              </w:rPr>
              <w:t>大气污染物总量控制因子：</w:t>
            </w:r>
            <w:r>
              <w:rPr>
                <w:rFonts w:hint="eastAsia"/>
                <w:color w:val="0D0D0D" w:themeColor="text1" w:themeTint="F2"/>
                <w:sz w:val="24"/>
                <w:lang w:val="zh-CN"/>
                <w14:textFill>
                  <w14:solidFill>
                    <w14:schemeClr w14:val="tx1">
                      <w14:lumMod w14:val="95000"/>
                      <w14:lumOff w14:val="5000"/>
                    </w14:schemeClr>
                  </w14:solidFill>
                </w14:textFill>
              </w:rPr>
              <w:t>VOCs</w:t>
            </w:r>
            <w:r>
              <w:rPr>
                <w:rFonts w:hint="eastAsia"/>
                <w:color w:val="0D0D0D" w:themeColor="text1" w:themeTint="F2"/>
                <w:sz w:val="24"/>
                <w14:textFill>
                  <w14:solidFill>
                    <w14:schemeClr w14:val="tx1">
                      <w14:lumMod w14:val="95000"/>
                      <w14:lumOff w14:val="5000"/>
                    </w14:schemeClr>
                  </w14:solidFill>
                </w14:textFill>
              </w:rPr>
              <w:t>；水污染物总量控制因子：</w:t>
            </w:r>
            <w:r>
              <w:rPr>
                <w:rFonts w:hint="default"/>
                <w:color w:val="0D0D0D" w:themeColor="text1" w:themeTint="F2"/>
                <w:sz w:val="24"/>
                <w14:textFill>
                  <w14:solidFill>
                    <w14:schemeClr w14:val="tx1">
                      <w14:lumMod w14:val="95000"/>
                      <w14:lumOff w14:val="5000"/>
                    </w14:schemeClr>
                  </w14:solidFill>
                </w14:textFill>
              </w:rPr>
              <w:t>COD</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NH</w:t>
            </w:r>
            <w:r>
              <w:rPr>
                <w:rFonts w:hint="default"/>
                <w:color w:val="0D0D0D" w:themeColor="text1" w:themeTint="F2"/>
                <w:sz w:val="24"/>
                <w:vertAlign w:val="subscript"/>
                <w14:textFill>
                  <w14:solidFill>
                    <w14:schemeClr w14:val="tx1">
                      <w14:lumMod w14:val="95000"/>
                      <w14:lumOff w14:val="5000"/>
                    </w14:schemeClr>
                  </w14:solidFill>
                </w14:textFill>
              </w:rPr>
              <w:t>3</w:t>
            </w:r>
            <w:r>
              <w:rPr>
                <w:rFonts w:hint="default"/>
                <w:color w:val="0D0D0D" w:themeColor="text1" w:themeTint="F2"/>
                <w:sz w:val="24"/>
                <w14:textFill>
                  <w14:solidFill>
                    <w14:schemeClr w14:val="tx1">
                      <w14:lumMod w14:val="95000"/>
                      <w14:lumOff w14:val="5000"/>
                    </w14:schemeClr>
                  </w14:solidFill>
                </w14:textFill>
              </w:rPr>
              <w:t>-N</w:t>
            </w:r>
            <w:r>
              <w:rPr>
                <w:rFonts w:hint="eastAsia"/>
                <w:color w:val="0D0D0D" w:themeColor="text1" w:themeTint="F2"/>
                <w:sz w:val="24"/>
                <w14:textFill>
                  <w14:solidFill>
                    <w14:schemeClr w14:val="tx1">
                      <w14:lumMod w14:val="95000"/>
                      <w14:lumOff w14:val="5000"/>
                    </w14:schemeClr>
                  </w14:solidFill>
                </w14:textFill>
              </w:rPr>
              <w:t>。项目生产废水不外排，产生的生活污水</w:t>
            </w:r>
            <w:r>
              <w:rPr>
                <w:rFonts w:hint="default"/>
                <w:color w:val="0D0D0D" w:themeColor="text1" w:themeTint="F2"/>
                <w:sz w:val="24"/>
                <w14:textFill>
                  <w14:solidFill>
                    <w14:schemeClr w14:val="tx1">
                      <w14:lumMod w14:val="95000"/>
                      <w14:lumOff w14:val="5000"/>
                    </w14:schemeClr>
                  </w14:solidFill>
                </w14:textFill>
              </w:rPr>
              <w:t>接</w:t>
            </w:r>
            <w:r>
              <w:rPr>
                <w:rFonts w:hint="eastAsia"/>
                <w:color w:val="0D0D0D" w:themeColor="text1" w:themeTint="F2"/>
                <w:sz w:val="24"/>
                <w:lang w:val="en-US" w:eastAsia="zh-CN"/>
                <w14:textFill>
                  <w14:solidFill>
                    <w14:schemeClr w14:val="tx1">
                      <w14:lumMod w14:val="95000"/>
                      <w14:lumOff w14:val="5000"/>
                    </w14:schemeClr>
                  </w14:solidFill>
                </w14:textFill>
              </w:rPr>
              <w:t>滨江</w:t>
            </w:r>
            <w:r>
              <w:rPr>
                <w:rFonts w:hint="eastAsia"/>
                <w:color w:val="0D0D0D" w:themeColor="text1" w:themeTint="F2"/>
                <w:kern w:val="0"/>
                <w:sz w:val="24"/>
                <w14:textFill>
                  <w14:solidFill>
                    <w14:schemeClr w14:val="tx1">
                      <w14:lumMod w14:val="95000"/>
                      <w14:lumOff w14:val="5000"/>
                    </w14:schemeClr>
                  </w14:solidFill>
                </w14:textFill>
              </w:rPr>
              <w:t>污水处理厂</w:t>
            </w:r>
            <w:r>
              <w:rPr>
                <w:rFonts w:hint="eastAsia"/>
                <w:color w:val="0D0D0D" w:themeColor="text1" w:themeTint="F2"/>
                <w:sz w:val="24"/>
                <w14:textFill>
                  <w14:solidFill>
                    <w14:schemeClr w14:val="tx1">
                      <w14:lumMod w14:val="95000"/>
                      <w14:lumOff w14:val="5000"/>
                    </w14:schemeClr>
                  </w14:solidFill>
                </w14:textFill>
              </w:rPr>
              <w:t>处理达标后，尾水排入长江，废水污染物总量指标纳入</w:t>
            </w:r>
            <w:r>
              <w:rPr>
                <w:rFonts w:hint="eastAsia"/>
                <w:color w:val="0D0D0D" w:themeColor="text1" w:themeTint="F2"/>
                <w:sz w:val="24"/>
                <w:lang w:val="en-US" w:eastAsia="zh-CN"/>
                <w14:textFill>
                  <w14:solidFill>
                    <w14:schemeClr w14:val="tx1">
                      <w14:lumMod w14:val="95000"/>
                      <w14:lumOff w14:val="5000"/>
                    </w14:schemeClr>
                  </w14:solidFill>
                </w14:textFill>
              </w:rPr>
              <w:t>滨江</w:t>
            </w:r>
            <w:r>
              <w:rPr>
                <w:rFonts w:hint="eastAsia"/>
                <w:color w:val="0D0D0D" w:themeColor="text1" w:themeTint="F2"/>
                <w:kern w:val="0"/>
                <w:sz w:val="24"/>
                <w14:textFill>
                  <w14:solidFill>
                    <w14:schemeClr w14:val="tx1">
                      <w14:lumMod w14:val="95000"/>
                      <w14:lumOff w14:val="5000"/>
                    </w14:schemeClr>
                  </w14:solidFill>
                </w14:textFill>
              </w:rPr>
              <w:t>污水处理厂</w:t>
            </w:r>
            <w:r>
              <w:rPr>
                <w:rFonts w:hint="eastAsia"/>
                <w:color w:val="0D0D0D" w:themeColor="text1" w:themeTint="F2"/>
                <w:sz w:val="24"/>
                <w14:textFill>
                  <w14:solidFill>
                    <w14:schemeClr w14:val="tx1">
                      <w14:lumMod w14:val="95000"/>
                      <w14:lumOff w14:val="5000"/>
                    </w14:schemeClr>
                  </w14:solidFill>
                </w14:textFill>
              </w:rPr>
              <w:t>，不设总量指标。</w:t>
            </w: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highlight w:val="none"/>
                <w14:textFill>
                  <w14:solidFill>
                    <w14:schemeClr w14:val="tx1">
                      <w14:lumMod w14:val="95000"/>
                      <w14:lumOff w14:val="5000"/>
                    </w14:schemeClr>
                  </w14:solidFill>
                </w14:textFill>
              </w:rPr>
            </w:pPr>
            <w:r>
              <w:rPr>
                <w:rFonts w:hint="default"/>
                <w:b/>
                <w:color w:val="0D0D0D" w:themeColor="text1" w:themeTint="F2"/>
                <w:sz w:val="24"/>
                <w:highlight w:val="none"/>
                <w14:textFill>
                  <w14:solidFill>
                    <w14:schemeClr w14:val="tx1">
                      <w14:lumMod w14:val="95000"/>
                      <w14:lumOff w14:val="5000"/>
                    </w14:schemeClr>
                  </w14:solidFill>
                </w14:textFill>
              </w:rPr>
              <w:t>2</w:t>
            </w:r>
            <w:r>
              <w:rPr>
                <w:rFonts w:hint="eastAsia"/>
                <w:b/>
                <w:color w:val="0D0D0D" w:themeColor="text1" w:themeTint="F2"/>
                <w:sz w:val="24"/>
                <w:highlight w:val="none"/>
                <w14:textFill>
                  <w14:solidFill>
                    <w14:schemeClr w14:val="tx1">
                      <w14:lumMod w14:val="95000"/>
                      <w14:lumOff w14:val="5000"/>
                    </w14:schemeClr>
                  </w14:solidFill>
                </w14:textFill>
              </w:rPr>
              <w:t>、总量控制指标</w:t>
            </w:r>
          </w:p>
          <w:p>
            <w:pPr>
              <w:keepNext w:val="0"/>
              <w:keepLines w:val="0"/>
              <w:suppressLineNumbers w:val="0"/>
              <w:spacing w:before="0" w:beforeAutospacing="0" w:after="0" w:afterAutospacing="0"/>
              <w:ind w:left="0" w:right="0"/>
              <w:jc w:val="center"/>
              <w:rPr>
                <w:rFonts w:hint="default"/>
                <w:b/>
                <w:color w:val="auto"/>
                <w:sz w:val="24"/>
                <w:highlight w:val="none"/>
              </w:rPr>
            </w:pPr>
            <w:r>
              <w:rPr>
                <w:rFonts w:hint="eastAsia"/>
                <w:b/>
                <w:color w:val="auto"/>
                <w:sz w:val="24"/>
                <w:highlight w:val="none"/>
              </w:rPr>
              <w:t>表3-</w:t>
            </w:r>
            <w:r>
              <w:rPr>
                <w:rFonts w:hint="eastAsia"/>
                <w:b/>
                <w:color w:val="auto"/>
                <w:sz w:val="24"/>
                <w:highlight w:val="none"/>
                <w:lang w:val="en-US" w:eastAsia="zh-CN"/>
              </w:rPr>
              <w:t>11</w:t>
            </w:r>
            <w:r>
              <w:rPr>
                <w:rFonts w:hint="default"/>
                <w:b/>
                <w:color w:val="auto"/>
                <w:sz w:val="24"/>
                <w:highlight w:val="none"/>
              </w:rPr>
              <w:t xml:space="preserve">  </w:t>
            </w:r>
            <w:r>
              <w:rPr>
                <w:rFonts w:hint="eastAsia"/>
                <w:b/>
                <w:color w:val="auto"/>
                <w:sz w:val="24"/>
                <w:highlight w:val="none"/>
              </w:rPr>
              <w:t>拟建</w:t>
            </w:r>
            <w:r>
              <w:rPr>
                <w:rFonts w:hint="default"/>
                <w:b/>
                <w:color w:val="auto"/>
                <w:sz w:val="24"/>
                <w:highlight w:val="none"/>
              </w:rPr>
              <w:t>项目</w:t>
            </w:r>
            <w:r>
              <w:rPr>
                <w:rFonts w:hint="eastAsia"/>
                <w:b/>
                <w:color w:val="auto"/>
                <w:sz w:val="24"/>
                <w:highlight w:val="none"/>
              </w:rPr>
              <w:t>各种污染物排放总量控制指标表</w:t>
            </w:r>
            <w:r>
              <w:rPr>
                <w:rFonts w:hint="default"/>
                <w:b/>
                <w:color w:val="auto"/>
                <w:sz w:val="24"/>
                <w:highlight w:val="none"/>
              </w:rPr>
              <w:t xml:space="preserve">    t/a</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40" w:type="dxa"/>
                <w:bottom w:w="0" w:type="dxa"/>
                <w:right w:w="40" w:type="dxa"/>
              </w:tblCellMar>
            </w:tblPr>
            <w:tblGrid>
              <w:gridCol w:w="1398"/>
              <w:gridCol w:w="1592"/>
              <w:gridCol w:w="2184"/>
              <w:gridCol w:w="28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97" w:hRule="atLeast"/>
                <w:jc w:val="center"/>
              </w:trPr>
              <w:tc>
                <w:tcPr>
                  <w:tcW w:w="1397" w:type="dxa"/>
                  <w:vAlign w:val="center"/>
                </w:tcPr>
                <w:p>
                  <w:pPr>
                    <w:keepNext w:val="0"/>
                    <w:keepLines w:val="0"/>
                    <w:suppressLineNumbers w:val="0"/>
                    <w:adjustRightInd w:val="0"/>
                    <w:spacing w:before="0" w:beforeAutospacing="0" w:after="0" w:afterAutospacing="0"/>
                    <w:ind w:left="0" w:right="0"/>
                    <w:jc w:val="center"/>
                    <w:rPr>
                      <w:rFonts w:hint="default"/>
                      <w:b/>
                      <w:color w:val="0D0D0D" w:themeColor="text1" w:themeTint="F2"/>
                      <w:szCs w:val="21"/>
                      <w:highlight w:val="none"/>
                      <w14:textFill>
                        <w14:solidFill>
                          <w14:schemeClr w14:val="tx1">
                            <w14:lumMod w14:val="95000"/>
                            <w14:lumOff w14:val="5000"/>
                          </w14:schemeClr>
                        </w14:solidFill>
                      </w14:textFill>
                    </w:rPr>
                  </w:pPr>
                  <w:r>
                    <w:rPr>
                      <w:rFonts w:hint="eastAsia"/>
                      <w:b/>
                      <w:color w:val="0D0D0D" w:themeColor="text1" w:themeTint="F2"/>
                      <w:szCs w:val="21"/>
                      <w:highlight w:val="none"/>
                      <w14:textFill>
                        <w14:solidFill>
                          <w14:schemeClr w14:val="tx1">
                            <w14:lumMod w14:val="95000"/>
                            <w14:lumOff w14:val="5000"/>
                          </w14:schemeClr>
                        </w14:solidFill>
                      </w14:textFill>
                    </w:rPr>
                    <w:t>类别</w:t>
                  </w:r>
                </w:p>
              </w:tc>
              <w:tc>
                <w:tcPr>
                  <w:tcW w:w="1591" w:type="dxa"/>
                  <w:vAlign w:val="center"/>
                </w:tcPr>
                <w:p>
                  <w:pPr>
                    <w:keepNext w:val="0"/>
                    <w:keepLines w:val="0"/>
                    <w:suppressLineNumbers w:val="0"/>
                    <w:adjustRightInd w:val="0"/>
                    <w:spacing w:before="0" w:beforeAutospacing="0" w:after="0" w:afterAutospacing="0"/>
                    <w:ind w:left="0" w:right="0"/>
                    <w:jc w:val="center"/>
                    <w:rPr>
                      <w:rFonts w:hint="default"/>
                      <w:b/>
                      <w:color w:val="0D0D0D" w:themeColor="text1" w:themeTint="F2"/>
                      <w:szCs w:val="21"/>
                      <w:highlight w:val="none"/>
                      <w14:textFill>
                        <w14:solidFill>
                          <w14:schemeClr w14:val="tx1">
                            <w14:lumMod w14:val="95000"/>
                            <w14:lumOff w14:val="5000"/>
                          </w14:schemeClr>
                        </w14:solidFill>
                      </w14:textFill>
                    </w:rPr>
                  </w:pPr>
                  <w:r>
                    <w:rPr>
                      <w:rFonts w:hint="eastAsia"/>
                      <w:b/>
                      <w:color w:val="0D0D0D" w:themeColor="text1" w:themeTint="F2"/>
                      <w:szCs w:val="21"/>
                      <w:highlight w:val="none"/>
                      <w14:textFill>
                        <w14:solidFill>
                          <w14:schemeClr w14:val="tx1">
                            <w14:lumMod w14:val="95000"/>
                            <w14:lumOff w14:val="5000"/>
                          </w14:schemeClr>
                        </w14:solidFill>
                      </w14:textFill>
                    </w:rPr>
                    <w:t>污染物名称</w:t>
                  </w:r>
                </w:p>
              </w:tc>
              <w:tc>
                <w:tcPr>
                  <w:tcW w:w="2182" w:type="dxa"/>
                  <w:vAlign w:val="center"/>
                </w:tcPr>
                <w:p>
                  <w:pPr>
                    <w:keepNext w:val="0"/>
                    <w:keepLines w:val="0"/>
                    <w:suppressLineNumbers w:val="0"/>
                    <w:adjustRightInd w:val="0"/>
                    <w:spacing w:before="0" w:beforeAutospacing="0" w:after="0" w:afterAutospacing="0"/>
                    <w:ind w:left="0" w:right="0"/>
                    <w:jc w:val="center"/>
                    <w:rPr>
                      <w:rFonts w:hint="default"/>
                      <w:b/>
                      <w:color w:val="0D0D0D" w:themeColor="text1" w:themeTint="F2"/>
                      <w:szCs w:val="21"/>
                      <w:highlight w:val="none"/>
                      <w14:textFill>
                        <w14:solidFill>
                          <w14:schemeClr w14:val="tx1">
                            <w14:lumMod w14:val="95000"/>
                            <w14:lumOff w14:val="5000"/>
                          </w14:schemeClr>
                        </w14:solidFill>
                      </w14:textFill>
                    </w:rPr>
                  </w:pPr>
                  <w:r>
                    <w:rPr>
                      <w:rFonts w:hint="eastAsia"/>
                      <w:b/>
                      <w:color w:val="0D0D0D" w:themeColor="text1" w:themeTint="F2"/>
                      <w:szCs w:val="21"/>
                      <w:highlight w:val="none"/>
                      <w14:textFill>
                        <w14:solidFill>
                          <w14:schemeClr w14:val="tx1">
                            <w14:lumMod w14:val="95000"/>
                            <w14:lumOff w14:val="5000"/>
                          </w14:schemeClr>
                        </w14:solidFill>
                      </w14:textFill>
                    </w:rPr>
                    <w:t>有组织排放量</w:t>
                  </w:r>
                </w:p>
              </w:tc>
              <w:tc>
                <w:tcPr>
                  <w:tcW w:w="2804" w:type="dxa"/>
                  <w:vAlign w:val="center"/>
                </w:tcPr>
                <w:p>
                  <w:pPr>
                    <w:keepNext w:val="0"/>
                    <w:keepLines w:val="0"/>
                    <w:suppressLineNumbers w:val="0"/>
                    <w:adjustRightInd w:val="0"/>
                    <w:spacing w:before="0" w:beforeAutospacing="0" w:after="0" w:afterAutospacing="0"/>
                    <w:ind w:left="0" w:right="0"/>
                    <w:jc w:val="center"/>
                    <w:rPr>
                      <w:rFonts w:hint="default"/>
                      <w:b/>
                      <w:color w:val="0D0D0D" w:themeColor="text1" w:themeTint="F2"/>
                      <w:szCs w:val="21"/>
                      <w:highlight w:val="none"/>
                      <w14:textFill>
                        <w14:solidFill>
                          <w14:schemeClr w14:val="tx1">
                            <w14:lumMod w14:val="95000"/>
                            <w14:lumOff w14:val="5000"/>
                          </w14:schemeClr>
                        </w14:solidFill>
                      </w14:textFill>
                    </w:rPr>
                  </w:pPr>
                  <w:r>
                    <w:rPr>
                      <w:rFonts w:hint="eastAsia"/>
                      <w:b/>
                      <w:color w:val="0D0D0D" w:themeColor="text1" w:themeTint="F2"/>
                      <w:szCs w:val="21"/>
                      <w:highlight w:val="none"/>
                      <w14:textFill>
                        <w14:solidFill>
                          <w14:schemeClr w14:val="tx1">
                            <w14:lumMod w14:val="95000"/>
                            <w14:lumOff w14:val="5000"/>
                          </w14:schemeClr>
                        </w14:solidFill>
                      </w14:textFill>
                    </w:rPr>
                    <w:t>无组织排放量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97" w:hRule="atLeast"/>
                <w:jc w:val="center"/>
              </w:trPr>
              <w:tc>
                <w:tcPr>
                  <w:tcW w:w="1397" w:type="dxa"/>
                  <w:vAlign w:val="center"/>
                </w:tcPr>
                <w:p>
                  <w:pPr>
                    <w:keepNext w:val="0"/>
                    <w:keepLines w:val="0"/>
                    <w:suppressLineNumbers w:val="0"/>
                    <w:spacing w:before="0" w:beforeAutospacing="0" w:after="0" w:afterAutospacing="0"/>
                    <w:ind w:left="-42" w:leftChars="-20" w:right="-42" w:rightChars="-20"/>
                    <w:jc w:val="center"/>
                    <w:rPr>
                      <w:rFonts w:hint="default"/>
                      <w:color w:val="0D0D0D" w:themeColor="text1" w:themeTint="F2"/>
                      <w:szCs w:val="21"/>
                      <w:highlight w:val="none"/>
                      <w14:textFill>
                        <w14:solidFill>
                          <w14:schemeClr w14:val="tx1">
                            <w14:lumMod w14:val="95000"/>
                            <w14:lumOff w14:val="5000"/>
                          </w14:schemeClr>
                        </w14:solidFill>
                      </w14:textFill>
                    </w:rPr>
                  </w:pPr>
                  <w:r>
                    <w:rPr>
                      <w:rFonts w:hint="eastAsia"/>
                      <w:color w:val="0D0D0D" w:themeColor="text1" w:themeTint="F2"/>
                      <w:szCs w:val="21"/>
                      <w:highlight w:val="none"/>
                      <w14:textFill>
                        <w14:solidFill>
                          <w14:schemeClr w14:val="tx1">
                            <w14:lumMod w14:val="95000"/>
                            <w14:lumOff w14:val="5000"/>
                          </w14:schemeClr>
                        </w14:solidFill>
                      </w14:textFill>
                    </w:rPr>
                    <w:t>废气</w:t>
                  </w:r>
                </w:p>
              </w:tc>
              <w:tc>
                <w:tcPr>
                  <w:tcW w:w="1591" w:type="dxa"/>
                  <w:vAlign w:val="center"/>
                </w:tcPr>
                <w:p>
                  <w:pPr>
                    <w:keepNext w:val="0"/>
                    <w:keepLines w:val="0"/>
                    <w:suppressLineNumbers w:val="0"/>
                    <w:spacing w:before="0" w:beforeAutospacing="0" w:after="0" w:afterAutospacing="0"/>
                    <w:ind w:left="-42" w:leftChars="-20" w:right="-42" w:rightChars="-20"/>
                    <w:jc w:val="center"/>
                    <w:rPr>
                      <w:rFonts w:hint="default"/>
                      <w:color w:val="0D0D0D" w:themeColor="text1" w:themeTint="F2"/>
                      <w:szCs w:val="21"/>
                      <w:highlight w:val="none"/>
                      <w14:textFill>
                        <w14:solidFill>
                          <w14:schemeClr w14:val="tx1">
                            <w14:lumMod w14:val="95000"/>
                            <w14:lumOff w14:val="5000"/>
                          </w14:schemeClr>
                        </w14:solidFill>
                      </w14:textFill>
                    </w:rPr>
                  </w:pPr>
                  <w:r>
                    <w:rPr>
                      <w:rFonts w:hint="default"/>
                      <w:color w:val="0D0D0D" w:themeColor="text1" w:themeTint="F2"/>
                      <w:szCs w:val="21"/>
                      <w:highlight w:val="none"/>
                      <w14:textFill>
                        <w14:solidFill>
                          <w14:schemeClr w14:val="tx1">
                            <w14:lumMod w14:val="95000"/>
                            <w14:lumOff w14:val="5000"/>
                          </w14:schemeClr>
                        </w14:solidFill>
                      </w14:textFill>
                    </w:rPr>
                    <w:t>VOCs</w:t>
                  </w:r>
                </w:p>
              </w:tc>
              <w:tc>
                <w:tcPr>
                  <w:tcW w:w="2182" w:type="dxa"/>
                  <w:vAlign w:val="center"/>
                </w:tcPr>
                <w:p>
                  <w:pPr>
                    <w:keepNext w:val="0"/>
                    <w:keepLines w:val="0"/>
                    <w:suppressLineNumbers w:val="0"/>
                    <w:spacing w:before="0" w:beforeAutospacing="0" w:after="0" w:afterAutospacing="0"/>
                    <w:ind w:left="-42" w:leftChars="-20" w:right="-42" w:rightChars="-2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0.158</w:t>
                  </w:r>
                </w:p>
              </w:tc>
              <w:tc>
                <w:tcPr>
                  <w:tcW w:w="2804" w:type="dxa"/>
                  <w:vAlign w:val="center"/>
                </w:tcPr>
                <w:p>
                  <w:pPr>
                    <w:keepNext w:val="0"/>
                    <w:keepLines w:val="0"/>
                    <w:suppressLineNumbers w:val="0"/>
                    <w:adjustRightInd w:val="0"/>
                    <w:spacing w:before="0" w:beforeAutospacing="0" w:after="0" w:afterAutospacing="0"/>
                    <w:ind w:left="0" w:right="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0.175</w:t>
                  </w:r>
                </w:p>
              </w:tc>
            </w:tr>
          </w:tbl>
          <w:p>
            <w:pPr>
              <w:keepNext w:val="0"/>
              <w:keepLines w:val="0"/>
              <w:suppressLineNumbers w:val="0"/>
              <w:spacing w:before="0" w:beforeAutospacing="0" w:after="0" w:afterAutospacing="0"/>
              <w:ind w:left="0" w:right="0"/>
              <w:rPr>
                <w:rFonts w:hint="default" w:cs="宋体"/>
                <w:color w:val="0D0D0D" w:themeColor="text1" w:themeTint="F2"/>
                <w:szCs w:val="21"/>
                <w:highlight w:val="none"/>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highlight w:val="none"/>
                <w14:textFill>
                  <w14:solidFill>
                    <w14:schemeClr w14:val="tx1">
                      <w14:lumMod w14:val="95000"/>
                      <w14:lumOff w14:val="5000"/>
                    </w14:schemeClr>
                  </w14:solidFill>
                </w14:textFill>
              </w:rPr>
            </w:pPr>
            <w:r>
              <w:rPr>
                <w:rFonts w:hint="eastAsia"/>
                <w:color w:val="0D0D0D" w:themeColor="text1" w:themeTint="F2"/>
                <w:sz w:val="24"/>
                <w:highlight w:val="none"/>
                <w14:textFill>
                  <w14:solidFill>
                    <w14:schemeClr w14:val="tx1">
                      <w14:lumMod w14:val="95000"/>
                      <w14:lumOff w14:val="5000"/>
                    </w14:schemeClr>
                  </w14:solidFill>
                </w14:textFill>
              </w:rPr>
              <w:t>根据本项目工程分析，本项目建成后新增废气有组织排放量为：VOCs：</w:t>
            </w:r>
            <w:r>
              <w:rPr>
                <w:rFonts w:hint="eastAsia"/>
                <w:color w:val="0D0D0D" w:themeColor="text1" w:themeTint="F2"/>
                <w:sz w:val="24"/>
                <w:highlight w:val="none"/>
                <w:lang w:val="en-US" w:eastAsia="zh-CN"/>
                <w14:textFill>
                  <w14:solidFill>
                    <w14:schemeClr w14:val="tx1">
                      <w14:lumMod w14:val="95000"/>
                      <w14:lumOff w14:val="5000"/>
                    </w14:schemeClr>
                  </w14:solidFill>
                </w14:textFill>
              </w:rPr>
              <w:t>0.158</w:t>
            </w:r>
            <w:r>
              <w:rPr>
                <w:rFonts w:hint="eastAsia"/>
                <w:color w:val="0D0D0D" w:themeColor="text1" w:themeTint="F2"/>
                <w:sz w:val="24"/>
                <w:highlight w:val="none"/>
                <w14:textFill>
                  <w14:solidFill>
                    <w14:schemeClr w14:val="tx1">
                      <w14:lumMod w14:val="95000"/>
                      <w14:lumOff w14:val="5000"/>
                    </w14:schemeClr>
                  </w14:solidFill>
                </w14:textFill>
              </w:rPr>
              <w:t>t/a。</w:t>
            </w:r>
          </w:p>
          <w:p>
            <w:pPr>
              <w:keepNext w:val="0"/>
              <w:keepLines w:val="0"/>
              <w:widowControl w:val="0"/>
              <w:suppressLineNumbers w:val="0"/>
              <w:spacing w:before="0" w:beforeAutospacing="0" w:after="0" w:afterAutospacing="0" w:line="360" w:lineRule="auto"/>
              <w:ind w:left="0" w:right="0" w:firstLine="482" w:firstLineChars="200"/>
              <w:jc w:val="both"/>
              <w:rPr>
                <w:rFonts w:hint="eastAsia" w:ascii="Times New Roman" w:hAnsi="Times New Roman" w:eastAsia="宋体" w:cs="Times New Roman"/>
                <w:b/>
                <w:bCs w:val="0"/>
                <w:color w:val="0C0C0C"/>
                <w:kern w:val="2"/>
                <w:sz w:val="24"/>
                <w:szCs w:val="24"/>
              </w:rPr>
            </w:pPr>
            <w:r>
              <w:rPr>
                <w:rFonts w:hint="default" w:ascii="Times New Roman" w:hAnsi="Times New Roman" w:eastAsia="宋体" w:cs="Times New Roman"/>
                <w:b/>
                <w:bCs w:val="0"/>
                <w:color w:val="0C0C0C"/>
                <w:kern w:val="2"/>
                <w:sz w:val="24"/>
                <w:szCs w:val="24"/>
                <w:lang w:val="en-US" w:eastAsia="zh-CN" w:bidi="ar"/>
              </w:rPr>
              <w:t>3</w:t>
            </w:r>
            <w:r>
              <w:rPr>
                <w:rFonts w:hint="eastAsia" w:ascii="宋体" w:hAnsi="宋体" w:eastAsia="宋体" w:cs="宋体"/>
                <w:b/>
                <w:bCs w:val="0"/>
                <w:color w:val="0C0C0C"/>
                <w:kern w:val="2"/>
                <w:sz w:val="24"/>
                <w:szCs w:val="24"/>
                <w:lang w:val="en-US" w:eastAsia="zh-CN" w:bidi="ar"/>
              </w:rPr>
              <w:t>、排污权交易信息</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根据《安徽省排污权有偿使用和交易管理办法（试行）》中</w:t>
            </w:r>
            <w:r>
              <w:rPr>
                <w:rFonts w:hint="eastAsia" w:ascii="Times New Roman" w:hAnsi="Times New Roman" w:eastAsia="宋体" w:cs="Times New Roman"/>
                <w:color w:val="0C0C0C"/>
                <w:kern w:val="2"/>
                <w:sz w:val="24"/>
                <w:szCs w:val="24"/>
                <w:lang w:val="en-US" w:eastAsia="zh-CN" w:bidi="ar"/>
              </w:rPr>
              <w:t>“第五条：现阶段实施排污权交易的排污单位为全省列入排污许可重点和简化管理范围内有污染物许可排放量要求的排污单位。”根据《固定污染源排污许可分类管理名录》（</w:t>
            </w:r>
            <w:r>
              <w:rPr>
                <w:rFonts w:hint="default" w:ascii="Times New Roman" w:hAnsi="Times New Roman" w:eastAsia="宋体" w:cs="Times New Roman"/>
                <w:color w:val="0C0C0C"/>
                <w:kern w:val="2"/>
                <w:sz w:val="24"/>
                <w:szCs w:val="24"/>
                <w:lang w:val="en-US" w:eastAsia="zh-CN" w:bidi="ar"/>
              </w:rPr>
              <w:t xml:space="preserve">2019 </w:t>
            </w:r>
            <w:r>
              <w:rPr>
                <w:rFonts w:hint="eastAsia" w:ascii="宋体" w:hAnsi="宋体" w:eastAsia="宋体" w:cs="宋体"/>
                <w:color w:val="0C0C0C"/>
                <w:kern w:val="2"/>
                <w:sz w:val="24"/>
                <w:szCs w:val="24"/>
                <w:lang w:val="en-US" w:eastAsia="zh-CN" w:bidi="ar"/>
              </w:rPr>
              <w:t>年版），本项目建成后，全厂对应排污许可管理类别为简化管理。</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对照《排污许可证申请与核发技术规范 金属铸造工业》（HJ1115-2020），本项目各排污口均为一般排放口，一般排放口不许可排放量，暂无排污权交易要求。因此，现阶段本项目暂不实施排污权交易。</w:t>
            </w:r>
          </w:p>
          <w:p>
            <w:pPr>
              <w:pStyle w:val="24"/>
              <w:keepNext w:val="0"/>
              <w:keepLines w:val="0"/>
              <w:suppressLineNumbers w:val="0"/>
              <w:spacing w:beforeAutospacing="0" w:afterAutospacing="0"/>
              <w:ind w:left="0"/>
              <w:rPr>
                <w:rFonts w:hint="default"/>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ind w:left="0" w:right="0"/>
              <w:rPr>
                <w:rFonts w:hint="default" w:cs="宋体"/>
                <w:color w:val="0D0D0D" w:themeColor="text1" w:themeTint="F2"/>
                <w:szCs w:val="21"/>
                <w14:textFill>
                  <w14:solidFill>
                    <w14:schemeClr w14:val="tx1">
                      <w14:lumMod w14:val="95000"/>
                      <w14:lumOff w14:val="5000"/>
                    </w14:schemeClr>
                  </w14:solidFill>
                </w14:textFill>
              </w:rPr>
            </w:pPr>
          </w:p>
        </w:tc>
      </w:tr>
    </w:tbl>
    <w:p>
      <w:pPr>
        <w:pStyle w:val="54"/>
        <w:pageBreakBefore/>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pPr>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四、主要环境影响和保护措施</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749" w:hRule="atLeast"/>
          <w:jc w:val="center"/>
        </w:trPr>
        <w:tc>
          <w:tcPr>
            <w:tcW w:w="746" w:type="dxa"/>
            <w:tcMar>
              <w:left w:w="28" w:type="dxa"/>
              <w:right w:w="28"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施工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境保</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护措</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施</w:t>
            </w:r>
          </w:p>
        </w:tc>
        <w:tc>
          <w:tcPr>
            <w:tcW w:w="8162" w:type="dxa"/>
            <w:vAlign w:val="center"/>
          </w:tcPr>
          <w:p>
            <w:pPr>
              <w:keepNext w:val="0"/>
              <w:keepLines w:val="0"/>
              <w:suppressLineNumbers w:val="0"/>
              <w:spacing w:before="240" w:beforeLines="100" w:beforeAutospacing="0" w:after="0" w:afterAutospacing="0" w:line="360" w:lineRule="auto"/>
              <w:ind w:left="0" w:right="0" w:firstLine="480" w:firstLineChars="200"/>
              <w:rPr>
                <w:rFonts w:hint="default"/>
                <w:bCs/>
                <w:color w:val="0D0D0D" w:themeColor="text1" w:themeTint="F2"/>
                <w:sz w:val="24"/>
                <w14:textFill>
                  <w14:solidFill>
                    <w14:schemeClr w14:val="tx1">
                      <w14:lumMod w14:val="95000"/>
                      <w14:lumOff w14:val="5000"/>
                    </w14:schemeClr>
                  </w14:solidFill>
                </w14:textFill>
              </w:rPr>
            </w:pPr>
            <w:r>
              <w:rPr>
                <w:rFonts w:hint="default"/>
                <w:sz w:val="24"/>
              </w:rPr>
              <w:t>项目施工期主要进行设备的安装，产生的污染主要为噪声，由于拟建项目设备数量较少，安装时间较短，且随着施工期的结束，噪声也随之消失，对周边环境影响</w:t>
            </w:r>
            <w:r>
              <w:rPr>
                <w:rFonts w:hint="eastAsia"/>
                <w:sz w:val="24"/>
              </w:rPr>
              <w:t>很小，</w:t>
            </w:r>
            <w:r>
              <w:rPr>
                <w:rFonts w:hint="default"/>
                <w:sz w:val="24"/>
              </w:rPr>
              <w:t>故本评价不针对项目施工期</w:t>
            </w:r>
            <w:r>
              <w:rPr>
                <w:rFonts w:hint="eastAsia"/>
                <w:sz w:val="24"/>
              </w:rPr>
              <w:t>进行评价</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240" w:beforeLines="100" w:beforeAutospacing="0" w:after="0" w:afterAutospacing="0" w:line="360" w:lineRule="auto"/>
              <w:ind w:left="0" w:right="0" w:firstLine="480" w:firstLineChars="200"/>
              <w:rPr>
                <w:rFonts w:hint="default"/>
                <w:color w:val="0D0D0D" w:themeColor="text1" w:themeTint="F2"/>
                <w:sz w:val="24"/>
                <w:lang w:val="zh-CN"/>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rPr>
                <w:rFonts w:hint="default"/>
                <w:color w:val="0D0D0D" w:themeColor="text1" w:themeTint="F2"/>
                <w:kern w:val="0"/>
                <w:sz w:val="24"/>
                <w14:textFill>
                  <w14:solidFill>
                    <w14:schemeClr w14:val="tx1">
                      <w14:lumMod w14:val="95000"/>
                      <w14:lumOff w14:val="5000"/>
                    </w14:schemeClr>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746" w:type="dxa"/>
            <w:tcMar>
              <w:left w:w="28" w:type="dxa"/>
              <w:right w:w="28" w:type="dxa"/>
            </w:tcMar>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运营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境影</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响和</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措施</w:t>
            </w:r>
          </w:p>
        </w:tc>
        <w:tc>
          <w:tcPr>
            <w:tcW w:w="8162" w:type="dxa"/>
            <w:vAlign w:val="center"/>
          </w:tcPr>
          <w:p>
            <w:pPr>
              <w:keepNext/>
              <w:keepLines/>
              <w:suppressLineNumbers w:val="0"/>
              <w:spacing w:before="120" w:beforeLines="50" w:beforeAutospacing="0" w:after="0" w:afterAutospacing="0" w:line="360" w:lineRule="auto"/>
              <w:ind w:left="0" w:right="0" w:firstLine="482"/>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一、废气环境影响和保护措施</w:t>
            </w:r>
          </w:p>
          <w:p>
            <w:pPr>
              <w:keepNext/>
              <w:keepLines/>
              <w:suppressLineNumbers w:val="0"/>
              <w:spacing w:before="0" w:beforeAutospacing="0" w:after="0" w:afterAutospacing="0" w:line="360" w:lineRule="auto"/>
              <w:ind w:left="0" w:right="0" w:firstLine="482"/>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1、</w:t>
            </w:r>
            <w:r>
              <w:rPr>
                <w:rFonts w:hint="default"/>
                <w:b/>
                <w:bCs/>
                <w:color w:val="0D0D0D" w:themeColor="text1" w:themeTint="F2"/>
                <w:sz w:val="24"/>
                <w:szCs w:val="32"/>
                <w14:textFill>
                  <w14:solidFill>
                    <w14:schemeClr w14:val="tx1">
                      <w14:lumMod w14:val="95000"/>
                      <w14:lumOff w14:val="5000"/>
                    </w14:schemeClr>
                  </w14:solidFill>
                </w14:textFill>
              </w:rPr>
              <w:t>废气污染源</w:t>
            </w:r>
            <w:r>
              <w:rPr>
                <w:rFonts w:hint="eastAsia"/>
                <w:b/>
                <w:bCs/>
                <w:color w:val="0D0D0D" w:themeColor="text1" w:themeTint="F2"/>
                <w:sz w:val="24"/>
                <w:szCs w:val="32"/>
                <w14:textFill>
                  <w14:solidFill>
                    <w14:schemeClr w14:val="tx1">
                      <w14:lumMod w14:val="95000"/>
                      <w14:lumOff w14:val="5000"/>
                    </w14:schemeClr>
                  </w14:solidFill>
                </w14:textFill>
              </w:rPr>
              <w:t>分析</w:t>
            </w:r>
          </w:p>
          <w:p>
            <w:pPr>
              <w:keepNext w:val="0"/>
              <w:keepLines w:val="0"/>
              <w:widowControl/>
              <w:suppressLineNumbers w:val="0"/>
              <w:overflowPunct w:val="0"/>
              <w:spacing w:before="0" w:beforeAutospacing="0" w:after="0" w:afterAutospacing="0" w:line="360" w:lineRule="auto"/>
              <w:ind w:left="0" w:right="0" w:firstLine="482"/>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项目营运期废气污染源</w:t>
            </w:r>
            <w:r>
              <w:rPr>
                <w:rFonts w:hint="eastAsia"/>
                <w:color w:val="0D0D0D" w:themeColor="text1" w:themeTint="F2"/>
                <w:kern w:val="0"/>
                <w:sz w:val="24"/>
                <w14:textFill>
                  <w14:solidFill>
                    <w14:schemeClr w14:val="tx1">
                      <w14:lumMod w14:val="95000"/>
                      <w14:lumOff w14:val="5000"/>
                    </w14:schemeClr>
                  </w14:solidFill>
                </w14:textFill>
              </w:rPr>
              <w:t>为</w:t>
            </w:r>
            <w:r>
              <w:rPr>
                <w:rFonts w:hint="eastAsia"/>
                <w:color w:val="0D0D0D" w:themeColor="text1" w:themeTint="F2"/>
                <w:kern w:val="0"/>
                <w:sz w:val="24"/>
                <w:lang w:val="en-US" w:eastAsia="zh-CN"/>
                <w14:textFill>
                  <w14:solidFill>
                    <w14:schemeClr w14:val="tx1">
                      <w14:lumMod w14:val="95000"/>
                      <w14:lumOff w14:val="5000"/>
                    </w14:schemeClr>
                  </w14:solidFill>
                </w14:textFill>
              </w:rPr>
              <w:t>金属熔化烟尘 G1、天然气燃烧废气 G2、压铸脱模废气 G3 和打磨粉尘 G4、抛丸粉尘 G5及食堂油烟</w:t>
            </w:r>
            <w:r>
              <w:rPr>
                <w:rFonts w:hint="default"/>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0D0D0D" w:themeColor="text1" w:themeTint="F2"/>
                <w:sz w:val="24"/>
                <w14:textFill>
                  <w14:solidFill>
                    <w14:schemeClr w14:val="tx1">
                      <w14:lumMod w14:val="95000"/>
                      <w14:lumOff w14:val="5000"/>
                    </w14:schemeClr>
                  </w14:solidFill>
                </w14:textFill>
              </w:rPr>
            </w:pPr>
            <w:r>
              <w:rPr>
                <w:rFonts w:hint="eastAsia"/>
                <w:iCs/>
                <w:color w:val="0D0D0D" w:themeColor="text1" w:themeTint="F2"/>
                <w:sz w:val="24"/>
                <w14:textFill>
                  <w14:solidFill>
                    <w14:schemeClr w14:val="tx1">
                      <w14:lumMod w14:val="95000"/>
                      <w14:lumOff w14:val="5000"/>
                    </w14:schemeClr>
                  </w14:solidFill>
                </w14:textFill>
              </w:rPr>
              <w:t>（1）</w:t>
            </w:r>
            <w:r>
              <w:rPr>
                <w:rFonts w:hint="default"/>
                <w:iCs/>
                <w:color w:val="0D0D0D" w:themeColor="text1" w:themeTint="F2"/>
                <w:sz w:val="24"/>
                <w:lang w:val="en-US" w:eastAsia="zh-CN"/>
                <w14:textFill>
                  <w14:solidFill>
                    <w14:schemeClr w14:val="tx1">
                      <w14:lumMod w14:val="95000"/>
                      <w14:lumOff w14:val="5000"/>
                    </w14:schemeClr>
                  </w14:solidFill>
                </w14:textFill>
              </w:rPr>
              <w:t>金属熔化烟尘</w:t>
            </w:r>
            <w:r>
              <w:rPr>
                <w:rFonts w:hint="default"/>
                <w:iCs/>
                <w:color w:val="0D0D0D" w:themeColor="text1" w:themeTint="F2"/>
                <w:sz w:val="24"/>
                <w14:textFill>
                  <w14:solidFill>
                    <w14:schemeClr w14:val="tx1">
                      <w14:lumMod w14:val="95000"/>
                      <w14:lumOff w14:val="5000"/>
                    </w14:schemeClr>
                  </w14:solidFill>
                </w14:textFill>
              </w:rPr>
              <w:t>（G1）</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auto"/>
                <w:sz w:val="24"/>
                <w:lang w:val="en-US" w:eastAsia="zh-CN"/>
              </w:rPr>
            </w:pPr>
            <w:r>
              <w:rPr>
                <w:rFonts w:hint="default"/>
                <w:iCs/>
                <w:color w:val="0D0D0D" w:themeColor="text1" w:themeTint="F2"/>
                <w:sz w:val="24"/>
                <w:lang w:val="en-US" w:eastAsia="zh-CN"/>
                <w14:textFill>
                  <w14:solidFill>
                    <w14:schemeClr w14:val="tx1">
                      <w14:lumMod w14:val="95000"/>
                      <w14:lumOff w14:val="5000"/>
                    </w14:schemeClr>
                  </w14:solidFill>
                </w14:textFill>
              </w:rPr>
              <w:t>铝合金熔化过程中金属表面氧化，同时合金中含有的杂质受热，形成一定的烟尘，主要成分为金属氧化物，参照《排放源统计调查产排污核算方法和系数手册》中“机械行业系数手册”中铝合金熔炼（燃气炉）过程中颗粒物产污系数为0.943kg/吨-产品，本项目铝锭年用量为</w:t>
            </w:r>
            <w:r>
              <w:rPr>
                <w:rFonts w:hint="eastAsia"/>
                <w:iCs/>
                <w:color w:val="auto"/>
                <w:sz w:val="24"/>
                <w:lang w:val="en-US" w:eastAsia="zh-CN"/>
              </w:rPr>
              <w:t>3900</w:t>
            </w:r>
            <w:r>
              <w:rPr>
                <w:rFonts w:hint="default"/>
                <w:iCs/>
                <w:color w:val="auto"/>
                <w:sz w:val="24"/>
                <w:lang w:val="en-US" w:eastAsia="zh-CN"/>
              </w:rPr>
              <w:t>t</w:t>
            </w:r>
            <w:r>
              <w:rPr>
                <w:rFonts w:hint="eastAsia"/>
                <w:iCs/>
                <w:color w:val="auto"/>
                <w:sz w:val="24"/>
                <w:lang w:val="en-US" w:eastAsia="zh-CN"/>
              </w:rPr>
              <w:t>，</w:t>
            </w:r>
            <w:r>
              <w:rPr>
                <w:rFonts w:hint="default"/>
                <w:iCs/>
                <w:color w:val="auto"/>
                <w:sz w:val="24"/>
                <w:lang w:val="en-US" w:eastAsia="zh-CN"/>
              </w:rPr>
              <w:t>则铝合金熔化过程中烟尘产生量为</w:t>
            </w:r>
            <w:r>
              <w:rPr>
                <w:rFonts w:hint="eastAsia"/>
                <w:iCs/>
                <w:color w:val="auto"/>
                <w:sz w:val="24"/>
                <w:lang w:val="en-US" w:eastAsia="zh-CN"/>
              </w:rPr>
              <w:t>3.678</w:t>
            </w:r>
            <w:r>
              <w:rPr>
                <w:rFonts w:hint="default"/>
                <w:iCs/>
                <w:color w:val="auto"/>
                <w:sz w:val="24"/>
                <w:lang w:val="en-US" w:eastAsia="zh-CN"/>
              </w:rPr>
              <w:t>t/a。</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0C0C0C"/>
                <w:kern w:val="2"/>
                <w:sz w:val="24"/>
                <w:szCs w:val="24"/>
              </w:rPr>
            </w:pPr>
            <w:r>
              <w:rPr>
                <w:rFonts w:hint="default"/>
                <w:iCs/>
                <w:color w:val="auto"/>
                <w:sz w:val="24"/>
                <w:lang w:val="en-US" w:eastAsia="zh-CN"/>
              </w:rPr>
              <w:t xml:space="preserve"> 在</w:t>
            </w:r>
            <w:r>
              <w:rPr>
                <w:rFonts w:hint="eastAsia"/>
                <w:iCs/>
                <w:color w:val="auto"/>
                <w:sz w:val="24"/>
                <w:lang w:val="en-US" w:eastAsia="zh-CN"/>
              </w:rPr>
              <w:t>熔炉</w:t>
            </w:r>
            <w:r>
              <w:rPr>
                <w:rFonts w:hint="default"/>
                <w:iCs/>
                <w:color w:val="auto"/>
                <w:sz w:val="24"/>
                <w:lang w:val="en-US" w:eastAsia="zh-CN"/>
              </w:rPr>
              <w:t>上方安装集气罩，尺寸</w:t>
            </w:r>
            <w:r>
              <w:rPr>
                <w:rFonts w:hint="eastAsia"/>
                <w:iCs/>
                <w:color w:val="auto"/>
                <w:sz w:val="24"/>
                <w:lang w:val="en-US" w:eastAsia="zh-CN"/>
              </w:rPr>
              <w:t>为0.8</w:t>
            </w:r>
            <w:r>
              <w:rPr>
                <w:rFonts w:hint="default"/>
                <w:iCs/>
                <w:color w:val="auto"/>
                <w:sz w:val="24"/>
                <w:lang w:val="en-US" w:eastAsia="zh-CN"/>
              </w:rPr>
              <w:t xml:space="preserve"> m×</w:t>
            </w:r>
            <w:r>
              <w:rPr>
                <w:rFonts w:hint="eastAsia"/>
                <w:iCs/>
                <w:color w:val="auto"/>
                <w:sz w:val="24"/>
                <w:lang w:val="en-US" w:eastAsia="zh-CN"/>
              </w:rPr>
              <w:t>0.8</w:t>
            </w:r>
            <w:r>
              <w:rPr>
                <w:rFonts w:hint="default"/>
                <w:iCs/>
                <w:color w:val="auto"/>
                <w:sz w:val="24"/>
                <w:lang w:val="en-US" w:eastAsia="zh-CN"/>
              </w:rPr>
              <w:t xml:space="preserve"> m。</w:t>
            </w:r>
            <w:r>
              <w:rPr>
                <w:rFonts w:hint="eastAsia" w:ascii="宋体" w:hAnsi="宋体" w:eastAsia="宋体" w:cs="宋体"/>
                <w:color w:val="0C0C0C"/>
                <w:kern w:val="2"/>
                <w:sz w:val="24"/>
                <w:szCs w:val="24"/>
                <w:lang w:val="en-US" w:eastAsia="zh-CN" w:bidi="ar"/>
              </w:rPr>
              <w:t>根据《大气污染控制工程》中集气罩收集风量计算公式</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Q=KPHv</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Q——</w:t>
            </w:r>
            <w:r>
              <w:rPr>
                <w:rFonts w:hint="eastAsia" w:ascii="宋体" w:hAnsi="宋体" w:eastAsia="宋体" w:cs="宋体"/>
                <w:bCs/>
                <w:color w:val="0C0C0C"/>
                <w:kern w:val="0"/>
                <w:sz w:val="24"/>
                <w:szCs w:val="24"/>
                <w:lang w:val="en-US" w:eastAsia="zh-CN" w:bidi="ar"/>
              </w:rPr>
              <w:t>风量，</w:t>
            </w:r>
            <w:r>
              <w:rPr>
                <w:rFonts w:hint="default" w:ascii="Times New Roman" w:hAnsi="Times New Roman" w:eastAsia="宋体" w:cs="Times New Roman"/>
                <w:bCs/>
                <w:color w:val="0C0C0C"/>
                <w:kern w:val="0"/>
                <w:sz w:val="24"/>
                <w:szCs w:val="24"/>
                <w:lang w:val="en-US" w:eastAsia="zh-CN" w:bidi="ar"/>
              </w:rPr>
              <w:t>m</w:t>
            </w:r>
            <w:r>
              <w:rPr>
                <w:rFonts w:hint="default" w:ascii="Times New Roman" w:hAnsi="Times New Roman" w:eastAsia="宋体" w:cs="Times New Roman"/>
                <w:bCs/>
                <w:color w:val="0C0C0C"/>
                <w:kern w:val="0"/>
                <w:sz w:val="24"/>
                <w:szCs w:val="24"/>
                <w:vertAlign w:val="superscript"/>
                <w:lang w:val="en-US" w:eastAsia="zh-CN" w:bidi="ar"/>
              </w:rPr>
              <w:t>3</w:t>
            </w:r>
            <w:r>
              <w:rPr>
                <w:rFonts w:hint="default" w:ascii="Times New Roman" w:hAnsi="Times New Roman" w:eastAsia="宋体" w:cs="Times New Roman"/>
                <w:bCs/>
                <w:color w:val="0C0C0C"/>
                <w:kern w:val="0"/>
                <w:sz w:val="24"/>
                <w:szCs w:val="24"/>
                <w:lang w:val="en-US" w:eastAsia="zh-CN" w:bidi="ar"/>
              </w:rPr>
              <w:t>/s</w:t>
            </w:r>
            <w:r>
              <w:rPr>
                <w:rFonts w:hint="eastAsia" w:ascii="宋体" w:hAnsi="宋体" w:eastAsia="宋体" w:cs="宋体"/>
                <w:bCs/>
                <w:color w:val="0C0C0C"/>
                <w:kern w:val="0"/>
                <w:sz w:val="24"/>
                <w:szCs w:val="24"/>
                <w:lang w:val="en-US" w:eastAsia="zh-CN" w:bidi="ar"/>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K——</w:t>
            </w:r>
            <w:r>
              <w:rPr>
                <w:rFonts w:hint="eastAsia" w:ascii="宋体" w:hAnsi="宋体" w:eastAsia="宋体" w:cs="宋体"/>
                <w:bCs/>
                <w:color w:val="0C0C0C"/>
                <w:kern w:val="0"/>
                <w:sz w:val="24"/>
                <w:szCs w:val="24"/>
                <w:lang w:val="en-US" w:eastAsia="zh-CN" w:bidi="ar"/>
              </w:rPr>
              <w:t>考虑沿高度速度分布不均匀的安全系数，通常取</w:t>
            </w:r>
            <w:r>
              <w:rPr>
                <w:rFonts w:hint="default" w:ascii="Times New Roman" w:hAnsi="Times New Roman" w:eastAsia="宋体" w:cs="Times New Roman"/>
                <w:bCs/>
                <w:color w:val="0C0C0C"/>
                <w:kern w:val="0"/>
                <w:sz w:val="24"/>
                <w:szCs w:val="24"/>
                <w:lang w:val="en-US" w:eastAsia="zh-CN" w:bidi="ar"/>
              </w:rPr>
              <w:t>1.4</w:t>
            </w:r>
            <w:r>
              <w:rPr>
                <w:rFonts w:hint="eastAsia" w:ascii="宋体" w:hAnsi="宋体" w:eastAsia="宋体" w:cs="宋体"/>
                <w:bCs/>
                <w:color w:val="0C0C0C"/>
                <w:kern w:val="0"/>
                <w:sz w:val="24"/>
                <w:szCs w:val="24"/>
                <w:lang w:val="en-US" w:eastAsia="zh-CN" w:bidi="ar"/>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P——</w:t>
            </w:r>
            <w:r>
              <w:rPr>
                <w:rFonts w:hint="eastAsia" w:ascii="宋体" w:hAnsi="宋体" w:eastAsia="宋体" w:cs="宋体"/>
                <w:bCs/>
                <w:color w:val="0C0C0C"/>
                <w:kern w:val="0"/>
                <w:sz w:val="24"/>
                <w:szCs w:val="24"/>
                <w:lang w:val="en-US" w:eastAsia="zh-CN" w:bidi="ar"/>
              </w:rPr>
              <w:t>集气罩敞开面周长，</w:t>
            </w:r>
            <w:r>
              <w:rPr>
                <w:rFonts w:hint="default" w:ascii="Times New Roman" w:hAnsi="Times New Roman" w:eastAsia="宋体" w:cs="Times New Roman"/>
                <w:bCs/>
                <w:color w:val="0C0C0C"/>
                <w:kern w:val="0"/>
                <w:sz w:val="24"/>
                <w:szCs w:val="24"/>
                <w:lang w:val="en-US" w:eastAsia="zh-CN" w:bidi="ar"/>
              </w:rPr>
              <w:t>m</w:t>
            </w:r>
            <w:r>
              <w:rPr>
                <w:rFonts w:hint="eastAsia" w:ascii="宋体" w:hAnsi="宋体" w:eastAsia="宋体" w:cs="宋体"/>
                <w:bCs/>
                <w:color w:val="0C0C0C"/>
                <w:kern w:val="0"/>
                <w:sz w:val="24"/>
                <w:szCs w:val="24"/>
                <w:lang w:val="en-US" w:eastAsia="zh-CN" w:bidi="ar"/>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H——</w:t>
            </w:r>
            <w:r>
              <w:rPr>
                <w:rFonts w:hint="eastAsia" w:ascii="宋体" w:hAnsi="宋体" w:eastAsia="宋体" w:cs="宋体"/>
                <w:bCs/>
                <w:color w:val="0C0C0C"/>
                <w:kern w:val="0"/>
                <w:sz w:val="24"/>
                <w:szCs w:val="24"/>
                <w:lang w:val="en-US" w:eastAsia="zh-CN" w:bidi="ar"/>
              </w:rPr>
              <w:t>集气罩开口面至污染源距离，</w:t>
            </w:r>
            <w:r>
              <w:rPr>
                <w:rFonts w:hint="default" w:ascii="Times New Roman" w:hAnsi="Times New Roman" w:eastAsia="宋体" w:cs="Times New Roman"/>
                <w:bCs/>
                <w:color w:val="0C0C0C"/>
                <w:kern w:val="0"/>
                <w:sz w:val="24"/>
                <w:szCs w:val="24"/>
                <w:lang w:val="en-US" w:eastAsia="zh-CN" w:bidi="ar"/>
              </w:rPr>
              <w:t>m</w:t>
            </w:r>
            <w:r>
              <w:rPr>
                <w:rFonts w:hint="eastAsia" w:ascii="宋体" w:hAnsi="宋体" w:eastAsia="宋体" w:cs="宋体"/>
                <w:bCs/>
                <w:color w:val="0C0C0C"/>
                <w:kern w:val="0"/>
                <w:sz w:val="24"/>
                <w:szCs w:val="24"/>
                <w:lang w:val="en-US" w:eastAsia="zh-CN" w:bidi="ar"/>
              </w:rPr>
              <w:t>，</w:t>
            </w:r>
            <w:r>
              <w:rPr>
                <w:rFonts w:hint="default" w:ascii="Times New Roman" w:hAnsi="Times New Roman" w:eastAsia="宋体" w:cs="Times New Roman"/>
                <w:bCs/>
                <w:color w:val="0C0C0C"/>
                <w:kern w:val="0"/>
                <w:sz w:val="24"/>
                <w:szCs w:val="24"/>
                <w:lang w:val="en-US" w:eastAsia="zh-CN" w:bidi="ar"/>
              </w:rPr>
              <w:t>H</w:t>
            </w:r>
            <w:r>
              <w:rPr>
                <w:rFonts w:hint="eastAsia" w:ascii="宋体" w:hAnsi="宋体" w:eastAsia="宋体" w:cs="宋体"/>
                <w:bCs/>
                <w:color w:val="0C0C0C"/>
                <w:kern w:val="0"/>
                <w:sz w:val="24"/>
                <w:szCs w:val="24"/>
                <w:lang w:val="en-US" w:eastAsia="zh-CN" w:bidi="ar"/>
              </w:rPr>
              <w:t>取值</w:t>
            </w:r>
            <w:r>
              <w:rPr>
                <w:rFonts w:hint="default" w:ascii="Times New Roman" w:hAnsi="Times New Roman" w:eastAsia="宋体" w:cs="Times New Roman"/>
                <w:bCs/>
                <w:color w:val="0C0C0C"/>
                <w:kern w:val="0"/>
                <w:sz w:val="24"/>
                <w:szCs w:val="24"/>
                <w:lang w:val="en-US" w:eastAsia="zh-CN" w:bidi="ar"/>
              </w:rPr>
              <w:t>0.5 m</w:t>
            </w:r>
            <w:r>
              <w:rPr>
                <w:rFonts w:hint="eastAsia" w:ascii="宋体" w:hAnsi="宋体" w:eastAsia="宋体" w:cs="宋体"/>
                <w:bCs/>
                <w:color w:val="0C0C0C"/>
                <w:kern w:val="0"/>
                <w:sz w:val="24"/>
                <w:szCs w:val="24"/>
                <w:lang w:val="en-US" w:eastAsia="zh-CN" w:bidi="ar"/>
              </w:rPr>
              <w:t>；</w:t>
            </w:r>
          </w:p>
          <w:p>
            <w:pPr>
              <w:keepNext w:val="0"/>
              <w:keepLines w:val="0"/>
              <w:widowControl w:val="0"/>
              <w:suppressLineNumbers w:val="0"/>
              <w:spacing w:before="0" w:beforeAutospacing="0" w:after="0" w:afterAutospacing="0" w:line="360" w:lineRule="auto"/>
              <w:ind w:left="0" w:right="0" w:firstLine="481"/>
              <w:jc w:val="both"/>
              <w:rPr>
                <w:rFonts w:hint="default" w:ascii="Times New Roman" w:hAnsi="Times New Roman" w:eastAsia="宋体" w:cs="Times New Roman"/>
                <w:bCs/>
                <w:color w:val="0C0C0C"/>
                <w:kern w:val="0"/>
                <w:sz w:val="24"/>
                <w:szCs w:val="24"/>
              </w:rPr>
            </w:pPr>
            <w:r>
              <w:rPr>
                <w:rFonts w:hint="default" w:ascii="Times New Roman" w:hAnsi="Times New Roman" w:eastAsia="宋体" w:cs="Times New Roman"/>
                <w:bCs/>
                <w:color w:val="0C0C0C"/>
                <w:kern w:val="0"/>
                <w:sz w:val="24"/>
                <w:szCs w:val="24"/>
                <w:lang w:val="en-US" w:eastAsia="zh-CN" w:bidi="ar"/>
              </w:rPr>
              <w:t>V——</w:t>
            </w:r>
            <w:r>
              <w:rPr>
                <w:rFonts w:hint="eastAsia" w:ascii="宋体" w:hAnsi="宋体" w:eastAsia="宋体" w:cs="宋体"/>
                <w:bCs/>
                <w:color w:val="0C0C0C"/>
                <w:kern w:val="0"/>
                <w:sz w:val="24"/>
                <w:szCs w:val="24"/>
                <w:lang w:val="en-US" w:eastAsia="zh-CN" w:bidi="ar"/>
              </w:rPr>
              <w:t>集气罩开口面最远处风速，</w:t>
            </w:r>
            <w:r>
              <w:rPr>
                <w:rFonts w:hint="default" w:ascii="Times New Roman" w:hAnsi="Times New Roman" w:eastAsia="宋体" w:cs="Times New Roman"/>
                <w:bCs/>
                <w:color w:val="0C0C0C"/>
                <w:kern w:val="0"/>
                <w:sz w:val="24"/>
                <w:szCs w:val="24"/>
                <w:lang w:val="en-US" w:eastAsia="zh-CN" w:bidi="ar"/>
              </w:rPr>
              <w:t>m/s</w:t>
            </w:r>
            <w:r>
              <w:rPr>
                <w:rFonts w:hint="eastAsia" w:ascii="宋体" w:hAnsi="宋体" w:eastAsia="宋体" w:cs="宋体"/>
                <w:bCs/>
                <w:color w:val="0C0C0C"/>
                <w:kern w:val="0"/>
                <w:sz w:val="24"/>
                <w:szCs w:val="24"/>
                <w:lang w:val="en-US" w:eastAsia="zh-CN" w:bidi="ar"/>
              </w:rPr>
              <w:t>，</w:t>
            </w:r>
            <w:r>
              <w:rPr>
                <w:rFonts w:hint="default" w:ascii="Times New Roman" w:hAnsi="Times New Roman" w:eastAsia="宋体" w:cs="Times New Roman"/>
                <w:bCs/>
                <w:color w:val="0C0C0C"/>
                <w:kern w:val="0"/>
                <w:sz w:val="24"/>
                <w:szCs w:val="24"/>
                <w:lang w:val="en-US" w:eastAsia="zh-CN" w:bidi="ar"/>
              </w:rPr>
              <w:t>V</w:t>
            </w:r>
            <w:r>
              <w:rPr>
                <w:rFonts w:hint="eastAsia" w:ascii="宋体" w:hAnsi="宋体" w:eastAsia="宋体" w:cs="宋体"/>
                <w:bCs/>
                <w:color w:val="0C0C0C"/>
                <w:kern w:val="0"/>
                <w:sz w:val="24"/>
                <w:szCs w:val="24"/>
                <w:lang w:val="en-US" w:eastAsia="zh-CN" w:bidi="ar"/>
              </w:rPr>
              <w:t>取0.7</w:t>
            </w:r>
            <w:r>
              <w:rPr>
                <w:rFonts w:hint="eastAsia" w:ascii="Times New Roman" w:hAnsi="Times New Roman" w:eastAsia="宋体" w:cs="Times New Roman"/>
                <w:bCs/>
                <w:color w:val="0C0C0C"/>
                <w:kern w:val="0"/>
                <w:sz w:val="24"/>
                <w:szCs w:val="24"/>
                <w:lang w:val="en-US" w:eastAsia="zh-CN" w:bidi="ar"/>
              </w:rPr>
              <w:t xml:space="preserve"> </w:t>
            </w:r>
            <w:r>
              <w:rPr>
                <w:rFonts w:hint="default" w:ascii="Times New Roman" w:hAnsi="Times New Roman" w:eastAsia="宋体" w:cs="Times New Roman"/>
                <w:bCs/>
                <w:color w:val="0C0C0C"/>
                <w:kern w:val="0"/>
                <w:sz w:val="24"/>
                <w:szCs w:val="24"/>
                <w:lang w:val="en-US" w:eastAsia="zh-CN" w:bidi="ar"/>
              </w:rPr>
              <w:t>m/s</w:t>
            </w:r>
            <w:r>
              <w:rPr>
                <w:rFonts w:hint="eastAsia" w:ascii="宋体" w:hAnsi="宋体" w:eastAsia="宋体" w:cs="宋体"/>
                <w:bCs/>
                <w:color w:val="0C0C0C"/>
                <w:kern w:val="0"/>
                <w:sz w:val="24"/>
                <w:szCs w:val="24"/>
                <w:lang w:val="en-US" w:eastAsia="zh-CN" w:bidi="ar"/>
              </w:rPr>
              <w:t>；</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eastAsia="宋体"/>
                <w:iCs/>
                <w:color w:val="auto"/>
                <w:sz w:val="24"/>
                <w:lang w:val="en-US" w:eastAsia="zh-CN"/>
              </w:rPr>
            </w:pPr>
            <w:r>
              <w:rPr>
                <w:rFonts w:hint="eastAsia" w:eastAsia="宋体"/>
                <w:iCs/>
                <w:color w:val="auto"/>
                <w:sz w:val="24"/>
                <w:lang w:val="en-US" w:eastAsia="zh-CN"/>
              </w:rPr>
              <w:t>经计算，</w:t>
            </w:r>
            <w:r>
              <w:rPr>
                <w:rFonts w:hint="default" w:eastAsia="宋体"/>
                <w:iCs/>
                <w:color w:val="auto"/>
                <w:sz w:val="24"/>
                <w:lang w:val="en-US" w:eastAsia="zh-CN"/>
              </w:rPr>
              <w:t>Q=</w:t>
            </w:r>
            <w:r>
              <w:rPr>
                <w:rFonts w:hint="eastAsia" w:eastAsia="宋体"/>
                <w:iCs/>
                <w:color w:val="auto"/>
                <w:sz w:val="24"/>
                <w:lang w:val="en-US" w:eastAsia="zh-CN"/>
              </w:rPr>
              <w:t>1.</w:t>
            </w:r>
            <w:r>
              <w:rPr>
                <w:rFonts w:hint="eastAsia"/>
                <w:iCs/>
                <w:color w:val="auto"/>
                <w:sz w:val="24"/>
                <w:lang w:val="en-US" w:eastAsia="zh-CN"/>
              </w:rPr>
              <w:t>568</w:t>
            </w:r>
            <w:r>
              <w:rPr>
                <w:rFonts w:hint="default" w:eastAsia="宋体"/>
                <w:iCs/>
                <w:color w:val="auto"/>
                <w:sz w:val="24"/>
                <w:lang w:val="en-US" w:eastAsia="zh-CN"/>
              </w:rPr>
              <w:t>m</w:t>
            </w:r>
            <w:r>
              <w:rPr>
                <w:rFonts w:hint="default" w:eastAsia="宋体"/>
                <w:iCs/>
                <w:color w:val="auto"/>
                <w:sz w:val="24"/>
                <w:vertAlign w:val="superscript"/>
                <w:lang w:val="en-US" w:eastAsia="zh-CN"/>
              </w:rPr>
              <w:t>3</w:t>
            </w:r>
            <w:r>
              <w:rPr>
                <w:rFonts w:hint="default" w:eastAsia="宋体"/>
                <w:iCs/>
                <w:color w:val="auto"/>
                <w:sz w:val="24"/>
                <w:lang w:val="en-US" w:eastAsia="zh-CN"/>
              </w:rPr>
              <w:t>/s</w:t>
            </w:r>
            <w:r>
              <w:rPr>
                <w:rFonts w:hint="eastAsia" w:eastAsia="宋体"/>
                <w:iCs/>
                <w:color w:val="auto"/>
                <w:sz w:val="24"/>
                <w:lang w:val="en-US" w:eastAsia="zh-CN"/>
              </w:rPr>
              <w:t>，风量即</w:t>
            </w:r>
            <w:r>
              <w:rPr>
                <w:rFonts w:hint="eastAsia"/>
                <w:iCs/>
                <w:color w:val="auto"/>
                <w:sz w:val="24"/>
                <w:lang w:val="en-US" w:eastAsia="zh-CN"/>
              </w:rPr>
              <w:t>5644.8</w:t>
            </w:r>
            <w:r>
              <w:rPr>
                <w:rFonts w:hint="default" w:eastAsia="宋体"/>
                <w:iCs/>
                <w:color w:val="auto"/>
                <w:sz w:val="24"/>
                <w:lang w:val="en-US" w:eastAsia="zh-CN"/>
              </w:rPr>
              <w:t>m</w:t>
            </w:r>
            <w:r>
              <w:rPr>
                <w:rFonts w:hint="default" w:eastAsia="宋体"/>
                <w:iCs/>
                <w:color w:val="auto"/>
                <w:sz w:val="24"/>
                <w:vertAlign w:val="superscript"/>
                <w:lang w:val="en-US" w:eastAsia="zh-CN"/>
              </w:rPr>
              <w:t>3</w:t>
            </w:r>
            <w:r>
              <w:rPr>
                <w:rFonts w:hint="default" w:eastAsia="宋体"/>
                <w:iCs/>
                <w:color w:val="auto"/>
                <w:sz w:val="24"/>
                <w:lang w:val="en-US" w:eastAsia="zh-CN"/>
              </w:rPr>
              <w:t>/h</w:t>
            </w:r>
            <w:r>
              <w:rPr>
                <w:rFonts w:hint="eastAsia" w:eastAsia="宋体"/>
                <w:iCs/>
                <w:color w:val="auto"/>
                <w:sz w:val="24"/>
                <w:lang w:val="en-US" w:eastAsia="zh-CN"/>
              </w:rPr>
              <w:t>。</w:t>
            </w:r>
            <w:r>
              <w:rPr>
                <w:rFonts w:hint="default" w:eastAsia="宋体"/>
                <w:iCs/>
                <w:color w:val="auto"/>
                <w:sz w:val="24"/>
                <w:lang w:val="en-US" w:eastAsia="zh-CN"/>
              </w:rPr>
              <w:t>收集后的废气经</w:t>
            </w:r>
            <w:r>
              <w:rPr>
                <w:rFonts w:hint="eastAsia" w:eastAsia="宋体"/>
                <w:iCs/>
                <w:color w:val="auto"/>
                <w:sz w:val="24"/>
                <w:lang w:val="en-US" w:eastAsia="zh-CN"/>
              </w:rPr>
              <w:t>布袋除尘器</w:t>
            </w:r>
            <w:r>
              <w:rPr>
                <w:rFonts w:hint="default" w:eastAsia="宋体"/>
                <w:iCs/>
                <w:color w:val="auto"/>
                <w:sz w:val="24"/>
                <w:lang w:val="en-US" w:eastAsia="zh-CN"/>
              </w:rPr>
              <w:t>处理后，再通过15 m高排气筒（DA001）外排</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iCs/>
                <w:color w:val="auto"/>
                <w:sz w:val="24"/>
                <w:lang w:val="en-US" w:eastAsia="zh-CN"/>
              </w:rPr>
            </w:pPr>
            <w:r>
              <w:rPr>
                <w:rFonts w:hint="eastAsia" w:ascii="Times New Roman" w:hAnsi="Times New Roman" w:eastAsia="宋体" w:cs="Times New Roman"/>
                <w:iCs/>
                <w:color w:val="auto"/>
                <w:sz w:val="24"/>
                <w:lang w:val="en-US" w:eastAsia="zh-CN"/>
              </w:rPr>
              <w:t>（2）天然气燃烧废气（</w:t>
            </w:r>
            <w:r>
              <w:rPr>
                <w:rFonts w:hint="default" w:ascii="Times New Roman" w:hAnsi="Times New Roman" w:eastAsia="宋体" w:cs="Times New Roman"/>
                <w:iCs/>
                <w:color w:val="auto"/>
                <w:sz w:val="24"/>
                <w:lang w:val="en-US" w:eastAsia="zh-CN"/>
              </w:rPr>
              <w:t>G</w:t>
            </w:r>
            <w:r>
              <w:rPr>
                <w:rFonts w:hint="eastAsia" w:ascii="Times New Roman" w:hAnsi="Times New Roman" w:eastAsia="宋体" w:cs="Times New Roman"/>
                <w:iCs/>
                <w:color w:val="auto"/>
                <w:sz w:val="24"/>
                <w:lang w:val="en-US" w:eastAsia="zh-CN"/>
              </w:rPr>
              <w:t>6）</w:t>
            </w:r>
          </w:p>
          <w:p>
            <w:pPr>
              <w:keepNext w:val="0"/>
              <w:keepLines w:val="0"/>
              <w:widowControl w:val="0"/>
              <w:suppressLineNumbers w:val="0"/>
              <w:snapToGrid w:val="0"/>
              <w:spacing w:before="0" w:beforeAutospacing="0" w:after="0" w:afterAutospacing="0" w:line="360" w:lineRule="auto"/>
              <w:ind w:left="0" w:right="0" w:firstLine="480" w:firstLineChars="200"/>
              <w:jc w:val="both"/>
              <w:rPr>
                <w:rFonts w:hint="eastAsia" w:eastAsia="宋体"/>
                <w:sz w:val="24"/>
                <w:lang w:val="en-US" w:eastAsia="zh-CN"/>
              </w:rPr>
            </w:pPr>
            <w:r>
              <w:rPr>
                <w:rFonts w:hint="eastAsia" w:ascii="Times New Roman" w:hAnsi="Times New Roman" w:eastAsia="宋体" w:cs="Times New Roman"/>
                <w:iCs/>
                <w:color w:val="auto"/>
                <w:sz w:val="24"/>
                <w:lang w:val="en-US" w:eastAsia="zh-CN"/>
              </w:rPr>
              <w:t>参考《排污许可证申请与核发技术规范 锅炉》（HJ953-2018），附录F.3中燃气工</w:t>
            </w:r>
            <w:r>
              <w:rPr>
                <w:rFonts w:hint="eastAsia"/>
                <w:iCs/>
                <w:color w:val="0D0D0D" w:themeColor="text1" w:themeTint="F2"/>
                <w:sz w:val="24"/>
                <w14:textFill>
                  <w14:solidFill>
                    <w14:schemeClr w14:val="tx1">
                      <w14:lumMod w14:val="95000"/>
                      <w14:lumOff w14:val="5000"/>
                    </w14:schemeClr>
                  </w14:solidFill>
                </w14:textFill>
              </w:rPr>
              <w:t>业锅炉的废气产排污系数，天然气燃烧时，烟尘产污系数为2.86kg/万m</w:t>
            </w:r>
            <w:r>
              <w:rPr>
                <w:rFonts w:hint="eastAsia"/>
                <w:iCs/>
                <w:color w:val="0D0D0D" w:themeColor="text1" w:themeTint="F2"/>
                <w:sz w:val="24"/>
                <w:vertAlign w:val="superscript"/>
                <w14:textFill>
                  <w14:solidFill>
                    <w14:schemeClr w14:val="tx1">
                      <w14:lumMod w14:val="95000"/>
                      <w14:lumOff w14:val="5000"/>
                    </w14:schemeClr>
                  </w14:solidFill>
                </w14:textFill>
              </w:rPr>
              <w:t>3</w:t>
            </w:r>
            <w:r>
              <w:rPr>
                <w:rFonts w:hint="eastAsia"/>
                <w:iCs/>
                <w:color w:val="0D0D0D" w:themeColor="text1" w:themeTint="F2"/>
                <w:sz w:val="24"/>
                <w14:textFill>
                  <w14:solidFill>
                    <w14:schemeClr w14:val="tx1">
                      <w14:lumMod w14:val="95000"/>
                      <w14:lumOff w14:val="5000"/>
                    </w14:schemeClr>
                  </w14:solidFill>
                </w14:textFill>
              </w:rPr>
              <w:t>燃料气，二氧化硫产污系数为0.02Skg/万m</w:t>
            </w:r>
            <w:r>
              <w:rPr>
                <w:rFonts w:hint="eastAsia"/>
                <w:iCs/>
                <w:color w:val="0D0D0D" w:themeColor="text1" w:themeTint="F2"/>
                <w:sz w:val="24"/>
                <w:vertAlign w:val="superscript"/>
                <w14:textFill>
                  <w14:solidFill>
                    <w14:schemeClr w14:val="tx1">
                      <w14:lumMod w14:val="95000"/>
                      <w14:lumOff w14:val="5000"/>
                    </w14:schemeClr>
                  </w14:solidFill>
                </w14:textFill>
              </w:rPr>
              <w:t>3</w:t>
            </w:r>
            <w:r>
              <w:rPr>
                <w:rFonts w:hint="eastAsia"/>
                <w:iCs/>
                <w:color w:val="0D0D0D" w:themeColor="text1" w:themeTint="F2"/>
                <w:sz w:val="24"/>
                <w14:textFill>
                  <w14:solidFill>
                    <w14:schemeClr w14:val="tx1">
                      <w14:lumMod w14:val="95000"/>
                      <w14:lumOff w14:val="5000"/>
                    </w14:schemeClr>
                  </w14:solidFill>
                </w14:textFill>
              </w:rPr>
              <w:t>燃料气（S取值200），氮氧化物产污系数为 18.71kg/万m</w:t>
            </w:r>
            <w:r>
              <w:rPr>
                <w:rFonts w:hint="eastAsia"/>
                <w:iCs/>
                <w:color w:val="0D0D0D" w:themeColor="text1" w:themeTint="F2"/>
                <w:sz w:val="24"/>
                <w:vertAlign w:val="superscript"/>
                <w14:textFill>
                  <w14:solidFill>
                    <w14:schemeClr w14:val="tx1">
                      <w14:lumMod w14:val="95000"/>
                      <w14:lumOff w14:val="5000"/>
                    </w14:schemeClr>
                  </w14:solidFill>
                </w14:textFill>
              </w:rPr>
              <w:t>3</w:t>
            </w:r>
            <w:r>
              <w:rPr>
                <w:rFonts w:hint="eastAsia"/>
                <w:iCs/>
                <w:color w:val="0D0D0D" w:themeColor="text1" w:themeTint="F2"/>
                <w:sz w:val="24"/>
                <w14:textFill>
                  <w14:solidFill>
                    <w14:schemeClr w14:val="tx1">
                      <w14:lumMod w14:val="95000"/>
                      <w14:lumOff w14:val="5000"/>
                    </w14:schemeClr>
                  </w14:solidFill>
                </w14:textFill>
              </w:rPr>
              <w:t>。</w:t>
            </w:r>
            <w:r>
              <w:rPr>
                <w:rFonts w:hint="eastAsia"/>
                <w:iCs/>
                <w:color w:val="0D0D0D" w:themeColor="text1" w:themeTint="F2"/>
                <w:sz w:val="24"/>
                <w:lang w:val="en-US" w:eastAsia="zh-CN"/>
                <w14:textFill>
                  <w14:solidFill>
                    <w14:schemeClr w14:val="tx1">
                      <w14:lumMod w14:val="95000"/>
                      <w14:lumOff w14:val="5000"/>
                    </w14:schemeClr>
                  </w14:solidFill>
                </w14:textFill>
              </w:rPr>
              <w:t>铝熔炉与保温炉年用天然气19万 m</w:t>
            </w:r>
            <w:r>
              <w:rPr>
                <w:rFonts w:hint="eastAsia"/>
                <w:iCs/>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iCs/>
                <w:color w:val="0D0D0D" w:themeColor="text1" w:themeTint="F2"/>
                <w:sz w:val="24"/>
                <w:lang w:val="en-US" w:eastAsia="zh-CN"/>
                <w14:textFill>
                  <w14:solidFill>
                    <w14:schemeClr w14:val="tx1">
                      <w14:lumMod w14:val="95000"/>
                      <w14:lumOff w14:val="5000"/>
                    </w14:schemeClr>
                  </w14:solidFill>
                </w14:textFill>
              </w:rPr>
              <w:t>/a，因</w:t>
            </w:r>
            <w:r>
              <w:rPr>
                <w:rFonts w:hint="eastAsia" w:eastAsia="宋体"/>
                <w:sz w:val="24"/>
                <w:lang w:val="en-US" w:eastAsia="zh-CN"/>
              </w:rPr>
              <w:t>此本项目 SO</w:t>
            </w:r>
            <w:r>
              <w:rPr>
                <w:rFonts w:hint="eastAsia" w:eastAsia="宋体"/>
                <w:sz w:val="24"/>
                <w:vertAlign w:val="subscript"/>
                <w:lang w:val="en-US" w:eastAsia="zh-CN"/>
              </w:rPr>
              <w:t>2</w:t>
            </w:r>
            <w:r>
              <w:rPr>
                <w:rFonts w:hint="eastAsia" w:eastAsia="宋体"/>
                <w:sz w:val="24"/>
                <w:lang w:val="en-US" w:eastAsia="zh-CN"/>
              </w:rPr>
              <w:t>产生量为0.076t/a，NOx 产生量为 0.355t/a，颗粒物产生量为 0.054t/a。</w:t>
            </w:r>
          </w:p>
          <w:p>
            <w:pPr>
              <w:keepNext w:val="0"/>
              <w:keepLines w:val="0"/>
              <w:suppressLineNumbers w:val="0"/>
              <w:spacing w:before="240" w:beforeLines="100" w:beforeAutospacing="0" w:after="0" w:afterAutospacing="0" w:line="360" w:lineRule="auto"/>
              <w:ind w:left="0" w:right="0" w:firstLine="480" w:firstLineChars="200"/>
              <w:rPr>
                <w:rFonts w:hint="default" w:eastAsia="宋体"/>
                <w:sz w:val="24"/>
                <w:lang w:val="en-US" w:eastAsia="zh-CN"/>
              </w:rPr>
            </w:pPr>
            <w:r>
              <w:rPr>
                <w:rFonts w:hint="default" w:eastAsia="宋体"/>
                <w:sz w:val="24"/>
                <w:lang w:val="en-US" w:eastAsia="zh-CN"/>
              </w:rPr>
              <w:t>在</w:t>
            </w:r>
            <w:r>
              <w:rPr>
                <w:rFonts w:hint="eastAsia" w:eastAsia="宋体"/>
                <w:sz w:val="24"/>
                <w:lang w:val="en-US" w:eastAsia="zh-CN"/>
              </w:rPr>
              <w:t>天然气保温炉</w:t>
            </w:r>
            <w:r>
              <w:rPr>
                <w:rFonts w:hint="default" w:eastAsia="宋体"/>
                <w:sz w:val="24"/>
                <w:lang w:val="en-US" w:eastAsia="zh-CN"/>
              </w:rPr>
              <w:t>上方安装集气罩，共</w:t>
            </w:r>
            <w:r>
              <w:rPr>
                <w:rFonts w:hint="eastAsia" w:eastAsia="宋体"/>
                <w:sz w:val="24"/>
                <w:lang w:val="en-US" w:eastAsia="zh-CN"/>
              </w:rPr>
              <w:t>2</w:t>
            </w:r>
            <w:r>
              <w:rPr>
                <w:rFonts w:hint="default" w:eastAsia="宋体"/>
                <w:sz w:val="24"/>
                <w:lang w:val="en-US" w:eastAsia="zh-CN"/>
              </w:rPr>
              <w:t>个集气罩</w:t>
            </w:r>
            <w:r>
              <w:rPr>
                <w:rFonts w:hint="eastAsia" w:eastAsia="宋体"/>
                <w:sz w:val="24"/>
                <w:lang w:val="en-US" w:eastAsia="zh-CN"/>
              </w:rPr>
              <w:t>，</w:t>
            </w:r>
            <w:r>
              <w:rPr>
                <w:rFonts w:hint="default" w:eastAsia="宋体"/>
                <w:sz w:val="24"/>
                <w:lang w:val="en-US" w:eastAsia="zh-CN"/>
              </w:rPr>
              <w:t>尺寸</w:t>
            </w:r>
            <w:r>
              <w:rPr>
                <w:rFonts w:hint="eastAsia" w:eastAsia="宋体"/>
                <w:sz w:val="24"/>
                <w:lang w:val="en-US" w:eastAsia="zh-CN"/>
              </w:rPr>
              <w:t>均</w:t>
            </w:r>
            <w:r>
              <w:rPr>
                <w:rFonts w:hint="default" w:eastAsia="宋体"/>
                <w:sz w:val="24"/>
                <w:lang w:val="en-US" w:eastAsia="zh-CN"/>
              </w:rPr>
              <w:t>为</w:t>
            </w:r>
            <w:r>
              <w:rPr>
                <w:rFonts w:hint="eastAsia"/>
                <w:sz w:val="24"/>
                <w:lang w:val="en-US" w:eastAsia="zh-CN"/>
              </w:rPr>
              <w:t>0.8</w:t>
            </w:r>
            <w:r>
              <w:rPr>
                <w:rFonts w:hint="default" w:eastAsia="宋体"/>
                <w:sz w:val="24"/>
                <w:lang w:val="en-US" w:eastAsia="zh-CN"/>
              </w:rPr>
              <w:t xml:space="preserve"> m×</w:t>
            </w:r>
            <w:r>
              <w:rPr>
                <w:rFonts w:hint="eastAsia"/>
                <w:sz w:val="24"/>
                <w:lang w:val="en-US" w:eastAsia="zh-CN"/>
              </w:rPr>
              <w:t>0.8</w:t>
            </w:r>
            <w:r>
              <w:rPr>
                <w:rFonts w:hint="default" w:eastAsia="宋体"/>
                <w:sz w:val="24"/>
                <w:lang w:val="en-US" w:eastAsia="zh-CN"/>
              </w:rPr>
              <w:t xml:space="preserve"> m。根据《大气污染控制工程》中集气罩收集风量计算公式</w:t>
            </w:r>
          </w:p>
          <w:p>
            <w:pPr>
              <w:pStyle w:val="24"/>
              <w:keepNext w:val="0"/>
              <w:keepLines w:val="0"/>
              <w:suppressLineNumbers w:val="0"/>
              <w:spacing w:beforeAutospacing="0" w:afterAutospacing="0"/>
              <w:ind w:left="0" w:firstLine="480" w:firstLineChars="200"/>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Q=KPHv</w:t>
            </w:r>
          </w:p>
          <w:p>
            <w:pPr>
              <w:pStyle w:val="24"/>
              <w:keepNext w:val="0"/>
              <w:keepLines w:val="0"/>
              <w:suppressLineNumbers w:val="0"/>
              <w:spacing w:beforeAutospacing="0" w:afterAutospacing="0"/>
              <w:ind w:left="0" w:firstLine="480" w:firstLineChars="200"/>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Q——风量，m3/s；</w:t>
            </w:r>
          </w:p>
          <w:p>
            <w:pPr>
              <w:pStyle w:val="24"/>
              <w:keepNext w:val="0"/>
              <w:keepLines w:val="0"/>
              <w:suppressLineNumbers w:val="0"/>
              <w:spacing w:beforeAutospacing="0" w:afterAutospacing="0"/>
              <w:ind w:left="0" w:firstLine="480" w:firstLineChars="200"/>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K——考虑沿高度速度分布不均匀的安全系数，通常取1.4；</w:t>
            </w:r>
          </w:p>
          <w:p>
            <w:pPr>
              <w:pStyle w:val="24"/>
              <w:keepNext w:val="0"/>
              <w:keepLines w:val="0"/>
              <w:suppressLineNumbers w:val="0"/>
              <w:spacing w:beforeAutospacing="0" w:afterAutospacing="0"/>
              <w:ind w:left="0" w:firstLine="480" w:firstLineChars="200"/>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P——集气罩敞开面周长，m；</w:t>
            </w:r>
          </w:p>
          <w:p>
            <w:pPr>
              <w:pStyle w:val="24"/>
              <w:keepNext w:val="0"/>
              <w:keepLines w:val="0"/>
              <w:suppressLineNumbers w:val="0"/>
              <w:spacing w:beforeAutospacing="0" w:afterAutospacing="0"/>
              <w:ind w:left="0" w:firstLine="480" w:firstLineChars="200"/>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H——集气罩开口面至污染源距离，m，H取值0.5 m；</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V——集气罩开口面最远处风速，m/s，V取</w:t>
            </w:r>
            <w:r>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0.7</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 xml:space="preserve"> m/s；</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经计算，Q=</w:t>
            </w:r>
            <w:r>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1.</w:t>
            </w:r>
            <w:r>
              <w:rPr>
                <w:rFonts w:hint="eastAsia" w:cs="Times New Roman"/>
                <w:iCs/>
                <w:color w:val="0D0D0D" w:themeColor="text1" w:themeTint="F2"/>
                <w:sz w:val="24"/>
                <w:lang w:val="en-US" w:eastAsia="zh-CN"/>
                <w14:textFill>
                  <w14:solidFill>
                    <w14:schemeClr w14:val="tx1">
                      <w14:lumMod w14:val="95000"/>
                      <w14:lumOff w14:val="5000"/>
                    </w14:schemeClr>
                  </w14:solidFill>
                </w14:textFill>
              </w:rPr>
              <w:t>568</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m</w:t>
            </w:r>
            <w:r>
              <w:rPr>
                <w:rFonts w:hint="default" w:ascii="Times New Roman" w:hAnsi="Times New Roman" w:eastAsia="宋体" w:cs="Times New Roman"/>
                <w:iCs/>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/s，</w:t>
            </w:r>
            <w:r>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总</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风量即</w:t>
            </w:r>
            <w:r>
              <w:rPr>
                <w:rFonts w:hint="eastAsia" w:cs="Times New Roman"/>
                <w:iCs/>
                <w:color w:val="0D0D0D" w:themeColor="text1" w:themeTint="F2"/>
                <w:sz w:val="24"/>
                <w:lang w:val="en-US" w:eastAsia="zh-CN"/>
                <w14:textFill>
                  <w14:solidFill>
                    <w14:schemeClr w14:val="tx1">
                      <w14:lumMod w14:val="95000"/>
                      <w14:lumOff w14:val="5000"/>
                    </w14:schemeClr>
                  </w14:solidFill>
                </w14:textFill>
              </w:rPr>
              <w:t>11289.6</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m</w:t>
            </w:r>
            <w:r>
              <w:rPr>
                <w:rFonts w:hint="default" w:ascii="Times New Roman" w:hAnsi="Times New Roman" w:eastAsia="宋体" w:cs="Times New Roman"/>
                <w:iCs/>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/h。收集后的废气</w:t>
            </w:r>
            <w:r>
              <w:rPr>
                <w:rFonts w:hint="eastAsia" w:cs="Times New Roman"/>
                <w:iCs/>
                <w:color w:val="0D0D0D" w:themeColor="text1" w:themeTint="F2"/>
                <w:sz w:val="24"/>
                <w:lang w:val="en-US" w:eastAsia="zh-CN"/>
                <w14:textFill>
                  <w14:solidFill>
                    <w14:schemeClr w14:val="tx1">
                      <w14:lumMod w14:val="95000"/>
                      <w14:lumOff w14:val="5000"/>
                    </w14:schemeClr>
                  </w14:solidFill>
                </w14:textFill>
              </w:rPr>
              <w:t>与金属融话废气一同</w:t>
            </w:r>
            <w:r>
              <w:rPr>
                <w:rFonts w:hint="default"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经布袋除尘器处理后，再通过15 m</w:t>
            </w:r>
            <w:r>
              <w:rPr>
                <w:rFonts w:hint="default"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高排气筒（DA001）外排</w:t>
            </w:r>
          </w:p>
          <w:p>
            <w:pPr>
              <w:keepNext w:val="0"/>
              <w:keepLines w:val="0"/>
              <w:suppressLineNumbers w:val="0"/>
              <w:wordWrap w:val="0"/>
              <w:overflowPunct w:val="0"/>
              <w:topLinePunct/>
              <w:autoSpaceDE w:val="0"/>
              <w:autoSpaceDN w:val="0"/>
              <w:adjustRightInd w:val="0"/>
              <w:spacing w:before="0" w:beforeLines="0" w:beforeAutospacing="0" w:after="0" w:afterLines="0" w:afterAutospacing="0" w:line="360" w:lineRule="auto"/>
              <w:ind w:left="0" w:right="0" w:firstLine="480" w:firstLineChars="200"/>
              <w:jc w:val="left"/>
              <w:rPr>
                <w:rFonts w:hint="default"/>
                <w:color w:val="auto"/>
                <w:highlight w:val="none"/>
                <w:lang w:val="en-US" w:eastAsia="zh-CN"/>
              </w:rPr>
            </w:pPr>
            <w:r>
              <w:rPr>
                <w:rFonts w:hint="default" w:ascii="宋体" w:eastAsia="宋体"/>
                <w:color w:val="auto"/>
                <w:sz w:val="24"/>
                <w:szCs w:val="24"/>
                <w:highlight w:val="none"/>
              </w:rPr>
              <w:t>金属熔化烟尘、天然气燃烧废气经收集后经一套布袋除尘处理后通过15米高排气筒排放。考虑风管损耗、漏风量等，因此风机总风量取</w:t>
            </w:r>
            <w:r>
              <w:rPr>
                <w:rFonts w:hint="eastAsia" w:ascii="宋体"/>
                <w:color w:val="auto"/>
                <w:sz w:val="24"/>
                <w:szCs w:val="24"/>
                <w:highlight w:val="none"/>
                <w:lang w:val="en-US" w:eastAsia="zh-CN"/>
              </w:rPr>
              <w:t>20</w:t>
            </w:r>
            <w:r>
              <w:rPr>
                <w:rFonts w:hint="default" w:ascii="宋体" w:eastAsia="宋体"/>
                <w:color w:val="auto"/>
                <w:sz w:val="24"/>
                <w:szCs w:val="24"/>
                <w:highlight w:val="none"/>
              </w:rPr>
              <w:t>000m</w:t>
            </w:r>
            <w:r>
              <w:rPr>
                <w:rFonts w:hint="default" w:ascii="宋体" w:eastAsia="宋体"/>
                <w:color w:val="auto"/>
                <w:sz w:val="24"/>
                <w:szCs w:val="24"/>
                <w:highlight w:val="none"/>
                <w:vertAlign w:val="superscript"/>
              </w:rPr>
              <w:t>3</w:t>
            </w:r>
            <w:r>
              <w:rPr>
                <w:rFonts w:hint="default" w:ascii="宋体" w:eastAsia="宋体"/>
                <w:color w:val="auto"/>
                <w:sz w:val="24"/>
                <w:szCs w:val="24"/>
                <w:highlight w:val="none"/>
              </w:rPr>
              <w:t>/h，收集效率按90%计算，颗粒物处理效率按99%计算。则金属熔化烟尘、天然气燃烧废气</w:t>
            </w:r>
            <w:r>
              <w:rPr>
                <w:rFonts w:hint="eastAsia" w:ascii="宋体"/>
                <w:color w:val="auto"/>
                <w:sz w:val="24"/>
                <w:szCs w:val="24"/>
                <w:highlight w:val="none"/>
                <w:lang w:val="en-US" w:eastAsia="zh-CN"/>
              </w:rPr>
              <w:t>中</w:t>
            </w:r>
            <w:r>
              <w:rPr>
                <w:rFonts w:hint="default" w:ascii="宋体" w:eastAsia="宋体"/>
                <w:color w:val="auto"/>
                <w:sz w:val="24"/>
                <w:szCs w:val="24"/>
                <w:highlight w:val="none"/>
              </w:rPr>
              <w:t>颗粒物、二氧化硫、氮氧化物有组织排放量分别为0.034t/a、0.068t/a、0.320t/a，无组织排放量分别为0.373 t/a、0.008 t/a、0.036 t/a。</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0D0D0D" w:themeColor="text1" w:themeTint="F2"/>
                <w:sz w:val="24"/>
                <w14:textFill>
                  <w14:solidFill>
                    <w14:schemeClr w14:val="tx1">
                      <w14:lumMod w14:val="95000"/>
                      <w14:lumOff w14:val="5000"/>
                    </w14:schemeClr>
                  </w14:solidFill>
                </w14:textFill>
              </w:rPr>
            </w:pPr>
            <w:r>
              <w:rPr>
                <w:rFonts w:hint="eastAsia"/>
                <w:iCs/>
                <w:color w:val="0D0D0D" w:themeColor="text1" w:themeTint="F2"/>
                <w:sz w:val="24"/>
                <w14:textFill>
                  <w14:solidFill>
                    <w14:schemeClr w14:val="tx1">
                      <w14:lumMod w14:val="95000"/>
                      <w14:lumOff w14:val="5000"/>
                    </w14:schemeClr>
                  </w14:solidFill>
                </w14:textFill>
              </w:rPr>
              <w:t>（</w:t>
            </w:r>
            <w:r>
              <w:rPr>
                <w:rFonts w:hint="eastAsia"/>
                <w:iCs/>
                <w:color w:val="0D0D0D" w:themeColor="text1" w:themeTint="F2"/>
                <w:sz w:val="24"/>
                <w:lang w:val="en-US" w:eastAsia="zh-CN"/>
                <w14:textFill>
                  <w14:solidFill>
                    <w14:schemeClr w14:val="tx1">
                      <w14:lumMod w14:val="95000"/>
                      <w14:lumOff w14:val="5000"/>
                    </w14:schemeClr>
                  </w14:solidFill>
                </w14:textFill>
              </w:rPr>
              <w:t>3</w:t>
            </w:r>
            <w:r>
              <w:rPr>
                <w:rFonts w:hint="eastAsia"/>
                <w:iCs/>
                <w:color w:val="0D0D0D" w:themeColor="text1" w:themeTint="F2"/>
                <w:sz w:val="24"/>
                <w14:textFill>
                  <w14:solidFill>
                    <w14:schemeClr w14:val="tx1">
                      <w14:lumMod w14:val="95000"/>
                      <w14:lumOff w14:val="5000"/>
                    </w14:schemeClr>
                  </w14:solidFill>
                </w14:textFill>
              </w:rPr>
              <w:t>）</w:t>
            </w:r>
            <w:r>
              <w:rPr>
                <w:rFonts w:hint="eastAsia"/>
                <w:iCs/>
                <w:color w:val="0D0D0D" w:themeColor="text1" w:themeTint="F2"/>
                <w:sz w:val="24"/>
                <w:lang w:val="en-US" w:eastAsia="zh-CN"/>
                <w14:textFill>
                  <w14:solidFill>
                    <w14:schemeClr w14:val="tx1">
                      <w14:lumMod w14:val="95000"/>
                      <w14:lumOff w14:val="5000"/>
                    </w14:schemeClr>
                  </w14:solidFill>
                </w14:textFill>
              </w:rPr>
              <w:t>压铸脱模废气</w:t>
            </w:r>
            <w:r>
              <w:rPr>
                <w:rFonts w:hint="default"/>
                <w:iCs/>
                <w:color w:val="0D0D0D" w:themeColor="text1" w:themeTint="F2"/>
                <w:sz w:val="24"/>
                <w14:textFill>
                  <w14:solidFill>
                    <w14:schemeClr w14:val="tx1">
                      <w14:lumMod w14:val="95000"/>
                      <w14:lumOff w14:val="5000"/>
                    </w14:schemeClr>
                  </w14:solidFill>
                </w14:textFill>
              </w:rPr>
              <w:t>（G</w:t>
            </w:r>
            <w:r>
              <w:rPr>
                <w:rFonts w:hint="eastAsia"/>
                <w:iCs/>
                <w:color w:val="0D0D0D" w:themeColor="text1" w:themeTint="F2"/>
                <w:sz w:val="24"/>
                <w:lang w:val="en-US" w:eastAsia="zh-CN"/>
                <w14:textFill>
                  <w14:solidFill>
                    <w14:schemeClr w14:val="tx1">
                      <w14:lumMod w14:val="95000"/>
                      <w14:lumOff w14:val="5000"/>
                    </w14:schemeClr>
                  </w14:solidFill>
                </w14:textFill>
              </w:rPr>
              <w:t>3</w:t>
            </w:r>
            <w:r>
              <w:rPr>
                <w:rFonts w:hint="default"/>
                <w:iCs/>
                <w:color w:val="0D0D0D" w:themeColor="text1" w:themeTint="F2"/>
                <w:sz w:val="24"/>
                <w14:textFill>
                  <w14:solidFill>
                    <w14:schemeClr w14:val="tx1">
                      <w14:lumMod w14:val="95000"/>
                      <w14:lumOff w14:val="5000"/>
                    </w14:schemeClr>
                  </w14:solidFill>
                </w14:textFill>
              </w:rPr>
              <w:t>）</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iCs/>
                <w:color w:val="0D0D0D" w:themeColor="text1" w:themeTint="F2"/>
                <w:sz w:val="24"/>
                <w:lang w:val="en-US" w:eastAsia="zh-CN"/>
                <w14:textFill>
                  <w14:solidFill>
                    <w14:schemeClr w14:val="tx1">
                      <w14:lumMod w14:val="95000"/>
                      <w14:lumOff w14:val="5000"/>
                    </w14:schemeClr>
                  </w14:solidFill>
                </w14:textFill>
              </w:rPr>
            </w:pPr>
            <w:r>
              <w:rPr>
                <w:rFonts w:hint="eastAsia"/>
                <w:iCs/>
                <w:color w:val="0D0D0D" w:themeColor="text1" w:themeTint="F2"/>
                <w:sz w:val="24"/>
                <w:lang w:val="en-US" w:eastAsia="zh-CN"/>
                <w14:textFill>
                  <w14:solidFill>
                    <w14:schemeClr w14:val="tx1">
                      <w14:lumMod w14:val="95000"/>
                      <w14:lumOff w14:val="5000"/>
                    </w14:schemeClr>
                  </w14:solidFill>
                </w14:textFill>
              </w:rPr>
              <w:t xml:space="preserve">项目在压铸过程中需喷涂脱模剂，方便铝合金压铸件脱模。根据脱模剂 MSDS，其主要成分为水65%、改性硅油15%、乳化剂8-11%、氧化腊5%、有机脂肪脂类1-5%、其他有效成分1-5%。压铸过程中受热挥发，形成油雾状废 </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jc w:val="left"/>
              <w:rPr>
                <w:rFonts w:hint="eastAsia"/>
                <w:iCs/>
                <w:color w:val="0D0D0D" w:themeColor="text1" w:themeTint="F2"/>
                <w:sz w:val="24"/>
                <w:lang w:val="en-US" w:eastAsia="zh-CN"/>
                <w14:textFill>
                  <w14:solidFill>
                    <w14:schemeClr w14:val="tx1">
                      <w14:lumMod w14:val="95000"/>
                      <w14:lumOff w14:val="5000"/>
                    </w14:schemeClr>
                  </w14:solidFill>
                </w14:textFill>
              </w:rPr>
            </w:pPr>
            <w:r>
              <w:rPr>
                <w:rFonts w:hint="eastAsia"/>
                <w:iCs/>
                <w:color w:val="0D0D0D" w:themeColor="text1" w:themeTint="F2"/>
                <w:sz w:val="24"/>
                <w:lang w:val="en-US" w:eastAsia="zh-CN"/>
                <w14:textFill>
                  <w14:solidFill>
                    <w14:schemeClr w14:val="tx1">
                      <w14:lumMod w14:val="95000"/>
                      <w14:lumOff w14:val="5000"/>
                    </w14:schemeClr>
                  </w14:solidFill>
                </w14:textFill>
              </w:rPr>
              <w:t>气，以非甲烷总烃计。根据脱模剂的主要成分按最不利情况估算，VOCs 的挥发率按35%计，本项目脱模剂用量为5t/a，则压铸过程中脱模剂挥发产生的非甲烷总烃量为1.75t/a</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iCs/>
                <w:color w:val="0D0D0D" w:themeColor="text1" w:themeTint="F2"/>
                <w:sz w:val="24"/>
                <w:lang w:val="en-US" w:eastAsia="zh-CN"/>
                <w14:textFill>
                  <w14:solidFill>
                    <w14:schemeClr w14:val="tx1">
                      <w14:lumMod w14:val="95000"/>
                      <w14:lumOff w14:val="5000"/>
                    </w14:schemeClr>
                  </w14:solidFill>
                </w14:textFill>
              </w:rPr>
            </w:pPr>
            <w:r>
              <w:rPr>
                <w:rFonts w:hint="eastAsia"/>
                <w:iCs/>
                <w:color w:val="0D0D0D" w:themeColor="text1" w:themeTint="F2"/>
                <w:sz w:val="24"/>
                <w:lang w:val="en-US" w:eastAsia="zh-CN"/>
                <w14:textFill>
                  <w14:solidFill>
                    <w14:schemeClr w14:val="tx1">
                      <w14:lumMod w14:val="95000"/>
                      <w14:lumOff w14:val="5000"/>
                    </w14:schemeClr>
                  </w14:solidFill>
                </w14:textFill>
              </w:rPr>
              <w:t>项目共有 6 台压铸机，通过在压铸机上方设置集气罩收集，单个集气罩设计尺寸为 0.5m×0.7m，根据《大气污染控制工程》中集气罩收集风量计算公式</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iCs/>
                <w:color w:val="0D0D0D" w:themeColor="text1" w:themeTint="F2"/>
                <w:sz w:val="24"/>
                <w:lang w:val="en-US" w:eastAsia="zh-CN"/>
                <w14:textFill>
                  <w14:solidFill>
                    <w14:schemeClr w14:val="tx1">
                      <w14:lumMod w14:val="95000"/>
                      <w14:lumOff w14:val="5000"/>
                    </w14:schemeClr>
                  </w14:solidFill>
                </w14:textFill>
              </w:rPr>
            </w:pPr>
            <w:r>
              <w:rPr>
                <w:rFonts w:hint="eastAsia"/>
                <w:iCs/>
                <w:color w:val="0D0D0D" w:themeColor="text1" w:themeTint="F2"/>
                <w:sz w:val="24"/>
                <w:lang w:val="en-US" w:eastAsia="zh-CN"/>
                <w14:textFill>
                  <w14:solidFill>
                    <w14:schemeClr w14:val="tx1">
                      <w14:lumMod w14:val="95000"/>
                      <w14:lumOff w14:val="5000"/>
                    </w14:schemeClr>
                  </w14:solidFill>
                </w14:textFill>
              </w:rPr>
              <w:t>Q=KPHv</w:t>
            </w:r>
          </w:p>
          <w:p>
            <w:pPr>
              <w:pStyle w:val="24"/>
              <w:keepNext w:val="0"/>
              <w:keepLines w:val="0"/>
              <w:suppressLineNumbers w:val="0"/>
              <w:spacing w:beforeAutospacing="0" w:afterAutospacing="0"/>
              <w:ind w:left="0" w:firstLine="480" w:firstLineChars="200"/>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Q——风量，m3/s；</w:t>
            </w:r>
          </w:p>
          <w:p>
            <w:pPr>
              <w:pStyle w:val="24"/>
              <w:keepNext w:val="0"/>
              <w:keepLines w:val="0"/>
              <w:suppressLineNumbers w:val="0"/>
              <w:spacing w:beforeAutospacing="0" w:afterAutospacing="0"/>
              <w:ind w:left="0" w:firstLine="480" w:firstLineChars="200"/>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K——考虑沿高度速度分布不均匀的安全系数，通常取1.4；</w:t>
            </w:r>
          </w:p>
          <w:p>
            <w:pPr>
              <w:pStyle w:val="24"/>
              <w:keepNext w:val="0"/>
              <w:keepLines w:val="0"/>
              <w:suppressLineNumbers w:val="0"/>
              <w:spacing w:beforeAutospacing="0" w:afterAutospacing="0"/>
              <w:ind w:left="0" w:firstLine="480" w:firstLineChars="200"/>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P——集气罩敞开面周长，m；</w:t>
            </w:r>
          </w:p>
          <w:p>
            <w:pPr>
              <w:pStyle w:val="24"/>
              <w:keepNext w:val="0"/>
              <w:keepLines w:val="0"/>
              <w:suppressLineNumbers w:val="0"/>
              <w:spacing w:beforeAutospacing="0" w:afterAutospacing="0"/>
              <w:ind w:left="0" w:firstLine="480" w:firstLineChars="200"/>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kern w:val="2"/>
                <w:sz w:val="24"/>
                <w:szCs w:val="24"/>
                <w:lang w:val="en-US" w:eastAsia="zh-CN" w:bidi="ar-SA"/>
                <w14:textFill>
                  <w14:solidFill>
                    <w14:schemeClr w14:val="tx1">
                      <w14:lumMod w14:val="95000"/>
                      <w14:lumOff w14:val="5000"/>
                    </w14:schemeClr>
                  </w14:solidFill>
                </w14:textFill>
              </w:rPr>
              <w:t>H——集气罩开口面至污染源距离，m，H取值0.5 m；</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V——集气罩开口面最远处风速，m/s，V取0.7 m/s；</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cs="Times New Roman"/>
                <w:iCs/>
                <w:color w:val="auto"/>
                <w:sz w:val="24"/>
                <w:lang w:val="en-US" w:eastAsia="zh-CN"/>
              </w:rPr>
            </w:pPr>
            <w:r>
              <w:rPr>
                <w:rFonts w:hint="eastAsia" w:ascii="Times New Roman" w:hAnsi="Times New Roman" w:eastAsia="宋体" w:cs="Times New Roman"/>
                <w:iCs/>
                <w:color w:val="auto"/>
                <w:sz w:val="24"/>
                <w:lang w:val="en-US" w:eastAsia="zh-CN"/>
              </w:rPr>
              <w:t>经计算，Q=1.</w:t>
            </w:r>
            <w:r>
              <w:rPr>
                <w:rFonts w:hint="eastAsia" w:cs="Times New Roman"/>
                <w:iCs/>
                <w:color w:val="auto"/>
                <w:sz w:val="24"/>
                <w:lang w:val="en-US" w:eastAsia="zh-CN"/>
              </w:rPr>
              <w:t>176</w:t>
            </w:r>
            <w:r>
              <w:rPr>
                <w:rFonts w:hint="eastAsia" w:ascii="Times New Roman" w:hAnsi="Times New Roman" w:eastAsia="宋体" w:cs="Times New Roman"/>
                <w:iCs/>
                <w:color w:val="auto"/>
                <w:sz w:val="24"/>
                <w:lang w:val="en-US" w:eastAsia="zh-CN"/>
              </w:rPr>
              <w:t>m</w:t>
            </w:r>
            <w:r>
              <w:rPr>
                <w:rFonts w:hint="eastAsia" w:ascii="Times New Roman" w:hAnsi="Times New Roman" w:eastAsia="宋体" w:cs="Times New Roman"/>
                <w:iCs/>
                <w:color w:val="auto"/>
                <w:sz w:val="24"/>
                <w:vertAlign w:val="superscript"/>
                <w:lang w:val="en-US" w:eastAsia="zh-CN"/>
              </w:rPr>
              <w:t>3</w:t>
            </w:r>
            <w:r>
              <w:rPr>
                <w:rFonts w:hint="eastAsia" w:ascii="Times New Roman" w:hAnsi="Times New Roman" w:eastAsia="宋体" w:cs="Times New Roman"/>
                <w:iCs/>
                <w:color w:val="auto"/>
                <w:sz w:val="24"/>
                <w:lang w:val="en-US" w:eastAsia="zh-CN"/>
              </w:rPr>
              <w:t>/s，总风量即2</w:t>
            </w:r>
            <w:r>
              <w:rPr>
                <w:rFonts w:hint="eastAsia" w:cs="Times New Roman"/>
                <w:iCs/>
                <w:color w:val="auto"/>
                <w:sz w:val="24"/>
                <w:lang w:val="en-US" w:eastAsia="zh-CN"/>
              </w:rPr>
              <w:t>5401</w:t>
            </w:r>
            <w:r>
              <w:rPr>
                <w:rFonts w:hint="eastAsia" w:ascii="Times New Roman" w:hAnsi="Times New Roman" w:eastAsia="宋体" w:cs="Times New Roman"/>
                <w:iCs/>
                <w:color w:val="auto"/>
                <w:sz w:val="24"/>
                <w:lang w:val="en-US" w:eastAsia="zh-CN"/>
              </w:rPr>
              <w:t>.</w:t>
            </w:r>
            <w:r>
              <w:rPr>
                <w:rFonts w:hint="eastAsia" w:cs="Times New Roman"/>
                <w:iCs/>
                <w:color w:val="auto"/>
                <w:sz w:val="24"/>
                <w:lang w:val="en-US" w:eastAsia="zh-CN"/>
              </w:rPr>
              <w:t>6</w:t>
            </w:r>
            <w:r>
              <w:rPr>
                <w:rFonts w:hint="eastAsia" w:ascii="Times New Roman" w:hAnsi="Times New Roman" w:eastAsia="宋体" w:cs="Times New Roman"/>
                <w:iCs/>
                <w:color w:val="auto"/>
                <w:sz w:val="24"/>
                <w:lang w:val="en-US" w:eastAsia="zh-CN"/>
              </w:rPr>
              <w:t>m</w:t>
            </w:r>
            <w:r>
              <w:rPr>
                <w:rFonts w:hint="eastAsia" w:ascii="Times New Roman" w:hAnsi="Times New Roman" w:eastAsia="宋体" w:cs="Times New Roman"/>
                <w:iCs/>
                <w:color w:val="auto"/>
                <w:sz w:val="24"/>
                <w:vertAlign w:val="superscript"/>
                <w:lang w:val="en-US" w:eastAsia="zh-CN"/>
              </w:rPr>
              <w:t>3</w:t>
            </w:r>
            <w:r>
              <w:rPr>
                <w:rFonts w:hint="eastAsia" w:ascii="Times New Roman" w:hAnsi="Times New Roman" w:eastAsia="宋体" w:cs="Times New Roman"/>
                <w:iCs/>
                <w:color w:val="auto"/>
                <w:sz w:val="24"/>
                <w:lang w:val="en-US" w:eastAsia="zh-CN"/>
              </w:rPr>
              <w:t>/h。收集后的废气经</w:t>
            </w:r>
            <w:r>
              <w:rPr>
                <w:rFonts w:hint="eastAsia" w:cs="Times New Roman"/>
                <w:iCs/>
                <w:color w:val="auto"/>
                <w:sz w:val="24"/>
                <w:lang w:val="en-US" w:eastAsia="zh-CN"/>
              </w:rPr>
              <w:t>静电油雾净化</w:t>
            </w:r>
            <w:r>
              <w:rPr>
                <w:rFonts w:hint="eastAsia" w:ascii="Times New Roman" w:hAnsi="Times New Roman" w:eastAsia="宋体" w:cs="Times New Roman"/>
                <w:iCs/>
                <w:color w:val="auto"/>
                <w:sz w:val="24"/>
                <w:lang w:val="en-US" w:eastAsia="zh-CN"/>
              </w:rPr>
              <w:t>+两级活性炭处理后，再通过15 m高排气筒（DA00</w:t>
            </w:r>
            <w:r>
              <w:rPr>
                <w:rFonts w:hint="eastAsia" w:cs="Times New Roman"/>
                <w:iCs/>
                <w:color w:val="auto"/>
                <w:sz w:val="24"/>
                <w:lang w:val="en-US" w:eastAsia="zh-CN"/>
              </w:rPr>
              <w:t>2</w:t>
            </w:r>
            <w:r>
              <w:rPr>
                <w:rFonts w:hint="eastAsia" w:ascii="Times New Roman" w:hAnsi="Times New Roman" w:eastAsia="宋体" w:cs="Times New Roman"/>
                <w:iCs/>
                <w:color w:val="auto"/>
                <w:sz w:val="24"/>
                <w:lang w:val="en-US" w:eastAsia="zh-CN"/>
              </w:rPr>
              <w:t>）外排。</w:t>
            </w:r>
            <w:r>
              <w:rPr>
                <w:rFonts w:hint="eastAsia" w:cs="Times New Roman"/>
                <w:iCs/>
                <w:color w:val="auto"/>
                <w:sz w:val="24"/>
                <w:lang w:val="en-US" w:eastAsia="zh-CN"/>
              </w:rPr>
              <w:t>处理效率按90%。经计算，项目压铸脱模废气有组织排放量为0.158t/a，无组织排放量为0.175t/a。</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pPr>
            <w:r>
              <w:rPr>
                <w:rFonts w:hint="eastAsia" w:ascii="Times New Roman" w:hAnsi="Times New Roman" w:eastAsia="宋体" w:cs="Times New Roman"/>
                <w:iCs/>
                <w:color w:val="0D0D0D" w:themeColor="text1" w:themeTint="F2"/>
                <w:sz w:val="24"/>
                <w:lang w:val="en-US" w:eastAsia="zh-CN"/>
                <w14:textFill>
                  <w14:solidFill>
                    <w14:schemeClr w14:val="tx1">
                      <w14:lumMod w14:val="95000"/>
                      <w14:lumOff w14:val="5000"/>
                    </w14:schemeClr>
                  </w14:solidFill>
                </w14:textFill>
              </w:rPr>
              <w:t>（4）打磨粉尘（G4）</w:t>
            </w:r>
          </w:p>
          <w:p>
            <w:pPr>
              <w:keepNext w:val="0"/>
              <w:keepLines w:val="0"/>
              <w:suppressLineNumbers w:val="0"/>
              <w:wordWrap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auto"/>
                <w:sz w:val="24"/>
                <w:lang w:val="en-US" w:eastAsia="zh-CN"/>
              </w:rPr>
            </w:pPr>
            <w:r>
              <w:rPr>
                <w:rFonts w:hint="eastAsia"/>
                <w:iCs/>
                <w:color w:val="0D0D0D" w:themeColor="text1" w:themeTint="F2"/>
                <w:sz w:val="24"/>
                <w:lang w:val="en-US" w:eastAsia="zh-CN"/>
                <w14:textFill>
                  <w14:solidFill>
                    <w14:schemeClr w14:val="tx1">
                      <w14:lumMod w14:val="95000"/>
                      <w14:lumOff w14:val="5000"/>
                    </w14:schemeClr>
                  </w14:solidFill>
                </w14:textFill>
              </w:rPr>
              <w:t>参照《排放源统计调查产排污核算方法和系数手册》 中“机械行业系数手册”中抛丸、喷砂、打磨等工艺中颗粒物产物系数为2.19kg/吨-原料。项目打磨量为3900吨，则打磨过程中金属粉尘量为8.541t/a。本项目使用得是水帘湿式环保砂带机。打磨产生得粉尘通过设备内部设置的防爆离心风机在除尘箱体内产生负压，吸入除尘箱体内。在粉尘进入箱体内部时，经过喷淋和水帘水洗，变成水与粉尘混合物，统一在重力作用下流向设备污水池，在污水池中经过过滤装置进行过滤，再由供水装置循环供应，无废水产生。打磨粉尘经设备自带的湿式除尘器</w:t>
            </w:r>
            <w:r>
              <w:rPr>
                <w:rFonts w:hint="eastAsia"/>
                <w:iCs/>
                <w:color w:val="auto"/>
                <w:sz w:val="24"/>
                <w:lang w:val="en-US" w:eastAsia="zh-CN"/>
              </w:rPr>
              <w:t>（收集效率95%，处理效率99%）处理后无组织排放。则打磨粉尘无组织排放量为0.931t/a。</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firstLine="480" w:firstLineChars="200"/>
              <w:jc w:val="left"/>
              <w:rPr>
                <w:rFonts w:hint="eastAsia"/>
                <w:iCs/>
                <w:color w:val="0D0D0D" w:themeColor="text1" w:themeTint="F2"/>
                <w:sz w:val="24"/>
                <w:lang w:val="en-US" w:eastAsia="zh-CN"/>
                <w14:textFill>
                  <w14:solidFill>
                    <w14:schemeClr w14:val="tx1">
                      <w14:lumMod w14:val="95000"/>
                      <w14:lumOff w14:val="5000"/>
                    </w14:schemeClr>
                  </w14:solidFill>
                </w14:textFill>
              </w:rPr>
            </w:pPr>
            <w:r>
              <w:rPr>
                <w:rFonts w:hint="eastAsia"/>
                <w:iCs/>
                <w:color w:val="0D0D0D" w:themeColor="text1" w:themeTint="F2"/>
                <w:sz w:val="24"/>
                <w:lang w:val="en-US" w:eastAsia="zh-CN"/>
                <w14:textFill>
                  <w14:solidFill>
                    <w14:schemeClr w14:val="tx1">
                      <w14:lumMod w14:val="95000"/>
                      <w14:lumOff w14:val="5000"/>
                    </w14:schemeClr>
                  </w14:solidFill>
                </w14:textFill>
              </w:rPr>
              <w:t>（5）抛丸粉尘</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auto"/>
                <w:sz w:val="24"/>
                <w:lang w:val="en-US" w:eastAsia="zh-CN"/>
              </w:rPr>
            </w:pPr>
            <w:r>
              <w:rPr>
                <w:rFonts w:hint="default"/>
                <w:iCs/>
                <w:color w:val="0D0D0D" w:themeColor="text1" w:themeTint="F2"/>
                <w:sz w:val="24"/>
                <w:lang w:val="en-US" w:eastAsia="zh-CN"/>
                <w14:textFill>
                  <w14:solidFill>
                    <w14:schemeClr w14:val="tx1">
                      <w14:lumMod w14:val="95000"/>
                      <w14:lumOff w14:val="5000"/>
                    </w14:schemeClr>
                  </w14:solidFill>
                </w14:textFill>
              </w:rPr>
              <w:t>参照《排放源统计调查产排污核算方法和系数手册》 中“机械行业系数手册”中抛丸、喷砂、打磨等工艺中颗粒物产物系数为2.19kg/吨-原料。项目打磨量为</w:t>
            </w:r>
            <w:r>
              <w:rPr>
                <w:rFonts w:hint="eastAsia"/>
                <w:iCs/>
                <w:color w:val="0D0D0D" w:themeColor="text1" w:themeTint="F2"/>
                <w:sz w:val="24"/>
                <w:lang w:val="en-US" w:eastAsia="zh-CN"/>
                <w14:textFill>
                  <w14:solidFill>
                    <w14:schemeClr w14:val="tx1">
                      <w14:lumMod w14:val="95000"/>
                      <w14:lumOff w14:val="5000"/>
                    </w14:schemeClr>
                  </w14:solidFill>
                </w14:textFill>
              </w:rPr>
              <w:t>39</w:t>
            </w:r>
            <w:r>
              <w:rPr>
                <w:rFonts w:hint="default"/>
                <w:iCs/>
                <w:color w:val="0D0D0D" w:themeColor="text1" w:themeTint="F2"/>
                <w:sz w:val="24"/>
                <w:lang w:val="en-US" w:eastAsia="zh-CN"/>
                <w14:textFill>
                  <w14:solidFill>
                    <w14:schemeClr w14:val="tx1">
                      <w14:lumMod w14:val="95000"/>
                      <w14:lumOff w14:val="5000"/>
                    </w14:schemeClr>
                  </w14:solidFill>
                </w14:textFill>
              </w:rPr>
              <w:t>00吨，则打磨过程中金属粉尘量为</w:t>
            </w:r>
            <w:r>
              <w:rPr>
                <w:rFonts w:hint="eastAsia"/>
                <w:iCs/>
                <w:color w:val="0D0D0D" w:themeColor="text1" w:themeTint="F2"/>
                <w:sz w:val="24"/>
                <w:lang w:val="en-US" w:eastAsia="zh-CN"/>
                <w14:textFill>
                  <w14:solidFill>
                    <w14:schemeClr w14:val="tx1">
                      <w14:lumMod w14:val="95000"/>
                      <w14:lumOff w14:val="5000"/>
                    </w14:schemeClr>
                  </w14:solidFill>
                </w14:textFill>
              </w:rPr>
              <w:t>8.541</w:t>
            </w:r>
            <w:r>
              <w:rPr>
                <w:rFonts w:hint="default"/>
                <w:iCs/>
                <w:color w:val="0D0D0D" w:themeColor="text1" w:themeTint="F2"/>
                <w:sz w:val="24"/>
                <w:lang w:val="en-US" w:eastAsia="zh-CN"/>
                <w14:textFill>
                  <w14:solidFill>
                    <w14:schemeClr w14:val="tx1">
                      <w14:lumMod w14:val="95000"/>
                      <w14:lumOff w14:val="5000"/>
                    </w14:schemeClr>
                  </w14:solidFill>
                </w14:textFill>
              </w:rPr>
              <w:t>t/a。抛丸机自带小型袋式除尘系统，抛丸机作业时处于密闭状态，抛丸粉尘通过自带袋式收尘处理，集气风量为5000m</w:t>
            </w:r>
            <w:r>
              <w:rPr>
                <w:rFonts w:hint="default"/>
                <w:iCs/>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iCs/>
                <w:color w:val="0D0D0D" w:themeColor="text1" w:themeTint="F2"/>
                <w:sz w:val="24"/>
                <w:lang w:val="en-US" w:eastAsia="zh-CN"/>
                <w14:textFill>
                  <w14:solidFill>
                    <w14:schemeClr w14:val="tx1">
                      <w14:lumMod w14:val="95000"/>
                      <w14:lumOff w14:val="5000"/>
                    </w14:schemeClr>
                  </w14:solidFill>
                </w14:textFill>
              </w:rPr>
              <w:t>/h，收集效率按100%计，处理效率</w:t>
            </w:r>
            <w:r>
              <w:rPr>
                <w:rFonts w:hint="eastAsia"/>
                <w:iCs/>
                <w:color w:val="0D0D0D" w:themeColor="text1" w:themeTint="F2"/>
                <w:sz w:val="24"/>
                <w:lang w:val="en-US" w:eastAsia="zh-CN"/>
                <w14:textFill>
                  <w14:solidFill>
                    <w14:schemeClr w14:val="tx1">
                      <w14:lumMod w14:val="95000"/>
                      <w14:lumOff w14:val="5000"/>
                    </w14:schemeClr>
                  </w14:solidFill>
                </w14:textFill>
              </w:rPr>
              <w:t>按</w:t>
            </w:r>
            <w:r>
              <w:rPr>
                <w:rFonts w:hint="default"/>
                <w:iCs/>
                <w:color w:val="0D0D0D" w:themeColor="text1" w:themeTint="F2"/>
                <w:sz w:val="24"/>
                <w:lang w:val="en-US" w:eastAsia="zh-CN"/>
                <w14:textFill>
                  <w14:solidFill>
                    <w14:schemeClr w14:val="tx1">
                      <w14:lumMod w14:val="95000"/>
                      <w14:lumOff w14:val="5000"/>
                    </w14:schemeClr>
                  </w14:solidFill>
                </w14:textFill>
              </w:rPr>
              <w:t>9</w:t>
            </w:r>
            <w:r>
              <w:rPr>
                <w:rFonts w:hint="eastAsia"/>
                <w:iCs/>
                <w:color w:val="0D0D0D" w:themeColor="text1" w:themeTint="F2"/>
                <w:sz w:val="24"/>
                <w:lang w:val="en-US" w:eastAsia="zh-CN"/>
                <w14:textFill>
                  <w14:solidFill>
                    <w14:schemeClr w14:val="tx1">
                      <w14:lumMod w14:val="95000"/>
                      <w14:lumOff w14:val="5000"/>
                    </w14:schemeClr>
                  </w14:solidFill>
                </w14:textFill>
              </w:rPr>
              <w:t>9</w:t>
            </w:r>
            <w:r>
              <w:rPr>
                <w:rFonts w:hint="default"/>
                <w:iCs/>
                <w:color w:val="0D0D0D" w:themeColor="text1" w:themeTint="F2"/>
                <w:sz w:val="24"/>
                <w:lang w:val="en-US" w:eastAsia="zh-CN"/>
                <w14:textFill>
                  <w14:solidFill>
                    <w14:schemeClr w14:val="tx1">
                      <w14:lumMod w14:val="95000"/>
                      <w14:lumOff w14:val="5000"/>
                    </w14:schemeClr>
                  </w14:solidFill>
                </w14:textFill>
              </w:rPr>
              <w:t>%，最后通过1根15m高排气筒（DA00</w:t>
            </w:r>
            <w:r>
              <w:rPr>
                <w:rFonts w:hint="eastAsia"/>
                <w:iCs/>
                <w:color w:val="0D0D0D" w:themeColor="text1" w:themeTint="F2"/>
                <w:sz w:val="24"/>
                <w:lang w:val="en-US" w:eastAsia="zh-CN"/>
                <w14:textFill>
                  <w14:solidFill>
                    <w14:schemeClr w14:val="tx1">
                      <w14:lumMod w14:val="95000"/>
                      <w14:lumOff w14:val="5000"/>
                    </w14:schemeClr>
                  </w14:solidFill>
                </w14:textFill>
              </w:rPr>
              <w:t>3</w:t>
            </w:r>
            <w:r>
              <w:rPr>
                <w:rFonts w:hint="default"/>
                <w:iCs/>
                <w:color w:val="0D0D0D" w:themeColor="text1" w:themeTint="F2"/>
                <w:sz w:val="24"/>
                <w:lang w:val="en-US" w:eastAsia="zh-CN"/>
                <w14:textFill>
                  <w14:solidFill>
                    <w14:schemeClr w14:val="tx1">
                      <w14:lumMod w14:val="95000"/>
                      <w14:lumOff w14:val="5000"/>
                    </w14:schemeClr>
                  </w14:solidFill>
                </w14:textFill>
              </w:rPr>
              <w:t>）排放。</w:t>
            </w:r>
            <w:r>
              <w:rPr>
                <w:rFonts w:hint="default"/>
                <w:iCs/>
                <w:color w:val="auto"/>
                <w:sz w:val="24"/>
                <w:lang w:val="en-US" w:eastAsia="zh-CN"/>
              </w:rPr>
              <w:t>则抛丸</w:t>
            </w:r>
            <w:r>
              <w:rPr>
                <w:rFonts w:hint="eastAsia"/>
                <w:iCs/>
                <w:color w:val="auto"/>
                <w:sz w:val="24"/>
                <w:lang w:val="en-US" w:eastAsia="zh-CN"/>
              </w:rPr>
              <w:t>粉尘</w:t>
            </w:r>
            <w:r>
              <w:rPr>
                <w:rFonts w:hint="default"/>
                <w:iCs/>
                <w:color w:val="auto"/>
                <w:sz w:val="24"/>
                <w:lang w:val="en-US" w:eastAsia="zh-CN"/>
              </w:rPr>
              <w:t>有组织排放量为0.</w:t>
            </w:r>
            <w:r>
              <w:rPr>
                <w:rFonts w:hint="eastAsia"/>
                <w:iCs/>
                <w:color w:val="auto"/>
                <w:sz w:val="24"/>
                <w:lang w:val="en-US" w:eastAsia="zh-CN"/>
              </w:rPr>
              <w:t>085</w:t>
            </w:r>
            <w:r>
              <w:rPr>
                <w:rFonts w:hint="default"/>
                <w:iCs/>
                <w:color w:val="auto"/>
                <w:sz w:val="24"/>
                <w:lang w:val="en-US" w:eastAsia="zh-CN"/>
              </w:rPr>
              <w:t xml:space="preserve"> t/a。</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iCs/>
                <w:color w:val="auto"/>
                <w:sz w:val="24"/>
                <w:lang w:val="en-US" w:eastAsia="zh-CN"/>
              </w:rPr>
            </w:pPr>
            <w:r>
              <w:rPr>
                <w:rFonts w:hint="default"/>
                <w:iCs/>
                <w:color w:val="auto"/>
                <w:sz w:val="24"/>
                <w:lang w:val="en-US" w:eastAsia="zh-CN"/>
              </w:rPr>
              <w:t>（5）抛丸粉尘</w:t>
            </w:r>
          </w:p>
          <w:p>
            <w:pPr>
              <w:keepNext w:val="0"/>
              <w:keepLines w:val="0"/>
              <w:suppressLineNumbers w:val="0"/>
              <w:overflowPunct w:val="0"/>
              <w:topLinePunct/>
              <w:autoSpaceDE w:val="0"/>
              <w:autoSpaceDN w:val="0"/>
              <w:adjustRightInd w:val="0"/>
              <w:spacing w:before="0" w:beforeAutospacing="0" w:after="0" w:afterAutospacing="0" w:line="360" w:lineRule="auto"/>
              <w:ind w:left="0" w:right="0" w:firstLine="480" w:firstLineChars="200"/>
              <w:jc w:val="left"/>
              <w:rPr>
                <w:rFonts w:hint="default" w:cs="宋体"/>
                <w:color w:val="0D0D0D" w:themeColor="text1" w:themeTint="F2"/>
                <w:kern w:val="0"/>
                <w:sz w:val="24"/>
                <w14:textFill>
                  <w14:solidFill>
                    <w14:schemeClr w14:val="tx1">
                      <w14:lumMod w14:val="95000"/>
                      <w14:lumOff w14:val="5000"/>
                    </w14:schemeClr>
                  </w14:solidFill>
                </w14:textFill>
              </w:rPr>
            </w:pPr>
            <w:r>
              <w:rPr>
                <w:rFonts w:hint="default" w:cs="宋体"/>
                <w:color w:val="0D0D0D" w:themeColor="text1" w:themeTint="F2"/>
                <w:kern w:val="0"/>
                <w:sz w:val="24"/>
                <w14:textFill>
                  <w14:solidFill>
                    <w14:schemeClr w14:val="tx1">
                      <w14:lumMod w14:val="95000"/>
                      <w14:lumOff w14:val="5000"/>
                    </w14:schemeClr>
                  </w14:solidFill>
                </w14:textFill>
              </w:rPr>
              <w:t>本项目劳动定员</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21</w:t>
            </w:r>
            <w:r>
              <w:rPr>
                <w:rFonts w:hint="default" w:cs="宋体"/>
                <w:color w:val="0D0D0D" w:themeColor="text1" w:themeTint="F2"/>
                <w:kern w:val="0"/>
                <w:sz w:val="24"/>
                <w14:textFill>
                  <w14:solidFill>
                    <w14:schemeClr w14:val="tx1">
                      <w14:lumMod w14:val="95000"/>
                      <w14:lumOff w14:val="5000"/>
                    </w14:schemeClr>
                  </w14:solidFill>
                </w14:textFill>
              </w:rPr>
              <w:t>人，</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三</w:t>
            </w:r>
            <w:r>
              <w:rPr>
                <w:rFonts w:hint="default" w:cs="宋体"/>
                <w:color w:val="0D0D0D" w:themeColor="text1" w:themeTint="F2"/>
                <w:kern w:val="0"/>
                <w:sz w:val="24"/>
                <w14:textFill>
                  <w14:solidFill>
                    <w14:schemeClr w14:val="tx1">
                      <w14:lumMod w14:val="95000"/>
                      <w14:lumOff w14:val="5000"/>
                    </w14:schemeClr>
                  </w14:solidFill>
                </w14:textFill>
              </w:rPr>
              <w:t>班制生产，食堂设</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1</w:t>
            </w:r>
            <w:r>
              <w:rPr>
                <w:rFonts w:hint="default" w:cs="宋体"/>
                <w:color w:val="0D0D0D" w:themeColor="text1" w:themeTint="F2"/>
                <w:kern w:val="0"/>
                <w:sz w:val="24"/>
                <w14:textFill>
                  <w14:solidFill>
                    <w14:schemeClr w14:val="tx1">
                      <w14:lumMod w14:val="95000"/>
                      <w14:lumOff w14:val="5000"/>
                    </w14:schemeClr>
                  </w14:solidFill>
                </w14:textFill>
              </w:rPr>
              <w:t>个灶头，每天提供三餐，就餐人次</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42</w:t>
            </w:r>
            <w:r>
              <w:rPr>
                <w:rFonts w:hint="default" w:cs="宋体"/>
                <w:color w:val="0D0D0D" w:themeColor="text1" w:themeTint="F2"/>
                <w:kern w:val="0"/>
                <w:sz w:val="24"/>
                <w14:textFill>
                  <w14:solidFill>
                    <w14:schemeClr w14:val="tx1">
                      <w14:lumMod w14:val="95000"/>
                      <w14:lumOff w14:val="5000"/>
                    </w14:schemeClr>
                  </w14:solidFill>
                </w14:textFill>
              </w:rPr>
              <w:t>人次/d，一般食堂食用油消耗系数为10g/人次，本项目年工作时间</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30</w:t>
            </w:r>
            <w:r>
              <w:rPr>
                <w:rFonts w:hint="default" w:cs="宋体"/>
                <w:color w:val="0D0D0D" w:themeColor="text1" w:themeTint="F2"/>
                <w:kern w:val="0"/>
                <w:sz w:val="24"/>
                <w14:textFill>
                  <w14:solidFill>
                    <w14:schemeClr w14:val="tx1">
                      <w14:lumMod w14:val="95000"/>
                      <w14:lumOff w14:val="5000"/>
                    </w14:schemeClr>
                  </w14:solidFill>
                </w14:textFill>
              </w:rPr>
              <w:t xml:space="preserve">0天，则年新增消耗食用油 </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126</w:t>
            </w:r>
            <w:r>
              <w:rPr>
                <w:rFonts w:hint="default" w:cs="宋体"/>
                <w:color w:val="0D0D0D" w:themeColor="text1" w:themeTint="F2"/>
                <w:kern w:val="0"/>
                <w:sz w:val="24"/>
                <w14:textFill>
                  <w14:solidFill>
                    <w14:schemeClr w14:val="tx1">
                      <w14:lumMod w14:val="95000"/>
                      <w14:lumOff w14:val="5000"/>
                    </w14:schemeClr>
                  </w14:solidFill>
                </w14:textFill>
              </w:rPr>
              <w:t xml:space="preserve"> kg/a，炒做时油烟挥发一般为用油量的3%，则油烟产生量约为</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3.78</w:t>
            </w:r>
            <w:r>
              <w:rPr>
                <w:rFonts w:hint="default" w:cs="宋体"/>
                <w:color w:val="0D0D0D" w:themeColor="text1" w:themeTint="F2"/>
                <w:kern w:val="0"/>
                <w:sz w:val="24"/>
                <w14:textFill>
                  <w14:solidFill>
                    <w14:schemeClr w14:val="tx1">
                      <w14:lumMod w14:val="95000"/>
                      <w14:lumOff w14:val="5000"/>
                    </w14:schemeClr>
                  </w14:solidFill>
                </w14:textFill>
              </w:rPr>
              <w:t xml:space="preserve"> kg/a</w:t>
            </w:r>
            <w:r>
              <w:rPr>
                <w:rFonts w:hint="eastAsia" w:cs="宋体"/>
                <w:color w:val="0D0D0D" w:themeColor="text1" w:themeTint="F2"/>
                <w:kern w:val="0"/>
                <w:sz w:val="24"/>
                <w:lang w:eastAsia="zh-CN"/>
                <w14:textFill>
                  <w14:solidFill>
                    <w14:schemeClr w14:val="tx1">
                      <w14:lumMod w14:val="95000"/>
                      <w14:lumOff w14:val="5000"/>
                    </w14:schemeClr>
                  </w14:solidFill>
                </w14:textFill>
              </w:rPr>
              <w:t>。</w:t>
            </w:r>
            <w:r>
              <w:rPr>
                <w:rFonts w:hint="default" w:cs="宋体"/>
                <w:color w:val="0D0D0D" w:themeColor="text1" w:themeTint="F2"/>
                <w:kern w:val="0"/>
                <w:sz w:val="24"/>
                <w14:textFill>
                  <w14:solidFill>
                    <w14:schemeClr w14:val="tx1">
                      <w14:lumMod w14:val="95000"/>
                      <w14:lumOff w14:val="5000"/>
                    </w14:schemeClr>
                  </w14:solidFill>
                </w14:textFill>
              </w:rPr>
              <w:t>食堂安装油烟净化器净化油烟</w:t>
            </w:r>
            <w:r>
              <w:rPr>
                <w:rFonts w:hint="eastAsia" w:cs="宋体"/>
                <w:color w:val="0D0D0D" w:themeColor="text1" w:themeTint="F2"/>
                <w:kern w:val="0"/>
                <w:sz w:val="24"/>
                <w:lang w:eastAsia="zh-CN"/>
                <w14:textFill>
                  <w14:solidFill>
                    <w14:schemeClr w14:val="tx1">
                      <w14:lumMod w14:val="95000"/>
                      <w14:lumOff w14:val="5000"/>
                    </w14:schemeClr>
                  </w14:solidFill>
                </w14:textFill>
              </w:rPr>
              <w:t>，</w:t>
            </w:r>
            <w:r>
              <w:rPr>
                <w:rFonts w:hint="default" w:cs="宋体"/>
                <w:color w:val="0D0D0D" w:themeColor="text1" w:themeTint="F2"/>
                <w:kern w:val="0"/>
                <w:sz w:val="24"/>
                <w14:textFill>
                  <w14:solidFill>
                    <w14:schemeClr w14:val="tx1">
                      <w14:lumMod w14:val="95000"/>
                      <w14:lumOff w14:val="5000"/>
                    </w14:schemeClr>
                  </w14:solidFill>
                </w14:textFill>
              </w:rPr>
              <w:t>排风量为6000m</w:t>
            </w:r>
            <w:r>
              <w:rPr>
                <w:rFonts w:hint="default" w:cs="宋体"/>
                <w:color w:val="0D0D0D" w:themeColor="text1" w:themeTint="F2"/>
                <w:kern w:val="0"/>
                <w:sz w:val="24"/>
                <w:vertAlign w:val="superscript"/>
                <w14:textFill>
                  <w14:solidFill>
                    <w14:schemeClr w14:val="tx1">
                      <w14:lumMod w14:val="95000"/>
                      <w14:lumOff w14:val="5000"/>
                    </w14:schemeClr>
                  </w14:solidFill>
                </w14:textFill>
              </w:rPr>
              <w:t>3</w:t>
            </w:r>
            <w:r>
              <w:rPr>
                <w:rFonts w:hint="default" w:cs="宋体"/>
                <w:color w:val="0D0D0D" w:themeColor="text1" w:themeTint="F2"/>
                <w:kern w:val="0"/>
                <w:sz w:val="24"/>
                <w14:textFill>
                  <w14:solidFill>
                    <w14:schemeClr w14:val="tx1">
                      <w14:lumMod w14:val="95000"/>
                      <w14:lumOff w14:val="5000"/>
                    </w14:schemeClr>
                  </w14:solidFill>
                </w14:textFill>
              </w:rPr>
              <w:t>/h,净化效率约为75%</w:t>
            </w:r>
            <w:r>
              <w:rPr>
                <w:rFonts w:hint="eastAsia" w:cs="宋体"/>
                <w:color w:val="0D0D0D" w:themeColor="text1" w:themeTint="F2"/>
                <w:kern w:val="0"/>
                <w:sz w:val="24"/>
                <w:lang w:eastAsia="zh-CN"/>
                <w14:textFill>
                  <w14:solidFill>
                    <w14:schemeClr w14:val="tx1">
                      <w14:lumMod w14:val="95000"/>
                      <w14:lumOff w14:val="5000"/>
                    </w14:schemeClr>
                  </w14:solidFill>
                </w14:textFill>
              </w:rPr>
              <w:t>，</w:t>
            </w:r>
            <w:r>
              <w:rPr>
                <w:rFonts w:hint="default" w:cs="宋体"/>
                <w:color w:val="0D0D0D" w:themeColor="text1" w:themeTint="F2"/>
                <w:kern w:val="0"/>
                <w:sz w:val="24"/>
                <w14:textFill>
                  <w14:solidFill>
                    <w14:schemeClr w14:val="tx1">
                      <w14:lumMod w14:val="95000"/>
                      <w14:lumOff w14:val="5000"/>
                    </w14:schemeClr>
                  </w14:solidFill>
                </w14:textFill>
              </w:rPr>
              <w:t>则食堂油烟排放量为</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0.945</w:t>
            </w:r>
            <w:r>
              <w:rPr>
                <w:rFonts w:hint="default" w:cs="宋体"/>
                <w:color w:val="0D0D0D" w:themeColor="text1" w:themeTint="F2"/>
                <w:kern w:val="0"/>
                <w:sz w:val="24"/>
                <w14:textFill>
                  <w14:solidFill>
                    <w14:schemeClr w14:val="tx1">
                      <w14:lumMod w14:val="95000"/>
                      <w14:lumOff w14:val="5000"/>
                    </w14:schemeClr>
                  </w14:solidFill>
                </w14:textFill>
              </w:rPr>
              <w:t>kg/a</w:t>
            </w:r>
            <w:r>
              <w:rPr>
                <w:rFonts w:hint="eastAsia" w:cs="宋体"/>
                <w:color w:val="0D0D0D" w:themeColor="text1" w:themeTint="F2"/>
                <w:kern w:val="0"/>
                <w:sz w:val="24"/>
                <w:lang w:eastAsia="zh-CN"/>
                <w14:textFill>
                  <w14:solidFill>
                    <w14:schemeClr w14:val="tx1">
                      <w14:lumMod w14:val="95000"/>
                      <w14:lumOff w14:val="5000"/>
                    </w14:schemeClr>
                  </w14:solidFill>
                </w14:textFill>
              </w:rPr>
              <w:t>，排放浓度</w:t>
            </w:r>
            <w:r>
              <w:rPr>
                <w:rFonts w:hint="eastAsia" w:cs="宋体"/>
                <w:color w:val="0D0D0D" w:themeColor="text1" w:themeTint="F2"/>
                <w:kern w:val="0"/>
                <w:sz w:val="24"/>
                <w:lang w:val="en-US" w:eastAsia="zh-CN"/>
                <w14:textFill>
                  <w14:solidFill>
                    <w14:schemeClr w14:val="tx1">
                      <w14:lumMod w14:val="95000"/>
                      <w14:lumOff w14:val="5000"/>
                    </w14:schemeClr>
                  </w14:solidFill>
                </w14:textFill>
              </w:rPr>
              <w:t>0.088</w:t>
            </w:r>
            <w:r>
              <w:rPr>
                <w:rFonts w:hint="eastAsia" w:cs="宋体"/>
                <w:color w:val="0D0D0D" w:themeColor="text1" w:themeTint="F2"/>
                <w:kern w:val="0"/>
                <w:sz w:val="24"/>
                <w:lang w:eastAsia="zh-CN"/>
                <w14:textFill>
                  <w14:solidFill>
                    <w14:schemeClr w14:val="tx1">
                      <w14:lumMod w14:val="95000"/>
                      <w14:lumOff w14:val="5000"/>
                    </w14:schemeClr>
                  </w14:solidFill>
                </w14:textFill>
              </w:rPr>
              <w:t>mg/m</w:t>
            </w:r>
            <w:r>
              <w:rPr>
                <w:rFonts w:hint="eastAsia" w:cs="宋体"/>
                <w:color w:val="0D0D0D" w:themeColor="text1" w:themeTint="F2"/>
                <w:kern w:val="0"/>
                <w:sz w:val="24"/>
                <w:vertAlign w:val="superscript"/>
                <w:lang w:eastAsia="zh-CN"/>
                <w14:textFill>
                  <w14:solidFill>
                    <w14:schemeClr w14:val="tx1">
                      <w14:lumMod w14:val="95000"/>
                      <w14:lumOff w14:val="5000"/>
                    </w14:schemeClr>
                  </w14:solidFill>
                </w14:textFill>
              </w:rPr>
              <w:t>3</w:t>
            </w:r>
            <w:r>
              <w:rPr>
                <w:rFonts w:hint="eastAsia" w:cs="宋体"/>
                <w:color w:val="0D0D0D" w:themeColor="text1" w:themeTint="F2"/>
                <w:kern w:val="0"/>
                <w:sz w:val="24"/>
                <w:lang w:eastAsia="zh-CN"/>
                <w14:textFill>
                  <w14:solidFill>
                    <w14:schemeClr w14:val="tx1">
                      <w14:lumMod w14:val="95000"/>
                      <w14:lumOff w14:val="5000"/>
                    </w14:schemeClr>
                  </w14:solidFill>
                </w14:textFill>
              </w:rPr>
              <w:t>，</w:t>
            </w:r>
            <w:r>
              <w:rPr>
                <w:rFonts w:hint="default" w:cs="宋体"/>
                <w:color w:val="0D0D0D" w:themeColor="text1" w:themeTint="F2"/>
                <w:kern w:val="0"/>
                <w:sz w:val="24"/>
                <w14:textFill>
                  <w14:solidFill>
                    <w14:schemeClr w14:val="tx1">
                      <w14:lumMod w14:val="95000"/>
                      <w14:lumOff w14:val="5000"/>
                    </w14:schemeClr>
                  </w14:solidFill>
                </w14:textFill>
              </w:rPr>
              <w:t>通过油烟管道于室外排放，满足《饮食行业油烟排放标准(试行)》(GB18483-2001)的要求。</w:t>
            </w:r>
          </w:p>
        </w:tc>
      </w:tr>
    </w:tbl>
    <w:p>
      <w:pPr>
        <w:tabs>
          <w:tab w:val="left" w:pos="1077"/>
        </w:tabs>
        <w:rPr>
          <w:rFonts w:cs="宋体"/>
          <w:color w:val="0D0D0D" w:themeColor="text1" w:themeTint="F2"/>
          <w:sz w:val="24"/>
          <w14:textFill>
            <w14:solidFill>
              <w14:schemeClr w14:val="tx1">
                <w14:lumMod w14:val="95000"/>
                <w14:lumOff w14:val="5000"/>
              </w14:schemeClr>
            </w14:solidFill>
          </w14:textFill>
        </w:rPr>
        <w:sectPr>
          <w:pgSz w:w="11907" w:h="16840"/>
          <w:pgMar w:top="1701" w:right="1531" w:bottom="2127" w:left="1531" w:header="851" w:footer="851" w:gutter="0"/>
          <w:pgBorders>
            <w:top w:val="none" w:sz="0" w:space="0"/>
            <w:left w:val="none" w:sz="0" w:space="0"/>
            <w:bottom w:val="none" w:sz="0" w:space="0"/>
            <w:right w:val="none" w:sz="0" w:space="0"/>
          </w:pgBorders>
          <w:cols w:space="720" w:num="1"/>
          <w:docGrid w:linePitch="312" w:charSpace="0"/>
        </w:sectPr>
      </w:pPr>
    </w:p>
    <w:tbl>
      <w:tblPr>
        <w:tblStyle w:val="59"/>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456"/>
        <w:gridCol w:w="1277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6"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运营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境影</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响和</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tabs>
                <w:tab w:val="left" w:pos="1077"/>
              </w:tabs>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措施</w:t>
            </w:r>
          </w:p>
        </w:tc>
        <w:tc>
          <w:tcPr>
            <w:tcW w:w="12772" w:type="dxa"/>
            <w:shd w:val="clear" w:color="auto" w:fill="auto"/>
          </w:tcPr>
          <w:p>
            <w:pPr>
              <w:keepNext w:val="0"/>
              <w:keepLines w:val="0"/>
              <w:suppressLineNumbers w:val="0"/>
              <w:spacing w:before="120" w:beforeLines="5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根据工程分析结果，项目生产过程中有组织废气污染物产生、处理及排放情况见表</w:t>
            </w:r>
            <w:r>
              <w:rPr>
                <w:rFonts w:hint="eastAsia"/>
                <w:color w:val="0D0D0D" w:themeColor="text1" w:themeTint="F2"/>
                <w:sz w:val="24"/>
                <w14:textFill>
                  <w14:solidFill>
                    <w14:schemeClr w14:val="tx1">
                      <w14:lumMod w14:val="95000"/>
                      <w14:lumOff w14:val="5000"/>
                    </w14:schemeClr>
                  </w14:solidFill>
                </w14:textFill>
              </w:rPr>
              <w:t>4</w:t>
            </w:r>
            <w:r>
              <w:rPr>
                <w:rFonts w:hint="default"/>
                <w:color w:val="0D0D0D" w:themeColor="text1" w:themeTint="F2"/>
                <w:sz w:val="24"/>
                <w14:textFill>
                  <w14:solidFill>
                    <w14:schemeClr w14:val="tx1">
                      <w14:lumMod w14:val="95000"/>
                      <w14:lumOff w14:val="5000"/>
                    </w14:schemeClr>
                  </w14:solidFill>
                </w14:textFill>
              </w:rPr>
              <w:t>-1，无组织废气污染物排放情况见表</w:t>
            </w:r>
            <w:r>
              <w:rPr>
                <w:rFonts w:hint="eastAsia"/>
                <w:color w:val="0D0D0D" w:themeColor="text1" w:themeTint="F2"/>
                <w:sz w:val="24"/>
                <w14:textFill>
                  <w14:solidFill>
                    <w14:schemeClr w14:val="tx1">
                      <w14:lumMod w14:val="95000"/>
                      <w14:lumOff w14:val="5000"/>
                    </w14:schemeClr>
                  </w14:solidFill>
                </w14:textFill>
              </w:rPr>
              <w:t>4</w:t>
            </w:r>
            <w:r>
              <w:rPr>
                <w:rFonts w:hint="default"/>
                <w:color w:val="0D0D0D" w:themeColor="text1" w:themeTint="F2"/>
                <w:sz w:val="24"/>
                <w14:textFill>
                  <w14:solidFill>
                    <w14:schemeClr w14:val="tx1">
                      <w14:lumMod w14:val="95000"/>
                      <w14:lumOff w14:val="5000"/>
                    </w14:schemeClr>
                  </w14:solidFill>
                </w14:textFill>
              </w:rPr>
              <w:t>-3。</w:t>
            </w:r>
          </w:p>
          <w:p>
            <w:pPr>
              <w:keepNext w:val="0"/>
              <w:keepLines w:val="0"/>
              <w:suppressLineNumbers w:val="0"/>
              <w:spacing w:before="0" w:beforeAutospacing="0" w:after="0" w:afterAutospacing="0"/>
              <w:ind w:left="0" w:right="0"/>
              <w:jc w:val="center"/>
              <w:rPr>
                <w:rFonts w:hint="default"/>
                <w:b/>
                <w:color w:val="auto"/>
                <w:sz w:val="24"/>
              </w:rPr>
            </w:pPr>
            <w:r>
              <w:rPr>
                <w:rFonts w:hint="default"/>
                <w:b/>
                <w:color w:val="auto"/>
                <w:sz w:val="24"/>
              </w:rPr>
              <w:t>表</w:t>
            </w:r>
            <w:r>
              <w:rPr>
                <w:rFonts w:hint="eastAsia"/>
                <w:b/>
                <w:color w:val="auto"/>
                <w:sz w:val="24"/>
              </w:rPr>
              <w:t>4</w:t>
            </w:r>
            <w:r>
              <w:rPr>
                <w:rFonts w:hint="default"/>
                <w:b/>
                <w:color w:val="auto"/>
                <w:sz w:val="24"/>
              </w:rPr>
              <w:t>-1  项目有组织废气产生、治理及排放状况表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638"/>
              <w:gridCol w:w="699"/>
              <w:gridCol w:w="1093"/>
              <w:gridCol w:w="481"/>
              <w:gridCol w:w="537"/>
              <w:gridCol w:w="729"/>
              <w:gridCol w:w="1159"/>
              <w:gridCol w:w="578"/>
              <w:gridCol w:w="412"/>
              <w:gridCol w:w="603"/>
              <w:gridCol w:w="721"/>
              <w:gridCol w:w="769"/>
              <w:gridCol w:w="628"/>
              <w:gridCol w:w="495"/>
              <w:gridCol w:w="470"/>
              <w:gridCol w:w="470"/>
              <w:gridCol w:w="470"/>
              <w:gridCol w:w="470"/>
              <w:gridCol w:w="603"/>
              <w:gridCol w:w="531"/>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排放源编号</w:t>
                  </w:r>
                </w:p>
              </w:tc>
              <w:tc>
                <w:tcPr>
                  <w:tcW w:w="278"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污染源</w:t>
                  </w:r>
                </w:p>
              </w:tc>
              <w:tc>
                <w:tcPr>
                  <w:tcW w:w="435"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污染物</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名称</w:t>
                  </w:r>
                </w:p>
              </w:tc>
              <w:tc>
                <w:tcPr>
                  <w:tcW w:w="695" w:type="pct"/>
                  <w:gridSpan w:val="3"/>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产生状况</w:t>
                  </w:r>
                </w:p>
              </w:tc>
              <w:tc>
                <w:tcPr>
                  <w:tcW w:w="461"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处理措施</w:t>
                  </w:r>
                </w:p>
              </w:tc>
              <w:tc>
                <w:tcPr>
                  <w:tcW w:w="230"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eastAsia"/>
                      <w:b/>
                      <w:color w:val="auto"/>
                      <w:kern w:val="0"/>
                      <w:szCs w:val="21"/>
                    </w:rPr>
                    <w:t>是否为可行技术*</w:t>
                  </w:r>
                </w:p>
              </w:tc>
              <w:tc>
                <w:tcPr>
                  <w:tcW w:w="164"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去除率</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szCs w:val="21"/>
                    </w:rPr>
                    <w:t>%</w:t>
                  </w:r>
                </w:p>
              </w:tc>
              <w:tc>
                <w:tcPr>
                  <w:tcW w:w="833" w:type="pct"/>
                  <w:gridSpan w:val="3"/>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排放状况</w:t>
                  </w:r>
                </w:p>
              </w:tc>
              <w:tc>
                <w:tcPr>
                  <w:tcW w:w="447" w:type="pct"/>
                  <w:gridSpan w:val="2"/>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执行标准</w:t>
                  </w:r>
                </w:p>
              </w:tc>
              <w:tc>
                <w:tcPr>
                  <w:tcW w:w="187" w:type="pct"/>
                  <w:vMerge w:val="restar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达标情况</w:t>
                  </w:r>
                </w:p>
              </w:tc>
              <w:tc>
                <w:tcPr>
                  <w:tcW w:w="801" w:type="pct"/>
                  <w:gridSpan w:val="4"/>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排放源参数</w:t>
                  </w:r>
                </w:p>
              </w:tc>
              <w:tc>
                <w:tcPr>
                  <w:tcW w:w="211" w:type="pct"/>
                  <w:vMerge w:val="restart"/>
                  <w:vAlign w:val="center"/>
                </w:tcPr>
                <w:p>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b/>
                      <w:color w:val="auto"/>
                      <w:kern w:val="0"/>
                      <w:szCs w:val="21"/>
                    </w:rPr>
                  </w:pPr>
                  <w:r>
                    <w:rPr>
                      <w:rFonts w:hint="default"/>
                      <w:b/>
                      <w:color w:val="auto"/>
                      <w:kern w:val="0"/>
                      <w:szCs w:val="21"/>
                    </w:rPr>
                    <w:t>年排放时间</w:t>
                  </w:r>
                </w:p>
                <w:p>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b/>
                      <w:color w:val="auto"/>
                      <w:kern w:val="0"/>
                      <w:szCs w:val="21"/>
                    </w:rPr>
                  </w:pPr>
                  <w:r>
                    <w:rPr>
                      <w:rFonts w:hint="eastAsia"/>
                      <w:b/>
                      <w:color w:val="auto"/>
                      <w:kern w:val="0"/>
                      <w:szCs w:val="21"/>
                    </w:rPr>
                    <w:t>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278"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435"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191"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浓度</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mg/m</w:t>
                  </w:r>
                  <w:r>
                    <w:rPr>
                      <w:rFonts w:hint="default"/>
                      <w:b/>
                      <w:color w:val="auto"/>
                      <w:kern w:val="0"/>
                      <w:szCs w:val="21"/>
                      <w:vertAlign w:val="superscript"/>
                    </w:rPr>
                    <w:t>3</w:t>
                  </w:r>
                </w:p>
              </w:tc>
              <w:tc>
                <w:tcPr>
                  <w:tcW w:w="213"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速率</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kg/h</w:t>
                  </w:r>
                </w:p>
              </w:tc>
              <w:tc>
                <w:tcPr>
                  <w:tcW w:w="290"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产生量</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t/a</w:t>
                  </w:r>
                </w:p>
              </w:tc>
              <w:tc>
                <w:tcPr>
                  <w:tcW w:w="461"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230"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164"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240"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浓度</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mg/m</w:t>
                  </w:r>
                  <w:r>
                    <w:rPr>
                      <w:rFonts w:hint="default"/>
                      <w:b/>
                      <w:color w:val="auto"/>
                      <w:kern w:val="0"/>
                      <w:szCs w:val="21"/>
                      <w:vertAlign w:val="superscript"/>
                    </w:rPr>
                    <w:t>3</w:t>
                  </w:r>
                </w:p>
              </w:tc>
              <w:tc>
                <w:tcPr>
                  <w:tcW w:w="287"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速率</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kg/h</w:t>
                  </w:r>
                </w:p>
              </w:tc>
              <w:tc>
                <w:tcPr>
                  <w:tcW w:w="306"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排放量</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t/a</w:t>
                  </w:r>
                </w:p>
              </w:tc>
              <w:tc>
                <w:tcPr>
                  <w:tcW w:w="250"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浓度</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mg/m</w:t>
                  </w:r>
                  <w:r>
                    <w:rPr>
                      <w:rFonts w:hint="default"/>
                      <w:b/>
                      <w:color w:val="auto"/>
                      <w:kern w:val="0"/>
                      <w:szCs w:val="21"/>
                      <w:vertAlign w:val="superscript"/>
                    </w:rPr>
                    <w:t>3</w:t>
                  </w:r>
                </w:p>
              </w:tc>
              <w:tc>
                <w:tcPr>
                  <w:tcW w:w="197"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速率kg/h</w:t>
                  </w:r>
                </w:p>
              </w:tc>
              <w:tc>
                <w:tcPr>
                  <w:tcW w:w="187"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c>
                <w:tcPr>
                  <w:tcW w:w="187"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高度</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m</w:t>
                  </w:r>
                </w:p>
              </w:tc>
              <w:tc>
                <w:tcPr>
                  <w:tcW w:w="187"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直径</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m</w:t>
                  </w:r>
                </w:p>
              </w:tc>
              <w:tc>
                <w:tcPr>
                  <w:tcW w:w="187"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温度</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eastAsia" w:cs="宋体"/>
                      <w:b/>
                      <w:color w:val="auto"/>
                      <w:kern w:val="0"/>
                      <w:szCs w:val="21"/>
                    </w:rPr>
                    <w:t>℃</w:t>
                  </w:r>
                </w:p>
              </w:tc>
              <w:tc>
                <w:tcPr>
                  <w:tcW w:w="240"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排气量</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r>
                    <w:rPr>
                      <w:rFonts w:hint="default"/>
                      <w:b/>
                      <w:color w:val="auto"/>
                      <w:kern w:val="0"/>
                      <w:szCs w:val="21"/>
                    </w:rPr>
                    <w:t>Nm</w:t>
                  </w:r>
                  <w:r>
                    <w:rPr>
                      <w:rFonts w:hint="default"/>
                      <w:b/>
                      <w:color w:val="auto"/>
                      <w:kern w:val="0"/>
                      <w:szCs w:val="21"/>
                      <w:vertAlign w:val="superscript"/>
                    </w:rPr>
                    <w:t>3</w:t>
                  </w:r>
                  <w:r>
                    <w:rPr>
                      <w:rFonts w:hint="default"/>
                      <w:b/>
                      <w:color w:val="auto"/>
                      <w:kern w:val="0"/>
                      <w:szCs w:val="21"/>
                    </w:rPr>
                    <w:t>/h</w:t>
                  </w:r>
                </w:p>
              </w:tc>
              <w:tc>
                <w:tcPr>
                  <w:tcW w:w="211" w:type="pct"/>
                  <w:vMerge w:val="continue"/>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auto"/>
                      <w:kern w:val="0"/>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607" w:hRule="atLeast"/>
                <w:jc w:val="center"/>
              </w:trPr>
              <w:tc>
                <w:tcPr>
                  <w:tcW w:w="254"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DA001</w:t>
                  </w:r>
                </w:p>
              </w:tc>
              <w:tc>
                <w:tcPr>
                  <w:tcW w:w="278" w:type="pct"/>
                  <w:vMerge w:val="restar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熔化、天然气燃烧</w:t>
                  </w:r>
                </w:p>
              </w:tc>
              <w:tc>
                <w:tcPr>
                  <w:tcW w:w="435"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auto"/>
                      <w:szCs w:val="21"/>
                      <w:lang w:val="en-US" w:eastAsia="zh-CN"/>
                    </w:rPr>
                  </w:pPr>
                  <w:r>
                    <w:rPr>
                      <w:rFonts w:hint="eastAsia"/>
                      <w:color w:val="auto"/>
                      <w:szCs w:val="21"/>
                      <w:lang w:val="en-US" w:eastAsia="zh-CN"/>
                    </w:rPr>
                    <w:t>颗粒物</w:t>
                  </w:r>
                </w:p>
              </w:tc>
              <w:tc>
                <w:tcPr>
                  <w:tcW w:w="191"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23.325</w:t>
                  </w:r>
                </w:p>
              </w:tc>
              <w:tc>
                <w:tcPr>
                  <w:tcW w:w="213"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0.467</w:t>
                  </w:r>
                </w:p>
              </w:tc>
              <w:tc>
                <w:tcPr>
                  <w:tcW w:w="29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3.359</w:t>
                  </w:r>
                </w:p>
              </w:tc>
              <w:tc>
                <w:tcPr>
                  <w:tcW w:w="461"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布袋除尘器</w:t>
                  </w:r>
                </w:p>
              </w:tc>
              <w:tc>
                <w:tcPr>
                  <w:tcW w:w="230"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是</w:t>
                  </w:r>
                </w:p>
              </w:tc>
              <w:tc>
                <w:tcPr>
                  <w:tcW w:w="164" w:type="pct"/>
                  <w:vAlign w:val="center"/>
                </w:tcPr>
                <w:p>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default"/>
                      <w:color w:val="auto"/>
                      <w:szCs w:val="21"/>
                    </w:rPr>
                    <w:t>9</w:t>
                  </w:r>
                  <w:r>
                    <w:rPr>
                      <w:rFonts w:hint="eastAsia"/>
                      <w:color w:val="auto"/>
                      <w:szCs w:val="21"/>
                      <w:lang w:val="en-US" w:eastAsia="zh-CN"/>
                    </w:rPr>
                    <w:t>9</w:t>
                  </w:r>
                </w:p>
              </w:tc>
              <w:tc>
                <w:tcPr>
                  <w:tcW w:w="24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0.233</w:t>
                  </w:r>
                </w:p>
              </w:tc>
              <w:tc>
                <w:tcPr>
                  <w:tcW w:w="287"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0.005</w:t>
                  </w:r>
                </w:p>
              </w:tc>
              <w:tc>
                <w:tcPr>
                  <w:tcW w:w="306"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0.034</w:t>
                  </w:r>
                </w:p>
              </w:tc>
              <w:tc>
                <w:tcPr>
                  <w:tcW w:w="250"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auto"/>
                      <w:szCs w:val="21"/>
                      <w:lang w:val="en-US" w:eastAsia="zh-CN"/>
                    </w:rPr>
                  </w:pPr>
                  <w:r>
                    <w:rPr>
                      <w:rFonts w:hint="eastAsia"/>
                      <w:color w:val="auto"/>
                      <w:szCs w:val="21"/>
                      <w:lang w:val="en-US" w:eastAsia="zh-CN"/>
                    </w:rPr>
                    <w:t>30</w:t>
                  </w:r>
                </w:p>
              </w:tc>
              <w:tc>
                <w:tcPr>
                  <w:tcW w:w="197" w:type="pct"/>
                  <w:vAlign w:val="center"/>
                </w:tcPr>
                <w:p>
                  <w:pPr>
                    <w:keepNext w:val="0"/>
                    <w:keepLines w:val="0"/>
                    <w:suppressLineNumbers w:val="0"/>
                    <w:spacing w:before="0" w:beforeAutospacing="0" w:after="0" w:afterAutospacing="0"/>
                    <w:ind w:left="-105" w:leftChars="-50" w:right="-105" w:rightChars="-50"/>
                    <w:jc w:val="center"/>
                    <w:rPr>
                      <w:rFonts w:hint="default"/>
                      <w:color w:val="auto"/>
                      <w:szCs w:val="21"/>
                    </w:rPr>
                  </w:pPr>
                  <w:r>
                    <w:rPr>
                      <w:rFonts w:hint="eastAsia"/>
                      <w:color w:val="auto"/>
                      <w:szCs w:val="21"/>
                    </w:rPr>
                    <w:t>/</w:t>
                  </w:r>
                </w:p>
              </w:tc>
              <w:tc>
                <w:tcPr>
                  <w:tcW w:w="18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达标</w:t>
                  </w:r>
                </w:p>
              </w:tc>
              <w:tc>
                <w:tcPr>
                  <w:tcW w:w="187"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15</w:t>
                  </w:r>
                </w:p>
              </w:tc>
              <w:tc>
                <w:tcPr>
                  <w:tcW w:w="187"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0.9</w:t>
                  </w:r>
                </w:p>
              </w:tc>
              <w:tc>
                <w:tcPr>
                  <w:tcW w:w="187"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3</w:t>
                  </w:r>
                  <w:r>
                    <w:rPr>
                      <w:rFonts w:hint="default"/>
                      <w:color w:val="auto"/>
                      <w:szCs w:val="21"/>
                    </w:rPr>
                    <w:t>0</w:t>
                  </w:r>
                </w:p>
              </w:tc>
              <w:tc>
                <w:tcPr>
                  <w:tcW w:w="240" w:type="pct"/>
                  <w:vMerge w:val="restart"/>
                  <w:vAlign w:val="center"/>
                </w:tcPr>
                <w:p>
                  <w:pPr>
                    <w:keepNext w:val="0"/>
                    <w:keepLines w:val="0"/>
                    <w:widowControl/>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20</w:t>
                  </w:r>
                  <w:r>
                    <w:rPr>
                      <w:rFonts w:hint="default"/>
                      <w:color w:val="auto"/>
                      <w:szCs w:val="21"/>
                    </w:rPr>
                    <w:t>000</w:t>
                  </w:r>
                </w:p>
              </w:tc>
              <w:tc>
                <w:tcPr>
                  <w:tcW w:w="211"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72</w:t>
                  </w:r>
                  <w:r>
                    <w:rPr>
                      <w:rFonts w:hint="default"/>
                      <w:color w:val="auto"/>
                      <w:szCs w:val="21"/>
                    </w:rPr>
                    <w:t>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278"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435" w:type="pct"/>
                  <w:vAlign w:val="center"/>
                </w:tcPr>
                <w:p>
                  <w:pPr>
                    <w:keepNext w:val="0"/>
                    <w:keepLines w:val="0"/>
                    <w:suppressLineNumbers w:val="0"/>
                    <w:spacing w:before="0" w:beforeAutospacing="0" w:after="0" w:afterAutospacing="0"/>
                    <w:ind w:left="-105" w:leftChars="-50" w:right="-105" w:rightChars="-50"/>
                    <w:jc w:val="center"/>
                    <w:rPr>
                      <w:rFonts w:hint="eastAsia" w:eastAsia="宋体"/>
                      <w:bCs/>
                      <w:color w:val="auto"/>
                      <w:szCs w:val="21"/>
                      <w:lang w:val="en-US" w:eastAsia="zh-CN"/>
                    </w:rPr>
                  </w:pPr>
                  <w:r>
                    <w:rPr>
                      <w:rFonts w:hint="eastAsia"/>
                      <w:bCs/>
                      <w:color w:val="auto"/>
                      <w:szCs w:val="21"/>
                      <w:lang w:val="en-US" w:eastAsia="zh-CN"/>
                    </w:rPr>
                    <w:t>二氧化硫</w:t>
                  </w:r>
                </w:p>
              </w:tc>
              <w:tc>
                <w:tcPr>
                  <w:tcW w:w="191"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0.475</w:t>
                  </w:r>
                </w:p>
              </w:tc>
              <w:tc>
                <w:tcPr>
                  <w:tcW w:w="213"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0.010</w:t>
                  </w:r>
                </w:p>
              </w:tc>
              <w:tc>
                <w:tcPr>
                  <w:tcW w:w="29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0.068</w:t>
                  </w:r>
                </w:p>
              </w:tc>
              <w:tc>
                <w:tcPr>
                  <w:tcW w:w="461"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230"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64" w:type="pct"/>
                  <w:vAlign w:val="center"/>
                </w:tcPr>
                <w:p>
                  <w:pPr>
                    <w:keepNext w:val="0"/>
                    <w:keepLines w:val="0"/>
                    <w:suppressLineNumbers w:val="0"/>
                    <w:spacing w:before="0" w:beforeAutospacing="0" w:after="0" w:afterAutospacing="0"/>
                    <w:ind w:left="0" w:right="0"/>
                    <w:jc w:val="center"/>
                    <w:rPr>
                      <w:rFonts w:hint="eastAsia" w:eastAsia="宋体"/>
                      <w:color w:val="auto"/>
                      <w:szCs w:val="21"/>
                      <w:lang w:val="en-US" w:eastAsia="zh-CN"/>
                    </w:rPr>
                  </w:pPr>
                  <w:r>
                    <w:rPr>
                      <w:rFonts w:hint="eastAsia"/>
                      <w:color w:val="auto"/>
                      <w:szCs w:val="21"/>
                      <w:lang w:val="en-US" w:eastAsia="zh-CN"/>
                    </w:rPr>
                    <w:t>/</w:t>
                  </w:r>
                </w:p>
              </w:tc>
              <w:tc>
                <w:tcPr>
                  <w:tcW w:w="24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0.475</w:t>
                  </w:r>
                </w:p>
              </w:tc>
              <w:tc>
                <w:tcPr>
                  <w:tcW w:w="287"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0.010</w:t>
                  </w:r>
                </w:p>
              </w:tc>
              <w:tc>
                <w:tcPr>
                  <w:tcW w:w="306"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0.068</w:t>
                  </w:r>
                </w:p>
              </w:tc>
              <w:tc>
                <w:tcPr>
                  <w:tcW w:w="250"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auto"/>
                      <w:szCs w:val="21"/>
                      <w:lang w:val="en-US" w:eastAsia="zh-CN"/>
                    </w:rPr>
                  </w:pPr>
                  <w:r>
                    <w:rPr>
                      <w:rFonts w:hint="eastAsia"/>
                      <w:color w:val="auto"/>
                      <w:szCs w:val="21"/>
                      <w:lang w:val="en-US" w:eastAsia="zh-CN"/>
                    </w:rPr>
                    <w:t>100</w:t>
                  </w:r>
                </w:p>
              </w:tc>
              <w:tc>
                <w:tcPr>
                  <w:tcW w:w="197"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auto"/>
                      <w:szCs w:val="21"/>
                      <w:lang w:val="en-US" w:eastAsia="zh-CN"/>
                    </w:rPr>
                  </w:pPr>
                  <w:r>
                    <w:rPr>
                      <w:rFonts w:hint="eastAsia"/>
                      <w:color w:val="auto"/>
                      <w:szCs w:val="21"/>
                      <w:lang w:val="en-US" w:eastAsia="zh-CN"/>
                    </w:rPr>
                    <w:t>/</w:t>
                  </w:r>
                </w:p>
              </w:tc>
              <w:tc>
                <w:tcPr>
                  <w:tcW w:w="187" w:type="pct"/>
                  <w:vAlign w:val="center"/>
                </w:tcPr>
                <w:p>
                  <w:pPr>
                    <w:keepNext w:val="0"/>
                    <w:keepLines w:val="0"/>
                    <w:suppressLineNumbers w:val="0"/>
                    <w:spacing w:before="0" w:beforeAutospacing="0" w:after="0" w:afterAutospacing="0"/>
                    <w:ind w:left="0" w:right="0"/>
                    <w:jc w:val="center"/>
                    <w:rPr>
                      <w:rFonts w:hint="eastAsia"/>
                      <w:color w:val="auto"/>
                      <w:szCs w:val="21"/>
                    </w:rPr>
                  </w:pPr>
                  <w:r>
                    <w:rPr>
                      <w:rFonts w:hint="eastAsia"/>
                      <w:color w:val="auto"/>
                      <w:szCs w:val="21"/>
                    </w:rPr>
                    <w:t>达标</w:t>
                  </w: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240" w:type="pct"/>
                  <w:vMerge w:val="continue"/>
                  <w:vAlign w:val="center"/>
                </w:tcPr>
                <w:p>
                  <w:pPr>
                    <w:keepNext w:val="0"/>
                    <w:keepLines w:val="0"/>
                    <w:widowControl/>
                    <w:suppressLineNumbers w:val="0"/>
                    <w:spacing w:before="0" w:beforeAutospacing="0" w:after="0" w:afterAutospacing="0"/>
                    <w:ind w:left="0" w:right="0"/>
                    <w:jc w:val="center"/>
                    <w:rPr>
                      <w:rFonts w:hint="default"/>
                      <w:color w:val="auto"/>
                      <w:szCs w:val="21"/>
                    </w:rPr>
                  </w:pPr>
                </w:p>
              </w:tc>
              <w:tc>
                <w:tcPr>
                  <w:tcW w:w="211"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278"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435" w:type="pct"/>
                  <w:vAlign w:val="center"/>
                </w:tcPr>
                <w:p>
                  <w:pPr>
                    <w:keepNext w:val="0"/>
                    <w:keepLines w:val="0"/>
                    <w:suppressLineNumbers w:val="0"/>
                    <w:spacing w:before="0" w:beforeAutospacing="0" w:after="0" w:afterAutospacing="0"/>
                    <w:ind w:left="-105" w:leftChars="-50" w:right="-105" w:rightChars="-50"/>
                    <w:jc w:val="center"/>
                    <w:rPr>
                      <w:rFonts w:hint="eastAsia" w:eastAsia="宋体"/>
                      <w:bCs/>
                      <w:color w:val="auto"/>
                      <w:szCs w:val="21"/>
                      <w:lang w:val="en-US" w:eastAsia="zh-CN"/>
                    </w:rPr>
                  </w:pPr>
                  <w:r>
                    <w:rPr>
                      <w:rFonts w:hint="eastAsia"/>
                      <w:bCs/>
                      <w:color w:val="auto"/>
                      <w:szCs w:val="21"/>
                      <w:lang w:val="en-US" w:eastAsia="zh-CN"/>
                    </w:rPr>
                    <w:t>氮氧化物</w:t>
                  </w:r>
                </w:p>
              </w:tc>
              <w:tc>
                <w:tcPr>
                  <w:tcW w:w="191"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2.219</w:t>
                  </w:r>
                </w:p>
              </w:tc>
              <w:tc>
                <w:tcPr>
                  <w:tcW w:w="213"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0.044</w:t>
                  </w:r>
                </w:p>
              </w:tc>
              <w:tc>
                <w:tcPr>
                  <w:tcW w:w="29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0.320</w:t>
                  </w:r>
                </w:p>
              </w:tc>
              <w:tc>
                <w:tcPr>
                  <w:tcW w:w="461"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230"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64" w:type="pct"/>
                  <w:vAlign w:val="center"/>
                </w:tcPr>
                <w:p>
                  <w:pPr>
                    <w:keepNext w:val="0"/>
                    <w:keepLines w:val="0"/>
                    <w:suppressLineNumbers w:val="0"/>
                    <w:spacing w:before="0" w:beforeAutospacing="0" w:after="0" w:afterAutospacing="0"/>
                    <w:ind w:left="0" w:right="0"/>
                    <w:jc w:val="center"/>
                    <w:rPr>
                      <w:rFonts w:hint="eastAsia" w:eastAsia="宋体"/>
                      <w:color w:val="auto"/>
                      <w:szCs w:val="21"/>
                      <w:lang w:val="en-US" w:eastAsia="zh-CN"/>
                    </w:rPr>
                  </w:pPr>
                  <w:r>
                    <w:rPr>
                      <w:rFonts w:hint="eastAsia"/>
                      <w:color w:val="auto"/>
                      <w:szCs w:val="21"/>
                      <w:lang w:val="en-US" w:eastAsia="zh-CN"/>
                    </w:rPr>
                    <w:t>/</w:t>
                  </w:r>
                </w:p>
              </w:tc>
              <w:tc>
                <w:tcPr>
                  <w:tcW w:w="24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2.219</w:t>
                  </w:r>
                </w:p>
              </w:tc>
              <w:tc>
                <w:tcPr>
                  <w:tcW w:w="287"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0.044</w:t>
                  </w:r>
                </w:p>
              </w:tc>
              <w:tc>
                <w:tcPr>
                  <w:tcW w:w="306"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0.320</w:t>
                  </w:r>
                </w:p>
              </w:tc>
              <w:tc>
                <w:tcPr>
                  <w:tcW w:w="250"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auto"/>
                      <w:szCs w:val="21"/>
                      <w:lang w:val="en-US" w:eastAsia="zh-CN"/>
                    </w:rPr>
                  </w:pPr>
                  <w:r>
                    <w:rPr>
                      <w:rFonts w:hint="eastAsia"/>
                      <w:color w:val="auto"/>
                      <w:szCs w:val="21"/>
                      <w:lang w:val="en-US" w:eastAsia="zh-CN"/>
                    </w:rPr>
                    <w:t>400</w:t>
                  </w:r>
                </w:p>
              </w:tc>
              <w:tc>
                <w:tcPr>
                  <w:tcW w:w="197"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auto"/>
                      <w:szCs w:val="21"/>
                      <w:lang w:val="en-US" w:eastAsia="zh-CN"/>
                    </w:rPr>
                  </w:pPr>
                  <w:r>
                    <w:rPr>
                      <w:rFonts w:hint="eastAsia"/>
                      <w:color w:val="auto"/>
                      <w:szCs w:val="21"/>
                      <w:lang w:val="en-US" w:eastAsia="zh-CN"/>
                    </w:rPr>
                    <w:t>/</w:t>
                  </w:r>
                </w:p>
              </w:tc>
              <w:tc>
                <w:tcPr>
                  <w:tcW w:w="187" w:type="pct"/>
                  <w:vAlign w:val="center"/>
                </w:tcPr>
                <w:p>
                  <w:pPr>
                    <w:keepNext w:val="0"/>
                    <w:keepLines w:val="0"/>
                    <w:suppressLineNumbers w:val="0"/>
                    <w:spacing w:before="0" w:beforeAutospacing="0" w:after="0" w:afterAutospacing="0"/>
                    <w:ind w:left="0" w:right="0"/>
                    <w:jc w:val="center"/>
                    <w:rPr>
                      <w:rFonts w:hint="eastAsia"/>
                      <w:color w:val="auto"/>
                      <w:szCs w:val="21"/>
                    </w:rPr>
                  </w:pPr>
                  <w:r>
                    <w:rPr>
                      <w:rFonts w:hint="eastAsia"/>
                      <w:color w:val="auto"/>
                      <w:szCs w:val="21"/>
                    </w:rPr>
                    <w:t>达标</w:t>
                  </w: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18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240" w:type="pct"/>
                  <w:vMerge w:val="continue"/>
                  <w:vAlign w:val="center"/>
                </w:tcPr>
                <w:p>
                  <w:pPr>
                    <w:keepNext w:val="0"/>
                    <w:keepLines w:val="0"/>
                    <w:widowControl/>
                    <w:suppressLineNumbers w:val="0"/>
                    <w:spacing w:before="0" w:beforeAutospacing="0" w:after="0" w:afterAutospacing="0"/>
                    <w:ind w:left="0" w:right="0"/>
                    <w:jc w:val="center"/>
                    <w:rPr>
                      <w:rFonts w:hint="default"/>
                      <w:color w:val="auto"/>
                      <w:szCs w:val="21"/>
                    </w:rPr>
                  </w:pPr>
                </w:p>
              </w:tc>
              <w:tc>
                <w:tcPr>
                  <w:tcW w:w="211"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DA002</w:t>
                  </w:r>
                </w:p>
              </w:tc>
              <w:tc>
                <w:tcPr>
                  <w:tcW w:w="278" w:type="pct"/>
                  <w:vAlign w:val="center"/>
                </w:tcPr>
                <w:p>
                  <w:pPr>
                    <w:keepNext w:val="0"/>
                    <w:keepLines w:val="0"/>
                    <w:suppressLineNumbers w:val="0"/>
                    <w:spacing w:before="0" w:beforeAutospacing="0" w:after="0" w:afterAutospacing="0"/>
                    <w:ind w:left="0" w:right="0"/>
                    <w:jc w:val="center"/>
                    <w:rPr>
                      <w:rFonts w:hint="eastAsia"/>
                      <w:color w:val="auto"/>
                      <w:szCs w:val="21"/>
                      <w:lang w:val="en-US" w:eastAsia="zh-CN"/>
                    </w:rPr>
                  </w:pPr>
                  <w:r>
                    <w:rPr>
                      <w:rFonts w:hint="eastAsia"/>
                      <w:color w:val="auto"/>
                      <w:szCs w:val="21"/>
                      <w:lang w:val="en-US" w:eastAsia="zh-CN"/>
                    </w:rPr>
                    <w:t>压铸脱模</w:t>
                  </w:r>
                </w:p>
              </w:tc>
              <w:tc>
                <w:tcPr>
                  <w:tcW w:w="435" w:type="pct"/>
                  <w:vAlign w:val="center"/>
                </w:tcPr>
                <w:p>
                  <w:pPr>
                    <w:keepNext w:val="0"/>
                    <w:keepLines w:val="0"/>
                    <w:suppressLineNumbers w:val="0"/>
                    <w:spacing w:before="0" w:beforeAutospacing="0" w:after="0" w:afterAutospacing="0"/>
                    <w:ind w:left="-105" w:leftChars="-50" w:right="-105" w:rightChars="-50"/>
                    <w:jc w:val="center"/>
                    <w:rPr>
                      <w:rFonts w:hint="eastAsia"/>
                      <w:bCs/>
                      <w:color w:val="auto"/>
                      <w:szCs w:val="21"/>
                      <w:lang w:val="en-US" w:eastAsia="zh-CN"/>
                    </w:rPr>
                  </w:pPr>
                  <w:r>
                    <w:rPr>
                      <w:rFonts w:hint="eastAsia"/>
                      <w:bCs/>
                      <w:color w:val="auto"/>
                      <w:szCs w:val="21"/>
                      <w:lang w:val="en-US" w:eastAsia="zh-CN"/>
                    </w:rPr>
                    <w:t>非甲烷总烃</w:t>
                  </w:r>
                </w:p>
              </w:tc>
              <w:tc>
                <w:tcPr>
                  <w:tcW w:w="191"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8.102</w:t>
                  </w:r>
                </w:p>
              </w:tc>
              <w:tc>
                <w:tcPr>
                  <w:tcW w:w="213"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0.219</w:t>
                  </w:r>
                </w:p>
              </w:tc>
              <w:tc>
                <w:tcPr>
                  <w:tcW w:w="290"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1.575</w:t>
                  </w:r>
                </w:p>
              </w:tc>
              <w:tc>
                <w:tcPr>
                  <w:tcW w:w="461"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静电油雾净化+两级活性炭</w:t>
                  </w:r>
                </w:p>
              </w:tc>
              <w:tc>
                <w:tcPr>
                  <w:tcW w:w="23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是</w:t>
                  </w:r>
                </w:p>
              </w:tc>
              <w:tc>
                <w:tcPr>
                  <w:tcW w:w="164"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90</w:t>
                  </w:r>
                </w:p>
              </w:tc>
              <w:tc>
                <w:tcPr>
                  <w:tcW w:w="240"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0.810</w:t>
                  </w:r>
                </w:p>
              </w:tc>
              <w:tc>
                <w:tcPr>
                  <w:tcW w:w="287"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0.022</w:t>
                  </w:r>
                </w:p>
              </w:tc>
              <w:tc>
                <w:tcPr>
                  <w:tcW w:w="306" w:type="pct"/>
                  <w:vAlign w:val="center"/>
                </w:tcPr>
                <w:p>
                  <w:pPr>
                    <w:keepNext w:val="0"/>
                    <w:keepLines w:val="0"/>
                    <w:suppressLineNumbers w:val="0"/>
                    <w:spacing w:before="0" w:beforeAutospacing="0" w:after="0" w:afterAutospacing="0"/>
                    <w:ind w:left="0" w:right="0"/>
                    <w:jc w:val="center"/>
                    <w:rPr>
                      <w:rFonts w:hint="default"/>
                      <w:color w:val="auto"/>
                      <w:szCs w:val="21"/>
                      <w:lang w:val="en-US" w:eastAsia="zh-CN"/>
                    </w:rPr>
                  </w:pPr>
                  <w:r>
                    <w:rPr>
                      <w:rFonts w:hint="eastAsia"/>
                      <w:color w:val="auto"/>
                      <w:szCs w:val="21"/>
                      <w:lang w:val="en-US" w:eastAsia="zh-CN"/>
                    </w:rPr>
                    <w:t>0.158</w:t>
                  </w:r>
                </w:p>
              </w:tc>
              <w:tc>
                <w:tcPr>
                  <w:tcW w:w="25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120</w:t>
                  </w:r>
                </w:p>
              </w:tc>
              <w:tc>
                <w:tcPr>
                  <w:tcW w:w="197"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18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达标</w:t>
                  </w:r>
                </w:p>
              </w:tc>
              <w:tc>
                <w:tcPr>
                  <w:tcW w:w="187"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15</w:t>
                  </w:r>
                </w:p>
              </w:tc>
              <w:tc>
                <w:tcPr>
                  <w:tcW w:w="187"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0.8</w:t>
                  </w:r>
                </w:p>
              </w:tc>
              <w:tc>
                <w:tcPr>
                  <w:tcW w:w="18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3</w:t>
                  </w:r>
                  <w:r>
                    <w:rPr>
                      <w:rFonts w:hint="default"/>
                      <w:color w:val="auto"/>
                      <w:szCs w:val="21"/>
                    </w:rPr>
                    <w:t>0</w:t>
                  </w:r>
                </w:p>
              </w:tc>
              <w:tc>
                <w:tcPr>
                  <w:tcW w:w="240" w:type="pct"/>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27</w:t>
                  </w:r>
                  <w:r>
                    <w:rPr>
                      <w:rFonts w:hint="default"/>
                      <w:color w:val="auto"/>
                      <w:szCs w:val="21"/>
                    </w:rPr>
                    <w:t>000</w:t>
                  </w:r>
                </w:p>
              </w:tc>
              <w:tc>
                <w:tcPr>
                  <w:tcW w:w="211"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72</w:t>
                  </w:r>
                  <w:r>
                    <w:rPr>
                      <w:rFonts w:hint="default"/>
                      <w:color w:val="auto"/>
                      <w:szCs w:val="21"/>
                    </w:rPr>
                    <w:t>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254"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auto"/>
                      <w:szCs w:val="21"/>
                      <w:lang w:eastAsia="zh-CN"/>
                    </w:rPr>
                  </w:pPr>
                  <w:r>
                    <w:rPr>
                      <w:rFonts w:hint="default"/>
                      <w:color w:val="auto"/>
                      <w:szCs w:val="21"/>
                    </w:rPr>
                    <w:t>DA00</w:t>
                  </w:r>
                  <w:r>
                    <w:rPr>
                      <w:rFonts w:hint="eastAsia"/>
                      <w:color w:val="auto"/>
                      <w:szCs w:val="21"/>
                      <w:lang w:val="en-US" w:eastAsia="zh-CN"/>
                    </w:rPr>
                    <w:t>3</w:t>
                  </w:r>
                </w:p>
              </w:tc>
              <w:tc>
                <w:tcPr>
                  <w:tcW w:w="278" w:type="pct"/>
                  <w:vAlign w:val="center"/>
                </w:tcPr>
                <w:p>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eastAsia"/>
                      <w:color w:val="auto"/>
                      <w:szCs w:val="21"/>
                      <w:lang w:val="en-US" w:eastAsia="zh-CN"/>
                    </w:rPr>
                    <w:t>抛丸</w:t>
                  </w:r>
                </w:p>
              </w:tc>
              <w:tc>
                <w:tcPr>
                  <w:tcW w:w="435" w:type="pct"/>
                  <w:vAlign w:val="center"/>
                </w:tcPr>
                <w:p>
                  <w:pPr>
                    <w:keepNext w:val="0"/>
                    <w:keepLines w:val="0"/>
                    <w:suppressLineNumbers w:val="0"/>
                    <w:spacing w:before="0" w:beforeAutospacing="0" w:after="0" w:afterAutospacing="0"/>
                    <w:ind w:left="-105" w:leftChars="-50" w:right="-105" w:rightChars="-50"/>
                    <w:jc w:val="center"/>
                    <w:rPr>
                      <w:rFonts w:hint="default"/>
                      <w:color w:val="auto"/>
                      <w:szCs w:val="21"/>
                    </w:rPr>
                  </w:pPr>
                  <w:r>
                    <w:rPr>
                      <w:rFonts w:hint="eastAsia"/>
                      <w:bCs/>
                      <w:color w:val="auto"/>
                      <w:szCs w:val="21"/>
                      <w:lang w:val="en-US" w:eastAsia="zh-CN"/>
                    </w:rPr>
                    <w:t>颗粒物</w:t>
                  </w:r>
                </w:p>
              </w:tc>
              <w:tc>
                <w:tcPr>
                  <w:tcW w:w="191"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237.25</w:t>
                  </w:r>
                </w:p>
              </w:tc>
              <w:tc>
                <w:tcPr>
                  <w:tcW w:w="213"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1.154</w:t>
                  </w:r>
                </w:p>
              </w:tc>
              <w:tc>
                <w:tcPr>
                  <w:tcW w:w="29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8.541</w:t>
                  </w:r>
                </w:p>
              </w:tc>
              <w:tc>
                <w:tcPr>
                  <w:tcW w:w="461"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设备自带除尘设备</w:t>
                  </w:r>
                </w:p>
              </w:tc>
              <w:tc>
                <w:tcPr>
                  <w:tcW w:w="230"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是</w:t>
                  </w:r>
                </w:p>
              </w:tc>
              <w:tc>
                <w:tcPr>
                  <w:tcW w:w="164" w:type="pct"/>
                  <w:vAlign w:val="center"/>
                </w:tcPr>
                <w:p>
                  <w:pPr>
                    <w:keepNext w:val="0"/>
                    <w:keepLines w:val="0"/>
                    <w:suppressLineNumbers w:val="0"/>
                    <w:spacing w:before="0" w:beforeAutospacing="0" w:after="0" w:afterAutospacing="0"/>
                    <w:ind w:left="0" w:right="0"/>
                    <w:jc w:val="center"/>
                    <w:rPr>
                      <w:rFonts w:hint="eastAsia" w:eastAsia="宋体"/>
                      <w:color w:val="auto"/>
                      <w:szCs w:val="21"/>
                      <w:lang w:eastAsia="zh-CN"/>
                    </w:rPr>
                  </w:pPr>
                  <w:r>
                    <w:rPr>
                      <w:rFonts w:hint="default"/>
                      <w:color w:val="auto"/>
                      <w:szCs w:val="21"/>
                    </w:rPr>
                    <w:t>9</w:t>
                  </w:r>
                  <w:r>
                    <w:rPr>
                      <w:rFonts w:hint="eastAsia"/>
                      <w:color w:val="auto"/>
                      <w:szCs w:val="21"/>
                      <w:lang w:val="en-US" w:eastAsia="zh-CN"/>
                    </w:rPr>
                    <w:t>9</w:t>
                  </w:r>
                </w:p>
              </w:tc>
              <w:tc>
                <w:tcPr>
                  <w:tcW w:w="240"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2.373</w:t>
                  </w:r>
                </w:p>
              </w:tc>
              <w:tc>
                <w:tcPr>
                  <w:tcW w:w="287"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0.012</w:t>
                  </w:r>
                </w:p>
              </w:tc>
              <w:tc>
                <w:tcPr>
                  <w:tcW w:w="306" w:type="pct"/>
                  <w:vAlign w:val="center"/>
                </w:tcPr>
                <w:p>
                  <w:pPr>
                    <w:keepNext w:val="0"/>
                    <w:keepLines w:val="0"/>
                    <w:suppressLineNumbers w:val="0"/>
                    <w:spacing w:before="0" w:beforeAutospacing="0" w:after="0" w:afterAutospacing="0"/>
                    <w:ind w:left="0" w:right="0"/>
                    <w:jc w:val="center"/>
                    <w:rPr>
                      <w:rFonts w:hint="default" w:eastAsia="宋体"/>
                      <w:color w:val="auto"/>
                      <w:szCs w:val="21"/>
                      <w:lang w:val="en-US" w:eastAsia="zh-CN"/>
                    </w:rPr>
                  </w:pPr>
                  <w:r>
                    <w:rPr>
                      <w:rFonts w:hint="eastAsia"/>
                      <w:color w:val="auto"/>
                      <w:szCs w:val="21"/>
                      <w:lang w:val="en-US" w:eastAsia="zh-CN"/>
                    </w:rPr>
                    <w:t>0.085</w:t>
                  </w:r>
                </w:p>
              </w:tc>
              <w:tc>
                <w:tcPr>
                  <w:tcW w:w="250" w:type="pct"/>
                  <w:vAlign w:val="center"/>
                </w:tcPr>
                <w:p>
                  <w:pPr>
                    <w:keepNext w:val="0"/>
                    <w:keepLines w:val="0"/>
                    <w:suppressLineNumbers w:val="0"/>
                    <w:spacing w:before="0" w:beforeAutospacing="0" w:after="0" w:afterAutospacing="0"/>
                    <w:ind w:left="0" w:right="0"/>
                    <w:jc w:val="center"/>
                    <w:rPr>
                      <w:rFonts w:hint="default"/>
                      <w:color w:val="auto"/>
                      <w:kern w:val="0"/>
                      <w:szCs w:val="21"/>
                    </w:rPr>
                  </w:pPr>
                  <w:r>
                    <w:rPr>
                      <w:rFonts w:hint="eastAsia"/>
                      <w:color w:val="auto"/>
                      <w:szCs w:val="21"/>
                    </w:rPr>
                    <w:t>6</w:t>
                  </w:r>
                  <w:r>
                    <w:rPr>
                      <w:rFonts w:hint="default"/>
                      <w:color w:val="auto"/>
                      <w:szCs w:val="21"/>
                    </w:rPr>
                    <w:t>0</w:t>
                  </w:r>
                </w:p>
              </w:tc>
              <w:tc>
                <w:tcPr>
                  <w:tcW w:w="197" w:type="pct"/>
                  <w:vAlign w:val="center"/>
                </w:tcPr>
                <w:p>
                  <w:pPr>
                    <w:keepNext w:val="0"/>
                    <w:keepLines w:val="0"/>
                    <w:suppressLineNumbers w:val="0"/>
                    <w:spacing w:before="0" w:beforeAutospacing="0" w:after="0" w:afterAutospacing="0"/>
                    <w:ind w:left="0" w:right="0"/>
                    <w:jc w:val="center"/>
                    <w:rPr>
                      <w:rFonts w:hint="default"/>
                      <w:color w:val="auto"/>
                      <w:kern w:val="0"/>
                      <w:szCs w:val="21"/>
                    </w:rPr>
                  </w:pPr>
                  <w:r>
                    <w:rPr>
                      <w:rFonts w:hint="eastAsia"/>
                      <w:color w:val="auto"/>
                      <w:szCs w:val="21"/>
                    </w:rPr>
                    <w:t>/</w:t>
                  </w:r>
                </w:p>
              </w:tc>
              <w:tc>
                <w:tcPr>
                  <w:tcW w:w="18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达标</w:t>
                  </w:r>
                </w:p>
              </w:tc>
              <w:tc>
                <w:tcPr>
                  <w:tcW w:w="18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15</w:t>
                  </w:r>
                </w:p>
              </w:tc>
              <w:tc>
                <w:tcPr>
                  <w:tcW w:w="18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0.8</w:t>
                  </w:r>
                </w:p>
              </w:tc>
              <w:tc>
                <w:tcPr>
                  <w:tcW w:w="18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rPr>
                    <w:t>3</w:t>
                  </w:r>
                  <w:r>
                    <w:rPr>
                      <w:rFonts w:hint="default"/>
                      <w:color w:val="auto"/>
                      <w:szCs w:val="21"/>
                    </w:rPr>
                    <w:t>0</w:t>
                  </w:r>
                </w:p>
              </w:tc>
              <w:tc>
                <w:tcPr>
                  <w:tcW w:w="240" w:type="pct"/>
                  <w:vAlign w:val="center"/>
                </w:tcPr>
                <w:p>
                  <w:pPr>
                    <w:keepNext w:val="0"/>
                    <w:keepLines w:val="0"/>
                    <w:widowControl/>
                    <w:suppressLineNumbers w:val="0"/>
                    <w:spacing w:before="0" w:beforeAutospacing="0" w:after="0" w:afterAutospacing="0"/>
                    <w:ind w:left="0" w:right="0"/>
                    <w:jc w:val="center"/>
                    <w:rPr>
                      <w:rFonts w:hint="default"/>
                      <w:color w:val="auto"/>
                      <w:szCs w:val="21"/>
                    </w:rPr>
                  </w:pPr>
                  <w:r>
                    <w:rPr>
                      <w:rFonts w:hint="default"/>
                      <w:color w:val="auto"/>
                      <w:szCs w:val="21"/>
                    </w:rPr>
                    <w:t>5000</w:t>
                  </w:r>
                </w:p>
              </w:tc>
              <w:tc>
                <w:tcPr>
                  <w:tcW w:w="211"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72</w:t>
                  </w:r>
                  <w:r>
                    <w:rPr>
                      <w:rFonts w:hint="default"/>
                      <w:color w:val="auto"/>
                      <w:szCs w:val="21"/>
                    </w:rPr>
                    <w:t>00</w:t>
                  </w:r>
                </w:p>
              </w:tc>
            </w:tr>
          </w:tbl>
          <w:p>
            <w:pPr>
              <w:keepNext w:val="0"/>
              <w:keepLines w:val="0"/>
              <w:widowControl/>
              <w:suppressLineNumbers w:val="0"/>
              <w:spacing w:before="120" w:beforeLines="50" w:beforeAutospacing="0" w:after="0" w:afterAutospacing="0"/>
              <w:ind w:left="0" w:right="0"/>
              <w:jc w:val="center"/>
              <w:rPr>
                <w:rFonts w:hint="default"/>
                <w:b/>
                <w:color w:val="auto"/>
                <w:kern w:val="0"/>
                <w:sz w:val="24"/>
                <w:szCs w:val="20"/>
              </w:rPr>
            </w:pPr>
            <w:r>
              <w:rPr>
                <w:rFonts w:hint="default"/>
                <w:b/>
                <w:color w:val="auto"/>
                <w:kern w:val="0"/>
                <w:sz w:val="24"/>
                <w:szCs w:val="20"/>
              </w:rPr>
              <w:t>表</w:t>
            </w:r>
            <w:r>
              <w:rPr>
                <w:rFonts w:hint="eastAsia"/>
                <w:b/>
                <w:color w:val="auto"/>
                <w:kern w:val="0"/>
                <w:sz w:val="24"/>
                <w:szCs w:val="20"/>
              </w:rPr>
              <w:t>4</w:t>
            </w:r>
            <w:r>
              <w:rPr>
                <w:rFonts w:hint="default"/>
                <w:b/>
                <w:color w:val="auto"/>
                <w:kern w:val="0"/>
                <w:sz w:val="24"/>
                <w:szCs w:val="20"/>
              </w:rPr>
              <w:t xml:space="preserve">-2  </w:t>
            </w:r>
            <w:r>
              <w:rPr>
                <w:rFonts w:hint="default"/>
                <w:b/>
                <w:color w:val="auto"/>
                <w:sz w:val="24"/>
              </w:rPr>
              <w:t>项目</w:t>
            </w:r>
            <w:r>
              <w:rPr>
                <w:rFonts w:hint="eastAsia"/>
                <w:b/>
                <w:color w:val="auto"/>
                <w:kern w:val="0"/>
                <w:sz w:val="24"/>
                <w:szCs w:val="20"/>
              </w:rPr>
              <w:t>大气污染物有组织排放基本情况表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942"/>
              <w:gridCol w:w="2404"/>
              <w:gridCol w:w="1275"/>
              <w:gridCol w:w="1421"/>
              <w:gridCol w:w="1294"/>
              <w:gridCol w:w="1110"/>
              <w:gridCol w:w="1185"/>
              <w:gridCol w:w="1185"/>
              <w:gridCol w:w="17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Merge w:val="restart"/>
                  <w:vAlign w:val="center"/>
                </w:tcPr>
                <w:p>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排放口</w:t>
                  </w:r>
                </w:p>
                <w:p>
                  <w:pPr>
                    <w:keepNext w:val="0"/>
                    <w:keepLines w:val="0"/>
                    <w:widowControl/>
                    <w:suppressLineNumbers w:val="0"/>
                    <w:spacing w:before="0" w:beforeAutospacing="0" w:after="0" w:afterAutospacing="0"/>
                    <w:ind w:left="0" w:right="0"/>
                    <w:jc w:val="center"/>
                    <w:rPr>
                      <w:rFonts w:hint="default"/>
                      <w:b/>
                      <w:color w:val="auto"/>
                      <w:kern w:val="0"/>
                      <w:szCs w:val="21"/>
                    </w:rPr>
                  </w:pPr>
                  <w:r>
                    <w:rPr>
                      <w:rFonts w:hint="default"/>
                      <w:b/>
                      <w:color w:val="auto"/>
                      <w:kern w:val="0"/>
                      <w:szCs w:val="21"/>
                    </w:rPr>
                    <w:t>编号</w:t>
                  </w:r>
                </w:p>
              </w:tc>
              <w:tc>
                <w:tcPr>
                  <w:tcW w:w="957"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排放口名称</w:t>
                  </w:r>
                </w:p>
              </w:tc>
              <w:tc>
                <w:tcPr>
                  <w:tcW w:w="507"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排放口类型</w:t>
                  </w:r>
                </w:p>
              </w:tc>
              <w:tc>
                <w:tcPr>
                  <w:tcW w:w="1081" w:type="pct"/>
                  <w:gridSpan w:val="2"/>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排放口地理坐标</w:t>
                  </w:r>
                  <w:r>
                    <w:rPr>
                      <w:rFonts w:hint="default"/>
                      <w:b/>
                      <w:color w:val="auto"/>
                      <w:kern w:val="0"/>
                      <w:szCs w:val="21"/>
                    </w:rPr>
                    <w:t>(</w:t>
                  </w:r>
                  <w:r>
                    <w:rPr>
                      <w:rFonts w:hint="default"/>
                      <w:b/>
                      <w:color w:val="auto"/>
                      <w:kern w:val="0"/>
                      <w:szCs w:val="21"/>
                      <w:vertAlign w:val="superscript"/>
                    </w:rPr>
                    <w:t>o</w:t>
                  </w:r>
                  <w:r>
                    <w:rPr>
                      <w:rFonts w:hint="default"/>
                      <w:b/>
                      <w:color w:val="auto"/>
                      <w:kern w:val="0"/>
                      <w:szCs w:val="21"/>
                    </w:rPr>
                    <w:t>)</w:t>
                  </w:r>
                </w:p>
              </w:tc>
              <w:tc>
                <w:tcPr>
                  <w:tcW w:w="442"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污染物</w:t>
                  </w:r>
                </w:p>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名称</w:t>
                  </w:r>
                </w:p>
              </w:tc>
              <w:tc>
                <w:tcPr>
                  <w:tcW w:w="471"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年许可排放量（t/a）</w:t>
                  </w:r>
                </w:p>
              </w:tc>
              <w:tc>
                <w:tcPr>
                  <w:tcW w:w="471"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申请特殊排放浓度限值</w:t>
                  </w:r>
                </w:p>
              </w:tc>
              <w:tc>
                <w:tcPr>
                  <w:tcW w:w="692"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eastAsia"/>
                      <w:b/>
                      <w:color w:val="auto"/>
                      <w:kern w:val="0"/>
                      <w:szCs w:val="21"/>
                    </w:rPr>
                    <w:t>申请特殊时段许可排放量限值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957"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p>
              </w:tc>
              <w:tc>
                <w:tcPr>
                  <w:tcW w:w="507"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p>
              </w:tc>
              <w:tc>
                <w:tcPr>
                  <w:tcW w:w="565" w:type="pc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经度</w:t>
                  </w:r>
                </w:p>
              </w:tc>
              <w:tc>
                <w:tcPr>
                  <w:tcW w:w="515" w:type="pct"/>
                  <w:vAlign w:val="center"/>
                </w:tcPr>
                <w:p>
                  <w:pPr>
                    <w:keepNext w:val="0"/>
                    <w:keepLines w:val="0"/>
                    <w:widowControl/>
                    <w:suppressLineNumbers w:val="0"/>
                    <w:snapToGrid w:val="0"/>
                    <w:spacing w:before="0" w:beforeAutospacing="0" w:after="0" w:afterAutospacing="0"/>
                    <w:ind w:left="0" w:right="0"/>
                    <w:jc w:val="center"/>
                    <w:rPr>
                      <w:rFonts w:hint="default"/>
                      <w:b/>
                      <w:color w:val="auto"/>
                      <w:kern w:val="0"/>
                      <w:szCs w:val="21"/>
                    </w:rPr>
                  </w:pPr>
                  <w:r>
                    <w:rPr>
                      <w:rFonts w:hint="default"/>
                      <w:b/>
                      <w:color w:val="auto"/>
                      <w:kern w:val="0"/>
                      <w:szCs w:val="21"/>
                    </w:rPr>
                    <w:t>纬度</w:t>
                  </w:r>
                </w:p>
              </w:tc>
              <w:tc>
                <w:tcPr>
                  <w:tcW w:w="442"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471"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471"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692"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DA001</w:t>
                  </w:r>
                </w:p>
              </w:tc>
              <w:tc>
                <w:tcPr>
                  <w:tcW w:w="957"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熔化、天然气燃烧</w:t>
                  </w:r>
                  <w:r>
                    <w:rPr>
                      <w:rFonts w:hint="eastAsia"/>
                      <w:color w:val="auto"/>
                      <w:szCs w:val="21"/>
                    </w:rPr>
                    <w:t>废气</w:t>
                  </w:r>
                  <w:r>
                    <w:rPr>
                      <w:rFonts w:hint="eastAsia"/>
                      <w:color w:val="auto"/>
                      <w:kern w:val="0"/>
                      <w:szCs w:val="21"/>
                    </w:rPr>
                    <w:t>排放口</w:t>
                  </w:r>
                </w:p>
              </w:tc>
              <w:tc>
                <w:tcPr>
                  <w:tcW w:w="507"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eastAsia"/>
                      <w:color w:val="auto"/>
                      <w:kern w:val="0"/>
                      <w:szCs w:val="21"/>
                    </w:rPr>
                    <w:t>一般排放口</w:t>
                  </w:r>
                </w:p>
              </w:tc>
              <w:tc>
                <w:tcPr>
                  <w:tcW w:w="565"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118.226953432</w:t>
                  </w:r>
                </w:p>
              </w:tc>
              <w:tc>
                <w:tcPr>
                  <w:tcW w:w="515" w:type="pct"/>
                  <w:vMerge w:val="restar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31.216735875</w:t>
                  </w:r>
                </w:p>
              </w:tc>
              <w:tc>
                <w:tcPr>
                  <w:tcW w:w="442"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auto"/>
                      <w:szCs w:val="21"/>
                      <w:lang w:val="en-US" w:eastAsia="zh-CN"/>
                    </w:rPr>
                  </w:pPr>
                  <w:r>
                    <w:rPr>
                      <w:rFonts w:hint="eastAsia"/>
                      <w:color w:val="auto"/>
                      <w:szCs w:val="21"/>
                      <w:lang w:val="en-US" w:eastAsia="zh-CN"/>
                    </w:rPr>
                    <w:t>颗粒物</w:t>
                  </w:r>
                </w:p>
              </w:tc>
              <w:tc>
                <w:tcPr>
                  <w:tcW w:w="471"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0.034</w:t>
                  </w:r>
                </w:p>
              </w:tc>
              <w:tc>
                <w:tcPr>
                  <w:tcW w:w="471" w:type="pct"/>
                  <w:vAlign w:val="center"/>
                </w:tcPr>
                <w:p>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eastAsia"/>
                      <w:color w:val="auto"/>
                      <w:szCs w:val="21"/>
                    </w:rPr>
                    <w:t>/</w:t>
                  </w:r>
                </w:p>
              </w:tc>
              <w:tc>
                <w:tcPr>
                  <w:tcW w:w="692" w:type="pct"/>
                  <w:vAlign w:val="center"/>
                </w:tcPr>
                <w:p>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95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07"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565"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15"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442"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二氧化硫</w:t>
                  </w:r>
                </w:p>
              </w:tc>
              <w:tc>
                <w:tcPr>
                  <w:tcW w:w="471"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0.068</w:t>
                  </w:r>
                </w:p>
              </w:tc>
              <w:tc>
                <w:tcPr>
                  <w:tcW w:w="471"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c>
                <w:tcPr>
                  <w:tcW w:w="692"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p>
              </w:tc>
              <w:tc>
                <w:tcPr>
                  <w:tcW w:w="957"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07"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p>
              </w:tc>
              <w:tc>
                <w:tcPr>
                  <w:tcW w:w="565"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515" w:type="pct"/>
                  <w:vMerge w:val="continue"/>
                  <w:vAlign w:val="center"/>
                </w:tcPr>
                <w:p>
                  <w:pPr>
                    <w:keepNext w:val="0"/>
                    <w:keepLines w:val="0"/>
                    <w:suppressLineNumbers w:val="0"/>
                    <w:spacing w:before="0" w:beforeAutospacing="0" w:after="0" w:afterAutospacing="0"/>
                    <w:ind w:left="0" w:right="0"/>
                    <w:jc w:val="center"/>
                    <w:rPr>
                      <w:rFonts w:hint="default"/>
                      <w:color w:val="auto"/>
                      <w:szCs w:val="21"/>
                    </w:rPr>
                  </w:pPr>
                </w:p>
              </w:tc>
              <w:tc>
                <w:tcPr>
                  <w:tcW w:w="442"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auto"/>
                      <w:kern w:val="2"/>
                      <w:sz w:val="21"/>
                      <w:szCs w:val="21"/>
                      <w:lang w:val="en-US" w:eastAsia="zh-CN" w:bidi="ar-SA"/>
                    </w:rPr>
                  </w:pPr>
                  <w:r>
                    <w:rPr>
                      <w:rFonts w:hint="eastAsia"/>
                      <w:bCs/>
                      <w:color w:val="auto"/>
                      <w:szCs w:val="21"/>
                      <w:lang w:val="en-US" w:eastAsia="zh-CN"/>
                    </w:rPr>
                    <w:t>氮氧化物</w:t>
                  </w:r>
                </w:p>
              </w:tc>
              <w:tc>
                <w:tcPr>
                  <w:tcW w:w="471"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0.320</w:t>
                  </w:r>
                </w:p>
              </w:tc>
              <w:tc>
                <w:tcPr>
                  <w:tcW w:w="471"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c>
                <w:tcPr>
                  <w:tcW w:w="692"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DA002</w:t>
                  </w:r>
                </w:p>
              </w:tc>
              <w:tc>
                <w:tcPr>
                  <w:tcW w:w="95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压铸脱模</w:t>
                  </w:r>
                  <w:r>
                    <w:rPr>
                      <w:rFonts w:hint="eastAsia"/>
                      <w:color w:val="auto"/>
                      <w:szCs w:val="21"/>
                    </w:rPr>
                    <w:t>废气</w:t>
                  </w:r>
                  <w:r>
                    <w:rPr>
                      <w:rFonts w:hint="eastAsia"/>
                      <w:color w:val="auto"/>
                      <w:kern w:val="0"/>
                      <w:szCs w:val="21"/>
                    </w:rPr>
                    <w:t>排放口</w:t>
                  </w:r>
                </w:p>
              </w:tc>
              <w:tc>
                <w:tcPr>
                  <w:tcW w:w="507"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rPr>
                    <w:t>一般排放口</w:t>
                  </w:r>
                </w:p>
              </w:tc>
              <w:tc>
                <w:tcPr>
                  <w:tcW w:w="56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118.227538184</w:t>
                  </w:r>
                </w:p>
              </w:tc>
              <w:tc>
                <w:tcPr>
                  <w:tcW w:w="515"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31.216341832</w:t>
                  </w:r>
                </w:p>
              </w:tc>
              <w:tc>
                <w:tcPr>
                  <w:tcW w:w="442" w:type="pct"/>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非甲烷总烃</w:t>
                  </w:r>
                </w:p>
              </w:tc>
              <w:tc>
                <w:tcPr>
                  <w:tcW w:w="471"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0.158</w:t>
                  </w:r>
                </w:p>
              </w:tc>
              <w:tc>
                <w:tcPr>
                  <w:tcW w:w="471"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c>
                <w:tcPr>
                  <w:tcW w:w="692" w:type="pct"/>
                  <w:vAlign w:val="center"/>
                </w:tcPr>
                <w:p>
                  <w:pPr>
                    <w:keepNext w:val="0"/>
                    <w:keepLines w:val="0"/>
                    <w:widowControl/>
                    <w:suppressLineNumbers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25" w:hRule="atLeast"/>
                <w:jc w:val="center"/>
              </w:trPr>
              <w:tc>
                <w:tcPr>
                  <w:tcW w:w="375" w:type="pct"/>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auto"/>
                      <w:szCs w:val="21"/>
                      <w:lang w:eastAsia="zh-CN"/>
                    </w:rPr>
                  </w:pPr>
                  <w:r>
                    <w:rPr>
                      <w:rFonts w:hint="default"/>
                      <w:color w:val="auto"/>
                      <w:szCs w:val="21"/>
                    </w:rPr>
                    <w:t>DA00</w:t>
                  </w:r>
                  <w:r>
                    <w:rPr>
                      <w:rFonts w:hint="eastAsia"/>
                      <w:color w:val="auto"/>
                      <w:szCs w:val="21"/>
                      <w:lang w:val="en-US" w:eastAsia="zh-CN"/>
                    </w:rPr>
                    <w:t>3</w:t>
                  </w:r>
                </w:p>
              </w:tc>
              <w:tc>
                <w:tcPr>
                  <w:tcW w:w="957"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eastAsia"/>
                      <w:color w:val="auto"/>
                      <w:szCs w:val="21"/>
                      <w:lang w:val="en-US" w:eastAsia="zh-CN"/>
                    </w:rPr>
                    <w:t>抛丸</w:t>
                  </w:r>
                  <w:r>
                    <w:rPr>
                      <w:rFonts w:hint="eastAsia"/>
                      <w:color w:val="auto"/>
                      <w:szCs w:val="21"/>
                    </w:rPr>
                    <w:t>废气</w:t>
                  </w:r>
                  <w:r>
                    <w:rPr>
                      <w:rFonts w:hint="eastAsia"/>
                      <w:color w:val="auto"/>
                      <w:kern w:val="0"/>
                      <w:szCs w:val="21"/>
                    </w:rPr>
                    <w:t>排放口</w:t>
                  </w:r>
                </w:p>
              </w:tc>
              <w:tc>
                <w:tcPr>
                  <w:tcW w:w="507" w:type="pct"/>
                  <w:vAlign w:val="center"/>
                </w:tcPr>
                <w:p>
                  <w:pPr>
                    <w:keepNext w:val="0"/>
                    <w:keepLines w:val="0"/>
                    <w:widowControl/>
                    <w:suppressLineNumbers w:val="0"/>
                    <w:snapToGrid w:val="0"/>
                    <w:spacing w:before="0" w:beforeAutospacing="0" w:after="0" w:afterAutospacing="0"/>
                    <w:ind w:left="0" w:right="0"/>
                    <w:jc w:val="center"/>
                    <w:rPr>
                      <w:rFonts w:hint="default"/>
                      <w:color w:val="auto"/>
                      <w:kern w:val="0"/>
                      <w:szCs w:val="21"/>
                    </w:rPr>
                  </w:pPr>
                  <w:r>
                    <w:rPr>
                      <w:rFonts w:hint="eastAsia"/>
                      <w:color w:val="auto"/>
                      <w:kern w:val="0"/>
                      <w:szCs w:val="21"/>
                    </w:rPr>
                    <w:t>一般排放口</w:t>
                  </w:r>
                </w:p>
              </w:tc>
              <w:tc>
                <w:tcPr>
                  <w:tcW w:w="565"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118.226843461</w:t>
                  </w:r>
                </w:p>
              </w:tc>
              <w:tc>
                <w:tcPr>
                  <w:tcW w:w="515" w:type="pct"/>
                  <w:vAlign w:val="center"/>
                </w:tcPr>
                <w:p>
                  <w:pPr>
                    <w:keepNext w:val="0"/>
                    <w:keepLines w:val="0"/>
                    <w:suppressLineNumbers w:val="0"/>
                    <w:spacing w:before="0" w:beforeAutospacing="0" w:after="0" w:afterAutospacing="0"/>
                    <w:ind w:left="0" w:right="0"/>
                    <w:jc w:val="center"/>
                    <w:rPr>
                      <w:rFonts w:hint="default"/>
                      <w:color w:val="auto"/>
                      <w:szCs w:val="21"/>
                    </w:rPr>
                  </w:pPr>
                  <w:r>
                    <w:rPr>
                      <w:rFonts w:hint="default"/>
                      <w:color w:val="auto"/>
                      <w:szCs w:val="21"/>
                    </w:rPr>
                    <w:t>31.216593718</w:t>
                  </w:r>
                </w:p>
              </w:tc>
              <w:tc>
                <w:tcPr>
                  <w:tcW w:w="442" w:type="pct"/>
                  <w:vAlign w:val="center"/>
                </w:tcPr>
                <w:p>
                  <w:pPr>
                    <w:keepNext w:val="0"/>
                    <w:keepLines w:val="0"/>
                    <w:suppressLineNumbers w:val="0"/>
                    <w:spacing w:before="0" w:beforeAutospacing="0" w:after="0" w:afterAutospacing="0"/>
                    <w:ind w:left="-105" w:leftChars="-50" w:right="-105" w:rightChars="-50"/>
                    <w:jc w:val="center"/>
                    <w:rPr>
                      <w:rFonts w:hint="eastAsia" w:eastAsia="宋体"/>
                      <w:color w:val="auto"/>
                      <w:szCs w:val="21"/>
                      <w:lang w:eastAsia="zh-CN"/>
                    </w:rPr>
                  </w:pPr>
                  <w:r>
                    <w:rPr>
                      <w:rFonts w:hint="eastAsia"/>
                      <w:color w:val="auto"/>
                      <w:szCs w:val="21"/>
                      <w:lang w:val="en-US" w:eastAsia="zh-CN"/>
                    </w:rPr>
                    <w:t>颗粒物</w:t>
                  </w:r>
                </w:p>
              </w:tc>
              <w:tc>
                <w:tcPr>
                  <w:tcW w:w="471"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0.085</w:t>
                  </w:r>
                </w:p>
              </w:tc>
              <w:tc>
                <w:tcPr>
                  <w:tcW w:w="471" w:type="pct"/>
                  <w:vAlign w:val="center"/>
                </w:tcPr>
                <w:p>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eastAsia"/>
                      <w:color w:val="auto"/>
                      <w:szCs w:val="21"/>
                    </w:rPr>
                    <w:t>/</w:t>
                  </w:r>
                </w:p>
              </w:tc>
              <w:tc>
                <w:tcPr>
                  <w:tcW w:w="692" w:type="pct"/>
                  <w:vAlign w:val="center"/>
                </w:tcPr>
                <w:p>
                  <w:pPr>
                    <w:keepNext w:val="0"/>
                    <w:keepLines w:val="0"/>
                    <w:widowControl/>
                    <w:suppressLineNumbers w:val="0"/>
                    <w:snapToGrid w:val="0"/>
                    <w:spacing w:before="0" w:beforeAutospacing="0" w:after="0" w:afterAutospacing="0"/>
                    <w:ind w:left="0" w:right="0"/>
                    <w:jc w:val="center"/>
                    <w:rPr>
                      <w:rFonts w:hint="default"/>
                      <w:color w:val="auto"/>
                      <w:szCs w:val="21"/>
                    </w:rPr>
                  </w:pPr>
                  <w:r>
                    <w:rPr>
                      <w:rFonts w:hint="eastAsia"/>
                      <w:color w:val="auto"/>
                      <w:szCs w:val="21"/>
                    </w:rPr>
                    <w:t>/</w:t>
                  </w:r>
                </w:p>
              </w:tc>
            </w:tr>
          </w:tbl>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表</w:t>
            </w:r>
            <w:r>
              <w:rPr>
                <w:rFonts w:hint="eastAsia"/>
                <w:b/>
                <w:color w:val="0D0D0D" w:themeColor="text1" w:themeTint="F2"/>
                <w:kern w:val="0"/>
                <w:sz w:val="24"/>
                <w:szCs w:val="20"/>
                <w14:textFill>
                  <w14:solidFill>
                    <w14:schemeClr w14:val="tx1">
                      <w14:lumMod w14:val="95000"/>
                      <w14:lumOff w14:val="5000"/>
                    </w14:schemeClr>
                  </w14:solidFill>
                </w14:textFill>
              </w:rPr>
              <w:t>4</w:t>
            </w:r>
            <w:r>
              <w:rPr>
                <w:rFonts w:hint="default"/>
                <w:b/>
                <w:color w:val="0D0D0D" w:themeColor="text1" w:themeTint="F2"/>
                <w:kern w:val="0"/>
                <w:sz w:val="24"/>
                <w:szCs w:val="20"/>
                <w14:textFill>
                  <w14:solidFill>
                    <w14:schemeClr w14:val="tx1">
                      <w14:lumMod w14:val="95000"/>
                      <w14:lumOff w14:val="5000"/>
                    </w14:schemeClr>
                  </w14:solidFill>
                </w14:textFill>
              </w:rPr>
              <w:t xml:space="preserve">-3  </w:t>
            </w:r>
            <w:r>
              <w:rPr>
                <w:rFonts w:hint="eastAsia"/>
                <w:b/>
                <w:color w:val="0D0D0D" w:themeColor="text1" w:themeTint="F2"/>
                <w:kern w:val="0"/>
                <w:sz w:val="24"/>
                <w:szCs w:val="20"/>
                <w14:textFill>
                  <w14:solidFill>
                    <w14:schemeClr w14:val="tx1">
                      <w14:lumMod w14:val="95000"/>
                      <w14:lumOff w14:val="5000"/>
                    </w14:schemeClr>
                  </w14:solidFill>
                </w14:textFill>
              </w:rPr>
              <w:t>项目无组织废气排放情况表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40"/>
              <w:gridCol w:w="2165"/>
              <w:gridCol w:w="1297"/>
              <w:gridCol w:w="1445"/>
              <w:gridCol w:w="1297"/>
              <w:gridCol w:w="1010"/>
              <w:gridCol w:w="13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产污环节</w:t>
                  </w:r>
                </w:p>
              </w:tc>
              <w:tc>
                <w:tcPr>
                  <w:tcW w:w="862"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污染物</w:t>
                  </w:r>
                </w:p>
              </w:tc>
              <w:tc>
                <w:tcPr>
                  <w:tcW w:w="1091" w:type="pct"/>
                  <w:gridSpan w:val="2"/>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产生状况</w:t>
                  </w:r>
                </w:p>
              </w:tc>
              <w:tc>
                <w:tcPr>
                  <w:tcW w:w="516" w:type="pct"/>
                  <w:vMerge w:val="restart"/>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处理措施</w:t>
                  </w:r>
                </w:p>
              </w:tc>
              <w:tc>
                <w:tcPr>
                  <w:tcW w:w="920" w:type="pct"/>
                  <w:gridSpan w:val="2"/>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排放</w:t>
                  </w:r>
                  <w:r>
                    <w:rPr>
                      <w:rFonts w:hint="default"/>
                      <w:b/>
                      <w:color w:val="0D0D0D" w:themeColor="text1" w:themeTint="F2"/>
                      <w:kern w:val="0"/>
                      <w:szCs w:val="21"/>
                      <w14:textFill>
                        <w14:solidFill>
                          <w14:schemeClr w14:val="tx1">
                            <w14:lumMod w14:val="95000"/>
                            <w14:lumOff w14:val="5000"/>
                          </w14:schemeClr>
                        </w14:solidFill>
                      </w14:textFill>
                    </w:rPr>
                    <w:t>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p>
              </w:tc>
              <w:tc>
                <w:tcPr>
                  <w:tcW w:w="862"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516"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产生量</w:t>
                  </w:r>
                </w:p>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t/a</w:t>
                  </w:r>
                </w:p>
              </w:tc>
              <w:tc>
                <w:tcPr>
                  <w:tcW w:w="575"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产生速率</w:t>
                  </w:r>
                </w:p>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kg/h</w:t>
                  </w:r>
                </w:p>
              </w:tc>
              <w:tc>
                <w:tcPr>
                  <w:tcW w:w="516" w:type="pct"/>
                  <w:vMerge w:val="continue"/>
                  <w:vAlign w:val="center"/>
                </w:tcPr>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排放</w:t>
                  </w:r>
                  <w:r>
                    <w:rPr>
                      <w:rFonts w:hint="default"/>
                      <w:b/>
                      <w:color w:val="0D0D0D" w:themeColor="text1" w:themeTint="F2"/>
                      <w:kern w:val="0"/>
                      <w:szCs w:val="21"/>
                      <w14:textFill>
                        <w14:solidFill>
                          <w14:schemeClr w14:val="tx1">
                            <w14:lumMod w14:val="95000"/>
                            <w14:lumOff w14:val="5000"/>
                          </w14:schemeClr>
                        </w14:solidFill>
                      </w14:textFill>
                    </w:rPr>
                    <w:t>量</w:t>
                  </w:r>
                </w:p>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t/a</w:t>
                  </w:r>
                </w:p>
              </w:tc>
              <w:tc>
                <w:tcPr>
                  <w:tcW w:w="518"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排放</w:t>
                  </w:r>
                  <w:r>
                    <w:rPr>
                      <w:rFonts w:hint="default"/>
                      <w:b/>
                      <w:color w:val="0D0D0D" w:themeColor="text1" w:themeTint="F2"/>
                      <w:kern w:val="0"/>
                      <w:szCs w:val="21"/>
                      <w14:textFill>
                        <w14:solidFill>
                          <w14:schemeClr w14:val="tx1">
                            <w14:lumMod w14:val="95000"/>
                            <w14:lumOff w14:val="5000"/>
                          </w14:schemeClr>
                        </w14:solidFill>
                      </w14:textFill>
                    </w:rPr>
                    <w:t>速率</w:t>
                  </w:r>
                </w:p>
                <w:p>
                  <w:pPr>
                    <w:keepNext w:val="0"/>
                    <w:keepLines w:val="0"/>
                    <w:widowControl/>
                    <w:suppressLineNumbers w:val="0"/>
                    <w:snapToGrid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熔化、天然气燃烧</w:t>
                  </w:r>
                </w:p>
              </w:tc>
              <w:tc>
                <w:tcPr>
                  <w:tcW w:w="862"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0.373</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0.052</w:t>
                  </w:r>
                </w:p>
              </w:tc>
              <w:tc>
                <w:tcPr>
                  <w:tcW w:w="516" w:type="pct"/>
                  <w:vMerge w:val="restar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加强管理</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密闭收集</w:t>
                  </w: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0.373</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压铸脱模</w:t>
                  </w:r>
                  <w:r>
                    <w:rPr>
                      <w:rFonts w:hint="eastAsia"/>
                      <w:color w:val="0D0D0D" w:themeColor="text1" w:themeTint="F2"/>
                      <w:szCs w:val="21"/>
                      <w14:textFill>
                        <w14:solidFill>
                          <w14:schemeClr w14:val="tx1">
                            <w14:lumMod w14:val="95000"/>
                            <w14:lumOff w14:val="5000"/>
                          </w14:schemeClr>
                        </w14:solidFill>
                      </w14:textFill>
                    </w:rPr>
                    <w:t>废气</w:t>
                  </w:r>
                </w:p>
              </w:tc>
              <w:tc>
                <w:tcPr>
                  <w:tcW w:w="862" w:type="pct"/>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非甲烷总烃</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0.175</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0.024</w:t>
                  </w:r>
                </w:p>
              </w:tc>
              <w:tc>
                <w:tcPr>
                  <w:tcW w:w="516" w:type="pct"/>
                  <w:vMerge w:val="continue"/>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0.175</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Merge w:val="restart"/>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天然气燃烧</w:t>
                  </w:r>
                </w:p>
              </w:tc>
              <w:tc>
                <w:tcPr>
                  <w:tcW w:w="862"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二氧化硫</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0.008</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c>
                <w:tcPr>
                  <w:tcW w:w="516" w:type="pct"/>
                  <w:vMerge w:val="continue"/>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0.008</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Merge w:val="continue"/>
                  <w:vAlign w:val="center"/>
                </w:tcPr>
                <w:p>
                  <w:pPr>
                    <w:keepNext w:val="0"/>
                    <w:keepLines w:val="0"/>
                    <w:widowControl/>
                    <w:suppressLineNumbers w:val="0"/>
                    <w:spacing w:before="0" w:beforeAutospacing="0" w:after="0" w:afterAutospacing="0"/>
                    <w:ind w:left="-105" w:leftChars="-50" w:right="-105" w:rightChars="-50"/>
                    <w:jc w:val="center"/>
                    <w:rPr>
                      <w:rFonts w:hint="eastAsia"/>
                      <w:color w:val="0D0D0D" w:themeColor="text1" w:themeTint="F2"/>
                      <w:szCs w:val="21"/>
                      <w:lang w:val="en-US" w:eastAsia="zh-CN"/>
                      <w14:textFill>
                        <w14:solidFill>
                          <w14:schemeClr w14:val="tx1">
                            <w14:lumMod w14:val="95000"/>
                            <w14:lumOff w14:val="5000"/>
                          </w14:schemeClr>
                        </w14:solidFill>
                      </w14:textFill>
                    </w:rPr>
                  </w:pPr>
                </w:p>
              </w:tc>
              <w:tc>
                <w:tcPr>
                  <w:tcW w:w="862"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氮氧化物</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0.036</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0.005</w:t>
                  </w:r>
                </w:p>
              </w:tc>
              <w:tc>
                <w:tcPr>
                  <w:tcW w:w="516" w:type="pct"/>
                  <w:vMerge w:val="continue"/>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0.036</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打磨</w:t>
                  </w:r>
                </w:p>
              </w:tc>
              <w:tc>
                <w:tcPr>
                  <w:tcW w:w="862"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0.931</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0.129</w:t>
                  </w:r>
                </w:p>
              </w:tc>
              <w:tc>
                <w:tcPr>
                  <w:tcW w:w="516" w:type="pct"/>
                  <w:vMerge w:val="continue"/>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0.931</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0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食堂</w:t>
                  </w:r>
                </w:p>
              </w:tc>
              <w:tc>
                <w:tcPr>
                  <w:tcW w:w="862" w:type="pct"/>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油烟</w:t>
                  </w:r>
                </w:p>
              </w:tc>
              <w:tc>
                <w:tcPr>
                  <w:tcW w:w="516"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c>
                <w:tcPr>
                  <w:tcW w:w="575" w:type="pct"/>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c>
                <w:tcPr>
                  <w:tcW w:w="516" w:type="pct"/>
                  <w:vMerge w:val="continue"/>
                  <w:vAlign w:val="center"/>
                </w:tcPr>
                <w:p>
                  <w:pPr>
                    <w:keepNext w:val="0"/>
                    <w:keepLines w:val="0"/>
                    <w:suppressLineNumbers w:val="0"/>
                    <w:adjustRightInd w:val="0"/>
                    <w:snapToGrid w:val="0"/>
                    <w:spacing w:before="0" w:beforeAutospacing="0" w:after="0" w:afterAutospacing="0"/>
                    <w:ind w:left="0" w:right="0"/>
                    <w:jc w:val="center"/>
                    <w:textAlignment w:val="baseline"/>
                    <w:rPr>
                      <w:rFonts w:hint="default"/>
                      <w:color w:val="0D0D0D" w:themeColor="text1" w:themeTint="F2"/>
                      <w:szCs w:val="21"/>
                      <w14:textFill>
                        <w14:solidFill>
                          <w14:schemeClr w14:val="tx1">
                            <w14:lumMod w14:val="95000"/>
                            <w14:lumOff w14:val="5000"/>
                          </w14:schemeClr>
                        </w14:solidFill>
                      </w14:textFill>
                    </w:rPr>
                  </w:pPr>
                </w:p>
              </w:tc>
              <w:tc>
                <w:tcPr>
                  <w:tcW w:w="402"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c>
                <w:tcPr>
                  <w:tcW w:w="518" w:type="pct"/>
                  <w:vAlign w:val="center"/>
                </w:tcPr>
                <w:p>
                  <w:pPr>
                    <w:keepNext w:val="0"/>
                    <w:keepLines w:val="0"/>
                    <w:suppressLineNumbers w:val="0"/>
                    <w:adjustRightInd w:val="0"/>
                    <w:snapToGrid w:val="0"/>
                    <w:spacing w:before="0" w:beforeAutospacing="0" w:after="0" w:afterAutospacing="0"/>
                    <w:ind w:left="0" w:leftChars="0" w:right="0" w:rightChars="0"/>
                    <w:jc w:val="center"/>
                    <w:textAlignment w:val="baseline"/>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0.001</w:t>
                  </w:r>
                </w:p>
              </w:tc>
            </w:tr>
          </w:tbl>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widowControl/>
              <w:suppressLineNumbers w:val="0"/>
              <w:spacing w:before="240" w:beforeLines="100" w:beforeAutospacing="0" w:after="0" w:afterAutospacing="0"/>
              <w:ind w:left="0" w:right="0"/>
              <w:jc w:val="center"/>
              <w:rPr>
                <w:rFonts w:hint="default"/>
                <w:b/>
                <w:color w:val="0D0D0D" w:themeColor="text1" w:themeTint="F2"/>
                <w:kern w:val="0"/>
                <w:sz w:val="24"/>
                <w:szCs w:val="20"/>
                <w14:textFill>
                  <w14:solidFill>
                    <w14:schemeClr w14:val="tx1">
                      <w14:lumMod w14:val="95000"/>
                      <w14:lumOff w14:val="5000"/>
                    </w14:schemeClr>
                  </w14:solidFill>
                </w14:textFill>
              </w:rPr>
            </w:pPr>
          </w:p>
          <w:p>
            <w:pPr>
              <w:keepNext w:val="0"/>
              <w:keepLines w:val="0"/>
              <w:suppressLineNumbers w:val="0"/>
              <w:spacing w:before="120" w:beforeLines="50" w:beforeAutospacing="0" w:after="0" w:afterAutospacing="0" w:line="360" w:lineRule="auto"/>
              <w:ind w:left="0" w:right="0"/>
              <w:rPr>
                <w:rFonts w:hint="default" w:cs="宋体"/>
                <w:b/>
                <w:color w:val="0D0D0D" w:themeColor="text1" w:themeTint="F2"/>
                <w:szCs w:val="21"/>
                <w14:textFill>
                  <w14:solidFill>
                    <w14:schemeClr w14:val="tx1">
                      <w14:lumMod w14:val="95000"/>
                      <w14:lumOff w14:val="5000"/>
                    </w14:schemeClr>
                  </w14:solidFill>
                </w14:textFill>
              </w:rPr>
            </w:pPr>
          </w:p>
        </w:tc>
      </w:tr>
    </w:tbl>
    <w:p>
      <w:pPr>
        <w:tabs>
          <w:tab w:val="left" w:pos="1077"/>
        </w:tabs>
        <w:rPr>
          <w:rFonts w:cs="宋体"/>
          <w:color w:val="0D0D0D" w:themeColor="text1" w:themeTint="F2"/>
          <w:sz w:val="24"/>
          <w14:textFill>
            <w14:solidFill>
              <w14:schemeClr w14:val="tx1">
                <w14:lumMod w14:val="95000"/>
                <w14:lumOff w14:val="5000"/>
              </w14:schemeClr>
            </w14:solidFill>
          </w14:textFill>
        </w:rPr>
        <w:sectPr>
          <w:pgSz w:w="16840" w:h="11907" w:orient="landscape"/>
          <w:pgMar w:top="1531" w:right="2127"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59"/>
        <w:tblW w:w="5000"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48"/>
        <w:gridCol w:w="851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542" w:type="dxa"/>
            <w:vMerge w:val="restart"/>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运营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境影</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响和</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tabs>
                <w:tab w:val="left" w:pos="1077"/>
              </w:tabs>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措施</w:t>
            </w:r>
          </w:p>
        </w:tc>
        <w:tc>
          <w:tcPr>
            <w:tcW w:w="8519" w:type="dxa"/>
            <w:shd w:val="clear" w:color="auto" w:fill="auto"/>
          </w:tcPr>
          <w:p>
            <w:pPr>
              <w:keepNext w:val="0"/>
              <w:keepLines w:val="0"/>
              <w:suppressLineNumbers w:val="0"/>
              <w:tabs>
                <w:tab w:val="left" w:pos="1077"/>
              </w:tabs>
              <w:spacing w:before="120" w:beforeLines="50" w:beforeAutospacing="0" w:after="0" w:afterAutospacing="0" w:line="360" w:lineRule="auto"/>
              <w:ind w:left="0" w:right="0" w:firstLine="482" w:firstLineChars="200"/>
              <w:rPr>
                <w:rFonts w:hint="default" w:cs="宋体"/>
                <w:b/>
                <w:color w:val="0D0D0D" w:themeColor="text1" w:themeTint="F2"/>
                <w:sz w:val="24"/>
                <w14:textFill>
                  <w14:solidFill>
                    <w14:schemeClr w14:val="tx1">
                      <w14:lumMod w14:val="95000"/>
                      <w14:lumOff w14:val="5000"/>
                    </w14:schemeClr>
                  </w14:solidFill>
                </w14:textFill>
              </w:rPr>
            </w:pPr>
            <w:bookmarkStart w:id="4" w:name="_Hlk78920458"/>
            <w:r>
              <w:rPr>
                <w:rFonts w:hint="default" w:cs="宋体"/>
                <w:b/>
                <w:color w:val="0D0D0D" w:themeColor="text1" w:themeTint="F2"/>
                <w:sz w:val="24"/>
                <w14:textFill>
                  <w14:solidFill>
                    <w14:schemeClr w14:val="tx1">
                      <w14:lumMod w14:val="95000"/>
                      <w14:lumOff w14:val="5000"/>
                    </w14:schemeClr>
                  </w14:solidFill>
                </w14:textFill>
              </w:rPr>
              <w:t>2</w:t>
            </w:r>
            <w:r>
              <w:rPr>
                <w:rFonts w:hint="eastAsia" w:cs="宋体"/>
                <w:b/>
                <w:color w:val="0D0D0D" w:themeColor="text1" w:themeTint="F2"/>
                <w:sz w:val="24"/>
                <w14:textFill>
                  <w14:solidFill>
                    <w14:schemeClr w14:val="tx1">
                      <w14:lumMod w14:val="95000"/>
                      <w14:lumOff w14:val="5000"/>
                    </w14:schemeClr>
                  </w14:solidFill>
                </w14:textFill>
              </w:rPr>
              <w:t>、废气非正常排放</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非正常排放主要是指生产过程中开、停车、检修、发生故障情况下污染物的排放，不包括事故。非正常排放大小及频率与生产装置的工艺水平、操作管理水平等因素有密切关系，若没有严格的处理措施，往往是造成污染的重要因素。</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本项目非正常工况主要包括开、停车，检修；电力供应突然中断；废气处理设施故障。项目非正常工况会引起污染物的非正常排放。本项目非正常工况下情况分析如下：</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（1）开停车</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项目计划停车，装置首先要停工，生产装置及环保设施等同步进行检修、维护和保养后，再开工生产。</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（2）设备故障</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当生产系统出现故障如停电，先要停工，来电后再开工生产。</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由于开停车、设备检修等非正常工况产生的废气量均比正常工况的小，污染物也比正常工况时产生量少，废气经尾气处理装置处理后排放对周围环境的影响也相应地比正常工况轻。因此本次评价不考虑开停车及设备检修产生的污染物影响。</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（3）废气处置效率降低</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鉴于拟建项目产污主要集中在生产车间，污染物产生种类较少，产生速率较大，故拟建项目非正常工况为配套的废气处理装置处理效率无法达到设计效率时，（非正常工况年排放时间按1h时间计算），废气在未经有效处理的情况通过排气筒排放，非正常工况下废气排放详见下表。本次评价环评要求企业实定期检查尾气处理装置，严格管理，避免失效工况发生。</w:t>
            </w:r>
            <w:bookmarkEnd w:id="4"/>
            <w:bookmarkStart w:id="5" w:name="_Hlk78920467"/>
          </w:p>
          <w:p>
            <w:pPr>
              <w:keepNext w:val="0"/>
              <w:keepLines w:val="0"/>
              <w:widowControl/>
              <w:suppressLineNumbers w:val="0"/>
              <w:spacing w:before="0" w:beforeAutospacing="0" w:after="0" w:afterAutospacing="0"/>
              <w:ind w:left="0" w:right="0"/>
              <w:jc w:val="center"/>
              <w:rPr>
                <w:rFonts w:hint="default"/>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表</w:t>
            </w:r>
            <w:r>
              <w:rPr>
                <w:rFonts w:hint="eastAsia"/>
                <w:b/>
                <w:color w:val="0D0D0D" w:themeColor="text1" w:themeTint="F2"/>
                <w:kern w:val="0"/>
                <w:sz w:val="24"/>
                <w14:textFill>
                  <w14:solidFill>
                    <w14:schemeClr w14:val="tx1">
                      <w14:lumMod w14:val="95000"/>
                      <w14:lumOff w14:val="5000"/>
                    </w14:schemeClr>
                  </w14:solidFill>
                </w14:textFill>
              </w:rPr>
              <w:t>4</w:t>
            </w:r>
            <w:r>
              <w:rPr>
                <w:rFonts w:hint="default"/>
                <w:b/>
                <w:color w:val="0D0D0D" w:themeColor="text1" w:themeTint="F2"/>
                <w:kern w:val="0"/>
                <w:sz w:val="24"/>
                <w14:textFill>
                  <w14:solidFill>
                    <w14:schemeClr w14:val="tx1">
                      <w14:lumMod w14:val="95000"/>
                      <w14:lumOff w14:val="5000"/>
                    </w14:schemeClr>
                  </w14:solidFill>
                </w14:textFill>
              </w:rPr>
              <w:t>-4  本项目非正常工况污染物</w:t>
            </w:r>
            <w:r>
              <w:rPr>
                <w:rFonts w:hint="eastAsia"/>
                <w:b/>
                <w:color w:val="0D0D0D" w:themeColor="text1" w:themeTint="F2"/>
                <w:kern w:val="0"/>
                <w:sz w:val="24"/>
                <w14:textFill>
                  <w14:solidFill>
                    <w14:schemeClr w14:val="tx1">
                      <w14:lumMod w14:val="95000"/>
                      <w14:lumOff w14:val="5000"/>
                    </w14:schemeClr>
                  </w14:solidFill>
                </w14:textFill>
              </w:rPr>
              <w:t>排放</w:t>
            </w:r>
            <w:r>
              <w:rPr>
                <w:rFonts w:hint="default"/>
                <w:b/>
                <w:color w:val="0D0D0D" w:themeColor="text1" w:themeTint="F2"/>
                <w:kern w:val="0"/>
                <w:sz w:val="24"/>
                <w14:textFill>
                  <w14:solidFill>
                    <w14:schemeClr w14:val="tx1">
                      <w14:lumMod w14:val="95000"/>
                      <w14:lumOff w14:val="5000"/>
                    </w14:schemeClr>
                  </w14:solidFill>
                </w14:textFill>
              </w:rPr>
              <w:t>情况</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924"/>
              <w:gridCol w:w="1610"/>
              <w:gridCol w:w="1453"/>
              <w:gridCol w:w="1673"/>
              <w:gridCol w:w="1040"/>
              <w:gridCol w:w="771"/>
              <w:gridCol w:w="82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排放源</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编号</w:t>
                  </w:r>
                </w:p>
              </w:tc>
              <w:tc>
                <w:tcPr>
                  <w:tcW w:w="970"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污染源</w:t>
                  </w:r>
                </w:p>
              </w:tc>
              <w:tc>
                <w:tcPr>
                  <w:tcW w:w="875"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污染物</w:t>
                  </w:r>
                </w:p>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名称</w:t>
                  </w:r>
                </w:p>
              </w:tc>
              <w:tc>
                <w:tcPr>
                  <w:tcW w:w="1008"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非正常排放原因</w:t>
                  </w:r>
                </w:p>
              </w:tc>
              <w:tc>
                <w:tcPr>
                  <w:tcW w:w="626" w:type="pct"/>
                  <w:vAlign w:val="center"/>
                </w:tcPr>
                <w:p>
                  <w:pPr>
                    <w:keepNext w:val="0"/>
                    <w:keepLines w:val="0"/>
                    <w:suppressLineNumbers w:val="0"/>
                    <w:overflowPunct w:val="0"/>
                    <w:adjustRightInd w:val="0"/>
                    <w:snapToGrid w:val="0"/>
                    <w:spacing w:before="0" w:beforeAutospacing="0" w:after="0" w:afterAutospacing="0"/>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排放状况</w:t>
                  </w:r>
                </w:p>
                <w:p>
                  <w:pPr>
                    <w:keepNext w:val="0"/>
                    <w:keepLines w:val="0"/>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kg/a</w:t>
                  </w:r>
                </w:p>
              </w:tc>
              <w:tc>
                <w:tcPr>
                  <w:tcW w:w="464" w:type="pct"/>
                  <w:vAlign w:val="center"/>
                </w:tcPr>
                <w:p>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单次持续时间</w:t>
                  </w:r>
                </w:p>
              </w:tc>
              <w:tc>
                <w:tcPr>
                  <w:tcW w:w="497" w:type="pct"/>
                  <w:vAlign w:val="center"/>
                </w:tcPr>
                <w:p>
                  <w:pPr>
                    <w:keepNext w:val="0"/>
                    <w:keepLines w:val="0"/>
                    <w:suppressLineNumbers w:val="0"/>
                    <w:overflowPunct w:val="0"/>
                    <w:adjustRightInd w:val="0"/>
                    <w:snapToGrid w:val="0"/>
                    <w:spacing w:before="40" w:beforeAutospacing="0" w:after="60" w:afterAutospacing="0" w:line="200" w:lineRule="atLeast"/>
                    <w:ind w:left="0" w:right="0" w:firstLine="4"/>
                    <w:jc w:val="center"/>
                    <w:textAlignment w:val="baseline"/>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年发生频次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DA001</w:t>
                  </w:r>
                </w:p>
              </w:tc>
              <w:tc>
                <w:tcPr>
                  <w:tcW w:w="970" w:type="pct"/>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熔化、天然气燃烧、压铸脱模</w:t>
                  </w:r>
                </w:p>
              </w:tc>
              <w:tc>
                <w:tcPr>
                  <w:tcW w:w="875" w:type="pct"/>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1008" w:type="pct"/>
                  <w:vMerge w:val="restart"/>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布袋除尘器</w:t>
                  </w:r>
                  <w:r>
                    <w:rPr>
                      <w:rFonts w:hint="eastAsia"/>
                      <w:color w:val="0D0D0D" w:themeColor="text1" w:themeTint="F2"/>
                      <w:szCs w:val="21"/>
                      <w14:textFill>
                        <w14:solidFill>
                          <w14:schemeClr w14:val="tx1">
                            <w14:lumMod w14:val="95000"/>
                            <w14:lumOff w14:val="5000"/>
                          </w14:schemeClr>
                        </w14:solidFill>
                      </w14:textFill>
                    </w:rPr>
                    <w:t>损坏</w:t>
                  </w:r>
                </w:p>
              </w:tc>
              <w:tc>
                <w:tcPr>
                  <w:tcW w:w="626"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0.467</w:t>
                  </w:r>
                </w:p>
              </w:tc>
              <w:tc>
                <w:tcPr>
                  <w:tcW w:w="464"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h</w:t>
                  </w:r>
                </w:p>
              </w:tc>
              <w:tc>
                <w:tcPr>
                  <w:tcW w:w="497"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970" w:type="pct"/>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75"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二氧化硫</w:t>
                  </w:r>
                </w:p>
              </w:tc>
              <w:tc>
                <w:tcPr>
                  <w:tcW w:w="1008" w:type="pct"/>
                  <w:vMerge w:val="continue"/>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p>
              </w:tc>
              <w:tc>
                <w:tcPr>
                  <w:tcW w:w="626"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0.010</w:t>
                  </w:r>
                </w:p>
              </w:tc>
              <w:tc>
                <w:tcPr>
                  <w:tcW w:w="464"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h</w:t>
                  </w:r>
                </w:p>
              </w:tc>
              <w:tc>
                <w:tcPr>
                  <w:tcW w:w="49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Merge w:val="continue"/>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970" w:type="pct"/>
                  <w:vMerge w:val="continue"/>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875"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氮氧化物</w:t>
                  </w:r>
                </w:p>
              </w:tc>
              <w:tc>
                <w:tcPr>
                  <w:tcW w:w="1008" w:type="pct"/>
                  <w:vMerge w:val="continue"/>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p>
              </w:tc>
              <w:tc>
                <w:tcPr>
                  <w:tcW w:w="626"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0.044</w:t>
                  </w:r>
                </w:p>
              </w:tc>
              <w:tc>
                <w:tcPr>
                  <w:tcW w:w="464"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h</w:t>
                  </w:r>
                </w:p>
              </w:tc>
              <w:tc>
                <w:tcPr>
                  <w:tcW w:w="49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DA002</w:t>
                  </w:r>
                </w:p>
              </w:tc>
              <w:tc>
                <w:tcPr>
                  <w:tcW w:w="970"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压铸脱模</w:t>
                  </w:r>
                </w:p>
              </w:tc>
              <w:tc>
                <w:tcPr>
                  <w:tcW w:w="875" w:type="pct"/>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非甲烷总烃</w:t>
                  </w:r>
                </w:p>
              </w:tc>
              <w:tc>
                <w:tcPr>
                  <w:tcW w:w="1008" w:type="pct"/>
                  <w:vAlign w:val="center"/>
                </w:tcPr>
                <w:p>
                  <w:pPr>
                    <w:keepNext w:val="0"/>
                    <w:keepLines w:val="0"/>
                    <w:suppressLineNumbers w:val="0"/>
                    <w:spacing w:before="0" w:beforeAutospacing="0" w:after="0" w:afterAutospacing="0"/>
                    <w:ind w:left="-105" w:leftChars="-50" w:right="-105" w:rightChars="-50"/>
                    <w:jc w:val="center"/>
                    <w:rPr>
                      <w:rFonts w:hint="eastAsia"/>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静电油雾净化或两级活性炭</w:t>
                  </w:r>
                </w:p>
              </w:tc>
              <w:tc>
                <w:tcPr>
                  <w:tcW w:w="626" w:type="pct"/>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0.219</w:t>
                  </w:r>
                </w:p>
              </w:tc>
              <w:tc>
                <w:tcPr>
                  <w:tcW w:w="464"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h</w:t>
                  </w:r>
                </w:p>
              </w:tc>
              <w:tc>
                <w:tcPr>
                  <w:tcW w:w="497" w:type="pct"/>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1次/年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97" w:hRule="atLeast"/>
                <w:jc w:val="center"/>
              </w:trPr>
              <w:tc>
                <w:tcPr>
                  <w:tcW w:w="556" w:type="pct"/>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DA00</w:t>
                  </w:r>
                  <w:r>
                    <w:rPr>
                      <w:rFonts w:hint="eastAsia"/>
                      <w:color w:val="0D0D0D" w:themeColor="text1" w:themeTint="F2"/>
                      <w:szCs w:val="21"/>
                      <w:lang w:val="en-US" w:eastAsia="zh-CN"/>
                      <w14:textFill>
                        <w14:solidFill>
                          <w14:schemeClr w14:val="tx1">
                            <w14:lumMod w14:val="95000"/>
                            <w14:lumOff w14:val="5000"/>
                          </w14:schemeClr>
                        </w14:solidFill>
                      </w14:textFill>
                    </w:rPr>
                    <w:t>3</w:t>
                  </w:r>
                </w:p>
              </w:tc>
              <w:tc>
                <w:tcPr>
                  <w:tcW w:w="970" w:type="pct"/>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抛丸</w:t>
                  </w:r>
                </w:p>
              </w:tc>
              <w:tc>
                <w:tcPr>
                  <w:tcW w:w="875" w:type="pct"/>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颗粒物</w:t>
                  </w:r>
                </w:p>
              </w:tc>
              <w:tc>
                <w:tcPr>
                  <w:tcW w:w="1008" w:type="pct"/>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除尘设备</w:t>
                  </w:r>
                  <w:r>
                    <w:rPr>
                      <w:rFonts w:hint="eastAsia"/>
                      <w:color w:val="0D0D0D" w:themeColor="text1" w:themeTint="F2"/>
                      <w:szCs w:val="21"/>
                      <w14:textFill>
                        <w14:solidFill>
                          <w14:schemeClr w14:val="tx1">
                            <w14:lumMod w14:val="95000"/>
                            <w14:lumOff w14:val="5000"/>
                          </w14:schemeClr>
                        </w14:solidFill>
                      </w14:textFill>
                    </w:rPr>
                    <w:t>损坏</w:t>
                  </w:r>
                </w:p>
              </w:tc>
              <w:tc>
                <w:tcPr>
                  <w:tcW w:w="626" w:type="pct"/>
                  <w:vAlign w:val="center"/>
                </w:tcPr>
                <w:p>
                  <w:pPr>
                    <w:keepNext w:val="0"/>
                    <w:keepLines w:val="0"/>
                    <w:suppressLineNumbers w:val="0"/>
                    <w:spacing w:before="0" w:beforeAutospacing="0" w:after="0" w:afterAutospacing="0"/>
                    <w:ind w:left="-105" w:leftChars="-50" w:right="-105" w:rightChars="-50"/>
                    <w:jc w:val="center"/>
                    <w:rPr>
                      <w:rFonts w:hint="default" w:eastAsia="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Cs w:val="21"/>
                      <w:highlight w:val="none"/>
                      <w:lang w:val="en-US" w:eastAsia="zh-CN"/>
                      <w14:textFill>
                        <w14:solidFill>
                          <w14:schemeClr w14:val="tx1">
                            <w14:lumMod w14:val="95000"/>
                            <w14:lumOff w14:val="5000"/>
                          </w14:schemeClr>
                        </w14:solidFill>
                      </w14:textFill>
                    </w:rPr>
                    <w:t>1.154</w:t>
                  </w:r>
                </w:p>
              </w:tc>
              <w:tc>
                <w:tcPr>
                  <w:tcW w:w="464"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h</w:t>
                  </w:r>
                </w:p>
              </w:tc>
              <w:tc>
                <w:tcPr>
                  <w:tcW w:w="497" w:type="pc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1次/年</w:t>
                  </w:r>
                </w:p>
              </w:tc>
            </w:tr>
          </w:tbl>
          <w:p>
            <w:pPr>
              <w:keepNext w:val="0"/>
              <w:keepLines w:val="0"/>
              <w:suppressLineNumbers w:val="0"/>
              <w:tabs>
                <w:tab w:val="left" w:pos="1077"/>
              </w:tabs>
              <w:spacing w:before="120" w:beforeLines="50" w:beforeAutospacing="0" w:after="0" w:afterAutospacing="0" w:line="360" w:lineRule="auto"/>
              <w:ind w:left="0" w:right="0" w:firstLine="482" w:firstLineChars="200"/>
              <w:rPr>
                <w:rFonts w:hint="default" w:cs="宋体"/>
                <w:b/>
                <w:color w:val="0D0D0D" w:themeColor="text1" w:themeTint="F2"/>
                <w:sz w:val="24"/>
                <w14:textFill>
                  <w14:solidFill>
                    <w14:schemeClr w14:val="tx1">
                      <w14:lumMod w14:val="95000"/>
                      <w14:lumOff w14:val="5000"/>
                    </w14:schemeClr>
                  </w14:solidFill>
                </w14:textFill>
              </w:rPr>
            </w:pPr>
            <w:r>
              <w:rPr>
                <w:rFonts w:hint="default" w:cs="宋体"/>
                <w:b/>
                <w:color w:val="0D0D0D" w:themeColor="text1" w:themeTint="F2"/>
                <w:sz w:val="24"/>
                <w14:textFill>
                  <w14:solidFill>
                    <w14:schemeClr w14:val="tx1">
                      <w14:lumMod w14:val="95000"/>
                      <w14:lumOff w14:val="5000"/>
                    </w14:schemeClr>
                  </w14:solidFill>
                </w14:textFill>
              </w:rPr>
              <w:t>3</w:t>
            </w:r>
            <w:r>
              <w:rPr>
                <w:rFonts w:hint="eastAsia" w:cs="宋体"/>
                <w:b/>
                <w:color w:val="0D0D0D" w:themeColor="text1" w:themeTint="F2"/>
                <w:sz w:val="24"/>
                <w14:textFill>
                  <w14:solidFill>
                    <w14:schemeClr w14:val="tx1">
                      <w14:lumMod w14:val="95000"/>
                      <w14:lumOff w14:val="5000"/>
                    </w14:schemeClr>
                  </w14:solidFill>
                </w14:textFill>
              </w:rPr>
              <w:t>、废气治理措施可行性分析</w:t>
            </w:r>
          </w:p>
          <w:p>
            <w:pPr>
              <w:keepNext w:val="0"/>
              <w:keepLines w:val="0"/>
              <w:suppressLineNumbers w:val="0"/>
              <w:tabs>
                <w:tab w:val="left" w:pos="1077"/>
              </w:tabs>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本项目</w:t>
            </w:r>
            <w:r>
              <w:rPr>
                <w:rFonts w:hint="eastAsia"/>
                <w:color w:val="0D0D0D" w:themeColor="text1" w:themeTint="F2"/>
                <w:sz w:val="24"/>
                <w:lang w:val="en-US" w:eastAsia="zh-CN"/>
                <w14:textFill>
                  <w14:solidFill>
                    <w14:schemeClr w14:val="tx1">
                      <w14:lumMod w14:val="95000"/>
                      <w14:lumOff w14:val="5000"/>
                    </w14:schemeClr>
                  </w14:solidFill>
                </w14:textFill>
              </w:rPr>
              <w:t>熔化、天然气燃烧</w:t>
            </w:r>
            <w:r>
              <w:rPr>
                <w:rFonts w:hint="eastAsia" w:cs="宋体"/>
                <w:color w:val="0D0D0D" w:themeColor="text1" w:themeTint="F2"/>
                <w:sz w:val="24"/>
                <w14:textFill>
                  <w14:solidFill>
                    <w14:schemeClr w14:val="tx1">
                      <w14:lumMod w14:val="95000"/>
                      <w14:lumOff w14:val="5000"/>
                    </w14:schemeClr>
                  </w14:solidFill>
                </w14:textFill>
              </w:rPr>
              <w:t>经</w:t>
            </w:r>
            <w:r>
              <w:rPr>
                <w:rFonts w:hint="eastAsia"/>
                <w:color w:val="0D0D0D" w:themeColor="text1" w:themeTint="F2"/>
                <w:sz w:val="24"/>
                <w:lang w:val="en-US" w:eastAsia="zh-CN"/>
                <w14:textFill>
                  <w14:solidFill>
                    <w14:schemeClr w14:val="tx1">
                      <w14:lumMod w14:val="95000"/>
                      <w14:lumOff w14:val="5000"/>
                    </w14:schemeClr>
                  </w14:solidFill>
                </w14:textFill>
              </w:rPr>
              <w:t>布袋除尘器</w:t>
            </w:r>
            <w:r>
              <w:rPr>
                <w:rFonts w:hint="eastAsia"/>
                <w:color w:val="0D0D0D" w:themeColor="text1" w:themeTint="F2"/>
                <w:kern w:val="0"/>
                <w:sz w:val="24"/>
                <w14:textFill>
                  <w14:solidFill>
                    <w14:schemeClr w14:val="tx1">
                      <w14:lumMod w14:val="95000"/>
                      <w14:lumOff w14:val="5000"/>
                    </w14:schemeClr>
                  </w14:solidFill>
                </w14:textFill>
              </w:rPr>
              <w:t>处理后通过1</w:t>
            </w:r>
            <w:r>
              <w:rPr>
                <w:rFonts w:hint="default"/>
                <w:color w:val="0D0D0D" w:themeColor="text1" w:themeTint="F2"/>
                <w:kern w:val="0"/>
                <w:sz w:val="24"/>
                <w14:textFill>
                  <w14:solidFill>
                    <w14:schemeClr w14:val="tx1">
                      <w14:lumMod w14:val="95000"/>
                      <w14:lumOff w14:val="5000"/>
                    </w14:schemeClr>
                  </w14:solidFill>
                </w14:textFill>
              </w:rPr>
              <w:t>5 m</w:t>
            </w:r>
            <w:r>
              <w:rPr>
                <w:rFonts w:hint="eastAsia"/>
                <w:color w:val="0D0D0D" w:themeColor="text1" w:themeTint="F2"/>
                <w:kern w:val="0"/>
                <w:sz w:val="24"/>
                <w14:textFill>
                  <w14:solidFill>
                    <w14:schemeClr w14:val="tx1">
                      <w14:lumMod w14:val="95000"/>
                      <w14:lumOff w14:val="5000"/>
                    </w14:schemeClr>
                  </w14:solidFill>
                </w14:textFill>
              </w:rPr>
              <w:t>高排气筒（D</w:t>
            </w:r>
            <w:r>
              <w:rPr>
                <w:rFonts w:hint="default"/>
                <w:color w:val="0D0D0D" w:themeColor="text1" w:themeTint="F2"/>
                <w:kern w:val="0"/>
                <w:sz w:val="24"/>
                <w14:textFill>
                  <w14:solidFill>
                    <w14:schemeClr w14:val="tx1">
                      <w14:lumMod w14:val="95000"/>
                      <w14:lumOff w14:val="5000"/>
                    </w14:schemeClr>
                  </w14:solidFill>
                </w14:textFill>
              </w:rPr>
              <w:t>A001</w:t>
            </w:r>
            <w:r>
              <w:rPr>
                <w:rFonts w:hint="eastAsia"/>
                <w:color w:val="0D0D0D" w:themeColor="text1" w:themeTint="F2"/>
                <w:kern w:val="0"/>
                <w:sz w:val="24"/>
                <w14:textFill>
                  <w14:solidFill>
                    <w14:schemeClr w14:val="tx1">
                      <w14:lumMod w14:val="95000"/>
                      <w14:lumOff w14:val="5000"/>
                    </w14:schemeClr>
                  </w14:solidFill>
                </w14:textFill>
              </w:rPr>
              <w:t>）排放；</w:t>
            </w:r>
            <w:r>
              <w:rPr>
                <w:rFonts w:hint="eastAsia"/>
                <w:color w:val="0D0D0D" w:themeColor="text1" w:themeTint="F2"/>
                <w:kern w:val="0"/>
                <w:sz w:val="24"/>
                <w:lang w:val="en-US" w:eastAsia="zh-CN"/>
                <w14:textFill>
                  <w14:solidFill>
                    <w14:schemeClr w14:val="tx1">
                      <w14:lumMod w14:val="95000"/>
                      <w14:lumOff w14:val="5000"/>
                    </w14:schemeClr>
                  </w14:solidFill>
                </w14:textFill>
              </w:rPr>
              <w:t>压铸脱模废气经静电油雾净化+两级活性炭处理后通过15 m高排气筒（DA002）排放；</w:t>
            </w:r>
            <w:r>
              <w:rPr>
                <w:rFonts w:hint="eastAsia"/>
                <w:color w:val="0D0D0D" w:themeColor="text1" w:themeTint="F2"/>
                <w:sz w:val="24"/>
                <w:lang w:val="en-US" w:eastAsia="zh-CN"/>
                <w14:textFill>
                  <w14:solidFill>
                    <w14:schemeClr w14:val="tx1">
                      <w14:lumMod w14:val="95000"/>
                      <w14:lumOff w14:val="5000"/>
                    </w14:schemeClr>
                  </w14:solidFill>
                </w14:textFill>
              </w:rPr>
              <w:t>抛丸粉尘</w:t>
            </w:r>
            <w:r>
              <w:rPr>
                <w:rFonts w:hint="eastAsia" w:cs="宋体"/>
                <w:color w:val="0D0D0D" w:themeColor="text1" w:themeTint="F2"/>
                <w:sz w:val="24"/>
                <w14:textFill>
                  <w14:solidFill>
                    <w14:schemeClr w14:val="tx1">
                      <w14:lumMod w14:val="95000"/>
                      <w14:lumOff w14:val="5000"/>
                    </w14:schemeClr>
                  </w14:solidFill>
                </w14:textFill>
              </w:rPr>
              <w:t>经</w:t>
            </w:r>
            <w:r>
              <w:rPr>
                <w:rFonts w:hint="eastAsia" w:cs="宋体"/>
                <w:color w:val="0D0D0D" w:themeColor="text1" w:themeTint="F2"/>
                <w:sz w:val="24"/>
                <w:lang w:val="en-US" w:eastAsia="zh-CN"/>
                <w14:textFill>
                  <w14:solidFill>
                    <w14:schemeClr w14:val="tx1">
                      <w14:lumMod w14:val="95000"/>
                      <w14:lumOff w14:val="5000"/>
                    </w14:schemeClr>
                  </w14:solidFill>
                </w14:textFill>
              </w:rPr>
              <w:t>设备自带除尘设备</w:t>
            </w:r>
            <w:r>
              <w:rPr>
                <w:rFonts w:hint="eastAsia"/>
                <w:color w:val="0D0D0D" w:themeColor="text1" w:themeTint="F2"/>
                <w:kern w:val="0"/>
                <w:sz w:val="24"/>
                <w14:textFill>
                  <w14:solidFill>
                    <w14:schemeClr w14:val="tx1">
                      <w14:lumMod w14:val="95000"/>
                      <w14:lumOff w14:val="5000"/>
                    </w14:schemeClr>
                  </w14:solidFill>
                </w14:textFill>
              </w:rPr>
              <w:t>处理后通过1</w:t>
            </w:r>
            <w:r>
              <w:rPr>
                <w:rFonts w:hint="default"/>
                <w:color w:val="0D0D0D" w:themeColor="text1" w:themeTint="F2"/>
                <w:kern w:val="0"/>
                <w:sz w:val="24"/>
                <w14:textFill>
                  <w14:solidFill>
                    <w14:schemeClr w14:val="tx1">
                      <w14:lumMod w14:val="95000"/>
                      <w14:lumOff w14:val="5000"/>
                    </w14:schemeClr>
                  </w14:solidFill>
                </w14:textFill>
              </w:rPr>
              <w:t>5 m</w:t>
            </w:r>
            <w:r>
              <w:rPr>
                <w:rFonts w:hint="eastAsia"/>
                <w:color w:val="0D0D0D" w:themeColor="text1" w:themeTint="F2"/>
                <w:kern w:val="0"/>
                <w:sz w:val="24"/>
                <w14:textFill>
                  <w14:solidFill>
                    <w14:schemeClr w14:val="tx1">
                      <w14:lumMod w14:val="95000"/>
                      <w14:lumOff w14:val="5000"/>
                    </w14:schemeClr>
                  </w14:solidFill>
                </w14:textFill>
              </w:rPr>
              <w:t>高排气筒（D</w:t>
            </w:r>
            <w:r>
              <w:rPr>
                <w:rFonts w:hint="default"/>
                <w:color w:val="0D0D0D" w:themeColor="text1" w:themeTint="F2"/>
                <w:kern w:val="0"/>
                <w:sz w:val="24"/>
                <w14:textFill>
                  <w14:solidFill>
                    <w14:schemeClr w14:val="tx1">
                      <w14:lumMod w14:val="95000"/>
                      <w14:lumOff w14:val="5000"/>
                    </w14:schemeClr>
                  </w14:solidFill>
                </w14:textFill>
              </w:rPr>
              <w:t>A00</w:t>
            </w:r>
            <w:r>
              <w:rPr>
                <w:rFonts w:hint="eastAsia"/>
                <w:color w:val="0D0D0D" w:themeColor="text1" w:themeTint="F2"/>
                <w:kern w:val="0"/>
                <w:sz w:val="24"/>
                <w:lang w:val="en-US" w:eastAsia="zh-CN"/>
                <w14:textFill>
                  <w14:solidFill>
                    <w14:schemeClr w14:val="tx1">
                      <w14:lumMod w14:val="95000"/>
                      <w14:lumOff w14:val="5000"/>
                    </w14:schemeClr>
                  </w14:solidFill>
                </w14:textFill>
              </w:rPr>
              <w:t>3</w:t>
            </w:r>
            <w:r>
              <w:rPr>
                <w:rFonts w:hint="eastAsia"/>
                <w:color w:val="0D0D0D" w:themeColor="text1" w:themeTint="F2"/>
                <w:kern w:val="0"/>
                <w:sz w:val="24"/>
                <w14:textFill>
                  <w14:solidFill>
                    <w14:schemeClr w14:val="tx1">
                      <w14:lumMod w14:val="95000"/>
                      <w14:lumOff w14:val="5000"/>
                    </w14:schemeClr>
                  </w14:solidFill>
                </w14:textFill>
              </w:rPr>
              <w:t>）排放。</w:t>
            </w:r>
          </w:p>
          <w:p>
            <w:pPr>
              <w:pStyle w:val="76"/>
              <w:keepNext w:val="0"/>
              <w:keepLines w:val="0"/>
              <w:suppressLineNumbers w:val="0"/>
              <w:spacing w:before="0" w:beforeAutospacing="0" w:after="0" w:afterAutospacing="0" w:line="360" w:lineRule="auto"/>
              <w:ind w:left="0" w:right="0" w:firstLine="480" w:firstLineChars="200"/>
              <w:rPr>
                <w:rFonts w:hint="default" w:ascii="Times New Roman"/>
                <w:bCs/>
                <w:iCs/>
              </w:rPr>
            </w:pPr>
            <w:r>
              <w:rPr>
                <w:rFonts w:hint="default" w:ascii="Times New Roman"/>
              </w:rPr>
              <w:t>参照</w:t>
            </w:r>
            <w:r>
              <w:rPr>
                <w:rFonts w:hint="eastAsia"/>
                <w:lang w:val="en-US" w:eastAsia="zh-CN"/>
              </w:rPr>
              <w:t>《铸造工业大气污染防治可行技术指南》（HJ1292-2023）</w:t>
            </w:r>
            <w:r>
              <w:rPr>
                <w:rFonts w:hint="default" w:ascii="Times New Roman"/>
                <w:bCs/>
                <w:iCs/>
              </w:rPr>
              <w:t>中建议</w:t>
            </w:r>
            <w:r>
              <w:rPr>
                <w:rFonts w:hint="eastAsia" w:ascii="Times New Roman"/>
                <w:bCs/>
                <w:iCs/>
                <w:lang w:val="en-US" w:eastAsia="zh-CN"/>
              </w:rPr>
              <w:t>的</w:t>
            </w:r>
            <w:r>
              <w:rPr>
                <w:rFonts w:hint="default" w:ascii="Times New Roman"/>
                <w:bCs/>
                <w:iCs/>
              </w:rPr>
              <w:t>治</w:t>
            </w:r>
            <w:r>
              <w:rPr>
                <w:rFonts w:hint="default" w:ascii="Times New Roman"/>
              </w:rPr>
              <w:t>理措施，</w:t>
            </w:r>
            <w:r>
              <w:rPr>
                <w:rFonts w:hint="eastAsia" w:ascii="Times New Roman"/>
                <w:lang w:val="en-US" w:eastAsia="zh-CN"/>
              </w:rPr>
              <w:t>布袋除尘器属于颗粒物治理技术，吸附技术（活性炭吸附）属于VOCs治理技术。</w:t>
            </w:r>
          </w:p>
          <w:p>
            <w:pPr>
              <w:keepNext w:val="0"/>
              <w:keepLines w:val="0"/>
              <w:suppressLineNumbers w:val="0"/>
              <w:spacing w:before="0" w:beforeLines="0" w:beforeAutospacing="0" w:after="0" w:afterLines="0" w:afterAutospacing="0" w:line="360" w:lineRule="auto"/>
              <w:ind w:left="0" w:right="0" w:firstLine="480" w:firstLineChars="200"/>
              <w:rPr>
                <w:rFonts w:hint="default"/>
                <w:color w:val="0C0C0C"/>
                <w:sz w:val="24"/>
                <w:szCs w:val="24"/>
              </w:rPr>
            </w:pPr>
            <w:r>
              <w:rPr>
                <w:rFonts w:hint="default" w:ascii="宋体"/>
                <w:color w:val="0C0C0C"/>
                <w:sz w:val="24"/>
                <w:szCs w:val="24"/>
              </w:rPr>
              <w:t>布袋除尘装置是利用棉、毛、人造纤维等编织物作为滤袋起过滤作用，对颗粒物进行捕集而达到除尘效果的。其主要工作原理是：含尘气流从下部进入圆筒形滤袋，在通过滤料的孔隙时，粉尘被捕集于滤料上，透过滤料的清洁气体由排出口排出。沉积在滤料上的粉尘，可在机械振动的作用下从滤料表面脱落，落入灰斗中。常用滤料由棉、毛、人造纤维等加工而成，新型滤料有玻璃纤维和微滤膜等，滤料本身网孔较小，一般为20~50</w:t>
            </w:r>
            <w:r>
              <w:rPr>
                <w:rFonts w:hint="default"/>
                <w:color w:val="0C0C0C"/>
                <w:sz w:val="24"/>
                <w:szCs w:val="24"/>
              </w:rPr>
              <w:t>μm</w:t>
            </w:r>
            <w:r>
              <w:rPr>
                <w:rFonts w:hint="default" w:ascii="宋体"/>
                <w:color w:val="0C0C0C"/>
                <w:sz w:val="24"/>
                <w:szCs w:val="24"/>
              </w:rPr>
              <w:t>，表面起绒的滤料为5~10</w:t>
            </w:r>
            <w:r>
              <w:rPr>
                <w:rFonts w:hint="default"/>
                <w:color w:val="0C0C0C"/>
                <w:sz w:val="24"/>
                <w:szCs w:val="24"/>
              </w:rPr>
              <w:t>μm</w:t>
            </w:r>
            <w:r>
              <w:rPr>
                <w:rFonts w:hint="default" w:ascii="宋体"/>
                <w:color w:val="0C0C0C"/>
                <w:sz w:val="24"/>
                <w:szCs w:val="24"/>
              </w:rPr>
              <w:t>，而新型滤料的孔径在5</w:t>
            </w:r>
            <w:r>
              <w:rPr>
                <w:rFonts w:hint="default"/>
                <w:color w:val="0C0C0C"/>
                <w:sz w:val="24"/>
                <w:szCs w:val="24"/>
              </w:rPr>
              <w:t>μm</w:t>
            </w:r>
            <w:r>
              <w:rPr>
                <w:rFonts w:hint="default" w:ascii="宋体"/>
                <w:color w:val="0C0C0C"/>
                <w:sz w:val="24"/>
                <w:szCs w:val="24"/>
              </w:rPr>
              <w:t>以下。按不同粒径的粉尘在流体中运动的不同物理学特征，颗粒物通过惯性碰撞、截留、扩散、静电、筛滤等作用被捕集。此外，粉尘因截留、惯性碰撞、静电和扩散等作用，逐渐在滤袋表面形成粉尘层，常称为粉层初层。初层形成后，它成为袋式除尘器的主要过滤层，提高了除尘效率。滤布只不过起着形成粉尘初层和支撑它的骨架作用，但随着粉尘在滤袋上积聚，滤袋两侧的压力差增大，会把有些已附在滤料上的细小粉尘挤压过去，使除尘效率下降。另外，若除尘器阻力过高，还会使除尘系统的处理气体量显著下降，影响生产系统的排风效果。因此，除尘器阻力达到一定数值后，要及时清灰。</w:t>
            </w:r>
          </w:p>
          <w:p>
            <w:pPr>
              <w:keepNext w:val="0"/>
              <w:keepLines w:val="0"/>
              <w:suppressLineNumbers w:val="0"/>
              <w:adjustRightInd w:val="0"/>
              <w:snapToGrid w:val="0"/>
              <w:spacing w:before="0" w:beforeAutospacing="0" w:after="0" w:afterAutospacing="0" w:line="360" w:lineRule="auto"/>
              <w:ind w:left="0" w:right="0" w:firstLine="480" w:firstLineChars="200"/>
              <w:rPr>
                <w:rFonts w:hint="eastAsia"/>
                <w:color w:val="auto"/>
                <w:sz w:val="24"/>
              </w:rPr>
            </w:pPr>
            <w:r>
              <w:rPr>
                <w:rFonts w:hint="eastAsia"/>
                <w:color w:val="auto"/>
                <w:sz w:val="24"/>
              </w:rPr>
              <w:t>项目压铸脱模废气主要成分为硅油、有机脂肪酯类等，以油脂类为主，通过高温受热形成油雾。本环评采用的静电油雾净化设施使气流中的微粒带电荷后，借助库仑力的作用将其捕集在静电装置上。由过滤网、高压静电场、离心分机和电源等部件构成。工业污染气体中的油雾、油烟等污染物，在离心分机的作用下，使含有油雾颗粒的污染气体通过前置过滤器后，过滤掉较大油雾颗粒和杂质，均匀风速后进入电场，在接有高压直流电源阴极线（又称电晕级）和接地的阳极板之间所形成的高压电场通过时，由于阴极发生电晕放点、气体被电晕，此时带浮点的气体离子在电场力的作用下向阳极板运动，在运动中与油雾颗粒相碰则使油雾颗粒荷以负电，荷电后的油颗粒在电场力的作用下向阳极运动，到达阳极后放出所带的电子，油雾颗粒则沉积于阳极板上，从而得到净化的气体经后置过滤器整流后再通过活性炭滤网过滤排出。</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活性炭吸附原理：活性炭是一种很细小的炭粒，有很大的表面积，而且炭粒中还有更细小的孔—毛细管。这种毛细管具有很强的吸附能力，由于炭粒的表面积很大，所以能与气体（有机废气）充分接触</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当这些气体（有机废气）碰到毛细管就被吸附，起净化作用。当废气由风机提供动力，负压进入吸附箱后进入活性炭吸附层，由于活性炭吸附剂表面上存在着未平衡和未饱和的分子引力或化学键力，因此当活性炭吸附剂的表面与气体接触时，就能吸引气体分子，使其浓聚并保持在活性炭表面，此现象称为吸附。利用活性炭吸附剂表面的吸附能力，使废气与大表面的多孔性活性炭吸附剂相接触，废气中的污染物被吸附在活性炭表面上，使其与气体混合物分离，净化后的气体高空排放。</w:t>
            </w:r>
          </w:p>
          <w:p>
            <w:pPr>
              <w:keepNext w:val="0"/>
              <w:keepLines w:val="0"/>
              <w:suppressLineNumbers w:val="0"/>
              <w:adjustRightInd w:val="0"/>
              <w:snapToGrid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drawing>
                <wp:inline distT="0" distB="0" distL="0" distR="0">
                  <wp:extent cx="3834765" cy="169418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3847334" cy="1699679"/>
                          </a:xfrm>
                          <a:prstGeom prst="rect">
                            <a:avLst/>
                          </a:prstGeom>
                        </pic:spPr>
                      </pic:pic>
                    </a:graphicData>
                  </a:graphic>
                </wp:inline>
              </w:drawing>
            </w:r>
          </w:p>
          <w:p>
            <w:pPr>
              <w:keepNext w:val="0"/>
              <w:keepLines w:val="0"/>
              <w:suppressLineNumbers w:val="0"/>
              <w:tabs>
                <w:tab w:val="left" w:pos="1077"/>
              </w:tabs>
              <w:spacing w:before="0" w:beforeAutospacing="0" w:after="0" w:afterAutospacing="0" w:line="360" w:lineRule="auto"/>
              <w:ind w:left="0" w:right="0" w:firstLine="482" w:firstLineChars="200"/>
              <w:jc w:val="center"/>
              <w:rPr>
                <w:rFonts w:hint="default" w:cs="宋体"/>
                <w:b/>
                <w:color w:val="0D0D0D" w:themeColor="text1" w:themeTint="F2"/>
                <w:sz w:val="24"/>
                <w14:textFill>
                  <w14:solidFill>
                    <w14:schemeClr w14:val="tx1">
                      <w14:lumMod w14:val="95000"/>
                      <w14:lumOff w14:val="5000"/>
                    </w14:schemeClr>
                  </w14:solidFill>
                </w14:textFill>
              </w:rPr>
            </w:pPr>
            <w:r>
              <w:rPr>
                <w:rFonts w:hint="eastAsia" w:cs="宋体"/>
                <w:b/>
                <w:color w:val="0D0D0D" w:themeColor="text1" w:themeTint="F2"/>
                <w:sz w:val="24"/>
                <w14:textFill>
                  <w14:solidFill>
                    <w14:schemeClr w14:val="tx1">
                      <w14:lumMod w14:val="95000"/>
                      <w14:lumOff w14:val="5000"/>
                    </w14:schemeClr>
                  </w14:solidFill>
                </w14:textFill>
              </w:rPr>
              <w:t>图4-</w:t>
            </w:r>
            <w:r>
              <w:rPr>
                <w:rFonts w:hint="default" w:cs="宋体"/>
                <w:b/>
                <w:color w:val="0D0D0D" w:themeColor="text1" w:themeTint="F2"/>
                <w:sz w:val="24"/>
                <w14:textFill>
                  <w14:solidFill>
                    <w14:schemeClr w14:val="tx1">
                      <w14:lumMod w14:val="95000"/>
                      <w14:lumOff w14:val="5000"/>
                    </w14:schemeClr>
                  </w14:solidFill>
                </w14:textFill>
              </w:rPr>
              <w:t xml:space="preserve">1  </w:t>
            </w:r>
            <w:r>
              <w:rPr>
                <w:rFonts w:hint="eastAsia" w:cs="宋体"/>
                <w:b/>
                <w:color w:val="0D0D0D" w:themeColor="text1" w:themeTint="F2"/>
                <w:sz w:val="24"/>
                <w14:textFill>
                  <w14:solidFill>
                    <w14:schemeClr w14:val="tx1">
                      <w14:lumMod w14:val="95000"/>
                      <w14:lumOff w14:val="5000"/>
                    </w14:schemeClr>
                  </w14:solidFill>
                </w14:textFill>
              </w:rPr>
              <w:t>活性炭吸附箱</w:t>
            </w:r>
          </w:p>
          <w:p>
            <w:pPr>
              <w:keepNext w:val="0"/>
              <w:keepLines w:val="0"/>
              <w:widowControl/>
              <w:suppressLineNumbers w:val="0"/>
              <w:spacing w:before="0" w:beforeAutospacing="1" w:after="0" w:afterAutospacing="1" w:line="360" w:lineRule="auto"/>
              <w:ind w:left="0" w:right="0" w:firstLine="720" w:firstLineChars="300"/>
              <w:rPr>
                <w:rFonts w:hint="eastAsia" w:ascii="Times New Roman" w:hAnsi="Times New Roman" w:eastAsia="宋体" w:cs="Times New Roman"/>
                <w:color w:val="000000" w:themeColor="text1"/>
                <w:kern w:val="2"/>
                <w:sz w:val="24"/>
                <w:szCs w:val="24"/>
                <w14:textFill>
                  <w14:solidFill>
                    <w14:schemeClr w14:val="tx1"/>
                  </w14:solidFill>
                </w14:textFill>
              </w:rPr>
            </w:pPr>
            <w:r>
              <w:rPr>
                <w:rFonts w:hint="eastAsia" w:ascii="宋体" w:hAnsi="宋体" w:eastAsia="宋体" w:cs="宋体"/>
                <w:color w:val="000000" w:themeColor="text1"/>
                <w:kern w:val="2"/>
                <w:sz w:val="24"/>
                <w:szCs w:val="24"/>
                <w14:textFill>
                  <w14:solidFill>
                    <w14:schemeClr w14:val="tx1"/>
                  </w14:solidFill>
                </w14:textFill>
              </w:rPr>
              <w:t>活性炭吸附装置在设计时，应根据《吸附法工业有机废气治理工程技术规范》（</w:t>
            </w:r>
            <w:r>
              <w:rPr>
                <w:rFonts w:hint="default" w:ascii="Times New Roman" w:hAnsi="Times New Roman" w:eastAsia="宋体" w:cs="Times New Roman"/>
                <w:color w:val="000000" w:themeColor="text1"/>
                <w:kern w:val="2"/>
                <w:sz w:val="24"/>
                <w:szCs w:val="24"/>
                <w14:textFill>
                  <w14:solidFill>
                    <w14:schemeClr w14:val="tx1"/>
                  </w14:solidFill>
                </w14:textFill>
              </w:rPr>
              <w:t>HJ2026-2013</w:t>
            </w:r>
            <w:r>
              <w:rPr>
                <w:rFonts w:hint="eastAsia" w:ascii="宋体" w:hAnsi="宋体" w:eastAsia="宋体" w:cs="宋体"/>
                <w:color w:val="000000" w:themeColor="text1"/>
                <w:kern w:val="2"/>
                <w:sz w:val="24"/>
                <w:szCs w:val="24"/>
                <w14:textFill>
                  <w14:solidFill>
                    <w14:schemeClr w14:val="tx1"/>
                  </w14:solidFill>
                </w14:textFill>
              </w:rPr>
              <w:t>），满足以下控制要求：</w:t>
            </w:r>
          </w:p>
          <w:p>
            <w:pPr>
              <w:keepNext w:val="0"/>
              <w:keepLines w:val="0"/>
              <w:widowControl/>
              <w:suppressLineNumbers w:val="0"/>
              <w:spacing w:before="0" w:beforeAutospacing="0" w:after="0" w:afterAutospacing="0"/>
              <w:ind w:left="0" w:right="0" w:firstLine="482" w:firstLineChars="200"/>
              <w:jc w:val="center"/>
              <w:rPr>
                <w:rFonts w:hint="eastAsia" w:ascii="Times New Roman" w:hAnsi="Times New Roman" w:eastAsia="宋体" w:cs="Times New Roman"/>
                <w:color w:val="000000" w:themeColor="text1"/>
                <w:kern w:val="2"/>
                <w:sz w:val="24"/>
                <w:szCs w:val="24"/>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4-</w:t>
            </w:r>
            <w:r>
              <w:rPr>
                <w:rFonts w:hint="eastAsia" w:cs="Times New Roman"/>
                <w:b/>
                <w:bCs/>
                <w:color w:val="000000" w:themeColor="text1"/>
                <w:kern w:val="0"/>
                <w:sz w:val="24"/>
                <w:szCs w:val="24"/>
                <w:lang w:val="en-US" w:eastAsia="zh-CN" w:bidi="ar"/>
                <w14:textFill>
                  <w14:solidFill>
                    <w14:schemeClr w14:val="tx1"/>
                  </w14:solidFill>
                </w14:textFill>
              </w:rPr>
              <w:t>6</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活性炭吸附装置设计控制参数一览表</w:t>
            </w:r>
          </w:p>
          <w:tbl>
            <w:tblPr>
              <w:tblStyle w:val="59"/>
              <w:tblW w:w="4998" w:type="pct"/>
              <w:tblInd w:w="1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678"/>
              <w:gridCol w:w="1931"/>
              <w:gridCol w:w="5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2"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210" w:leftChars="100" w:right="532"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lang w:val="en-US" w:eastAsia="zh-CN" w:bidi="ar"/>
                      <w14:textFill>
                        <w14:solidFill>
                          <w14:schemeClr w14:val="tx1"/>
                        </w14:solidFill>
                      </w14:textFill>
                    </w:rPr>
                    <w:t>序号</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03" w:right="306"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lang w:val="en-US" w:eastAsia="zh-CN" w:bidi="ar"/>
                      <w14:textFill>
                        <w14:solidFill>
                          <w14:schemeClr w14:val="tx1"/>
                        </w14:solidFill>
                      </w14:textFill>
                    </w:rPr>
                    <w:t>项目</w:t>
                  </w: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43" w:right="344"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lang w:val="en-US" w:eastAsia="zh-CN" w:bidi="ar"/>
                      <w14:textFill>
                        <w14:solidFill>
                          <w14:schemeClr w14:val="tx1"/>
                        </w14:solidFill>
                      </w14:textFill>
                    </w:rPr>
                    <w:t>控制要求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38"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6" w:beforeAutospacing="0" w:after="0" w:afterAutospacing="0"/>
                    <w:ind w:left="0" w:right="0" w:firstLine="0" w:firstLineChars="0"/>
                    <w:jc w:val="center"/>
                    <w:rPr>
                      <w:rFonts w:hint="default" w:ascii="Times New Roman" w:hAnsi="Times New Roman" w:eastAsia="宋体" w:cs="Times New Roman"/>
                      <w:b/>
                      <w:bCs w:val="0"/>
                      <w:color w:val="000000" w:themeColor="text1"/>
                      <w:kern w:val="2"/>
                      <w:sz w:val="15"/>
                      <w:szCs w:val="15"/>
                      <w14:textFill>
                        <w14:solidFill>
                          <w14:schemeClr w14:val="tx1"/>
                        </w14:solidFill>
                      </w14:textFill>
                    </w:rPr>
                  </w:pPr>
                </w:p>
                <w:p>
                  <w:pPr>
                    <w:pStyle w:val="54"/>
                    <w:keepNext w:val="0"/>
                    <w:keepLines w:val="0"/>
                    <w:widowControl w:val="0"/>
                    <w:suppressLineNumbers w:val="0"/>
                    <w:spacing w:before="0"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1</w:t>
                  </w:r>
                </w:p>
              </w:tc>
              <w:tc>
                <w:tcPr>
                  <w:tcW w:w="1165" w:type="pct"/>
                  <w:vMerge w:val="restart"/>
                  <w:tcBorders>
                    <w:top w:val="nil"/>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1"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预处理要求</w:t>
                  </w: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3" w:beforeAutospacing="0" w:after="0" w:afterAutospacing="0" w:line="295" w:lineRule="auto"/>
                    <w:ind w:left="2832" w:right="108" w:hanging="2724"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颗粒物浓度超过</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 xml:space="preserve"> 1mg/m</w:t>
                  </w:r>
                  <w:r>
                    <w:rPr>
                      <w:rFonts w:hint="default" w:ascii="Times New Roman" w:hAnsi="Times New Roman" w:eastAsia="宋体" w:cs="Times New Roman"/>
                      <w:color w:val="000000" w:themeColor="text1"/>
                      <w:kern w:val="2"/>
                      <w:position w:val="7"/>
                      <w:sz w:val="13"/>
                      <w:szCs w:val="13"/>
                      <w:lang w:val="en-US" w:eastAsia="zh-CN" w:bidi="ar"/>
                      <w14:textFill>
                        <w14:solidFill>
                          <w14:schemeClr w14:val="tx1"/>
                        </w14:solidFill>
                      </w14:textFill>
                    </w:rPr>
                    <w:t xml:space="preserve">3 </w:t>
                  </w:r>
                  <w:r>
                    <w:rPr>
                      <w:rFonts w:hint="eastAsia" w:ascii="宋体" w:hAnsi="宋体" w:eastAsia="宋体" w:cs="宋体"/>
                      <w:color w:val="000000" w:themeColor="text1"/>
                      <w:kern w:val="2"/>
                      <w:sz w:val="21"/>
                      <w:szCs w:val="21"/>
                      <w:lang w:val="en-US" w:eastAsia="zh-CN" w:bidi="ar"/>
                      <w14:textFill>
                        <w14:solidFill>
                          <w14:schemeClr w14:val="tx1"/>
                        </w14:solidFill>
                      </w14:textFill>
                    </w:rPr>
                    <w:t>时，采用过滤或洗涤措施进行预处理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1"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31"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2</w:t>
                  </w:r>
                </w:p>
              </w:tc>
              <w:tc>
                <w:tcPr>
                  <w:tcW w:w="1165" w:type="pct"/>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43" w:right="347"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t>进气温度高于</w:t>
                  </w:r>
                  <w:r>
                    <w:rPr>
                      <w:rFonts w:hint="default" w:ascii="Times New Roman" w:hAnsi="Times New Roman" w:eastAsia="宋体" w:cs="Times New Roman"/>
                      <w:color w:val="000000" w:themeColor="text1"/>
                      <w:kern w:val="2"/>
                      <w:sz w:val="21"/>
                      <w:szCs w:val="21"/>
                      <w:highlight w:val="none"/>
                      <w:lang w:val="en-US" w:eastAsia="zh-CN" w:bidi="ar"/>
                      <w14:textFill>
                        <w14:solidFill>
                          <w14:schemeClr w14:val="tx1"/>
                        </w14:solidFill>
                      </w14:textFill>
                    </w:rPr>
                    <w:t xml:space="preserve"> 40℃</w:t>
                  </w:r>
                  <w:r>
                    <w:rPr>
                      <w:rFonts w:hint="eastAsia" w:ascii="宋体" w:hAnsi="宋体" w:eastAsia="宋体" w:cs="宋体"/>
                      <w:color w:val="000000" w:themeColor="text1"/>
                      <w:kern w:val="2"/>
                      <w:sz w:val="21"/>
                      <w:szCs w:val="21"/>
                      <w:highlight w:val="none"/>
                      <w:lang w:val="en-US" w:eastAsia="zh-CN" w:bidi="ar"/>
                      <w14:textFill>
                        <w14:solidFill>
                          <w14:schemeClr w14:val="tx1"/>
                        </w14:solidFill>
                      </w14:textFill>
                    </w:rPr>
                    <w:t>时，采取稀释或冷凝降温进行预处理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31"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3</w:t>
                  </w:r>
                </w:p>
              </w:tc>
              <w:tc>
                <w:tcPr>
                  <w:tcW w:w="1165" w:type="pct"/>
                  <w:vMerge w:val="continue"/>
                  <w:tcBorders>
                    <w:top w:val="nil"/>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43" w:right="344"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过滤材料两端设置压差计，对过滤材料及时更换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0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7" w:beforeAutospacing="0" w:after="0" w:afterAutospacing="0"/>
                    <w:ind w:left="0" w:right="0" w:firstLine="0" w:firstLineChars="0"/>
                    <w:jc w:val="center"/>
                    <w:rPr>
                      <w:rFonts w:hint="default" w:ascii="Times New Roman" w:hAnsi="Times New Roman" w:eastAsia="宋体" w:cs="Times New Roman"/>
                      <w:b/>
                      <w:bCs w:val="0"/>
                      <w:color w:val="000000" w:themeColor="text1"/>
                      <w:kern w:val="2"/>
                      <w:sz w:val="15"/>
                      <w:szCs w:val="15"/>
                      <w14:textFill>
                        <w14:solidFill>
                          <w14:schemeClr w14:val="tx1"/>
                        </w14:solidFill>
                      </w14:textFill>
                    </w:rPr>
                  </w:pPr>
                </w:p>
                <w:p>
                  <w:pPr>
                    <w:pStyle w:val="54"/>
                    <w:keepNext w:val="0"/>
                    <w:keepLines w:val="0"/>
                    <w:widowControl w:val="0"/>
                    <w:suppressLineNumbers w:val="0"/>
                    <w:spacing w:before="0"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4</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line="295" w:lineRule="auto"/>
                    <w:ind w:left="639" w:right="195" w:hanging="444"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吸附材质要求</w:t>
                  </w: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190" w:beforeAutospacing="0" w:after="0" w:afterAutospacing="0"/>
                    <w:ind w:left="343" w:right="343" w:firstLine="0" w:firstLineChars="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蜂窝活性炭的比表面积</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 xml:space="preserve"> BET </w:t>
                  </w:r>
                  <w:r>
                    <w:rPr>
                      <w:rFonts w:hint="eastAsia" w:ascii="宋体" w:hAnsi="宋体" w:eastAsia="宋体" w:cs="宋体"/>
                      <w:color w:val="000000" w:themeColor="text1"/>
                      <w:kern w:val="2"/>
                      <w:sz w:val="21"/>
                      <w:szCs w:val="21"/>
                      <w:lang w:val="en-US" w:eastAsia="zh-CN" w:bidi="ar"/>
                      <w14:textFill>
                        <w14:solidFill>
                          <w14:schemeClr w14:val="tx1"/>
                        </w14:solidFill>
                      </w14:textFill>
                    </w:rPr>
                    <w:t>不低于</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 xml:space="preserve"> 750m</w:t>
                  </w:r>
                  <w:r>
                    <w:rPr>
                      <w:rFonts w:hint="default" w:ascii="Times New Roman" w:hAnsi="Times New Roman" w:eastAsia="宋体" w:cs="Times New Roman"/>
                      <w:color w:val="000000" w:themeColor="text1"/>
                      <w:kern w:val="2"/>
                      <w:position w:val="7"/>
                      <w:sz w:val="13"/>
                      <w:szCs w:val="13"/>
                      <w:lang w:val="en-US" w:eastAsia="zh-CN" w:bidi="ar"/>
                      <w14:textFill>
                        <w14:solidFill>
                          <w14:schemeClr w14:val="tx1"/>
                        </w14:solidFill>
                      </w14:textFill>
                    </w:rPr>
                    <w:t>2</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0"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31"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5</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03" w:right="306"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工艺参数</w:t>
                  </w: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4" w:beforeAutospacing="0" w:after="0" w:afterAutospacing="0"/>
                    <w:ind w:left="343" w:right="344" w:firstLine="0" w:firstLineChars="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采用蜂窝状吸附剂时，吸附装置空气流速宜低于</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 xml:space="preserve"> 1.2m/s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1" w:hRule="atLeast"/>
              </w:trPr>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31" w:beforeAutospacing="0" w:after="0" w:afterAutospacing="0"/>
                    <w:ind w:left="2" w:right="0"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6</w:t>
                  </w:r>
                </w:p>
              </w:tc>
              <w:tc>
                <w:tcPr>
                  <w:tcW w:w="1165"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5" w:beforeAutospacing="0" w:after="0" w:afterAutospacing="0"/>
                    <w:ind w:left="303" w:right="306" w:firstLine="0" w:firstLineChars="0"/>
                    <w:jc w:val="center"/>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净化效率</w:t>
                  </w:r>
                </w:p>
              </w:tc>
              <w:tc>
                <w:tcPr>
                  <w:tcW w:w="342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4"/>
                    <w:keepNext w:val="0"/>
                    <w:keepLines w:val="0"/>
                    <w:widowControl w:val="0"/>
                    <w:suppressLineNumbers w:val="0"/>
                    <w:spacing w:before="25" w:beforeAutospacing="0" w:after="0" w:afterAutospacing="0"/>
                    <w:ind w:left="343" w:right="343" w:firstLine="0" w:firstLineChars="0"/>
                    <w:jc w:val="center"/>
                    <w:rPr>
                      <w:rFonts w:hint="default" w:ascii="Times New Roman" w:hAnsi="Times New Roman" w:cs="Times New Roman"/>
                      <w:color w:val="000000" w:themeColor="text1"/>
                      <w:kern w:val="2"/>
                      <w:sz w:val="21"/>
                      <w:szCs w:val="21"/>
                      <w14:textFill>
                        <w14:solidFill>
                          <w14:schemeClr w14:val="tx1"/>
                        </w14:solidFill>
                      </w14:textFill>
                    </w:rPr>
                  </w:pPr>
                  <w:r>
                    <w:rPr>
                      <w:rFonts w:hint="eastAsia" w:ascii="宋体" w:hAnsi="宋体" w:eastAsia="宋体" w:cs="宋体"/>
                      <w:color w:val="000000" w:themeColor="text1"/>
                      <w:kern w:val="2"/>
                      <w:sz w:val="21"/>
                      <w:szCs w:val="21"/>
                      <w:lang w:val="en-US" w:eastAsia="zh-CN" w:bidi="ar"/>
                      <w14:textFill>
                        <w14:solidFill>
                          <w14:schemeClr w14:val="tx1"/>
                        </w14:solidFill>
                      </w14:textFill>
                    </w:rPr>
                    <w:t>吸附装置的净化效率不得低于</w:t>
                  </w:r>
                  <w:r>
                    <w:rPr>
                      <w:rFonts w:hint="default" w:ascii="Times New Roman" w:hAnsi="Times New Roman" w:eastAsia="宋体" w:cs="Times New Roman"/>
                      <w:color w:val="000000" w:themeColor="text1"/>
                      <w:kern w:val="2"/>
                      <w:sz w:val="21"/>
                      <w:szCs w:val="21"/>
                      <w:lang w:val="en-US" w:eastAsia="zh-CN" w:bidi="ar"/>
                      <w14:textFill>
                        <w14:solidFill>
                          <w14:schemeClr w14:val="tx1"/>
                        </w14:solidFill>
                      </w14:textFill>
                    </w:rPr>
                    <w:t xml:space="preserve"> 90%</w:t>
                  </w:r>
                </w:p>
              </w:tc>
            </w:tr>
          </w:tbl>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本项目利用“两级活性炭吸附装置”处理有机废气，为国内较为普遍的有机废气处理方式，现有的管理经验较为丰富，企业可以节省大量管理维护培训费用，活性炭吸附装置运行稳定，维护简单。</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hAnsi="宋体"/>
                <w:color w:val="0D0D0D" w:themeColor="text1" w:themeTint="F2"/>
                <w:sz w:val="24"/>
                <w14:textFill>
                  <w14:solidFill>
                    <w14:schemeClr w14:val="tx1">
                      <w14:lumMod w14:val="95000"/>
                      <w14:lumOff w14:val="5000"/>
                    </w14:schemeClr>
                  </w14:solidFill>
                </w14:textFill>
              </w:rPr>
              <w:t>综上所述，本项目运营期废气均采用常见和成熟的废气治理工艺，废气治理措施具有可行性。</w:t>
            </w:r>
          </w:p>
          <w:p>
            <w:pPr>
              <w:keepNext w:val="0"/>
              <w:keepLines w:val="0"/>
              <w:suppressLineNumbers w:val="0"/>
              <w:tabs>
                <w:tab w:val="left" w:pos="1077"/>
              </w:tabs>
              <w:spacing w:before="120" w:beforeLines="50" w:beforeAutospacing="0" w:after="0" w:afterAutospacing="0" w:line="360" w:lineRule="auto"/>
              <w:ind w:left="0" w:right="0" w:firstLine="482" w:firstLineChars="200"/>
              <w:rPr>
                <w:rFonts w:hint="default" w:cs="宋体"/>
                <w:b/>
                <w:color w:val="0D0D0D" w:themeColor="text1" w:themeTint="F2"/>
                <w:sz w:val="24"/>
                <w14:textFill>
                  <w14:solidFill>
                    <w14:schemeClr w14:val="tx1">
                      <w14:lumMod w14:val="95000"/>
                      <w14:lumOff w14:val="5000"/>
                    </w14:schemeClr>
                  </w14:solidFill>
                </w14:textFill>
              </w:rPr>
            </w:pPr>
            <w:r>
              <w:rPr>
                <w:rFonts w:hint="default" w:cs="宋体"/>
                <w:b/>
                <w:color w:val="0D0D0D" w:themeColor="text1" w:themeTint="F2"/>
                <w:sz w:val="24"/>
                <w14:textFill>
                  <w14:solidFill>
                    <w14:schemeClr w14:val="tx1">
                      <w14:lumMod w14:val="95000"/>
                      <w14:lumOff w14:val="5000"/>
                    </w14:schemeClr>
                  </w14:solidFill>
                </w14:textFill>
              </w:rPr>
              <w:t>4</w:t>
            </w:r>
            <w:r>
              <w:rPr>
                <w:rFonts w:hint="eastAsia" w:cs="宋体"/>
                <w:b/>
                <w:color w:val="0D0D0D" w:themeColor="text1" w:themeTint="F2"/>
                <w:sz w:val="24"/>
                <w14:textFill>
                  <w14:solidFill>
                    <w14:schemeClr w14:val="tx1">
                      <w14:lumMod w14:val="95000"/>
                      <w14:lumOff w14:val="5000"/>
                    </w14:schemeClr>
                  </w14:solidFill>
                </w14:textFill>
              </w:rPr>
              <w:t>、</w:t>
            </w:r>
            <w:r>
              <w:rPr>
                <w:rFonts w:hint="eastAsia"/>
                <w:b/>
                <w:color w:val="0D0D0D" w:themeColor="text1" w:themeTint="F2"/>
                <w:sz w:val="24"/>
                <w14:textFill>
                  <w14:solidFill>
                    <w14:schemeClr w14:val="tx1">
                      <w14:lumMod w14:val="95000"/>
                      <w14:lumOff w14:val="5000"/>
                    </w14:schemeClr>
                  </w14:solidFill>
                </w14:textFill>
              </w:rPr>
              <w:t>大气环境影响分析</w:t>
            </w:r>
          </w:p>
          <w:bookmarkEnd w:id="5"/>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根据区域环境质量现状评价，项目所在区域为环境空气</w:t>
            </w:r>
            <w:r>
              <w:rPr>
                <w:rFonts w:hint="eastAsia"/>
                <w:color w:val="0D0D0D" w:themeColor="text1" w:themeTint="F2"/>
                <w:sz w:val="24"/>
                <w14:textFill>
                  <w14:solidFill>
                    <w14:schemeClr w14:val="tx1">
                      <w14:lumMod w14:val="95000"/>
                      <w14:lumOff w14:val="5000"/>
                    </w14:schemeClr>
                  </w14:solidFill>
                </w14:textFill>
              </w:rPr>
              <w:t>“不</w:t>
            </w:r>
            <w:r>
              <w:rPr>
                <w:rFonts w:hint="default"/>
                <w:color w:val="0D0D0D" w:themeColor="text1" w:themeTint="F2"/>
                <w:sz w:val="24"/>
                <w14:textFill>
                  <w14:solidFill>
                    <w14:schemeClr w14:val="tx1">
                      <w14:lumMod w14:val="95000"/>
                      <w14:lumOff w14:val="5000"/>
                    </w14:schemeClr>
                  </w14:solidFill>
                </w14:textFill>
              </w:rPr>
              <w:t>达标区</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，根据环境空气质量现状监测，区域特征因子</w:t>
            </w:r>
            <w:r>
              <w:rPr>
                <w:rFonts w:hint="eastAsia"/>
                <w:color w:val="0D0D0D" w:themeColor="text1" w:themeTint="F2"/>
                <w:sz w:val="24"/>
                <w14:textFill>
                  <w14:solidFill>
                    <w14:schemeClr w14:val="tx1">
                      <w14:lumMod w14:val="95000"/>
                      <w14:lumOff w14:val="5000"/>
                    </w14:schemeClr>
                  </w14:solidFill>
                </w14:textFill>
              </w:rPr>
              <w:t>（非甲烷总烃）排放满足《大气污染物综合排放标准详解》中要求</w:t>
            </w:r>
            <w:r>
              <w:rPr>
                <w:rFonts w:hint="default"/>
                <w:color w:val="0D0D0D" w:themeColor="text1" w:themeTint="F2"/>
                <w:sz w:val="24"/>
                <w14:textFill>
                  <w14:solidFill>
                    <w14:schemeClr w14:val="tx1">
                      <w14:lumMod w14:val="95000"/>
                      <w14:lumOff w14:val="5000"/>
                    </w14:schemeClr>
                  </w14:solidFill>
                </w14:textFill>
              </w:rPr>
              <w:t>。本项目产生的废气在采取有效的废气收集、治理措施处理后，排放可满足</w:t>
            </w:r>
            <w:r>
              <w:rPr>
                <w:rFonts w:hint="default"/>
                <w:color w:val="0D0D0D" w:themeColor="text1" w:themeTint="F2"/>
                <w:sz w:val="24"/>
                <w:lang w:val="en-US" w:eastAsia="zh-CN"/>
                <w14:textFill>
                  <w14:solidFill>
                    <w14:schemeClr w14:val="tx1">
                      <w14:lumMod w14:val="95000"/>
                      <w14:lumOff w14:val="5000"/>
                    </w14:schemeClr>
                  </w14:solidFill>
                </w14:textFill>
              </w:rPr>
              <w:t>《铸造工业大气污染物排放标准》（GB39726-2020）表 1</w:t>
            </w:r>
            <w:r>
              <w:rPr>
                <w:rFonts w:hint="eastAsia"/>
                <w:color w:val="0D0D0D" w:themeColor="text1" w:themeTint="F2"/>
                <w:sz w:val="24"/>
                <w:lang w:val="en-US" w:eastAsia="zh-CN"/>
                <w14:textFill>
                  <w14:solidFill>
                    <w14:schemeClr w14:val="tx1">
                      <w14:lumMod w14:val="95000"/>
                      <w14:lumOff w14:val="5000"/>
                    </w14:schemeClr>
                  </w14:solidFill>
                </w14:textFill>
              </w:rPr>
              <w:t>与</w:t>
            </w:r>
            <w:r>
              <w:rPr>
                <w:rFonts w:hint="eastAsia"/>
                <w:bCs/>
                <w:color w:val="000000"/>
                <w:sz w:val="24"/>
                <w:lang w:val="en-US" w:eastAsia="zh-CN"/>
              </w:rPr>
              <w:t>《大气污染物综合排放标准》（GB16297-1996）表2</w:t>
            </w:r>
            <w:r>
              <w:rPr>
                <w:rFonts w:hint="eastAsia"/>
                <w:bCs/>
                <w:color w:val="000000"/>
                <w:sz w:val="24"/>
              </w:rPr>
              <w:t>规定的大气污染物特别排放标准</w:t>
            </w:r>
            <w:r>
              <w:rPr>
                <w:rFonts w:hint="default"/>
                <w:color w:val="0D0D0D" w:themeColor="text1" w:themeTint="F2"/>
                <w:sz w:val="24"/>
                <w14:textFill>
                  <w14:solidFill>
                    <w14:schemeClr w14:val="tx1">
                      <w14:lumMod w14:val="95000"/>
                      <w14:lumOff w14:val="5000"/>
                    </w14:schemeClr>
                  </w14:solidFill>
                </w14:textFill>
              </w:rPr>
              <w:t>，有组织废气通过排气筒排放。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综上所述，经采取可行的废气治理措施后，本项目废气可达标排放，对区域大气环境的影响较小</w:t>
            </w:r>
            <w:r>
              <w:rPr>
                <w:rFonts w:hint="default" w:cs="宋体"/>
                <w:color w:val="0D0D0D" w:themeColor="text1" w:themeTint="F2"/>
                <w:sz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77" w:hRule="atLeast"/>
        </w:trPr>
        <w:tc>
          <w:tcPr>
            <w:tcW w:w="542" w:type="dxa"/>
            <w:vMerge w:val="continue"/>
            <w:shd w:val="clear" w:color="auto" w:fill="auto"/>
          </w:tcPr>
          <w:p>
            <w:pPr>
              <w:keepNext w:val="0"/>
              <w:keepLines w:val="0"/>
              <w:suppressLineNumbers w:val="0"/>
              <w:tabs>
                <w:tab w:val="left" w:pos="1077"/>
              </w:tabs>
              <w:spacing w:before="0" w:beforeAutospacing="0" w:after="0" w:afterAutospacing="0"/>
              <w:ind w:left="0" w:right="0"/>
              <w:rPr>
                <w:rFonts w:hint="default" w:cs="宋体"/>
                <w:color w:val="0D0D0D" w:themeColor="text1" w:themeTint="F2"/>
                <w:sz w:val="24"/>
                <w14:textFill>
                  <w14:solidFill>
                    <w14:schemeClr w14:val="tx1">
                      <w14:lumMod w14:val="95000"/>
                      <w14:lumOff w14:val="5000"/>
                    </w14:schemeClr>
                  </w14:solidFill>
                </w14:textFill>
              </w:rPr>
            </w:pPr>
          </w:p>
        </w:tc>
        <w:tc>
          <w:tcPr>
            <w:tcW w:w="8519" w:type="dxa"/>
            <w:shd w:val="clear" w:color="auto" w:fill="auto"/>
          </w:tcPr>
          <w:p>
            <w:pPr>
              <w:keepNext w:val="0"/>
              <w:keepLines w:val="0"/>
              <w:suppressLineNumbers w:val="0"/>
              <w:tabs>
                <w:tab w:val="left" w:pos="1077"/>
              </w:tabs>
              <w:spacing w:before="120" w:beforeLines="50" w:beforeAutospacing="0" w:after="0" w:afterAutospacing="0" w:line="360" w:lineRule="auto"/>
              <w:ind w:left="0" w:right="0" w:firstLine="482" w:firstLineChars="200"/>
              <w:rPr>
                <w:rFonts w:hint="default" w:cs="宋体"/>
                <w:b/>
                <w:bCs/>
                <w:color w:val="0D0D0D" w:themeColor="text1" w:themeTint="F2"/>
                <w:sz w:val="24"/>
                <w14:textFill>
                  <w14:solidFill>
                    <w14:schemeClr w14:val="tx1">
                      <w14:lumMod w14:val="95000"/>
                      <w14:lumOff w14:val="5000"/>
                    </w14:schemeClr>
                  </w14:solidFill>
                </w14:textFill>
              </w:rPr>
            </w:pPr>
            <w:r>
              <w:rPr>
                <w:rFonts w:hint="eastAsia" w:cs="宋体"/>
                <w:b/>
                <w:bCs/>
                <w:color w:val="0D0D0D" w:themeColor="text1" w:themeTint="F2"/>
                <w:sz w:val="24"/>
                <w14:textFill>
                  <w14:solidFill>
                    <w14:schemeClr w14:val="tx1">
                      <w14:lumMod w14:val="95000"/>
                      <w14:lumOff w14:val="5000"/>
                    </w14:schemeClr>
                  </w14:solidFill>
                </w14:textFill>
              </w:rPr>
              <w:t>二、废水环境影响和保护措施</w:t>
            </w:r>
          </w:p>
          <w:p>
            <w:pPr>
              <w:keepNext/>
              <w:keepLines/>
              <w:suppressLineNumbers w:val="0"/>
              <w:spacing w:before="0" w:beforeAutospacing="0" w:after="0" w:afterAutospacing="0" w:line="360" w:lineRule="auto"/>
              <w:ind w:left="0" w:right="0" w:firstLine="472" w:firstLineChars="196"/>
              <w:outlineLvl w:val="2"/>
              <w:rPr>
                <w:rFonts w:hint="default"/>
                <w:color w:val="0D0D0D" w:themeColor="text1" w:themeTint="F2"/>
                <w:kern w:val="0"/>
                <w:sz w:val="24"/>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1、</w:t>
            </w:r>
            <w:r>
              <w:rPr>
                <w:rFonts w:hint="default"/>
                <w:b/>
                <w:bCs/>
                <w:color w:val="0D0D0D" w:themeColor="text1" w:themeTint="F2"/>
                <w:sz w:val="24"/>
                <w:szCs w:val="32"/>
                <w14:textFill>
                  <w14:solidFill>
                    <w14:schemeClr w14:val="tx1">
                      <w14:lumMod w14:val="95000"/>
                      <w14:lumOff w14:val="5000"/>
                    </w14:schemeClr>
                  </w14:solidFill>
                </w14:textFill>
              </w:rPr>
              <w:t>废</w:t>
            </w:r>
            <w:r>
              <w:rPr>
                <w:rFonts w:hint="eastAsia"/>
                <w:b/>
                <w:bCs/>
                <w:color w:val="0D0D0D" w:themeColor="text1" w:themeTint="F2"/>
                <w:sz w:val="24"/>
                <w:szCs w:val="32"/>
                <w14:textFill>
                  <w14:solidFill>
                    <w14:schemeClr w14:val="tx1">
                      <w14:lumMod w14:val="95000"/>
                      <w14:lumOff w14:val="5000"/>
                    </w14:schemeClr>
                  </w14:solidFill>
                </w14:textFill>
              </w:rPr>
              <w:t>水</w:t>
            </w:r>
            <w:r>
              <w:rPr>
                <w:rFonts w:hint="default"/>
                <w:b/>
                <w:bCs/>
                <w:color w:val="0D0D0D" w:themeColor="text1" w:themeTint="F2"/>
                <w:sz w:val="24"/>
                <w:szCs w:val="32"/>
                <w14:textFill>
                  <w14:solidFill>
                    <w14:schemeClr w14:val="tx1">
                      <w14:lumMod w14:val="95000"/>
                      <w14:lumOff w14:val="5000"/>
                    </w14:schemeClr>
                  </w14:solidFill>
                </w14:textFill>
              </w:rPr>
              <w:t>污染源</w:t>
            </w:r>
            <w:r>
              <w:rPr>
                <w:rFonts w:hint="eastAsia"/>
                <w:b/>
                <w:bCs/>
                <w:color w:val="0D0D0D" w:themeColor="text1" w:themeTint="F2"/>
                <w:sz w:val="24"/>
                <w:szCs w:val="32"/>
                <w14:textFill>
                  <w14:solidFill>
                    <w14:schemeClr w14:val="tx1">
                      <w14:lumMod w14:val="95000"/>
                      <w14:lumOff w14:val="5000"/>
                    </w14:schemeClr>
                  </w14:solidFill>
                </w14:textFill>
              </w:rPr>
              <w:t>分析</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C0C0C"/>
                <w:kern w:val="0"/>
                <w:sz w:val="24"/>
                <w:szCs w:val="24"/>
              </w:rPr>
            </w:pPr>
            <w:r>
              <w:rPr>
                <w:rFonts w:hint="eastAsia" w:ascii="宋体" w:hAnsi="宋体" w:eastAsia="宋体" w:cs="宋体"/>
                <w:color w:val="0C0C0C"/>
                <w:kern w:val="0"/>
                <w:sz w:val="24"/>
                <w:szCs w:val="24"/>
                <w:lang w:val="en-US" w:eastAsia="zh-CN" w:bidi="ar"/>
              </w:rPr>
              <w:t>本项目运营期用水为生产用水和员工生活用水。</w:t>
            </w:r>
          </w:p>
          <w:p>
            <w:pPr>
              <w:pStyle w:val="54"/>
              <w:keepNext w:val="0"/>
              <w:keepLines w:val="0"/>
              <w:widowControl w:val="0"/>
              <w:numPr>
                <w:ilvl w:val="0"/>
                <w:numId w:val="3"/>
              </w:numPr>
              <w:suppressLineNumbers w:val="0"/>
              <w:spacing w:before="0" w:beforeAutospacing="0" w:after="0" w:afterAutospacing="0" w:line="360" w:lineRule="auto"/>
              <w:ind w:left="840" w:right="0" w:hanging="360" w:firstLineChars="0"/>
              <w:jc w:val="left"/>
              <w:rPr>
                <w:rFonts w:hint="eastAsia"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脱模剂稀释用水</w:t>
            </w:r>
          </w:p>
          <w:p>
            <w:pPr>
              <w:keepNext w:val="0"/>
              <w:keepLines w:val="0"/>
              <w:widowControl w:val="0"/>
              <w:suppressLineNumbers w:val="0"/>
              <w:adjustRightInd w:val="0"/>
              <w:spacing w:before="0" w:beforeAutospacing="0" w:after="0" w:afterAutospacing="0" w:line="360" w:lineRule="auto"/>
              <w:ind w:left="0" w:right="0" w:firstLine="480" w:firstLineChars="200"/>
              <w:jc w:val="left"/>
              <w:rPr>
                <w:rFonts w:hint="eastAsia"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脱模剂使用水性脱模剂，以水稀释</w:t>
            </w:r>
            <w:r>
              <w:rPr>
                <w:rFonts w:hint="eastAsia" w:ascii="Times New Roman" w:hAnsi="Times New Roman" w:eastAsia="宋体" w:cs="Times New Roman"/>
                <w:kern w:val="2"/>
                <w:sz w:val="24"/>
                <w:szCs w:val="24"/>
                <w:lang w:val="en-US" w:eastAsia="zh-CN" w:bidi="ar"/>
              </w:rPr>
              <w:t xml:space="preserve"> </w:t>
            </w:r>
            <w:r>
              <w:rPr>
                <w:rFonts w:hint="default" w:ascii="Times New Roman" w:hAnsi="Times New Roman" w:eastAsia="宋体" w:cs="Times New Roman"/>
                <w:kern w:val="2"/>
                <w:sz w:val="24"/>
                <w:szCs w:val="24"/>
                <w:lang w:val="en-US" w:eastAsia="zh-CN" w:bidi="ar"/>
              </w:rPr>
              <w:t xml:space="preserve">150 </w:t>
            </w:r>
            <w:r>
              <w:rPr>
                <w:rFonts w:hint="eastAsia" w:ascii="宋体" w:hAnsi="宋体" w:eastAsia="宋体" w:cs="宋体"/>
                <w:kern w:val="2"/>
                <w:sz w:val="24"/>
                <w:szCs w:val="24"/>
                <w:lang w:val="en-US" w:eastAsia="zh-CN" w:bidi="ar"/>
              </w:rPr>
              <w:t>倍后使用，脱模剂一年使用量为</w:t>
            </w:r>
            <w:r>
              <w:rPr>
                <w:rFonts w:hint="default"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吨，用水量约</w:t>
            </w:r>
            <w:r>
              <w:rPr>
                <w:rFonts w:hint="default" w:ascii="Times New Roman" w:hAnsi="Times New Roman" w:eastAsia="宋体" w:cs="Times New Roman"/>
                <w:kern w:val="2"/>
                <w:sz w:val="24"/>
                <w:szCs w:val="24"/>
                <w:lang w:val="en-US" w:eastAsia="zh-CN" w:bidi="ar"/>
              </w:rPr>
              <w:t>750</w:t>
            </w:r>
            <w:r>
              <w:rPr>
                <w:rFonts w:hint="eastAsia" w:ascii="宋体" w:hAnsi="宋体" w:eastAsia="宋体" w:cs="宋体"/>
                <w:kern w:val="2"/>
                <w:sz w:val="24"/>
                <w:szCs w:val="24"/>
                <w:lang w:val="en-US" w:eastAsia="zh-CN" w:bidi="ar"/>
              </w:rPr>
              <w:t>吨，脱模剂产生的脱模废水经</w:t>
            </w:r>
            <w:r>
              <w:rPr>
                <w:rFonts w:hint="default" w:ascii="Times New Roman" w:hAnsi="Times New Roman" w:eastAsia="宋体" w:cs="Times New Roman"/>
                <w:kern w:val="2"/>
                <w:sz w:val="24"/>
                <w:szCs w:val="24"/>
                <w:lang w:val="en-US" w:eastAsia="zh-CN" w:bidi="ar"/>
              </w:rPr>
              <w:t>2.5m</w:t>
            </w:r>
            <w:r>
              <w:rPr>
                <w:rFonts w:hint="eastAsia" w:ascii="宋体" w:hAnsi="宋体" w:eastAsia="宋体" w:cs="宋体"/>
                <w:kern w:val="2"/>
                <w:sz w:val="24"/>
                <w:szCs w:val="24"/>
                <w:lang w:val="en-US" w:eastAsia="zh-CN" w:bidi="ar"/>
              </w:rPr>
              <w:t>³的沉淀池沉淀，沉淀后经脱模剂回收处理机处理后回用，不外排。经长时间循环使用后会产生浓度较高的含杂质的脱模废液，需定期清理，回收机内脱模废液作为危废暂存于危废间，脱模废液产生量较少，约为脱模配比后用量的</w:t>
            </w:r>
            <w:r>
              <w:rPr>
                <w:rFonts w:hint="eastAsia" w:ascii="Times New Roman" w:hAnsi="Times New Roman" w:eastAsia="宋体" w:cs="Times New Roman"/>
                <w:kern w:val="2"/>
                <w:sz w:val="24"/>
                <w:szCs w:val="24"/>
                <w:lang w:val="en-US" w:eastAsia="zh-CN" w:bidi="ar"/>
              </w:rPr>
              <w:t xml:space="preserve"> </w:t>
            </w:r>
            <w:r>
              <w:rPr>
                <w:rFonts w:hint="default" w:ascii="Times New Roman" w:hAnsi="Times New Roman" w:eastAsia="宋体" w:cs="Times New Roman"/>
                <w:kern w:val="2"/>
                <w:sz w:val="24"/>
                <w:szCs w:val="24"/>
                <w:lang w:val="en-US" w:eastAsia="zh-CN" w:bidi="ar"/>
              </w:rPr>
              <w:t>0.1%</w:t>
            </w:r>
            <w:r>
              <w:rPr>
                <w:rFonts w:hint="eastAsia" w:ascii="宋体" w:hAnsi="宋体" w:eastAsia="宋体" w:cs="宋体"/>
                <w:kern w:val="2"/>
                <w:sz w:val="24"/>
                <w:szCs w:val="24"/>
                <w:lang w:val="en-US" w:eastAsia="zh-CN" w:bidi="ar"/>
              </w:rPr>
              <w:t>，约</w:t>
            </w:r>
            <w:r>
              <w:rPr>
                <w:rFonts w:hint="default" w:ascii="Times New Roman" w:hAnsi="Times New Roman" w:eastAsia="宋体" w:cs="Times New Roman"/>
                <w:kern w:val="2"/>
                <w:sz w:val="24"/>
                <w:szCs w:val="24"/>
                <w:lang w:val="en-US" w:eastAsia="zh-CN" w:bidi="ar"/>
              </w:rPr>
              <w:t>0.75t/a</w:t>
            </w:r>
            <w:r>
              <w:rPr>
                <w:rFonts w:hint="eastAsia" w:ascii="宋体" w:hAnsi="宋体" w:eastAsia="宋体" w:cs="宋体"/>
                <w:kern w:val="2"/>
                <w:sz w:val="24"/>
                <w:szCs w:val="24"/>
                <w:lang w:val="en-US" w:eastAsia="zh-CN" w:bidi="ar"/>
              </w:rPr>
              <w:t>，委托有危废资质的单位处理。</w:t>
            </w:r>
          </w:p>
          <w:p>
            <w:pPr>
              <w:pStyle w:val="54"/>
              <w:keepNext w:val="0"/>
              <w:keepLines w:val="0"/>
              <w:widowControl w:val="0"/>
              <w:suppressLineNumbers w:val="0"/>
              <w:snapToGrid w:val="0"/>
              <w:spacing w:before="60" w:beforeAutospacing="0" w:after="160" w:afterAutospacing="0" w:line="256" w:lineRule="auto"/>
              <w:ind w:left="0" w:right="113" w:firstLine="480" w:firstLineChars="200"/>
              <w:jc w:val="both"/>
              <w:rPr>
                <w:rFonts w:hint="eastAsia" w:ascii="Times New Roman" w:hAnsi="Times New Roman" w:eastAsia="宋体" w:cs="Times New Roman"/>
                <w:kern w:val="0"/>
                <w:sz w:val="24"/>
                <w:szCs w:val="24"/>
              </w:rPr>
            </w:pPr>
            <w:r>
              <w:rPr>
                <w:rFonts w:hint="eastAsia" w:ascii="宋体" w:hAnsi="宋体" w:eastAsia="宋体" w:cs="宋体"/>
                <w:kern w:val="0"/>
                <w:sz w:val="24"/>
                <w:szCs w:val="24"/>
                <w:lang w:val="en-US" w:eastAsia="zh-CN" w:bidi="ar"/>
              </w:rPr>
              <w:t>②冷却水池补充用水</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项目压铸机采用循环水间接冷却，定期补充，不外排。冷却系统由</w:t>
            </w:r>
            <w:r>
              <w:rPr>
                <w:rFonts w:hint="default" w:ascii="Times New Roman" w:hAnsi="Times New Roman" w:eastAsia="宋体" w:cs="Times New Roman"/>
                <w:color w:val="0C0C0C"/>
                <w:kern w:val="2"/>
                <w:sz w:val="24"/>
                <w:szCs w:val="24"/>
                <w:lang w:val="en-US" w:eastAsia="zh-CN" w:bidi="ar"/>
              </w:rPr>
              <w:t xml:space="preserve"> 1 </w:t>
            </w:r>
            <w:r>
              <w:rPr>
                <w:rFonts w:hint="eastAsia" w:ascii="宋体" w:hAnsi="宋体" w:eastAsia="宋体" w:cs="宋体"/>
                <w:color w:val="0C0C0C"/>
                <w:kern w:val="2"/>
                <w:sz w:val="24"/>
                <w:szCs w:val="24"/>
                <w:lang w:val="en-US" w:eastAsia="zh-CN" w:bidi="ar"/>
              </w:rPr>
              <w:t xml:space="preserve">台冷却水塔和 </w:t>
            </w:r>
            <w:r>
              <w:rPr>
                <w:rFonts w:hint="default" w:ascii="Times New Roman" w:hAnsi="Times New Roman" w:eastAsia="宋体" w:cs="Times New Roman"/>
                <w:color w:val="0C0C0C"/>
                <w:kern w:val="2"/>
                <w:sz w:val="24"/>
                <w:szCs w:val="24"/>
                <w:lang w:val="en-US" w:eastAsia="zh-CN" w:bidi="ar"/>
              </w:rPr>
              <w:t xml:space="preserve">1 </w:t>
            </w:r>
            <w:r>
              <w:rPr>
                <w:rFonts w:hint="eastAsia" w:ascii="宋体" w:hAnsi="宋体" w:eastAsia="宋体" w:cs="宋体"/>
                <w:color w:val="0C0C0C"/>
                <w:kern w:val="2"/>
                <w:sz w:val="24"/>
                <w:szCs w:val="24"/>
                <w:lang w:val="en-US" w:eastAsia="zh-CN" w:bidi="ar"/>
              </w:rPr>
              <w:t>座地埋式冷却池组成，冷却池体积为</w:t>
            </w:r>
            <w:r>
              <w:rPr>
                <w:rFonts w:hint="default" w:ascii="Times New Roman" w:hAnsi="Times New Roman" w:eastAsia="宋体" w:cs="Times New Roman"/>
                <w:color w:val="0C0C0C"/>
                <w:kern w:val="2"/>
                <w:sz w:val="24"/>
                <w:szCs w:val="24"/>
                <w:lang w:val="en-US" w:eastAsia="zh-CN" w:bidi="ar"/>
              </w:rPr>
              <w:t>20m</w:t>
            </w:r>
            <w:r>
              <w:rPr>
                <w:rFonts w:hint="eastAsia" w:ascii="宋体" w:hAnsi="宋体" w:eastAsia="宋体" w:cs="宋体"/>
                <w:color w:val="0C0C0C"/>
                <w:kern w:val="2"/>
                <w:sz w:val="24"/>
                <w:szCs w:val="24"/>
                <w:lang w:val="en-US" w:eastAsia="zh-CN" w:bidi="ar"/>
              </w:rPr>
              <w:t>³，根据建设单位提供资料，冷却系统循环水量为</w:t>
            </w:r>
            <w:r>
              <w:rPr>
                <w:rFonts w:hint="default" w:ascii="Times New Roman" w:hAnsi="Times New Roman" w:eastAsia="宋体" w:cs="Times New Roman"/>
                <w:kern w:val="2"/>
                <w:sz w:val="24"/>
                <w:szCs w:val="24"/>
                <w:lang w:val="en-US" w:eastAsia="zh-CN" w:bidi="ar"/>
              </w:rPr>
              <w:t>5m</w:t>
            </w:r>
            <w:r>
              <w:rPr>
                <w:rFonts w:hint="default" w:ascii="Times New Roman" w:hAnsi="Times New Roman" w:eastAsia="宋体" w:cs="Times New Roman"/>
                <w:kern w:val="2"/>
                <w:sz w:val="24"/>
                <w:szCs w:val="24"/>
                <w:vertAlign w:val="superscript"/>
                <w:lang w:val="en-US" w:eastAsia="zh-CN" w:bidi="ar"/>
              </w:rPr>
              <w:t>3</w:t>
            </w:r>
            <w:r>
              <w:rPr>
                <w:rFonts w:hint="default" w:ascii="Times New Roman" w:hAnsi="Times New Roman" w:eastAsia="宋体" w:cs="Times New Roman"/>
                <w:kern w:val="2"/>
                <w:sz w:val="24"/>
                <w:szCs w:val="24"/>
                <w:lang w:val="en-US" w:eastAsia="zh-CN" w:bidi="ar"/>
              </w:rPr>
              <w:t xml:space="preserve"> /h</w:t>
            </w:r>
            <w:r>
              <w:rPr>
                <w:rFonts w:hint="eastAsia" w:ascii="宋体" w:hAnsi="宋体" w:eastAsia="宋体" w:cs="宋体"/>
                <w:color w:val="0C0C0C"/>
                <w:kern w:val="2"/>
                <w:sz w:val="24"/>
                <w:szCs w:val="24"/>
                <w:lang w:val="en-US" w:eastAsia="zh-CN" w:bidi="ar"/>
              </w:rPr>
              <w:t>，根据《工业循环水冷却设计规范》</w:t>
            </w:r>
            <w:r>
              <w:rPr>
                <w:rFonts w:hint="default" w:ascii="Times New Roman" w:hAnsi="Times New Roman" w:eastAsia="宋体" w:cs="Times New Roman"/>
                <w:color w:val="0C0C0C"/>
                <w:kern w:val="2"/>
                <w:sz w:val="24"/>
                <w:szCs w:val="24"/>
                <w:lang w:val="en-US" w:eastAsia="zh-CN" w:bidi="ar"/>
              </w:rPr>
              <w:t xml:space="preserve"> （GB/T50102-2014</w:t>
            </w:r>
            <w:r>
              <w:rPr>
                <w:rFonts w:hint="eastAsia" w:ascii="宋体" w:hAnsi="宋体" w:eastAsia="宋体" w:cs="宋体"/>
                <w:color w:val="0C0C0C"/>
                <w:kern w:val="2"/>
                <w:sz w:val="24"/>
                <w:szCs w:val="24"/>
                <w:lang w:val="en-US" w:eastAsia="zh-CN" w:bidi="ar"/>
              </w:rPr>
              <w:t xml:space="preserve">），冷却水池损失水量按照自然蒸发、附加蒸发、渗漏和排污等考虑，本项目冷却池为地埋式，四周采取混凝土硬化，并进行防渗处理，不外排，可不考虑自然蒸发、渗漏和排污等情况。冷却池水损耗量可忽略不计。冷却塔的水量损失应根据蒸发、风吹和排水各项损失水量确定，项目冷却水循环使用，不外排，因此仅考虑蒸发和风吹损耗，蒸发水量按照以下公式计算： </w:t>
            </w:r>
          </w:p>
          <w:p>
            <w:pPr>
              <w:keepNext w:val="0"/>
              <w:keepLines w:val="0"/>
              <w:widowControl w:val="0"/>
              <w:suppressLineNumbers w:val="0"/>
              <w:adjustRightInd w:val="0"/>
              <w:spacing w:before="0" w:beforeAutospacing="0" w:after="0" w:afterAutospacing="0" w:line="360" w:lineRule="auto"/>
              <w:ind w:left="0" w:right="0" w:firstLine="480"/>
              <w:jc w:val="center"/>
              <w:rPr>
                <w:rFonts w:hint="default" w:ascii="Times New Roman" w:hAnsi="Times New Roman" w:eastAsia="宋体" w:cs="Times New Roman"/>
                <w:color w:val="0C0C0C"/>
                <w:kern w:val="2"/>
                <w:sz w:val="24"/>
                <w:szCs w:val="24"/>
              </w:rPr>
            </w:pPr>
            <w:r>
              <w:rPr>
                <w:rFonts w:hint="default" w:ascii="Times New Roman" w:hAnsi="Times New Roman" w:eastAsia="宋体" w:cs="Times New Roman"/>
                <w:color w:val="0C0C0C"/>
                <w:kern w:val="2"/>
                <w:sz w:val="24"/>
                <w:szCs w:val="24"/>
                <w:lang w:val="en-US" w:eastAsia="zh-CN" w:bidi="ar"/>
              </w:rPr>
              <w:t>Pe=KZF·∆t</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100%</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式中：</w:t>
            </w:r>
            <w:r>
              <w:rPr>
                <w:rFonts w:hint="default" w:ascii="Times New Roman" w:hAnsi="Times New Roman" w:eastAsia="宋体" w:cs="Times New Roman"/>
                <w:color w:val="0C0C0C"/>
                <w:kern w:val="2"/>
                <w:sz w:val="24"/>
                <w:szCs w:val="24"/>
                <w:lang w:val="en-US" w:eastAsia="zh-CN" w:bidi="ar"/>
              </w:rPr>
              <w:t>Pe——</w:t>
            </w:r>
            <w:r>
              <w:rPr>
                <w:rFonts w:hint="eastAsia" w:ascii="宋体" w:hAnsi="宋体" w:eastAsia="宋体" w:cs="宋体"/>
                <w:color w:val="0C0C0C"/>
                <w:kern w:val="2"/>
                <w:sz w:val="24"/>
                <w:szCs w:val="24"/>
                <w:lang w:val="en-US" w:eastAsia="zh-CN" w:bidi="ar"/>
              </w:rPr>
              <w:t>蒸发损失水率；</w:t>
            </w:r>
            <w:r>
              <w:rPr>
                <w:rFonts w:hint="default" w:ascii="Times New Roman" w:hAnsi="Times New Roman" w:eastAsia="宋体" w:cs="Times New Roman"/>
                <w:color w:val="0C0C0C"/>
                <w:kern w:val="2"/>
                <w:sz w:val="24"/>
                <w:szCs w:val="24"/>
                <w:lang w:val="en-US" w:eastAsia="zh-CN" w:bidi="ar"/>
              </w:rPr>
              <w:t>KZF——</w:t>
            </w:r>
            <w:r>
              <w:rPr>
                <w:rFonts w:hint="eastAsia" w:ascii="宋体" w:hAnsi="宋体" w:eastAsia="宋体" w:cs="宋体"/>
                <w:color w:val="0C0C0C"/>
                <w:kern w:val="2"/>
                <w:sz w:val="24"/>
                <w:szCs w:val="24"/>
                <w:lang w:val="en-US" w:eastAsia="zh-CN" w:bidi="ar"/>
              </w:rPr>
              <w:t>系数（</w:t>
            </w:r>
            <w:r>
              <w:rPr>
                <w:rFonts w:hint="default" w:ascii="Times New Roman" w:hAnsi="Times New Roman" w:eastAsia="宋体" w:cs="Times New Roman"/>
                <w:color w:val="0C0C0C"/>
                <w:kern w:val="2"/>
                <w:sz w:val="24"/>
                <w:szCs w:val="24"/>
                <w:lang w:val="en-US" w:eastAsia="zh-CN" w:bidi="ar"/>
              </w:rPr>
              <w:t>1/℃</w:t>
            </w:r>
            <w:r>
              <w:rPr>
                <w:rFonts w:hint="eastAsia" w:ascii="宋体" w:hAnsi="宋体" w:eastAsia="宋体" w:cs="宋体"/>
                <w:color w:val="0C0C0C"/>
                <w:kern w:val="2"/>
                <w:sz w:val="24"/>
                <w:szCs w:val="24"/>
                <w:lang w:val="en-US" w:eastAsia="zh-CN" w:bidi="ar"/>
              </w:rPr>
              <w:t>），根据《工业循环水冷却设计规范》（</w:t>
            </w:r>
            <w:r>
              <w:rPr>
                <w:rFonts w:hint="default" w:ascii="Times New Roman" w:hAnsi="Times New Roman" w:eastAsia="宋体" w:cs="Times New Roman"/>
                <w:color w:val="0C0C0C"/>
                <w:kern w:val="2"/>
                <w:sz w:val="24"/>
                <w:szCs w:val="24"/>
                <w:lang w:val="en-US" w:eastAsia="zh-CN" w:bidi="ar"/>
              </w:rPr>
              <w:t>GB/T50102-2014</w:t>
            </w:r>
            <w:r>
              <w:rPr>
                <w:rFonts w:hint="eastAsia" w:ascii="宋体" w:hAnsi="宋体" w:eastAsia="宋体" w:cs="宋体"/>
                <w:color w:val="0C0C0C"/>
                <w:kern w:val="2"/>
                <w:sz w:val="24"/>
                <w:szCs w:val="24"/>
                <w:lang w:val="en-US" w:eastAsia="zh-CN" w:bidi="ar"/>
              </w:rPr>
              <w:t xml:space="preserve">）表 </w:t>
            </w:r>
            <w:r>
              <w:rPr>
                <w:rFonts w:hint="default" w:ascii="Times New Roman" w:hAnsi="Times New Roman" w:eastAsia="宋体" w:cs="Times New Roman"/>
                <w:color w:val="0C0C0C"/>
                <w:kern w:val="2"/>
                <w:sz w:val="24"/>
                <w:szCs w:val="24"/>
                <w:lang w:val="en-US" w:eastAsia="zh-CN" w:bidi="ar"/>
              </w:rPr>
              <w:t>3.1.20</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30℃</w:t>
            </w:r>
            <w:r>
              <w:rPr>
                <w:rFonts w:hint="eastAsia" w:ascii="宋体" w:hAnsi="宋体" w:eastAsia="宋体" w:cs="宋体"/>
                <w:color w:val="0C0C0C"/>
                <w:kern w:val="2"/>
                <w:sz w:val="24"/>
                <w:szCs w:val="24"/>
                <w:lang w:val="en-US" w:eastAsia="zh-CN" w:bidi="ar"/>
              </w:rPr>
              <w:t xml:space="preserve">时 </w:t>
            </w:r>
            <w:r>
              <w:rPr>
                <w:rFonts w:hint="default" w:ascii="Times New Roman" w:hAnsi="Times New Roman" w:eastAsia="宋体" w:cs="Times New Roman"/>
                <w:color w:val="0C0C0C"/>
                <w:kern w:val="2"/>
                <w:sz w:val="24"/>
                <w:szCs w:val="24"/>
                <w:lang w:val="en-US" w:eastAsia="zh-CN" w:bidi="ar"/>
              </w:rPr>
              <w:t xml:space="preserve">KZF </w:t>
            </w:r>
            <w:r>
              <w:rPr>
                <w:rFonts w:hint="eastAsia" w:ascii="宋体" w:hAnsi="宋体" w:eastAsia="宋体" w:cs="宋体"/>
                <w:color w:val="0C0C0C"/>
                <w:kern w:val="2"/>
                <w:sz w:val="24"/>
                <w:szCs w:val="24"/>
                <w:lang w:val="en-US" w:eastAsia="zh-CN" w:bidi="ar"/>
              </w:rPr>
              <w:t xml:space="preserve">取值 </w:t>
            </w:r>
            <w:r>
              <w:rPr>
                <w:rFonts w:hint="default" w:ascii="Times New Roman" w:hAnsi="Times New Roman" w:eastAsia="宋体" w:cs="Times New Roman"/>
                <w:color w:val="0C0C0C"/>
                <w:kern w:val="2"/>
                <w:sz w:val="24"/>
                <w:szCs w:val="24"/>
                <w:lang w:val="en-US" w:eastAsia="zh-CN" w:bidi="ar"/>
              </w:rPr>
              <w:t>0.0015</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∆t——</w:t>
            </w:r>
            <w:r>
              <w:rPr>
                <w:rFonts w:hint="eastAsia" w:ascii="宋体" w:hAnsi="宋体" w:eastAsia="宋体" w:cs="宋体"/>
                <w:color w:val="0C0C0C"/>
                <w:kern w:val="2"/>
                <w:sz w:val="24"/>
                <w:szCs w:val="24"/>
                <w:lang w:val="en-US" w:eastAsia="zh-CN" w:bidi="ar"/>
              </w:rPr>
              <w:t>进、出冷却塔的水温差（</w:t>
            </w:r>
            <w:r>
              <w:rPr>
                <w:rFonts w:hint="default" w:ascii="Times New Roman" w:hAnsi="Times New Roman" w:eastAsia="宋体" w:cs="Times New Roman"/>
                <w:color w:val="0C0C0C"/>
                <w:kern w:val="2"/>
                <w:sz w:val="24"/>
                <w:szCs w:val="24"/>
                <w:lang w:val="en-US" w:eastAsia="zh-CN" w:bidi="ar"/>
              </w:rPr>
              <w:t>℃</w:t>
            </w:r>
            <w:r>
              <w:rPr>
                <w:rFonts w:hint="eastAsia" w:ascii="宋体" w:hAnsi="宋体" w:eastAsia="宋体" w:cs="宋体"/>
                <w:color w:val="0C0C0C"/>
                <w:kern w:val="2"/>
                <w:sz w:val="24"/>
                <w:szCs w:val="24"/>
                <w:lang w:val="en-US" w:eastAsia="zh-CN" w:bidi="ar"/>
              </w:rPr>
              <w:t xml:space="preserve">），本项目进出水温差取 </w:t>
            </w:r>
            <w:r>
              <w:rPr>
                <w:rFonts w:hint="default" w:ascii="Times New Roman" w:hAnsi="Times New Roman" w:eastAsia="宋体" w:cs="Times New Roman"/>
                <w:color w:val="0C0C0C"/>
                <w:kern w:val="2"/>
                <w:sz w:val="24"/>
                <w:szCs w:val="24"/>
                <w:lang w:val="en-US" w:eastAsia="zh-CN" w:bidi="ar"/>
              </w:rPr>
              <w:t>5℃</w:t>
            </w:r>
            <w:r>
              <w:rPr>
                <w:rFonts w:hint="eastAsia" w:ascii="宋体" w:hAnsi="宋体" w:eastAsia="宋体" w:cs="宋体"/>
                <w:color w:val="0C0C0C"/>
                <w:kern w:val="2"/>
                <w:sz w:val="24"/>
                <w:szCs w:val="24"/>
                <w:lang w:val="en-US" w:eastAsia="zh-CN" w:bidi="ar"/>
              </w:rPr>
              <w:t>；</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项目采用的冷却塔为机械通风冷却塔，配有收水装置，因此冷却塔风吹损失水率取值</w:t>
            </w:r>
            <w:r>
              <w:rPr>
                <w:rFonts w:hint="default" w:ascii="Times New Roman" w:hAnsi="Times New Roman" w:eastAsia="宋体" w:cs="Times New Roman"/>
                <w:color w:val="0C0C0C"/>
                <w:kern w:val="2"/>
                <w:sz w:val="24"/>
                <w:szCs w:val="24"/>
                <w:lang w:val="en-US" w:eastAsia="zh-CN" w:bidi="ar"/>
              </w:rPr>
              <w:t xml:space="preserve"> 0.10%</w:t>
            </w:r>
            <w:r>
              <w:rPr>
                <w:rFonts w:hint="eastAsia" w:ascii="宋体" w:hAnsi="宋体" w:eastAsia="宋体" w:cs="宋体"/>
                <w:color w:val="0C0C0C"/>
                <w:kern w:val="2"/>
                <w:sz w:val="24"/>
                <w:szCs w:val="24"/>
                <w:lang w:val="en-US" w:eastAsia="zh-CN" w:bidi="ar"/>
              </w:rPr>
              <w:t>。经计算，项目冷却塔蒸发和风吹损耗损失水率为</w:t>
            </w:r>
            <w:r>
              <w:rPr>
                <w:rFonts w:hint="default" w:ascii="Times New Roman" w:hAnsi="Times New Roman" w:eastAsia="宋体" w:cs="Times New Roman"/>
                <w:color w:val="0C0C0C"/>
                <w:kern w:val="2"/>
                <w:sz w:val="24"/>
                <w:szCs w:val="24"/>
                <w:lang w:val="en-US" w:eastAsia="zh-CN" w:bidi="ar"/>
              </w:rPr>
              <w:t>0.85%</w:t>
            </w:r>
            <w:r>
              <w:rPr>
                <w:rFonts w:hint="eastAsia" w:ascii="宋体" w:hAnsi="宋体" w:eastAsia="宋体" w:cs="宋体"/>
                <w:color w:val="0C0C0C"/>
                <w:kern w:val="2"/>
                <w:sz w:val="24"/>
                <w:szCs w:val="24"/>
                <w:lang w:val="en-US" w:eastAsia="zh-CN" w:bidi="ar"/>
              </w:rPr>
              <w:t>，冷却塔循环量为</w:t>
            </w:r>
            <w:r>
              <w:rPr>
                <w:rFonts w:hint="default" w:ascii="Times New Roman" w:hAnsi="Times New Roman" w:eastAsia="宋体" w:cs="Times New Roman"/>
                <w:color w:val="0C0C0C"/>
                <w:kern w:val="2"/>
                <w:sz w:val="24"/>
                <w:szCs w:val="24"/>
                <w:lang w:val="en-US" w:eastAsia="zh-CN" w:bidi="ar"/>
              </w:rPr>
              <w:t>5m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 xml:space="preserve"> /h</w:t>
            </w:r>
            <w:r>
              <w:rPr>
                <w:rFonts w:hint="eastAsia" w:ascii="宋体" w:hAnsi="宋体" w:eastAsia="宋体" w:cs="宋体"/>
                <w:color w:val="0C0C0C"/>
                <w:kern w:val="2"/>
                <w:sz w:val="24"/>
                <w:szCs w:val="24"/>
                <w:lang w:val="en-US" w:eastAsia="zh-CN" w:bidi="ar"/>
              </w:rPr>
              <w:t>，则需补充用水量为</w:t>
            </w:r>
            <w:r>
              <w:rPr>
                <w:rFonts w:hint="default" w:ascii="Times New Roman" w:hAnsi="Times New Roman" w:eastAsia="宋体" w:cs="Times New Roman"/>
                <w:color w:val="0C0C0C"/>
                <w:kern w:val="2"/>
                <w:sz w:val="24"/>
                <w:szCs w:val="24"/>
                <w:lang w:val="en-US" w:eastAsia="zh-CN" w:bidi="ar"/>
              </w:rPr>
              <w:t xml:space="preserve"> 0.0425m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 xml:space="preserve"> /h</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1.02m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 xml:space="preserve"> /d</w:t>
            </w:r>
            <w:r>
              <w:rPr>
                <w:rFonts w:hint="eastAsia" w:ascii="宋体" w:hAnsi="宋体" w:eastAsia="宋体" w:cs="宋体"/>
                <w:color w:val="0C0C0C"/>
                <w:kern w:val="2"/>
                <w:sz w:val="24"/>
                <w:szCs w:val="24"/>
                <w:lang w:val="en-US" w:eastAsia="zh-CN" w:bidi="ar"/>
              </w:rPr>
              <w:t>。</w:t>
            </w:r>
          </w:p>
          <w:p>
            <w:pPr>
              <w:keepNext w:val="0"/>
              <w:keepLines w:val="0"/>
              <w:widowControl w:val="0"/>
              <w:suppressLineNumbers w:val="0"/>
              <w:adjustRightInd w:val="0"/>
              <w:spacing w:before="0" w:beforeAutospacing="0" w:after="0" w:afterAutospacing="0" w:line="360" w:lineRule="auto"/>
              <w:ind w:left="0" w:right="0" w:firstLine="480"/>
              <w:jc w:val="left"/>
              <w:rPr>
                <w:rFonts w:hint="eastAsia" w:ascii="Times New Roman" w:hAnsi="Times New Roman" w:eastAsia="宋体" w:cs="Times New Roman"/>
                <w:color w:val="0C0C0C"/>
                <w:kern w:val="2"/>
                <w:sz w:val="24"/>
                <w:szCs w:val="24"/>
              </w:rPr>
            </w:pPr>
            <w:r>
              <w:rPr>
                <w:rFonts w:hint="default" w:ascii="Times New Roman" w:hAnsi="Times New Roman" w:eastAsia="宋体" w:cs="Times New Roman"/>
                <w:color w:val="0C0C0C"/>
                <w:kern w:val="2"/>
                <w:sz w:val="24"/>
                <w:szCs w:val="24"/>
                <w:lang w:val="en-US" w:eastAsia="zh-CN" w:bidi="ar"/>
              </w:rPr>
              <w:t>③</w:t>
            </w:r>
            <w:r>
              <w:rPr>
                <w:rFonts w:hint="eastAsia" w:ascii="宋体" w:hAnsi="宋体" w:eastAsia="宋体" w:cs="宋体"/>
                <w:color w:val="0C0C0C"/>
                <w:kern w:val="2"/>
                <w:sz w:val="24"/>
                <w:szCs w:val="24"/>
                <w:lang w:val="en-US" w:eastAsia="zh-CN" w:bidi="ar"/>
              </w:rPr>
              <w:t>打磨用水</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本项目采用帘湿式环保砂带机打磨，打磨粉尘经喷淋和水洗处理，生活用水变成水与粉尘混合物，统一在重力作用下流向设备污水池，在污水池中经过过滤装置进行过滤，再由供水装置循环供应，无废水产生。定期补充用水。根据企业提供资料，砂带机打磨粉尘处理用水量</w:t>
            </w:r>
            <w:r>
              <w:rPr>
                <w:rFonts w:hint="default" w:ascii="Times New Roman" w:hAnsi="Times New Roman" w:eastAsia="宋体" w:cs="Times New Roman"/>
                <w:color w:val="0C0C0C"/>
                <w:kern w:val="2"/>
                <w:sz w:val="24"/>
                <w:szCs w:val="24"/>
                <w:lang w:val="en-US" w:eastAsia="zh-CN" w:bidi="ar"/>
              </w:rPr>
              <w:t>0.1m</w:t>
            </w:r>
            <w:r>
              <w:rPr>
                <w:rFonts w:hint="default" w:ascii="Times New Roman" w:hAnsi="Times New Roman" w:eastAsia="宋体" w:cs="Times New Roman"/>
                <w:color w:val="0C0C0C"/>
                <w:kern w:val="2"/>
                <w:sz w:val="24"/>
                <w:szCs w:val="24"/>
                <w:vertAlign w:val="superscript"/>
                <w:lang w:val="en-US" w:eastAsia="zh-CN" w:bidi="ar"/>
              </w:rPr>
              <w:t>3</w:t>
            </w:r>
            <w:r>
              <w:rPr>
                <w:rFonts w:hint="eastAsia" w:ascii="宋体" w:hAnsi="宋体" w:eastAsia="宋体" w:cs="宋体"/>
                <w:color w:val="0C0C0C"/>
                <w:kern w:val="2"/>
                <w:sz w:val="24"/>
                <w:szCs w:val="24"/>
                <w:lang w:val="en-US" w:eastAsia="zh-CN" w:bidi="ar"/>
              </w:rPr>
              <w:t>，损耗按</w:t>
            </w:r>
            <w:r>
              <w:rPr>
                <w:rFonts w:hint="eastAsia" w:ascii="Times New Roman" w:hAnsi="Times New Roman" w:eastAsia="宋体" w:cs="Times New Roman"/>
                <w:color w:val="0C0C0C"/>
                <w:kern w:val="2"/>
                <w:sz w:val="24"/>
                <w:szCs w:val="24"/>
                <w:lang w:val="en-US" w:eastAsia="zh-CN" w:bidi="ar"/>
              </w:rPr>
              <w:t xml:space="preserve"> </w:t>
            </w:r>
            <w:r>
              <w:rPr>
                <w:rFonts w:hint="default" w:ascii="Times New Roman" w:hAnsi="Times New Roman" w:eastAsia="宋体" w:cs="Times New Roman"/>
                <w:color w:val="0C0C0C"/>
                <w:kern w:val="2"/>
                <w:sz w:val="24"/>
                <w:szCs w:val="24"/>
                <w:lang w:val="en-US" w:eastAsia="zh-CN" w:bidi="ar"/>
              </w:rPr>
              <w:t>20%</w:t>
            </w:r>
            <w:r>
              <w:rPr>
                <w:rFonts w:hint="eastAsia" w:ascii="宋体" w:hAnsi="宋体" w:eastAsia="宋体" w:cs="宋体"/>
                <w:color w:val="0C0C0C"/>
                <w:kern w:val="2"/>
                <w:sz w:val="24"/>
                <w:szCs w:val="24"/>
                <w:lang w:val="en-US" w:eastAsia="zh-CN" w:bidi="ar"/>
              </w:rPr>
              <w:t xml:space="preserve">计，则需补充用水量为 </w:t>
            </w:r>
            <w:r>
              <w:rPr>
                <w:rFonts w:hint="default" w:ascii="Times New Roman" w:hAnsi="Times New Roman" w:eastAsia="宋体" w:cs="Times New Roman"/>
                <w:color w:val="0C0C0C"/>
                <w:kern w:val="2"/>
                <w:sz w:val="24"/>
                <w:szCs w:val="24"/>
                <w:lang w:val="en-US" w:eastAsia="zh-CN" w:bidi="ar"/>
              </w:rPr>
              <w:t>0.02m</w:t>
            </w:r>
            <w:r>
              <w:rPr>
                <w:rFonts w:hint="default" w:ascii="Times New Roman" w:hAnsi="Times New Roman" w:eastAsia="宋体" w:cs="Times New Roman"/>
                <w:color w:val="0C0C0C"/>
                <w:kern w:val="2"/>
                <w:sz w:val="24"/>
                <w:szCs w:val="24"/>
                <w:vertAlign w:val="superscript"/>
                <w:lang w:val="en-US" w:eastAsia="zh-CN" w:bidi="ar"/>
              </w:rPr>
              <w:t>3</w:t>
            </w:r>
            <w:r>
              <w:rPr>
                <w:rFonts w:hint="eastAsia" w:ascii="Times New Roman" w:hAnsi="Times New Roman" w:eastAsia="宋体" w:cs="Times New Roman"/>
                <w:color w:val="0C0C0C"/>
                <w:kern w:val="2"/>
                <w:sz w:val="24"/>
                <w:szCs w:val="24"/>
                <w:lang w:val="en-US" w:eastAsia="zh-CN" w:bidi="ar"/>
              </w:rPr>
              <w:t xml:space="preserve"> </w:t>
            </w:r>
            <w:r>
              <w:rPr>
                <w:rFonts w:hint="default" w:ascii="Times New Roman" w:hAnsi="Times New Roman" w:eastAsia="宋体" w:cs="Times New Roman"/>
                <w:color w:val="0C0C0C"/>
                <w:kern w:val="2"/>
                <w:sz w:val="24"/>
                <w:szCs w:val="24"/>
                <w:lang w:val="en-US" w:eastAsia="zh-CN" w:bidi="ar"/>
              </w:rPr>
              <w:t>/d</w:t>
            </w:r>
            <w:r>
              <w:rPr>
                <w:rFonts w:hint="eastAsia" w:ascii="宋体" w:hAnsi="宋体" w:eastAsia="宋体" w:cs="宋体"/>
                <w:color w:val="0C0C0C"/>
                <w:kern w:val="2"/>
                <w:sz w:val="24"/>
                <w:szCs w:val="24"/>
                <w:lang w:val="en-US" w:eastAsia="zh-CN" w:bidi="ar"/>
              </w:rPr>
              <w:t>。</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color w:val="0C0C0C"/>
                <w:kern w:val="2"/>
                <w:sz w:val="24"/>
                <w:szCs w:val="24"/>
              </w:rPr>
            </w:pPr>
            <w:r>
              <w:rPr>
                <w:rFonts w:hint="eastAsia" w:ascii="宋体" w:hAnsi="宋体" w:eastAsia="宋体" w:cs="宋体"/>
                <w:color w:val="0C0C0C"/>
                <w:kern w:val="2"/>
                <w:sz w:val="24"/>
                <w:szCs w:val="24"/>
                <w:lang w:val="en-US" w:eastAsia="zh-CN" w:bidi="ar"/>
              </w:rPr>
              <w:t>④生活用水</w:t>
            </w:r>
          </w:p>
          <w:p>
            <w:pPr>
              <w:keepNext w:val="0"/>
              <w:keepLines w:val="0"/>
              <w:widowControl w:val="0"/>
              <w:suppressLineNumbers w:val="0"/>
              <w:adjustRightInd w:val="0"/>
              <w:spacing w:before="0" w:beforeAutospacing="0" w:after="0" w:afterAutospacing="0" w:line="360" w:lineRule="auto"/>
              <w:ind w:left="0" w:right="0" w:firstLine="480"/>
              <w:jc w:val="left"/>
              <w:rPr>
                <w:rFonts w:hint="default" w:ascii="Times New Roman" w:hAnsi="Times New Roman" w:eastAsia="宋体" w:cs="Times New Roman"/>
                <w:kern w:val="2"/>
                <w:sz w:val="21"/>
                <w:szCs w:val="21"/>
              </w:rPr>
            </w:pPr>
            <w:r>
              <w:rPr>
                <w:rFonts w:hint="eastAsia" w:ascii="宋体" w:hAnsi="宋体" w:eastAsia="宋体" w:cs="宋体"/>
                <w:color w:val="0C0C0C"/>
                <w:kern w:val="2"/>
                <w:sz w:val="24"/>
                <w:szCs w:val="24"/>
                <w:lang w:val="en-US" w:eastAsia="zh-CN" w:bidi="ar"/>
              </w:rPr>
              <w:t>本项目劳动定员</w:t>
            </w:r>
            <w:r>
              <w:rPr>
                <w:rFonts w:hint="default" w:ascii="Times New Roman" w:hAnsi="Times New Roman" w:eastAsia="宋体" w:cs="Times New Roman"/>
                <w:color w:val="0C0C0C"/>
                <w:kern w:val="2"/>
                <w:sz w:val="24"/>
                <w:szCs w:val="24"/>
                <w:lang w:val="en-US" w:eastAsia="zh-CN" w:bidi="ar"/>
              </w:rPr>
              <w:t>21</w:t>
            </w:r>
            <w:r>
              <w:rPr>
                <w:rFonts w:hint="eastAsia" w:ascii="宋体" w:hAnsi="宋体" w:eastAsia="宋体" w:cs="宋体"/>
                <w:color w:val="0C0C0C"/>
                <w:kern w:val="2"/>
                <w:sz w:val="24"/>
                <w:szCs w:val="24"/>
                <w:lang w:val="en-US" w:eastAsia="zh-CN" w:bidi="ar"/>
              </w:rPr>
              <w:t>人，有食堂无住宿人员，年工作时间</w:t>
            </w:r>
            <w:r>
              <w:rPr>
                <w:rFonts w:hint="default" w:ascii="Times New Roman" w:hAnsi="Times New Roman" w:eastAsia="宋体" w:cs="Times New Roman"/>
                <w:color w:val="0C0C0C"/>
                <w:kern w:val="2"/>
                <w:sz w:val="24"/>
                <w:szCs w:val="24"/>
                <w:lang w:val="en-US" w:eastAsia="zh-CN" w:bidi="ar"/>
              </w:rPr>
              <w:t>300</w:t>
            </w:r>
            <w:r>
              <w:rPr>
                <w:rFonts w:hint="eastAsia" w:ascii="宋体" w:hAnsi="宋体" w:eastAsia="宋体" w:cs="宋体"/>
                <w:color w:val="0C0C0C"/>
                <w:kern w:val="2"/>
                <w:sz w:val="24"/>
                <w:szCs w:val="24"/>
                <w:lang w:val="en-US" w:eastAsia="zh-CN" w:bidi="ar"/>
              </w:rPr>
              <w:t>天。根据《安徽省行业用水定额》（</w:t>
            </w:r>
            <w:r>
              <w:rPr>
                <w:rFonts w:hint="default" w:ascii="Times New Roman" w:hAnsi="Times New Roman" w:eastAsia="宋体" w:cs="Times New Roman"/>
                <w:color w:val="0C0C0C"/>
                <w:kern w:val="2"/>
                <w:sz w:val="24"/>
                <w:szCs w:val="24"/>
                <w:lang w:val="en-US" w:eastAsia="zh-CN" w:bidi="ar"/>
              </w:rPr>
              <w:t>DB34/T 679-2019</w:t>
            </w:r>
            <w:r>
              <w:rPr>
                <w:rFonts w:hint="eastAsia" w:ascii="宋体" w:hAnsi="宋体" w:eastAsia="宋体" w:cs="宋体"/>
                <w:color w:val="0C0C0C"/>
                <w:kern w:val="2"/>
                <w:sz w:val="24"/>
                <w:szCs w:val="24"/>
                <w:lang w:val="en-US" w:eastAsia="zh-CN" w:bidi="ar"/>
              </w:rPr>
              <w:t>），厂区有食堂的员工用水量按每人每天</w:t>
            </w:r>
            <w:r>
              <w:rPr>
                <w:rFonts w:hint="default" w:ascii="Times New Roman" w:hAnsi="Times New Roman" w:eastAsia="宋体" w:cs="Times New Roman"/>
                <w:color w:val="0C0C0C"/>
                <w:kern w:val="2"/>
                <w:sz w:val="24"/>
                <w:szCs w:val="24"/>
                <w:lang w:val="en-US" w:eastAsia="zh-CN" w:bidi="ar"/>
              </w:rPr>
              <w:t xml:space="preserve"> 110L </w:t>
            </w:r>
            <w:r>
              <w:rPr>
                <w:rFonts w:hint="eastAsia" w:ascii="宋体" w:hAnsi="宋体" w:eastAsia="宋体" w:cs="宋体"/>
                <w:color w:val="0C0C0C"/>
                <w:kern w:val="2"/>
                <w:sz w:val="24"/>
                <w:szCs w:val="24"/>
                <w:lang w:val="en-US" w:eastAsia="zh-CN" w:bidi="ar"/>
              </w:rPr>
              <w:t>计，则本项目生活用水量为</w:t>
            </w:r>
            <w:r>
              <w:rPr>
                <w:rFonts w:hint="default" w:ascii="Times New Roman" w:hAnsi="Times New Roman" w:eastAsia="宋体" w:cs="Times New Roman"/>
                <w:color w:val="0C0C0C"/>
                <w:kern w:val="2"/>
                <w:sz w:val="24"/>
                <w:szCs w:val="24"/>
                <w:lang w:val="en-US" w:eastAsia="zh-CN" w:bidi="ar"/>
              </w:rPr>
              <w:t>2.31</w:t>
            </w:r>
            <w:r>
              <w:rPr>
                <w:rFonts w:hint="eastAsia" w:ascii="Times New Roman" w:hAnsi="Times New Roman" w:eastAsia="宋体" w:cs="Times New Roman"/>
                <w:color w:val="0C0C0C"/>
                <w:kern w:val="2"/>
                <w:sz w:val="24"/>
                <w:szCs w:val="24"/>
                <w:lang w:val="en-US" w:eastAsia="zh-CN" w:bidi="ar"/>
              </w:rPr>
              <w:t xml:space="preserve"> </w:t>
            </w:r>
            <w:r>
              <w:rPr>
                <w:rFonts w:hint="default" w:ascii="Times New Roman" w:hAnsi="Times New Roman" w:eastAsia="宋体" w:cs="Times New Roman"/>
                <w:color w:val="0C0C0C"/>
                <w:kern w:val="2"/>
                <w:sz w:val="24"/>
                <w:szCs w:val="24"/>
                <w:lang w:val="en-US" w:eastAsia="zh-CN" w:bidi="ar"/>
              </w:rPr>
              <w:t>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/d</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693 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/a</w:t>
            </w:r>
            <w:r>
              <w:rPr>
                <w:rFonts w:hint="eastAsia" w:ascii="宋体" w:hAnsi="宋体" w:eastAsia="宋体" w:cs="宋体"/>
                <w:color w:val="0C0C0C"/>
                <w:kern w:val="2"/>
                <w:sz w:val="24"/>
                <w:szCs w:val="24"/>
                <w:lang w:val="en-US" w:eastAsia="zh-CN" w:bidi="ar"/>
              </w:rPr>
              <w:t>）。生活污水产生量按照用水量的</w:t>
            </w:r>
            <w:r>
              <w:rPr>
                <w:rFonts w:hint="default" w:ascii="Times New Roman" w:hAnsi="Times New Roman" w:eastAsia="宋体" w:cs="Times New Roman"/>
                <w:color w:val="0C0C0C"/>
                <w:kern w:val="2"/>
                <w:sz w:val="24"/>
                <w:szCs w:val="24"/>
                <w:lang w:val="en-US" w:eastAsia="zh-CN" w:bidi="ar"/>
              </w:rPr>
              <w:t>80%</w:t>
            </w:r>
            <w:r>
              <w:rPr>
                <w:rFonts w:hint="eastAsia" w:ascii="宋体" w:hAnsi="宋体" w:eastAsia="宋体" w:cs="宋体"/>
                <w:color w:val="0C0C0C"/>
                <w:kern w:val="2"/>
                <w:sz w:val="24"/>
                <w:szCs w:val="24"/>
                <w:lang w:val="en-US" w:eastAsia="zh-CN" w:bidi="ar"/>
              </w:rPr>
              <w:t>计算，则生活污水产生量为</w:t>
            </w:r>
            <w:r>
              <w:rPr>
                <w:rFonts w:hint="default" w:ascii="Times New Roman" w:hAnsi="Times New Roman" w:eastAsia="宋体" w:cs="Times New Roman"/>
                <w:color w:val="0C0C0C"/>
                <w:kern w:val="2"/>
                <w:sz w:val="24"/>
                <w:szCs w:val="24"/>
                <w:lang w:val="en-US" w:eastAsia="zh-CN" w:bidi="ar"/>
              </w:rPr>
              <w:t>1.848m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/d</w:t>
            </w:r>
            <w:r>
              <w:rPr>
                <w:rFonts w:hint="eastAsia" w:ascii="宋体" w:hAnsi="宋体" w:eastAsia="宋体" w:cs="宋体"/>
                <w:color w:val="0C0C0C"/>
                <w:kern w:val="2"/>
                <w:sz w:val="24"/>
                <w:szCs w:val="24"/>
                <w:lang w:val="en-US" w:eastAsia="zh-CN" w:bidi="ar"/>
              </w:rPr>
              <w:t>（</w:t>
            </w:r>
            <w:r>
              <w:rPr>
                <w:rFonts w:hint="default" w:ascii="Times New Roman" w:hAnsi="Times New Roman" w:eastAsia="宋体" w:cs="Times New Roman"/>
                <w:color w:val="0C0C0C"/>
                <w:kern w:val="2"/>
                <w:sz w:val="24"/>
                <w:szCs w:val="24"/>
                <w:lang w:val="en-US" w:eastAsia="zh-CN" w:bidi="ar"/>
              </w:rPr>
              <w:t>554.4</w:t>
            </w:r>
            <w:r>
              <w:rPr>
                <w:rFonts w:hint="eastAsia" w:ascii="Times New Roman" w:hAnsi="Times New Roman" w:eastAsia="宋体" w:cs="Times New Roman"/>
                <w:color w:val="0C0C0C"/>
                <w:kern w:val="2"/>
                <w:sz w:val="24"/>
                <w:szCs w:val="24"/>
                <w:lang w:val="en-US" w:eastAsia="zh-CN" w:bidi="ar"/>
              </w:rPr>
              <w:t xml:space="preserve"> </w:t>
            </w:r>
            <w:r>
              <w:rPr>
                <w:rFonts w:hint="default" w:ascii="Times New Roman" w:hAnsi="Times New Roman" w:eastAsia="宋体" w:cs="Times New Roman"/>
                <w:color w:val="0C0C0C"/>
                <w:kern w:val="2"/>
                <w:sz w:val="24"/>
                <w:szCs w:val="24"/>
                <w:lang w:val="en-US" w:eastAsia="zh-CN" w:bidi="ar"/>
              </w:rPr>
              <w:t>m</w:t>
            </w:r>
            <w:r>
              <w:rPr>
                <w:rFonts w:hint="default" w:ascii="Times New Roman" w:hAnsi="Times New Roman" w:eastAsia="宋体" w:cs="Times New Roman"/>
                <w:color w:val="0C0C0C"/>
                <w:kern w:val="2"/>
                <w:sz w:val="24"/>
                <w:szCs w:val="24"/>
                <w:vertAlign w:val="superscript"/>
                <w:lang w:val="en-US" w:eastAsia="zh-CN" w:bidi="ar"/>
              </w:rPr>
              <w:t>3</w:t>
            </w:r>
            <w:r>
              <w:rPr>
                <w:rFonts w:hint="default" w:ascii="Times New Roman" w:hAnsi="Times New Roman" w:eastAsia="宋体" w:cs="Times New Roman"/>
                <w:color w:val="0C0C0C"/>
                <w:kern w:val="2"/>
                <w:sz w:val="24"/>
                <w:szCs w:val="24"/>
                <w:lang w:val="en-US" w:eastAsia="zh-CN" w:bidi="ar"/>
              </w:rPr>
              <w:t>/a</w:t>
            </w:r>
            <w:r>
              <w:rPr>
                <w:rFonts w:hint="eastAsia" w:ascii="宋体" w:hAnsi="宋体" w:eastAsia="宋体" w:cs="宋体"/>
                <w:color w:val="0C0C0C"/>
                <w:kern w:val="2"/>
                <w:sz w:val="24"/>
                <w:szCs w:val="24"/>
                <w:lang w:val="en-US" w:eastAsia="zh-CN" w:bidi="ar"/>
              </w:rPr>
              <w:t>）。</w:t>
            </w:r>
          </w:p>
          <w:p>
            <w:pPr>
              <w:keepNext w:val="0"/>
              <w:keepLines w:val="0"/>
              <w:suppressLineNumbers w:val="0"/>
              <w:autoSpaceDE w:val="0"/>
              <w:autoSpaceDN w:val="0"/>
              <w:snapToGrid w:val="0"/>
              <w:spacing w:before="0" w:beforeAutospacing="0" w:after="0" w:afterAutospacing="0" w:line="360" w:lineRule="auto"/>
              <w:ind w:left="0" w:right="0" w:firstLine="480"/>
              <w:rPr>
                <w:rFonts w:hint="default"/>
                <w:color w:val="auto"/>
                <w:sz w:val="24"/>
              </w:rPr>
            </w:pPr>
            <w:r>
              <w:rPr>
                <w:rFonts w:hint="eastAsia"/>
                <w:color w:val="auto"/>
                <w:sz w:val="24"/>
                <w:lang w:val="en-US" w:eastAsia="zh-CN"/>
              </w:rPr>
              <w:t>脱模剂废水经沉淀池沉淀后经脱模剂回收处理机处理回用不外排；打磨废水经过滤后循环使用不外排；食堂废水经隔油池处理后与其他生活污水再一起经化粪池预处理</w:t>
            </w:r>
            <w:r>
              <w:rPr>
                <w:rFonts w:hint="eastAsia"/>
                <w:color w:val="auto"/>
                <w:sz w:val="24"/>
              </w:rPr>
              <w:t>达标后接入市政管网进入</w:t>
            </w:r>
            <w:r>
              <w:rPr>
                <w:rFonts w:hint="eastAsia"/>
                <w:color w:val="auto"/>
                <w:sz w:val="24"/>
                <w:lang w:val="en-US" w:eastAsia="zh-CN"/>
              </w:rPr>
              <w:t>滨江污水处理厂处理</w:t>
            </w:r>
            <w:r>
              <w:rPr>
                <w:rFonts w:hint="eastAsia"/>
                <w:color w:val="auto"/>
                <w:sz w:val="24"/>
              </w:rPr>
              <w:t>，项目水平衡见图2-</w:t>
            </w:r>
            <w:r>
              <w:rPr>
                <w:rFonts w:hint="default"/>
                <w:color w:val="auto"/>
                <w:sz w:val="24"/>
              </w:rPr>
              <w:t>1</w:t>
            </w:r>
            <w:r>
              <w:rPr>
                <w:rFonts w:hint="eastAsia"/>
                <w:color w:val="auto"/>
                <w:sz w:val="24"/>
              </w:rPr>
              <w:t>。</w:t>
            </w:r>
          </w:p>
          <w:p>
            <w:pPr>
              <w:keepNext w:val="0"/>
              <w:keepLines w:val="0"/>
              <w:suppressLineNumbers w:val="0"/>
              <w:spacing w:before="0" w:beforeAutospacing="0" w:after="0" w:afterAutospacing="0" w:line="360" w:lineRule="auto"/>
              <w:ind w:left="0" w:right="0" w:firstLine="360" w:firstLineChars="150"/>
              <w:rPr>
                <w:rFonts w:hint="default"/>
                <w:color w:val="auto"/>
                <w:kern w:val="0"/>
                <w:sz w:val="24"/>
              </w:rPr>
            </w:pPr>
            <w:r>
              <w:rPr>
                <w:rFonts w:hint="eastAsia"/>
                <w:color w:val="auto"/>
                <w:sz w:val="24"/>
              </w:rPr>
              <w:t>生活污水</w:t>
            </w:r>
            <w:r>
              <w:rPr>
                <w:rFonts w:hint="default"/>
                <w:color w:val="auto"/>
                <w:sz w:val="24"/>
              </w:rPr>
              <w:t>产生</w:t>
            </w:r>
            <w:r>
              <w:rPr>
                <w:rFonts w:hint="eastAsia"/>
                <w:color w:val="auto"/>
                <w:sz w:val="24"/>
              </w:rPr>
              <w:t>及排放</w:t>
            </w:r>
            <w:r>
              <w:rPr>
                <w:rFonts w:hint="default"/>
                <w:color w:val="auto"/>
                <w:sz w:val="24"/>
              </w:rPr>
              <w:t>情况详见</w:t>
            </w:r>
            <w:r>
              <w:rPr>
                <w:rFonts w:hint="eastAsia"/>
                <w:color w:val="auto"/>
                <w:kern w:val="0"/>
                <w:sz w:val="24"/>
              </w:rPr>
              <w:t>下表。</w:t>
            </w:r>
          </w:p>
          <w:p>
            <w:pPr>
              <w:keepNext w:val="0"/>
              <w:keepLines w:val="0"/>
              <w:widowControl/>
              <w:suppressLineNumbers w:val="0"/>
              <w:spacing w:before="0" w:beforeAutospacing="0" w:after="0" w:afterAutospacing="0"/>
              <w:ind w:left="0" w:right="0"/>
              <w:jc w:val="center"/>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表4-</w:t>
            </w:r>
            <w:r>
              <w:rPr>
                <w:rFonts w:hint="eastAsia"/>
                <w:b/>
                <w:color w:val="0D0D0D" w:themeColor="text1" w:themeTint="F2"/>
                <w:kern w:val="0"/>
                <w:sz w:val="24"/>
                <w:lang w:val="en-US" w:eastAsia="zh-CN"/>
                <w14:textFill>
                  <w14:solidFill>
                    <w14:schemeClr w14:val="tx1">
                      <w14:lumMod w14:val="95000"/>
                      <w14:lumOff w14:val="5000"/>
                    </w14:schemeClr>
                  </w14:solidFill>
                </w14:textFill>
              </w:rPr>
              <w:t>8</w:t>
            </w:r>
            <w:r>
              <w:rPr>
                <w:rFonts w:hint="default"/>
                <w:b/>
                <w:color w:val="0D0D0D" w:themeColor="text1" w:themeTint="F2"/>
                <w:kern w:val="0"/>
                <w:sz w:val="24"/>
                <w14:textFill>
                  <w14:solidFill>
                    <w14:schemeClr w14:val="tx1">
                      <w14:lumMod w14:val="95000"/>
                      <w14:lumOff w14:val="5000"/>
                    </w14:schemeClr>
                  </w14:solidFill>
                </w14:textFill>
              </w:rPr>
              <w:t xml:space="preserve"> </w:t>
            </w:r>
            <w:r>
              <w:rPr>
                <w:rFonts w:hint="eastAsia"/>
                <w:b/>
                <w:color w:val="0D0D0D" w:themeColor="text1" w:themeTint="F2"/>
                <w:kern w:val="0"/>
                <w:sz w:val="24"/>
                <w14:textFill>
                  <w14:solidFill>
                    <w14:schemeClr w14:val="tx1">
                      <w14:lumMod w14:val="95000"/>
                      <w14:lumOff w14:val="5000"/>
                    </w14:schemeClr>
                  </w14:solidFill>
                </w14:textFill>
              </w:rPr>
              <w:t xml:space="preserve"> 项目废水产生及排放情况汇总一览表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108" w:type="dxa"/>
                <w:bottom w:w="0" w:type="dxa"/>
                <w:right w:w="108" w:type="dxa"/>
              </w:tblCellMar>
            </w:tblPr>
            <w:tblGrid>
              <w:gridCol w:w="454"/>
              <w:gridCol w:w="1070"/>
              <w:gridCol w:w="1018"/>
              <w:gridCol w:w="1018"/>
              <w:gridCol w:w="1018"/>
              <w:gridCol w:w="1018"/>
              <w:gridCol w:w="999"/>
              <w:gridCol w:w="791"/>
              <w:gridCol w:w="909"/>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污染源</w:t>
                  </w:r>
                </w:p>
              </w:tc>
              <w:tc>
                <w:tcPr>
                  <w:tcW w:w="644"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废水量</w:t>
                  </w:r>
                  <w:r>
                    <w:rPr>
                      <w:rFonts w:hint="eastAsia"/>
                      <w:b/>
                      <w:color w:val="0D0D0D" w:themeColor="text1" w:themeTint="F2"/>
                      <w:kern w:val="0"/>
                      <w:szCs w:val="21"/>
                      <w14:textFill>
                        <w14:solidFill>
                          <w14:schemeClr w14:val="tx1">
                            <w14:lumMod w14:val="95000"/>
                            <w14:lumOff w14:val="5000"/>
                          </w14:schemeClr>
                        </w14:solidFill>
                      </w14:textFill>
                    </w:rPr>
                    <w:t>（t/a）</w:t>
                  </w:r>
                </w:p>
              </w:tc>
              <w:tc>
                <w:tcPr>
                  <w:tcW w:w="614"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污染物</w:t>
                  </w:r>
                </w:p>
              </w:tc>
              <w:tc>
                <w:tcPr>
                  <w:tcW w:w="1228" w:type="pct"/>
                  <w:gridSpan w:val="2"/>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产生情况</w:t>
                  </w:r>
                </w:p>
              </w:tc>
              <w:tc>
                <w:tcPr>
                  <w:tcW w:w="614"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采取的处理方式</w:t>
                  </w:r>
                </w:p>
              </w:tc>
              <w:tc>
                <w:tcPr>
                  <w:tcW w:w="1079" w:type="pct"/>
                  <w:gridSpan w:val="2"/>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排放</w:t>
                  </w:r>
                  <w:r>
                    <w:rPr>
                      <w:rFonts w:hint="default"/>
                      <w:b/>
                      <w:color w:val="0D0D0D" w:themeColor="text1" w:themeTint="F2"/>
                      <w:kern w:val="0"/>
                      <w:szCs w:val="21"/>
                      <w14:textFill>
                        <w14:solidFill>
                          <w14:schemeClr w14:val="tx1">
                            <w14:lumMod w14:val="95000"/>
                            <w14:lumOff w14:val="5000"/>
                          </w14:schemeClr>
                        </w14:solidFill>
                      </w14:textFill>
                    </w:rPr>
                    <w:t>情况</w:t>
                  </w:r>
                </w:p>
              </w:tc>
              <w:tc>
                <w:tcPr>
                  <w:tcW w:w="548" w:type="pct"/>
                  <w:vMerge w:val="restart"/>
                  <w:vAlign w:val="center"/>
                </w:tcPr>
                <w:p>
                  <w:pPr>
                    <w:keepNext w:val="0"/>
                    <w:keepLines w:val="0"/>
                    <w:widowControl/>
                    <w:suppressLineNumbers w:val="0"/>
                    <w:spacing w:before="0" w:beforeAutospacing="0" w:after="0" w:afterAutospacing="0"/>
                    <w:ind w:left="-105" w:leftChars="-50" w:right="-105" w:rightChars="-50"/>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接管标准</w:t>
                  </w:r>
                  <w:r>
                    <w:rPr>
                      <w:rFonts w:hint="eastAsia"/>
                      <w:b/>
                      <w:color w:val="0D0D0D" w:themeColor="text1" w:themeTint="F2"/>
                      <w:kern w:val="0"/>
                      <w:szCs w:val="21"/>
                      <w14:textFill>
                        <w14:solidFill>
                          <w14:schemeClr w14:val="tx1">
                            <w14:lumMod w14:val="95000"/>
                            <w14:lumOff w14:val="5000"/>
                          </w14:schemeClr>
                        </w14:solidFill>
                      </w14:textFill>
                    </w:rPr>
                    <w:t>（mg/L）</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b/>
                      <w:color w:val="0D0D0D" w:themeColor="text1" w:themeTint="F2"/>
                      <w:kern w:val="0"/>
                      <w:szCs w:val="21"/>
                      <w14:textFill>
                        <w14:solidFill>
                          <w14:schemeClr w14:val="tx1">
                            <w14:lumMod w14:val="95000"/>
                            <w14:lumOff w14:val="5000"/>
                          </w14:schemeClr>
                        </w14:solidFill>
                      </w14:textFill>
                    </w:rPr>
                  </w:pPr>
                </w:p>
              </w:tc>
              <w:tc>
                <w:tcPr>
                  <w:tcW w:w="64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b/>
                      <w:color w:val="0D0D0D" w:themeColor="text1" w:themeTint="F2"/>
                      <w:kern w:val="0"/>
                      <w:szCs w:val="21"/>
                      <w14:textFill>
                        <w14:solidFill>
                          <w14:schemeClr w14:val="tx1">
                            <w14:lumMod w14:val="95000"/>
                            <w14:lumOff w14:val="5000"/>
                          </w14:schemeClr>
                        </w14:solidFill>
                      </w14:textFill>
                    </w:rPr>
                  </w:pPr>
                </w:p>
              </w:tc>
              <w:tc>
                <w:tcPr>
                  <w:tcW w:w="61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s="宋体"/>
                      <w:b/>
                      <w:color w:val="0D0D0D" w:themeColor="text1" w:themeTint="F2"/>
                      <w:kern w:val="0"/>
                      <w:szCs w:val="21"/>
                      <w14:textFill>
                        <w14:solidFill>
                          <w14:schemeClr w14:val="tx1">
                            <w14:lumMod w14:val="95000"/>
                            <w14:lumOff w14:val="5000"/>
                          </w14:schemeClr>
                        </w14:solidFill>
                      </w14:textFill>
                    </w:rPr>
                  </w:pPr>
                  <w:r>
                    <w:rPr>
                      <w:rFonts w:hint="default" w:cs="宋体"/>
                      <w:b/>
                      <w:color w:val="0D0D0D" w:themeColor="text1" w:themeTint="F2"/>
                      <w:kern w:val="0"/>
                      <w:szCs w:val="21"/>
                      <w14:textFill>
                        <w14:solidFill>
                          <w14:schemeClr w14:val="tx1">
                            <w14:lumMod w14:val="95000"/>
                            <w14:lumOff w14:val="5000"/>
                          </w14:schemeClr>
                        </w14:solidFill>
                      </w14:textFill>
                    </w:rPr>
                    <w:t>浓度</w:t>
                  </w:r>
                  <w:r>
                    <w:rPr>
                      <w:rFonts w:hint="eastAsia" w:cs="宋体"/>
                      <w:b/>
                      <w:color w:val="0D0D0D" w:themeColor="text1" w:themeTint="F2"/>
                      <w:kern w:val="0"/>
                      <w:szCs w:val="21"/>
                      <w14:textFill>
                        <w14:solidFill>
                          <w14:schemeClr w14:val="tx1">
                            <w14:lumMod w14:val="95000"/>
                            <w14:lumOff w14:val="5000"/>
                          </w14:schemeClr>
                        </w14:solidFill>
                      </w14:textFill>
                    </w:rPr>
                    <w:t>（mg/L）</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s="宋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产生量（t/a）</w:t>
                  </w:r>
                </w:p>
              </w:tc>
              <w:tc>
                <w:tcPr>
                  <w:tcW w:w="61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b/>
                      <w:color w:val="0D0D0D" w:themeColor="text1" w:themeTint="F2"/>
                      <w:kern w:val="0"/>
                      <w:szCs w:val="21"/>
                      <w14:textFill>
                        <w14:solidFill>
                          <w14:schemeClr w14:val="tx1">
                            <w14:lumMod w14:val="95000"/>
                            <w14:lumOff w14:val="5000"/>
                          </w14:schemeClr>
                        </w14:solidFill>
                      </w14:textFill>
                    </w:rPr>
                  </w:pPr>
                </w:p>
              </w:tc>
              <w:tc>
                <w:tcPr>
                  <w:tcW w:w="602"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s="宋体"/>
                      <w:b/>
                      <w:color w:val="0D0D0D" w:themeColor="text1" w:themeTint="F2"/>
                      <w:kern w:val="0"/>
                      <w:szCs w:val="21"/>
                      <w14:textFill>
                        <w14:solidFill>
                          <w14:schemeClr w14:val="tx1">
                            <w14:lumMod w14:val="95000"/>
                            <w14:lumOff w14:val="5000"/>
                          </w14:schemeClr>
                        </w14:solidFill>
                      </w14:textFill>
                    </w:rPr>
                  </w:pPr>
                  <w:r>
                    <w:rPr>
                      <w:rFonts w:hint="default" w:cs="宋体"/>
                      <w:b/>
                      <w:color w:val="0D0D0D" w:themeColor="text1" w:themeTint="F2"/>
                      <w:kern w:val="0"/>
                      <w:szCs w:val="21"/>
                      <w14:textFill>
                        <w14:solidFill>
                          <w14:schemeClr w14:val="tx1">
                            <w14:lumMod w14:val="95000"/>
                            <w14:lumOff w14:val="5000"/>
                          </w14:schemeClr>
                        </w14:solidFill>
                      </w14:textFill>
                    </w:rPr>
                    <w:t>浓度</w:t>
                  </w:r>
                  <w:r>
                    <w:rPr>
                      <w:rFonts w:hint="eastAsia" w:cs="宋体"/>
                      <w:b/>
                      <w:color w:val="0D0D0D" w:themeColor="text1" w:themeTint="F2"/>
                      <w:kern w:val="0"/>
                      <w:szCs w:val="21"/>
                      <w14:textFill>
                        <w14:solidFill>
                          <w14:schemeClr w14:val="tx1">
                            <w14:lumMod w14:val="95000"/>
                            <w14:lumOff w14:val="5000"/>
                          </w14:schemeClr>
                        </w14:solidFill>
                      </w14:textFill>
                    </w:rPr>
                    <w:t>（mg/L）</w:t>
                  </w:r>
                </w:p>
              </w:tc>
              <w:tc>
                <w:tcPr>
                  <w:tcW w:w="477" w:type="pct"/>
                  <w:vAlign w:val="center"/>
                </w:tcPr>
                <w:p>
                  <w:pPr>
                    <w:keepNext w:val="0"/>
                    <w:keepLines w:val="0"/>
                    <w:widowControl/>
                    <w:suppressLineNumbers w:val="0"/>
                    <w:spacing w:before="0" w:beforeAutospacing="0" w:after="0" w:afterAutospacing="0"/>
                    <w:ind w:left="-105" w:leftChars="-50" w:right="-105" w:rightChars="-50"/>
                    <w:jc w:val="center"/>
                    <w:rPr>
                      <w:rFonts w:hint="default" w:cs="宋体"/>
                      <w:b/>
                      <w:color w:val="0D0D0D" w:themeColor="text1" w:themeTint="F2"/>
                      <w:kern w:val="0"/>
                      <w:szCs w:val="21"/>
                      <w14:textFill>
                        <w14:solidFill>
                          <w14:schemeClr w14:val="tx1">
                            <w14:lumMod w14:val="95000"/>
                            <w14:lumOff w14:val="5000"/>
                          </w14:schemeClr>
                        </w14:solidFill>
                      </w14:textFill>
                    </w:rPr>
                  </w:pPr>
                  <w:r>
                    <w:rPr>
                      <w:rFonts w:hint="eastAsia" w:cs="宋体"/>
                      <w:b/>
                      <w:color w:val="0D0D0D" w:themeColor="text1" w:themeTint="F2"/>
                      <w:kern w:val="0"/>
                      <w:szCs w:val="21"/>
                      <w14:textFill>
                        <w14:solidFill>
                          <w14:schemeClr w14:val="tx1">
                            <w14:lumMod w14:val="95000"/>
                            <w14:lumOff w14:val="5000"/>
                          </w14:schemeClr>
                        </w14:solidFill>
                      </w14:textFill>
                    </w:rPr>
                    <w:t>排放量（t/a）</w:t>
                  </w:r>
                </w:p>
              </w:tc>
              <w:tc>
                <w:tcPr>
                  <w:tcW w:w="548" w:type="pct"/>
                  <w:vMerge w:val="continue"/>
                  <w:vAlign w:val="center"/>
                </w:tcPr>
                <w:p>
                  <w:pPr>
                    <w:keepNext w:val="0"/>
                    <w:keepLines w:val="0"/>
                    <w:widowControl/>
                    <w:suppressLineNumbers w:val="0"/>
                    <w:spacing w:before="0" w:beforeAutospacing="0" w:after="0" w:afterAutospacing="0"/>
                    <w:ind w:left="-105" w:leftChars="-50" w:right="-105" w:rightChars="-50"/>
                    <w:rPr>
                      <w:rFonts w:hint="default" w:cs="宋体"/>
                      <w:b/>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生活污水</w:t>
                  </w:r>
                </w:p>
              </w:tc>
              <w:tc>
                <w:tcPr>
                  <w:tcW w:w="644" w:type="pct"/>
                  <w:vMerge w:val="restart"/>
                  <w:shd w:val="clear" w:color="auto" w:fill="auto"/>
                  <w:vAlign w:val="center"/>
                </w:tcPr>
                <w:p>
                  <w:pPr>
                    <w:keepNext w:val="0"/>
                    <w:keepLines w:val="0"/>
                    <w:widowControl/>
                    <w:suppressLineNumbers w:val="0"/>
                    <w:tabs>
                      <w:tab w:val="left" w:pos="2200"/>
                      <w:tab w:val="left" w:pos="3960"/>
                      <w:tab w:val="left" w:pos="5280"/>
                    </w:tabs>
                    <w:spacing w:before="0" w:beforeAutospacing="0" w:after="0" w:afterAutospacing="0" w:line="300" w:lineRule="exact"/>
                    <w:ind w:left="-105" w:leftChars="-50" w:right="-105" w:rightChars="-50"/>
                    <w:jc w:val="center"/>
                    <w:rPr>
                      <w:rFonts w:hint="default" w:eastAsia="宋体"/>
                      <w:color w:val="0D0D0D" w:themeColor="text1" w:themeTint="F2"/>
                      <w:spacing w:val="-14"/>
                      <w:kern w:val="0"/>
                      <w:szCs w:val="21"/>
                      <w:lang w:val="en-US" w:eastAsia="zh-CN"/>
                      <w14:textFill>
                        <w14:solidFill>
                          <w14:schemeClr w14:val="tx1">
                            <w14:lumMod w14:val="95000"/>
                            <w14:lumOff w14:val="5000"/>
                          </w14:schemeClr>
                        </w14:solidFill>
                      </w14:textFill>
                    </w:rPr>
                  </w:pPr>
                  <w:r>
                    <w:rPr>
                      <w:rFonts w:hint="eastAsia"/>
                      <w:color w:val="0D0D0D" w:themeColor="text1" w:themeTint="F2"/>
                      <w:spacing w:val="-14"/>
                      <w:kern w:val="0"/>
                      <w:szCs w:val="21"/>
                      <w:lang w:val="en-US" w:eastAsia="zh-CN"/>
                      <w14:textFill>
                        <w14:solidFill>
                          <w14:schemeClr w14:val="tx1">
                            <w14:lumMod w14:val="95000"/>
                            <w14:lumOff w14:val="5000"/>
                          </w14:schemeClr>
                        </w14:solidFill>
                      </w14:textFill>
                    </w:rPr>
                    <w:t>554.4</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COD</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260</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0.144</w:t>
                  </w:r>
                </w:p>
              </w:tc>
              <w:tc>
                <w:tcPr>
                  <w:tcW w:w="614" w:type="pct"/>
                  <w:vMerge w:val="restar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化粪池</w:t>
                  </w:r>
                </w:p>
              </w:tc>
              <w:tc>
                <w:tcPr>
                  <w:tcW w:w="602"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200</w:t>
                  </w:r>
                </w:p>
              </w:tc>
              <w:tc>
                <w:tcPr>
                  <w:tcW w:w="477"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0.11</w:t>
                  </w:r>
                </w:p>
              </w:tc>
              <w:tc>
                <w:tcPr>
                  <w:tcW w:w="54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500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color w:val="0D0D0D" w:themeColor="text1" w:themeTint="F2"/>
                      <w:kern w:val="0"/>
                      <w:szCs w:val="21"/>
                      <w14:textFill>
                        <w14:solidFill>
                          <w14:schemeClr w14:val="tx1">
                            <w14:lumMod w14:val="95000"/>
                            <w14:lumOff w14:val="5000"/>
                          </w14:schemeClr>
                        </w14:solidFill>
                      </w14:textFill>
                    </w:rPr>
                  </w:pPr>
                </w:p>
              </w:tc>
              <w:tc>
                <w:tcPr>
                  <w:tcW w:w="64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eastAsia="黑体"/>
                      <w:color w:val="0D0D0D" w:themeColor="text1" w:themeTint="F2"/>
                      <w:kern w:val="0"/>
                      <w:szCs w:val="21"/>
                      <w14:textFill>
                        <w14:solidFill>
                          <w14:schemeClr w14:val="tx1">
                            <w14:lumMod w14:val="95000"/>
                            <w14:lumOff w14:val="5000"/>
                          </w14:schemeClr>
                        </w14:solidFill>
                      </w14:textFill>
                    </w:rPr>
                    <w:t>BOD</w:t>
                  </w:r>
                  <w:r>
                    <w:rPr>
                      <w:rFonts w:hint="default" w:eastAsia="黑体"/>
                      <w:color w:val="0D0D0D" w:themeColor="text1" w:themeTint="F2"/>
                      <w:kern w:val="0"/>
                      <w:szCs w:val="21"/>
                      <w:vertAlign w:val="subscript"/>
                      <w14:textFill>
                        <w14:solidFill>
                          <w14:schemeClr w14:val="tx1">
                            <w14:lumMod w14:val="95000"/>
                            <w14:lumOff w14:val="5000"/>
                          </w14:schemeClr>
                        </w14:solidFill>
                      </w14:textFill>
                    </w:rPr>
                    <w:t>5</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150</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0.083</w:t>
                  </w:r>
                </w:p>
              </w:tc>
              <w:tc>
                <w:tcPr>
                  <w:tcW w:w="61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02"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120</w:t>
                  </w:r>
                </w:p>
              </w:tc>
              <w:tc>
                <w:tcPr>
                  <w:tcW w:w="477"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0.067</w:t>
                  </w:r>
                </w:p>
              </w:tc>
              <w:tc>
                <w:tcPr>
                  <w:tcW w:w="54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300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color w:val="0D0D0D" w:themeColor="text1" w:themeTint="F2"/>
                      <w:kern w:val="0"/>
                      <w:szCs w:val="21"/>
                      <w14:textFill>
                        <w14:solidFill>
                          <w14:schemeClr w14:val="tx1">
                            <w14:lumMod w14:val="95000"/>
                            <w14:lumOff w14:val="5000"/>
                          </w14:schemeClr>
                        </w14:solidFill>
                      </w14:textFill>
                    </w:rPr>
                  </w:pPr>
                </w:p>
              </w:tc>
              <w:tc>
                <w:tcPr>
                  <w:tcW w:w="64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氨氮</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25</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0.014</w:t>
                  </w:r>
                </w:p>
              </w:tc>
              <w:tc>
                <w:tcPr>
                  <w:tcW w:w="61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02"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18</w:t>
                  </w:r>
                </w:p>
              </w:tc>
              <w:tc>
                <w:tcPr>
                  <w:tcW w:w="477"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0.010</w:t>
                  </w:r>
                </w:p>
              </w:tc>
              <w:tc>
                <w:tcPr>
                  <w:tcW w:w="54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397" w:hRule="atLeast"/>
                <w:jc w:val="center"/>
              </w:trPr>
              <w:tc>
                <w:tcPr>
                  <w:tcW w:w="273"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rPr>
                      <w:rFonts w:hint="default"/>
                      <w:color w:val="0D0D0D" w:themeColor="text1" w:themeTint="F2"/>
                      <w:kern w:val="0"/>
                      <w:szCs w:val="21"/>
                      <w14:textFill>
                        <w14:solidFill>
                          <w14:schemeClr w14:val="tx1">
                            <w14:lumMod w14:val="95000"/>
                            <w14:lumOff w14:val="5000"/>
                          </w14:schemeClr>
                        </w14:solidFill>
                      </w14:textFill>
                    </w:rPr>
                  </w:pPr>
                </w:p>
              </w:tc>
              <w:tc>
                <w:tcPr>
                  <w:tcW w:w="64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SS</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120</w:t>
                  </w:r>
                </w:p>
              </w:tc>
              <w:tc>
                <w:tcPr>
                  <w:tcW w:w="614"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0.067</w:t>
                  </w:r>
                </w:p>
              </w:tc>
              <w:tc>
                <w:tcPr>
                  <w:tcW w:w="614" w:type="pct"/>
                  <w:vMerge w:val="continue"/>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602"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70</w:t>
                  </w:r>
                </w:p>
              </w:tc>
              <w:tc>
                <w:tcPr>
                  <w:tcW w:w="477" w:type="pct"/>
                  <w:shd w:val="clear" w:color="auto" w:fill="auto"/>
                  <w:vAlign w:val="center"/>
                </w:tcPr>
                <w:p>
                  <w:pPr>
                    <w:keepNext w:val="0"/>
                    <w:keepLines w:val="0"/>
                    <w:widowControl/>
                    <w:suppressLineNumbers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0.039</w:t>
                  </w:r>
                </w:p>
              </w:tc>
              <w:tc>
                <w:tcPr>
                  <w:tcW w:w="548" w:type="pct"/>
                  <w:vAlign w:val="center"/>
                </w:tcPr>
                <w:p>
                  <w:pPr>
                    <w:keepNext w:val="0"/>
                    <w:keepLines w:val="0"/>
                    <w:widowControl/>
                    <w:suppressLineNumbers w:val="0"/>
                    <w:spacing w:before="0" w:beforeAutospacing="0" w:after="0" w:afterAutospacing="0"/>
                    <w:ind w:left="-105" w:leftChars="-50" w:right="-105" w:rightChars="-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400</w:t>
                  </w:r>
                </w:p>
              </w:tc>
            </w:tr>
          </w:tbl>
          <w:p>
            <w:pPr>
              <w:keepNext w:val="0"/>
              <w:keepLines w:val="0"/>
              <w:widowControl/>
              <w:suppressLineNumbers w:val="0"/>
              <w:spacing w:before="120" w:beforeLines="50" w:beforeAutospacing="0" w:after="0" w:afterAutospacing="0"/>
              <w:ind w:left="0" w:right="0"/>
              <w:jc w:val="center"/>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表</w:t>
            </w:r>
            <w:r>
              <w:rPr>
                <w:rFonts w:hint="default"/>
                <w:b/>
                <w:color w:val="0D0D0D" w:themeColor="text1" w:themeTint="F2"/>
                <w:kern w:val="0"/>
                <w:sz w:val="24"/>
                <w14:textFill>
                  <w14:solidFill>
                    <w14:schemeClr w14:val="tx1">
                      <w14:lumMod w14:val="95000"/>
                      <w14:lumOff w14:val="5000"/>
                    </w14:schemeClr>
                  </w14:solidFill>
                </w14:textFill>
              </w:rPr>
              <w:t>4-</w:t>
            </w:r>
            <w:r>
              <w:rPr>
                <w:rFonts w:hint="eastAsia"/>
                <w:b/>
                <w:color w:val="0D0D0D" w:themeColor="text1" w:themeTint="F2"/>
                <w:kern w:val="0"/>
                <w:sz w:val="24"/>
                <w:lang w:val="en-US" w:eastAsia="zh-CN"/>
                <w14:textFill>
                  <w14:solidFill>
                    <w14:schemeClr w14:val="tx1">
                      <w14:lumMod w14:val="95000"/>
                      <w14:lumOff w14:val="5000"/>
                    </w14:schemeClr>
                  </w14:solidFill>
                </w14:textFill>
              </w:rPr>
              <w:t>9</w:t>
            </w:r>
            <w:r>
              <w:rPr>
                <w:rFonts w:hint="default"/>
                <w:b/>
                <w:color w:val="0D0D0D" w:themeColor="text1" w:themeTint="F2"/>
                <w:kern w:val="0"/>
                <w:sz w:val="24"/>
                <w14:textFill>
                  <w14:solidFill>
                    <w14:schemeClr w14:val="tx1">
                      <w14:lumMod w14:val="95000"/>
                      <w14:lumOff w14:val="5000"/>
                    </w14:schemeClr>
                  </w14:solidFill>
                </w14:textFill>
              </w:rPr>
              <w:t xml:space="preserve">  </w:t>
            </w:r>
            <w:r>
              <w:rPr>
                <w:rFonts w:hint="eastAsia"/>
                <w:b/>
                <w:color w:val="0D0D0D" w:themeColor="text1" w:themeTint="F2"/>
                <w:kern w:val="0"/>
                <w:sz w:val="24"/>
                <w14:textFill>
                  <w14:solidFill>
                    <w14:schemeClr w14:val="tx1">
                      <w14:lumMod w14:val="95000"/>
                      <w14:lumOff w14:val="5000"/>
                    </w14:schemeClr>
                  </w14:solidFill>
                </w14:textFill>
              </w:rPr>
              <w:t>废水间接排放口基本情况</w:t>
            </w:r>
          </w:p>
          <w:tbl>
            <w:tblPr>
              <w:tblStyle w:val="5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660"/>
              <w:gridCol w:w="1234"/>
              <w:gridCol w:w="1126"/>
              <w:gridCol w:w="796"/>
              <w:gridCol w:w="1600"/>
              <w:gridCol w:w="872"/>
              <w:gridCol w:w="11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0"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排放口编号</w:t>
                  </w:r>
                </w:p>
              </w:tc>
              <w:tc>
                <w:tcPr>
                  <w:tcW w:w="398"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排放口名称</w:t>
                  </w:r>
                </w:p>
              </w:tc>
              <w:tc>
                <w:tcPr>
                  <w:tcW w:w="1423" w:type="pct"/>
                  <w:gridSpan w:val="2"/>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排放口地理坐标</w:t>
                  </w:r>
                </w:p>
              </w:tc>
              <w:tc>
                <w:tcPr>
                  <w:tcW w:w="480"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排放去向</w:t>
                  </w:r>
                </w:p>
              </w:tc>
              <w:tc>
                <w:tcPr>
                  <w:tcW w:w="964"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排放规律</w:t>
                  </w:r>
                </w:p>
              </w:tc>
              <w:tc>
                <w:tcPr>
                  <w:tcW w:w="526"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间歇排放时段</w:t>
                  </w:r>
                </w:p>
              </w:tc>
              <w:tc>
                <w:tcPr>
                  <w:tcW w:w="669" w:type="pct"/>
                  <w:vMerge w:val="restar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0"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c>
                <w:tcPr>
                  <w:tcW w:w="398"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c>
                <w:tcPr>
                  <w:tcW w:w="744" w:type="pc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经度</w:t>
                  </w:r>
                </w:p>
              </w:tc>
              <w:tc>
                <w:tcPr>
                  <w:tcW w:w="679" w:type="pc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Cs w:val="21"/>
                      <w14:textFill>
                        <w14:solidFill>
                          <w14:schemeClr w14:val="tx1">
                            <w14:lumMod w14:val="95000"/>
                            <w14:lumOff w14:val="5000"/>
                          </w14:schemeClr>
                        </w14:solidFill>
                      </w14:textFill>
                    </w:rPr>
                    <w:t>纬度</w:t>
                  </w:r>
                </w:p>
              </w:tc>
              <w:tc>
                <w:tcPr>
                  <w:tcW w:w="480"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c>
                <w:tcPr>
                  <w:tcW w:w="964"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c>
                <w:tcPr>
                  <w:tcW w:w="526"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c>
                <w:tcPr>
                  <w:tcW w:w="669" w:type="pct"/>
                  <w:vMerge w:val="continue"/>
                  <w:vAlign w:val="center"/>
                </w:tcPr>
                <w:p>
                  <w:pPr>
                    <w:keepNext w:val="0"/>
                    <w:keepLines w:val="0"/>
                    <w:widowControl/>
                    <w:suppressLineNumbers w:val="0"/>
                    <w:spacing w:before="0" w:beforeAutospacing="0" w:after="0" w:afterAutospacing="0"/>
                    <w:ind w:left="0" w:right="0"/>
                    <w:rPr>
                      <w:rFonts w:hint="default"/>
                      <w:b/>
                      <w:color w:val="0D0D0D" w:themeColor="text1" w:themeTint="F2"/>
                      <w:sz w:val="24"/>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0" w:type="pc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DW001</w:t>
                  </w:r>
                </w:p>
              </w:tc>
              <w:tc>
                <w:tcPr>
                  <w:tcW w:w="398"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污水排放口</w:t>
                  </w:r>
                </w:p>
              </w:tc>
              <w:tc>
                <w:tcPr>
                  <w:tcW w:w="744"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118.227023169</w:t>
                  </w:r>
                </w:p>
              </w:tc>
              <w:tc>
                <w:tcPr>
                  <w:tcW w:w="679"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31.216805613</w:t>
                  </w:r>
                </w:p>
              </w:tc>
              <w:tc>
                <w:tcPr>
                  <w:tcW w:w="480" w:type="pc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进入</w:t>
                  </w:r>
                  <w:r>
                    <w:rPr>
                      <w:rFonts w:hint="eastAsia"/>
                      <w:color w:val="0D0D0D" w:themeColor="text1" w:themeTint="F2"/>
                      <w:kern w:val="0"/>
                      <w:szCs w:val="21"/>
                      <w:lang w:val="en-US" w:eastAsia="zh-CN"/>
                      <w14:textFill>
                        <w14:solidFill>
                          <w14:schemeClr w14:val="tx1">
                            <w14:lumMod w14:val="95000"/>
                            <w14:lumOff w14:val="5000"/>
                          </w14:schemeClr>
                        </w14:solidFill>
                      </w14:textFill>
                    </w:rPr>
                    <w:t>滨江</w:t>
                  </w:r>
                  <w:r>
                    <w:rPr>
                      <w:rFonts w:hint="eastAsia"/>
                      <w:color w:val="0D0D0D" w:themeColor="text1" w:themeTint="F2"/>
                      <w:kern w:val="0"/>
                      <w:szCs w:val="21"/>
                      <w14:textFill>
                        <w14:solidFill>
                          <w14:schemeClr w14:val="tx1">
                            <w14:lumMod w14:val="95000"/>
                            <w14:lumOff w14:val="5000"/>
                          </w14:schemeClr>
                        </w14:solidFill>
                      </w14:textFill>
                    </w:rPr>
                    <w:t>污水处理厂</w:t>
                  </w:r>
                </w:p>
              </w:tc>
              <w:tc>
                <w:tcPr>
                  <w:tcW w:w="964" w:type="pct"/>
                  <w:vAlign w:val="center"/>
                </w:tcPr>
                <w:p>
                  <w:pPr>
                    <w:keepNext w:val="0"/>
                    <w:keepLines w:val="0"/>
                    <w:suppressLineNumbers w:val="0"/>
                    <w:adjustRightInd w:val="0"/>
                    <w:spacing w:before="0" w:beforeAutospacing="0" w:after="0" w:afterAutospacing="0" w:line="320" w:lineRule="exact"/>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间断排放，排放期间流量不稳定且无规律，但不属于冲击型排放</w:t>
                  </w:r>
                </w:p>
              </w:tc>
              <w:tc>
                <w:tcPr>
                  <w:tcW w:w="526" w:type="pct"/>
                  <w:vAlign w:val="center"/>
                </w:tcPr>
                <w:p>
                  <w:pPr>
                    <w:keepNext w:val="0"/>
                    <w:keepLines w:val="0"/>
                    <w:suppressLineNumbers w:val="0"/>
                    <w:adjustRightInd w:val="0"/>
                    <w:spacing w:before="0" w:beforeAutospacing="0" w:after="0" w:afterAutospacing="0" w:line="320" w:lineRule="exact"/>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生产时</w:t>
                  </w:r>
                </w:p>
              </w:tc>
              <w:tc>
                <w:tcPr>
                  <w:tcW w:w="669" w:type="pct"/>
                  <w:vAlign w:val="center"/>
                </w:tcPr>
                <w:p>
                  <w:pPr>
                    <w:keepNext w:val="0"/>
                    <w:keepLines w:val="0"/>
                    <w:suppressLineNumbers w:val="0"/>
                    <w:adjustRightInd w:val="0"/>
                    <w:spacing w:before="0" w:beforeAutospacing="0" w:after="0" w:afterAutospacing="0" w:line="320" w:lineRule="exact"/>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滨江</w:t>
                  </w:r>
                  <w:r>
                    <w:rPr>
                      <w:rFonts w:hint="eastAsia"/>
                      <w:color w:val="0D0D0D" w:themeColor="text1" w:themeTint="F2"/>
                      <w:szCs w:val="21"/>
                      <w14:textFill>
                        <w14:solidFill>
                          <w14:schemeClr w14:val="tx1">
                            <w14:lumMod w14:val="95000"/>
                            <w14:lumOff w14:val="5000"/>
                          </w14:schemeClr>
                        </w14:solidFill>
                      </w14:textFill>
                    </w:rPr>
                    <w:t>污水处理厂纳管标准</w:t>
                  </w:r>
                </w:p>
              </w:tc>
            </w:tr>
          </w:tbl>
          <w:p>
            <w:pPr>
              <w:keepNext w:val="0"/>
              <w:keepLines w:val="0"/>
              <w:suppressLineNumbers w:val="0"/>
              <w:tabs>
                <w:tab w:val="left" w:pos="612"/>
              </w:tabs>
              <w:adjustRightInd w:val="0"/>
              <w:spacing w:before="120" w:beforeLines="50" w:beforeAutospacing="0" w:after="0" w:afterAutospacing="0" w:line="360" w:lineRule="auto"/>
              <w:ind w:left="0" w:right="0" w:firstLine="482" w:firstLineChars="200"/>
              <w:rPr>
                <w:rFonts w:hint="default"/>
                <w:b/>
                <w:bCs/>
                <w:color w:val="0D0D0D" w:themeColor="text1" w:themeTint="F2"/>
                <w:sz w:val="24"/>
                <w14:textFill>
                  <w14:solidFill>
                    <w14:schemeClr w14:val="tx1">
                      <w14:lumMod w14:val="95000"/>
                      <w14:lumOff w14:val="5000"/>
                    </w14:schemeClr>
                  </w14:solidFill>
                </w14:textFill>
              </w:rPr>
            </w:pPr>
            <w:r>
              <w:rPr>
                <w:rFonts w:hint="default"/>
                <w:b/>
                <w:bCs/>
                <w:color w:val="0D0D0D" w:themeColor="text1" w:themeTint="F2"/>
                <w:sz w:val="24"/>
                <w14:textFill>
                  <w14:solidFill>
                    <w14:schemeClr w14:val="tx1">
                      <w14:lumMod w14:val="95000"/>
                      <w14:lumOff w14:val="5000"/>
                    </w14:schemeClr>
                  </w14:solidFill>
                </w14:textFill>
              </w:rPr>
              <w:t>2</w:t>
            </w:r>
            <w:r>
              <w:rPr>
                <w:rFonts w:hint="eastAsia"/>
                <w:b/>
                <w:bCs/>
                <w:color w:val="0D0D0D" w:themeColor="text1" w:themeTint="F2"/>
                <w:sz w:val="24"/>
                <w14:textFill>
                  <w14:solidFill>
                    <w14:schemeClr w14:val="tx1">
                      <w14:lumMod w14:val="95000"/>
                      <w14:lumOff w14:val="5000"/>
                    </w14:schemeClr>
                  </w14:solidFill>
                </w14:textFill>
              </w:rPr>
              <w:t>、地表水评价等级</w:t>
            </w:r>
          </w:p>
          <w:p>
            <w:pPr>
              <w:keepNext w:val="0"/>
              <w:keepLines w:val="0"/>
              <w:suppressLineNumbers w:val="0"/>
              <w:tabs>
                <w:tab w:val="left" w:pos="612"/>
              </w:tabs>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根据HJ2.3-2018第5.2条中所列出的地面水环境影响评价分级判据标准，</w:t>
            </w:r>
            <w:r>
              <w:rPr>
                <w:rFonts w:hint="eastAsia"/>
                <w:color w:val="0D0D0D" w:themeColor="text1" w:themeTint="F2"/>
                <w:sz w:val="24"/>
                <w14:textFill>
                  <w14:solidFill>
                    <w14:schemeClr w14:val="tx1">
                      <w14:lumMod w14:val="95000"/>
                      <w14:lumOff w14:val="5000"/>
                    </w14:schemeClr>
                  </w14:solidFill>
                </w14:textFill>
              </w:rPr>
              <w:t>本项目无生产废水外排，</w:t>
            </w:r>
            <w:r>
              <w:rPr>
                <w:rFonts w:hint="eastAsia"/>
                <w:color w:val="0D0D0D" w:themeColor="text1" w:themeTint="F2"/>
                <w:sz w:val="24"/>
                <w:szCs w:val="20"/>
                <w14:textFill>
                  <w14:solidFill>
                    <w14:schemeClr w14:val="tx1">
                      <w14:lumMod w14:val="95000"/>
                      <w14:lumOff w14:val="5000"/>
                    </w14:schemeClr>
                  </w14:solidFill>
                </w14:textFill>
              </w:rPr>
              <w:t>生活污水</w:t>
            </w:r>
            <w:r>
              <w:rPr>
                <w:rFonts w:hint="default"/>
                <w:color w:val="0D0D0D" w:themeColor="text1" w:themeTint="F2"/>
                <w:sz w:val="24"/>
                <w:szCs w:val="20"/>
                <w14:textFill>
                  <w14:solidFill>
                    <w14:schemeClr w14:val="tx1">
                      <w14:lumMod w14:val="95000"/>
                      <w14:lumOff w14:val="5000"/>
                    </w14:schemeClr>
                  </w14:solidFill>
                </w14:textFill>
              </w:rPr>
              <w:t>经化粪池</w:t>
            </w:r>
            <w:r>
              <w:rPr>
                <w:rFonts w:hint="eastAsia"/>
                <w:color w:val="0D0D0D" w:themeColor="text1" w:themeTint="F2"/>
                <w:sz w:val="24"/>
                <w:szCs w:val="20"/>
                <w:lang w:val="en-US" w:eastAsia="zh-CN"/>
                <w14:textFill>
                  <w14:solidFill>
                    <w14:schemeClr w14:val="tx1">
                      <w14:lumMod w14:val="95000"/>
                      <w14:lumOff w14:val="5000"/>
                    </w14:schemeClr>
                  </w14:solidFill>
                </w14:textFill>
              </w:rPr>
              <w:t>+隔油池</w:t>
            </w:r>
            <w:r>
              <w:rPr>
                <w:rFonts w:hint="default"/>
                <w:color w:val="0D0D0D" w:themeColor="text1" w:themeTint="F2"/>
                <w:sz w:val="24"/>
                <w:szCs w:val="20"/>
                <w14:textFill>
                  <w14:solidFill>
                    <w14:schemeClr w14:val="tx1">
                      <w14:lumMod w14:val="95000"/>
                      <w14:lumOff w14:val="5000"/>
                    </w14:schemeClr>
                  </w14:solidFill>
                </w14:textFill>
              </w:rPr>
              <w:t>预处理达</w:t>
            </w:r>
            <w:r>
              <w:rPr>
                <w:rFonts w:hint="eastAsia"/>
                <w:color w:val="0D0D0D" w:themeColor="text1" w:themeTint="F2"/>
                <w:sz w:val="24"/>
                <w:szCs w:val="20"/>
                <w14:textFill>
                  <w14:solidFill>
                    <w14:schemeClr w14:val="tx1">
                      <w14:lumMod w14:val="95000"/>
                      <w14:lumOff w14:val="5000"/>
                    </w14:schemeClr>
                  </w14:solidFill>
                </w14:textFill>
              </w:rPr>
              <w:t>到</w:t>
            </w:r>
            <w:r>
              <w:rPr>
                <w:rFonts w:hint="eastAsia"/>
                <w:color w:val="0D0D0D" w:themeColor="text1" w:themeTint="F2"/>
                <w:sz w:val="24"/>
                <w:szCs w:val="20"/>
                <w:lang w:val="en-US" w:eastAsia="zh-CN"/>
                <w14:textFill>
                  <w14:solidFill>
                    <w14:schemeClr w14:val="tx1">
                      <w14:lumMod w14:val="95000"/>
                      <w14:lumOff w14:val="5000"/>
                    </w14:schemeClr>
                  </w14:solidFill>
                </w14:textFill>
              </w:rPr>
              <w:t>滨江</w:t>
            </w:r>
            <w:r>
              <w:rPr>
                <w:rFonts w:hint="eastAsia"/>
                <w:color w:val="0D0D0D" w:themeColor="text1" w:themeTint="F2"/>
                <w:sz w:val="24"/>
                <w:szCs w:val="20"/>
                <w14:textFill>
                  <w14:solidFill>
                    <w14:schemeClr w14:val="tx1">
                      <w14:lumMod w14:val="95000"/>
                      <w14:lumOff w14:val="5000"/>
                    </w14:schemeClr>
                  </w14:solidFill>
                </w14:textFill>
              </w:rPr>
              <w:t>污水处理厂纳管标准，再</w:t>
            </w:r>
            <w:r>
              <w:rPr>
                <w:rFonts w:hint="default"/>
                <w:color w:val="0D0D0D" w:themeColor="text1" w:themeTint="F2"/>
                <w:sz w:val="24"/>
                <w:szCs w:val="20"/>
                <w14:textFill>
                  <w14:solidFill>
                    <w14:schemeClr w14:val="tx1">
                      <w14:lumMod w14:val="95000"/>
                      <w14:lumOff w14:val="5000"/>
                    </w14:schemeClr>
                  </w14:solidFill>
                </w14:textFill>
              </w:rPr>
              <w:t>接管</w:t>
            </w:r>
            <w:r>
              <w:rPr>
                <w:rFonts w:hint="eastAsia"/>
                <w:color w:val="0D0D0D" w:themeColor="text1" w:themeTint="F2"/>
                <w:sz w:val="24"/>
                <w:szCs w:val="20"/>
                <w:lang w:val="en-US" w:eastAsia="zh-CN"/>
                <w14:textFill>
                  <w14:solidFill>
                    <w14:schemeClr w14:val="tx1">
                      <w14:lumMod w14:val="95000"/>
                      <w14:lumOff w14:val="5000"/>
                    </w14:schemeClr>
                  </w14:solidFill>
                </w14:textFill>
              </w:rPr>
              <w:t>滨江</w:t>
            </w:r>
            <w:r>
              <w:rPr>
                <w:rFonts w:hint="eastAsia"/>
                <w:color w:val="0D0D0D" w:themeColor="text1" w:themeTint="F2"/>
                <w:sz w:val="24"/>
                <w:szCs w:val="20"/>
                <w14:textFill>
                  <w14:solidFill>
                    <w14:schemeClr w14:val="tx1">
                      <w14:lumMod w14:val="95000"/>
                      <w14:lumOff w14:val="5000"/>
                    </w14:schemeClr>
                  </w14:solidFill>
                </w14:textFill>
              </w:rPr>
              <w:t>污水处理厂</w:t>
            </w:r>
            <w:r>
              <w:rPr>
                <w:rFonts w:hint="eastAsia" w:hAnsi="宋体"/>
                <w:color w:val="0D0D0D" w:themeColor="text1" w:themeTint="F2"/>
                <w:kern w:val="24"/>
                <w:sz w:val="24"/>
                <w14:textFill>
                  <w14:solidFill>
                    <w14:schemeClr w14:val="tx1">
                      <w14:lumMod w14:val="95000"/>
                      <w14:lumOff w14:val="5000"/>
                    </w14:schemeClr>
                  </w14:solidFill>
                </w14:textFill>
              </w:rPr>
              <w:t>，属于“间接排放”，故</w:t>
            </w:r>
            <w:r>
              <w:rPr>
                <w:rFonts w:hint="default" w:hAnsi="宋体"/>
                <w:color w:val="0D0D0D" w:themeColor="text1" w:themeTint="F2"/>
                <w:kern w:val="24"/>
                <w:sz w:val="24"/>
                <w14:textFill>
                  <w14:solidFill>
                    <w14:schemeClr w14:val="tx1">
                      <w14:lumMod w14:val="95000"/>
                      <w14:lumOff w14:val="5000"/>
                    </w14:schemeClr>
                  </w14:solidFill>
                </w14:textFill>
              </w:rPr>
              <w:t>评价等级为三级B。</w:t>
            </w:r>
          </w:p>
          <w:p>
            <w:pPr>
              <w:keepNext w:val="0"/>
              <w:keepLines w:val="0"/>
              <w:suppressLineNumbers w:val="0"/>
              <w:tabs>
                <w:tab w:val="left" w:pos="612"/>
              </w:tabs>
              <w:adjustRightInd w:val="0"/>
              <w:spacing w:before="0" w:beforeAutospacing="0" w:after="0" w:afterAutospacing="0" w:line="360" w:lineRule="auto"/>
              <w:ind w:left="0" w:right="0" w:firstLine="482" w:firstLineChars="200"/>
              <w:rPr>
                <w:rFonts w:hint="default"/>
                <w:b/>
                <w:bCs/>
                <w:color w:val="000000" w:themeColor="text1"/>
                <w:sz w:val="24"/>
                <w14:textFill>
                  <w14:solidFill>
                    <w14:schemeClr w14:val="tx1"/>
                  </w14:solidFill>
                </w14:textFill>
              </w:rPr>
            </w:pPr>
            <w:r>
              <w:rPr>
                <w:rFonts w:hint="default"/>
                <w:b/>
                <w:bCs/>
                <w:color w:val="000000" w:themeColor="text1"/>
                <w:sz w:val="24"/>
                <w14:textFill>
                  <w14:solidFill>
                    <w14:schemeClr w14:val="tx1"/>
                  </w14:solidFill>
                </w14:textFill>
              </w:rPr>
              <w:t>3</w:t>
            </w:r>
            <w:r>
              <w:rPr>
                <w:rFonts w:hint="eastAsia"/>
                <w:b/>
                <w:bCs/>
                <w:color w:val="000000" w:themeColor="text1"/>
                <w:sz w:val="24"/>
                <w14:textFill>
                  <w14:solidFill>
                    <w14:schemeClr w14:val="tx1"/>
                  </w14:solidFill>
                </w14:textFill>
              </w:rPr>
              <w:t>、废水接管可行性分析</w:t>
            </w: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 xml:space="preserve">（1）芜湖滨江污水处理厂简介及收水范围 </w:t>
            </w: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芜湖市滨江污水处理厂位于芜湖市三山经济开发区五华山路与保定渠相交的西北角，远期总设计规模为14万m</w:t>
            </w:r>
            <w:r>
              <w:rPr>
                <w:rFonts w:hint="eastAsia"/>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color w:val="0D0D0D" w:themeColor="text1" w:themeTint="F2"/>
                <w:sz w:val="24"/>
                <w:lang w:val="en-US" w:eastAsia="zh-CN"/>
                <w14:textFill>
                  <w14:solidFill>
                    <w14:schemeClr w14:val="tx1">
                      <w14:lumMod w14:val="95000"/>
                      <w14:lumOff w14:val="5000"/>
                    </w14:schemeClr>
                  </w14:solidFill>
                </w14:textFill>
              </w:rPr>
              <w:t xml:space="preserve"> /d，收水范围为原三山区城市建设用地规划区 域，具体包括原食品工业园区、三山老镇区、临江工业区、峨桥镇区，处理废水的类型主要为生活污水，含部分工业废水。其中，一期一阶段工程规模为3万 m</w:t>
            </w:r>
            <w:r>
              <w:rPr>
                <w:rFonts w:hint="eastAsia"/>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color w:val="0D0D0D" w:themeColor="text1" w:themeTint="F2"/>
                <w:sz w:val="24"/>
                <w:lang w:val="en-US" w:eastAsia="zh-CN"/>
                <w14:textFill>
                  <w14:solidFill>
                    <w14:schemeClr w14:val="tx1">
                      <w14:lumMod w14:val="95000"/>
                      <w14:lumOff w14:val="5000"/>
                    </w14:schemeClr>
                  </w14:solidFill>
                </w14:textFill>
              </w:rPr>
              <w:t xml:space="preserve"> /d，出水水质执行《城镇污水处理厂污染物排放标准》（GB18918-2002）中一级B标准，分别于2013年和2015年进行了分阶段验收。2017年滨江污水处理厂进行了提标改造，设计出水水质执行《城镇污水处理厂污染物排放标准》 </w:t>
            </w:r>
          </w:p>
          <w:p>
            <w:pPr>
              <w:keepNext w:val="0"/>
              <w:keepLines w:val="0"/>
              <w:suppressLineNumbers w:val="0"/>
              <w:spacing w:before="0" w:beforeAutospacing="0" w:after="0" w:afterAutospacing="0" w:line="360" w:lineRule="auto"/>
              <w:ind w:left="0" w:right="0"/>
              <w:rPr>
                <w:rFonts w:hint="eastAsia"/>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 GB18918-2002）中一级A标准，于2020年完成自主验收。2018年滨江污水处理 厂启动一期二阶段工程，新增污水处理规模3万m</w:t>
            </w:r>
            <w:r>
              <w:rPr>
                <w:rFonts w:hint="eastAsia"/>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eastAsia"/>
                <w:color w:val="0D0D0D" w:themeColor="text1" w:themeTint="F2"/>
                <w:sz w:val="24"/>
                <w:lang w:val="en-US" w:eastAsia="zh-CN"/>
                <w14:textFill>
                  <w14:solidFill>
                    <w14:schemeClr w14:val="tx1">
                      <w14:lumMod w14:val="95000"/>
                      <w14:lumOff w14:val="5000"/>
                    </w14:schemeClr>
                  </w14:solidFill>
                </w14:textFill>
              </w:rPr>
              <w:t xml:space="preserve"> /d，尾水排放执行《城镇污水 处理厂污染物排放标准》(GB18918-2002)表1的一级A标准，于2021年2月完成自主验收并正式投入运行。 </w:t>
            </w:r>
          </w:p>
          <w:p>
            <w:pPr>
              <w:keepNext w:val="0"/>
              <w:keepLines w:val="0"/>
              <w:suppressLineNumbers w:val="0"/>
              <w:adjustRightInd w:val="0"/>
              <w:snapToGrid w:val="0"/>
              <w:spacing w:before="0" w:beforeAutospacing="0" w:after="0" w:afterAutospacing="0" w:line="360" w:lineRule="auto"/>
              <w:ind w:left="0" w:right="0" w:firstLine="48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（2）</w:t>
            </w:r>
            <w:r>
              <w:rPr>
                <w:rFonts w:hint="default"/>
                <w:color w:val="0D0D0D" w:themeColor="text1" w:themeTint="F2"/>
                <w:sz w:val="24"/>
                <w14:textFill>
                  <w14:solidFill>
                    <w14:schemeClr w14:val="tx1">
                      <w14:lumMod w14:val="95000"/>
                      <w14:lumOff w14:val="5000"/>
                    </w14:schemeClr>
                  </w14:solidFill>
                </w14:textFill>
              </w:rPr>
              <w:t>纳污可行性</w:t>
            </w:r>
          </w:p>
          <w:p>
            <w:pPr>
              <w:keepNext w:val="0"/>
              <w:keepLines w:val="0"/>
              <w:suppressLineNumbers w:val="0"/>
              <w:spacing w:before="0" w:beforeAutospacing="0" w:after="0" w:afterAutospacing="0" w:line="360" w:lineRule="auto"/>
              <w:ind w:left="0" w:right="0" w:firstLine="480"/>
              <w:rPr>
                <w:rFonts w:hint="default"/>
                <w:color w:val="0D0D0D" w:themeColor="text1" w:themeTint="F2"/>
                <w:sz w:val="24"/>
                <w:lang w:val="en-US" w:eastAsia="zh-CN"/>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根据分析，</w:t>
            </w:r>
            <w:r>
              <w:rPr>
                <w:rFonts w:hint="default"/>
                <w:color w:val="0D0D0D" w:themeColor="text1" w:themeTint="F2"/>
                <w:sz w:val="24"/>
                <w:lang w:val="en-US" w:eastAsia="zh-CN"/>
                <w14:textFill>
                  <w14:solidFill>
                    <w14:schemeClr w14:val="tx1">
                      <w14:lumMod w14:val="95000"/>
                      <w14:lumOff w14:val="5000"/>
                    </w14:schemeClr>
                  </w14:solidFill>
                </w14:textFill>
              </w:rPr>
              <w:t>项目位于安徽芜湖三山经济开发区，属于滨江污水处理厂收水范围，项目废水能通过该区域市政污水管网进入滨江污水处理厂</w:t>
            </w:r>
            <w:r>
              <w:rPr>
                <w:rFonts w:hint="eastAsia"/>
                <w:color w:val="0D0D0D" w:themeColor="text1" w:themeTint="F2"/>
                <w:sz w:val="24"/>
                <w:lang w:val="en-US" w:eastAsia="zh-CN"/>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lang w:val="en-US" w:eastAsia="zh-CN"/>
                <w14:textFill>
                  <w14:solidFill>
                    <w14:schemeClr w14:val="tx1">
                      <w14:lumMod w14:val="95000"/>
                      <w14:lumOff w14:val="5000"/>
                    </w14:schemeClr>
                  </w14:solidFill>
                </w14:textFill>
              </w:rPr>
              <w:t>项</w:t>
            </w:r>
            <w:r>
              <w:rPr>
                <w:rFonts w:hint="default"/>
                <w:color w:val="0D0D0D" w:themeColor="text1" w:themeTint="F2"/>
                <w:sz w:val="24"/>
                <w:lang w:val="en-US" w:eastAsia="zh-CN"/>
                <w14:textFill>
                  <w14:solidFill>
                    <w14:schemeClr w14:val="tx1">
                      <w14:lumMod w14:val="95000"/>
                      <w14:lumOff w14:val="5000"/>
                    </w14:schemeClr>
                  </w14:solidFill>
                </w14:textFill>
              </w:rPr>
              <w:t>目生活污水及餐厨污水水质简单，不会对污水处理厂造成冲击，从处理能力和处理效果上，本项目废水依托现有污水处理设施是可行的</w:t>
            </w:r>
            <w:r>
              <w:rPr>
                <w:rFonts w:hint="eastAsia"/>
                <w:color w:val="0D0D0D" w:themeColor="text1" w:themeTint="F2"/>
                <w:sz w:val="24"/>
                <w:lang w:val="en-US" w:eastAsia="zh-CN"/>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lang w:val="en-US" w:eastAsia="zh-CN"/>
                <w14:textFill>
                  <w14:solidFill>
                    <w14:schemeClr w14:val="tx1">
                      <w14:lumMod w14:val="95000"/>
                      <w14:lumOff w14:val="5000"/>
                    </w14:schemeClr>
                  </w14:solidFill>
                </w14:textFill>
              </w:rPr>
              <w:t>滨江污水处理厂目前污水处理能力6万 m</w:t>
            </w:r>
            <w:r>
              <w:rPr>
                <w:rFonts w:hint="default"/>
                <w:color w:val="0D0D0D" w:themeColor="text1" w:themeTint="F2"/>
                <w:sz w:val="24"/>
                <w:vertAlign w:val="superscript"/>
                <w:lang w:val="en-US" w:eastAsia="zh-CN"/>
                <w14:textFill>
                  <w14:solidFill>
                    <w14:schemeClr w14:val="tx1">
                      <w14:lumMod w14:val="95000"/>
                      <w14:lumOff w14:val="5000"/>
                    </w14:schemeClr>
                  </w14:solidFill>
                </w14:textFill>
              </w:rPr>
              <w:t>3</w:t>
            </w:r>
            <w:r>
              <w:rPr>
                <w:rFonts w:hint="default"/>
                <w:color w:val="0D0D0D" w:themeColor="text1" w:themeTint="F2"/>
                <w:sz w:val="24"/>
                <w:lang w:val="en-US" w:eastAsia="zh-CN"/>
                <w14:textFill>
                  <w14:solidFill>
                    <w14:schemeClr w14:val="tx1">
                      <w14:lumMod w14:val="95000"/>
                      <w14:lumOff w14:val="5000"/>
                    </w14:schemeClr>
                  </w14:solidFill>
                </w14:textFill>
              </w:rPr>
              <w:t xml:space="preserve"> /d，项目废水排放量 </w:t>
            </w:r>
            <w:r>
              <w:rPr>
                <w:rFonts w:hint="eastAsia"/>
                <w:color w:val="0D0D0D" w:themeColor="text1" w:themeTint="F2"/>
                <w:sz w:val="24"/>
                <w:lang w:val="en-US" w:eastAsia="zh-CN"/>
                <w14:textFill>
                  <w14:solidFill>
                    <w14:schemeClr w14:val="tx1">
                      <w14:lumMod w14:val="95000"/>
                      <w14:lumOff w14:val="5000"/>
                    </w14:schemeClr>
                  </w14:solidFill>
                </w14:textFill>
              </w:rPr>
              <w:t>1.848</w:t>
            </w:r>
            <w:r>
              <w:rPr>
                <w:rFonts w:hint="default"/>
                <w:color w:val="0D0D0D" w:themeColor="text1" w:themeTint="F2"/>
                <w:sz w:val="24"/>
                <w:lang w:val="en-US" w:eastAsia="zh-CN"/>
                <w14:textFill>
                  <w14:solidFill>
                    <w14:schemeClr w14:val="tx1">
                      <w14:lumMod w14:val="95000"/>
                      <w14:lumOff w14:val="5000"/>
                    </w14:schemeClr>
                  </w14:solidFill>
                </w14:textFill>
              </w:rPr>
              <w:t>m3 /d，占芜湖滨江污水厂处理能力</w:t>
            </w:r>
            <w:r>
              <w:rPr>
                <w:rFonts w:hint="eastAsia"/>
                <w:color w:val="0D0D0D" w:themeColor="text1" w:themeTint="F2"/>
                <w:sz w:val="24"/>
                <w:lang w:val="en-US" w:eastAsia="zh-CN"/>
                <w14:textFill>
                  <w14:solidFill>
                    <w14:schemeClr w14:val="tx1">
                      <w14:lumMod w14:val="95000"/>
                      <w14:lumOff w14:val="5000"/>
                    </w14:schemeClr>
                  </w14:solidFill>
                </w14:textFill>
              </w:rPr>
              <w:t>6</w:t>
            </w:r>
            <w:r>
              <w:rPr>
                <w:rFonts w:hint="default"/>
                <w:color w:val="0D0D0D" w:themeColor="text1" w:themeTint="F2"/>
                <w:sz w:val="24"/>
                <w:lang w:val="en-US" w:eastAsia="zh-CN"/>
                <w14:textFill>
                  <w14:solidFill>
                    <w14:schemeClr w14:val="tx1">
                      <w14:lumMod w14:val="95000"/>
                      <w14:lumOff w14:val="5000"/>
                    </w14:schemeClr>
                  </w14:solidFill>
                </w14:textFill>
              </w:rPr>
              <w:t>万 m3 /d 的 0.0</w:t>
            </w:r>
            <w:r>
              <w:rPr>
                <w:rFonts w:hint="eastAsia"/>
                <w:color w:val="0D0D0D" w:themeColor="text1" w:themeTint="F2"/>
                <w:sz w:val="24"/>
                <w:lang w:val="en-US" w:eastAsia="zh-CN"/>
                <w14:textFill>
                  <w14:solidFill>
                    <w14:schemeClr w14:val="tx1">
                      <w14:lumMod w14:val="95000"/>
                      <w14:lumOff w14:val="5000"/>
                    </w14:schemeClr>
                  </w14:solidFill>
                </w14:textFill>
              </w:rPr>
              <w:t>031</w:t>
            </w:r>
            <w:r>
              <w:rPr>
                <w:rFonts w:hint="default"/>
                <w:color w:val="0D0D0D" w:themeColor="text1" w:themeTint="F2"/>
                <w:sz w:val="24"/>
                <w:lang w:val="en-US" w:eastAsia="zh-CN"/>
                <w14:textFill>
                  <w14:solidFill>
                    <w14:schemeClr w14:val="tx1">
                      <w14:lumMod w14:val="95000"/>
                      <w14:lumOff w14:val="5000"/>
                    </w14:schemeClr>
                  </w14:solidFill>
                </w14:textFill>
              </w:rPr>
              <w:t>%，本项目污水量只是整个污水厂排放的污水量的很小一部分，在处理达标后排放，不会对地表水水环境造成明显不利影响。</w:t>
            </w:r>
          </w:p>
        </w:tc>
      </w:tr>
    </w:tbl>
    <w:p>
      <w:pPr>
        <w:pStyle w:val="54"/>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tbl>
      <w:tblPr>
        <w:tblStyle w:val="59"/>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2" w:space="0"/>
        </w:tblBorders>
        <w:tblLayout w:type="autofit"/>
        <w:tblCellMar>
          <w:top w:w="0" w:type="dxa"/>
          <w:left w:w="108" w:type="dxa"/>
          <w:bottom w:w="0" w:type="dxa"/>
          <w:right w:w="108" w:type="dxa"/>
        </w:tblCellMar>
      </w:tblPr>
      <w:tblGrid>
        <w:gridCol w:w="456"/>
        <w:gridCol w:w="1277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2" w:space="0"/>
          </w:tblBorders>
          <w:tblCellMar>
            <w:top w:w="0" w:type="dxa"/>
            <w:left w:w="108" w:type="dxa"/>
            <w:bottom w:w="0" w:type="dxa"/>
            <w:right w:w="108" w:type="dxa"/>
          </w:tblCellMar>
        </w:tblPrEx>
        <w:tc>
          <w:tcPr>
            <w:tcW w:w="456" w:type="dxa"/>
            <w:shd w:val="clear" w:color="auto" w:fill="auto"/>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运营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境影</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响和</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tabs>
                <w:tab w:val="left" w:pos="1077"/>
              </w:tabs>
              <w:spacing w:before="0" w:beforeAutospacing="0" w:after="0" w:afterAutospacing="0"/>
              <w:ind w:left="0" w:right="0"/>
              <w:jc w:val="center"/>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措施</w:t>
            </w:r>
          </w:p>
        </w:tc>
        <w:tc>
          <w:tcPr>
            <w:tcW w:w="12772" w:type="dxa"/>
            <w:shd w:val="clear" w:color="auto" w:fill="auto"/>
          </w:tcPr>
          <w:p>
            <w:pPr>
              <w:keepNext/>
              <w:keepLines/>
              <w:suppressLineNumbers w:val="0"/>
              <w:spacing w:before="120" w:beforeLines="50" w:beforeAutospacing="0" w:after="0" w:afterAutospacing="0" w:line="360" w:lineRule="auto"/>
              <w:ind w:left="0" w:right="0" w:firstLine="480"/>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三、噪声环境影响和保护措施</w:t>
            </w:r>
          </w:p>
          <w:p>
            <w:pPr>
              <w:keepNext/>
              <w:keepLines/>
              <w:suppressLineNumbers w:val="0"/>
              <w:spacing w:before="0" w:beforeAutospacing="0" w:after="0" w:afterAutospacing="0" w:line="360" w:lineRule="auto"/>
              <w:ind w:left="0" w:right="0" w:firstLine="472" w:firstLineChars="196"/>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1、项目噪声源强</w:t>
            </w:r>
          </w:p>
          <w:p>
            <w:pPr>
              <w:keepNext w:val="0"/>
              <w:keepLines w:val="0"/>
              <w:suppressLineNumbers w:val="0"/>
              <w:adjustRightInd w:val="0"/>
              <w:snapToGrid w:val="0"/>
              <w:spacing w:before="0" w:beforeAutospacing="0" w:after="0" w:afterAutospacing="0" w:line="348" w:lineRule="auto"/>
              <w:ind w:left="0" w:right="0" w:firstLine="480" w:firstLineChars="200"/>
              <w:jc w:val="left"/>
              <w:rPr>
                <w:rFonts w:hint="default"/>
                <w:color w:val="0D0D0D" w:themeColor="text1" w:themeTint="F2"/>
                <w:sz w:val="24"/>
                <w:szCs w:val="20"/>
                <w14:textFill>
                  <w14:solidFill>
                    <w14:schemeClr w14:val="tx1">
                      <w14:lumMod w14:val="95000"/>
                      <w14:lumOff w14:val="5000"/>
                    </w14:schemeClr>
                  </w14:solidFill>
                </w14:textFill>
              </w:rPr>
            </w:pPr>
            <w:r>
              <w:rPr>
                <w:rFonts w:hint="default"/>
                <w:color w:val="0D0D0D" w:themeColor="text1" w:themeTint="F2"/>
                <w:sz w:val="24"/>
                <w:szCs w:val="20"/>
                <w14:textFill>
                  <w14:solidFill>
                    <w14:schemeClr w14:val="tx1">
                      <w14:lumMod w14:val="95000"/>
                      <w14:lumOff w14:val="5000"/>
                    </w14:schemeClr>
                  </w14:solidFill>
                </w14:textFill>
              </w:rPr>
              <w:t>项目中噪声主要来源于厂房室内生产设施运行时产生的机械噪声，声源强度值为</w:t>
            </w:r>
            <w:r>
              <w:rPr>
                <w:rFonts w:hint="default"/>
                <w:color w:val="0D0D0D" w:themeColor="text1" w:themeTint="F2"/>
                <w:sz w:val="24"/>
                <w:szCs w:val="20"/>
                <w:lang w:val="en-US" w:eastAsia="zh-CN"/>
                <w14:textFill>
                  <w14:solidFill>
                    <w14:schemeClr w14:val="tx1">
                      <w14:lumMod w14:val="95000"/>
                      <w14:lumOff w14:val="5000"/>
                    </w14:schemeClr>
                  </w14:solidFill>
                </w14:textFill>
              </w:rPr>
              <w:t>7</w:t>
            </w:r>
            <w:r>
              <w:rPr>
                <w:rFonts w:hint="default"/>
                <w:color w:val="0D0D0D" w:themeColor="text1" w:themeTint="F2"/>
                <w:sz w:val="24"/>
                <w:szCs w:val="20"/>
                <w14:textFill>
                  <w14:solidFill>
                    <w14:schemeClr w14:val="tx1">
                      <w14:lumMod w14:val="95000"/>
                      <w14:lumOff w14:val="5000"/>
                    </w14:schemeClr>
                  </w14:solidFill>
                </w14:textFill>
              </w:rPr>
              <w:t>0~8</w:t>
            </w:r>
            <w:r>
              <w:rPr>
                <w:rFonts w:hint="default"/>
                <w:color w:val="0D0D0D" w:themeColor="text1" w:themeTint="F2"/>
                <w:sz w:val="24"/>
                <w:szCs w:val="20"/>
                <w:lang w:val="en-US" w:eastAsia="zh-CN"/>
                <w14:textFill>
                  <w14:solidFill>
                    <w14:schemeClr w14:val="tx1">
                      <w14:lumMod w14:val="95000"/>
                      <w14:lumOff w14:val="5000"/>
                    </w14:schemeClr>
                  </w14:solidFill>
                </w14:textFill>
              </w:rPr>
              <w:t>0</w:t>
            </w:r>
            <w:r>
              <w:rPr>
                <w:rFonts w:hint="default"/>
                <w:color w:val="0D0D0D" w:themeColor="text1" w:themeTint="F2"/>
                <w:sz w:val="24"/>
                <w:szCs w:val="20"/>
                <w14:textFill>
                  <w14:solidFill>
                    <w14:schemeClr w14:val="tx1">
                      <w14:lumMod w14:val="95000"/>
                      <w14:lumOff w14:val="5000"/>
                    </w14:schemeClr>
                  </w14:solidFill>
                </w14:textFill>
              </w:rPr>
              <w:t>dB（A），噪声源强见下表</w:t>
            </w:r>
            <w:r>
              <w:rPr>
                <w:rFonts w:hint="eastAsia"/>
                <w:color w:val="0D0D0D" w:themeColor="text1" w:themeTint="F2"/>
                <w:sz w:val="24"/>
                <w14:textFill>
                  <w14:solidFill>
                    <w14:schemeClr w14:val="tx1">
                      <w14:lumMod w14:val="95000"/>
                      <w14:lumOff w14:val="5000"/>
                    </w14:schemeClr>
                  </w14:solidFill>
                </w14:textFill>
              </w:rPr>
              <w:t>。</w:t>
            </w:r>
          </w:p>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0"/>
                <w:sz w:val="21"/>
                <w:szCs w:val="21"/>
                <w14:textFill>
                  <w14:solidFill>
                    <w14:schemeClr w14:val="tx1"/>
                  </w14:solidFill>
                </w14:textFill>
              </w:rPr>
            </w:pPr>
            <w:r>
              <w:rPr>
                <w:rFonts w:hint="eastAsia" w:ascii="宋体" w:hAnsi="宋体" w:eastAsia="宋体" w:cs="宋体"/>
                <w:b/>
                <w:bCs w:val="0"/>
                <w:color w:val="000000" w:themeColor="text1"/>
                <w:kern w:val="2"/>
                <w:sz w:val="24"/>
                <w:szCs w:val="24"/>
                <w14:textFill>
                  <w14:solidFill>
                    <w14:schemeClr w14:val="tx1"/>
                  </w14:solidFill>
                </w14:textFill>
              </w:rPr>
              <w:t>表</w:t>
            </w:r>
            <w:r>
              <w:rPr>
                <w:rFonts w:hint="default" w:ascii="Times New Roman" w:hAnsi="宋体" w:eastAsia="宋体" w:cs="Times New Roman"/>
                <w:b/>
                <w:bCs w:val="0"/>
                <w:color w:val="000000" w:themeColor="text1"/>
                <w:kern w:val="2"/>
                <w:sz w:val="24"/>
                <w:szCs w:val="24"/>
                <w14:textFill>
                  <w14:solidFill>
                    <w14:schemeClr w14:val="tx1"/>
                  </w14:solidFill>
                </w14:textFill>
              </w:rPr>
              <w:t>4-</w:t>
            </w:r>
            <w:r>
              <w:rPr>
                <w:rFonts w:hint="eastAsia" w:cs="Times New Roman"/>
                <w:b/>
                <w:bCs w:val="0"/>
                <w:color w:val="000000" w:themeColor="text1"/>
                <w:kern w:val="2"/>
                <w:sz w:val="24"/>
                <w:szCs w:val="24"/>
                <w:lang w:val="en-US" w:eastAsia="zh-CN"/>
                <w14:textFill>
                  <w14:solidFill>
                    <w14:schemeClr w14:val="tx1"/>
                  </w14:solidFill>
                </w14:textFill>
              </w:rPr>
              <w:t>10</w:t>
            </w:r>
            <w:r>
              <w:rPr>
                <w:rFonts w:hint="default" w:ascii="Times New Roman" w:hAnsi="宋体" w:eastAsia="宋体" w:cs="Times New Roman"/>
                <w:b/>
                <w:bCs w:val="0"/>
                <w:color w:val="000000" w:themeColor="text1"/>
                <w:kern w:val="2"/>
                <w:sz w:val="24"/>
                <w:szCs w:val="24"/>
                <w14:textFill>
                  <w14:solidFill>
                    <w14:schemeClr w14:val="tx1"/>
                  </w14:solidFill>
                </w14:textFill>
              </w:rPr>
              <w:t xml:space="preserve"> </w:t>
            </w:r>
            <w:r>
              <w:rPr>
                <w:rFonts w:hint="eastAsia" w:ascii="宋体" w:hAnsi="宋体" w:eastAsia="宋体" w:cs="宋体"/>
                <w:b/>
                <w:bCs w:val="0"/>
                <w:color w:val="000000" w:themeColor="text1"/>
                <w:kern w:val="2"/>
                <w:sz w:val="24"/>
                <w:szCs w:val="24"/>
                <w14:textFill>
                  <w14:solidFill>
                    <w14:schemeClr w14:val="tx1"/>
                  </w14:solidFill>
                </w14:textFill>
              </w:rPr>
              <w:t>本项目噪声源强调查清单（室外声源）</w:t>
            </w:r>
          </w:p>
          <w:tbl>
            <w:tblPr>
              <w:tblStyle w:val="59"/>
              <w:tblW w:w="4998" w:type="pct"/>
              <w:jc w:val="center"/>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81"/>
              <w:gridCol w:w="919"/>
              <w:gridCol w:w="1143"/>
              <w:gridCol w:w="749"/>
              <w:gridCol w:w="1700"/>
              <w:gridCol w:w="1125"/>
              <w:gridCol w:w="4192"/>
              <w:gridCol w:w="1542"/>
            </w:tblGrid>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470" w:type="pct"/>
                  <w:vMerge w:val="restart"/>
                  <w:tcBorders>
                    <w:top w:val="single" w:color="auto" w:sz="12" w:space="0"/>
                    <w:left w:val="nil"/>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eastAsia"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声源</w:t>
                  </w:r>
                </w:p>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名称</w:t>
                  </w:r>
                </w:p>
              </w:tc>
              <w:tc>
                <w:tcPr>
                  <w:tcW w:w="1119" w:type="pct"/>
                  <w:gridSpan w:val="3"/>
                  <w:tcBorders>
                    <w:top w:val="single" w:color="auto" w:sz="12"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空间相对位置</w:t>
                  </w:r>
                  <w:r>
                    <w:rPr>
                      <w:rFonts w:hint="default" w:ascii="Times New Roman" w:hAnsi="Times New Roman" w:eastAsia="宋体" w:cs="Times New Roman"/>
                      <w:b/>
                      <w:bCs w:val="0"/>
                      <w:color w:val="000000" w:themeColor="text1"/>
                      <w:kern w:val="2"/>
                      <w:sz w:val="21"/>
                      <w:szCs w:val="21"/>
                      <w14:textFill>
                        <w14:solidFill>
                          <w14:schemeClr w14:val="tx1"/>
                        </w14:solidFill>
                      </w14:textFill>
                    </w:rPr>
                    <w:t>/m</w:t>
                  </w:r>
                </w:p>
              </w:tc>
              <w:tc>
                <w:tcPr>
                  <w:tcW w:w="677"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eastAsia"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声压级</w:t>
                  </w:r>
                </w:p>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default" w:ascii="Times New Roman" w:hAnsi="Times New Roman" w:eastAsia="宋体" w:cs="Times New Roman"/>
                      <w:b/>
                      <w:bCs w:val="0"/>
                      <w:color w:val="000000" w:themeColor="text1"/>
                      <w:kern w:val="2"/>
                      <w:sz w:val="21"/>
                      <w:szCs w:val="21"/>
                      <w14:textFill>
                        <w14:solidFill>
                          <w14:schemeClr w14:val="tx1"/>
                        </w14:solidFill>
                      </w14:textFill>
                    </w:rPr>
                    <w:t>dB</w:t>
                  </w:r>
                  <w:r>
                    <w:rPr>
                      <w:rFonts w:hint="eastAsia" w:ascii="宋体" w:hAnsi="宋体" w:eastAsia="宋体" w:cs="宋体"/>
                      <w:b/>
                      <w:bCs w:val="0"/>
                      <w:color w:val="000000" w:themeColor="text1"/>
                      <w:kern w:val="2"/>
                      <w:sz w:val="21"/>
                      <w:szCs w:val="21"/>
                      <w14:textFill>
                        <w14:solidFill>
                          <w14:schemeClr w14:val="tx1"/>
                        </w14:solidFill>
                      </w14:textFill>
                    </w:rPr>
                    <w:t>（</w:t>
                  </w:r>
                  <w:r>
                    <w:rPr>
                      <w:rFonts w:hint="default" w:ascii="Times New Roman" w:hAnsi="Times New Roman" w:eastAsia="宋体" w:cs="Times New Roman"/>
                      <w:b/>
                      <w:bCs w:val="0"/>
                      <w:color w:val="000000" w:themeColor="text1"/>
                      <w:kern w:val="2"/>
                      <w:sz w:val="21"/>
                      <w:szCs w:val="21"/>
                      <w14:textFill>
                        <w14:solidFill>
                          <w14:schemeClr w14:val="tx1"/>
                        </w14:solidFill>
                      </w14:textFill>
                    </w:rPr>
                    <w:t>A</w:t>
                  </w:r>
                  <w:r>
                    <w:rPr>
                      <w:rFonts w:hint="eastAsia" w:ascii="宋体" w:hAnsi="宋体" w:eastAsia="宋体" w:cs="宋体"/>
                      <w:b/>
                      <w:bCs w:val="0"/>
                      <w:color w:val="000000" w:themeColor="text1"/>
                      <w:kern w:val="2"/>
                      <w:sz w:val="21"/>
                      <w:szCs w:val="21"/>
                      <w14:textFill>
                        <w14:solidFill>
                          <w14:schemeClr w14:val="tx1"/>
                        </w14:solidFill>
                      </w14:textFill>
                    </w:rPr>
                    <w:t>）</w:t>
                  </w:r>
                </w:p>
              </w:tc>
              <w:tc>
                <w:tcPr>
                  <w:tcW w:w="448" w:type="pct"/>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距声源距离</w:t>
                  </w:r>
                  <w:r>
                    <w:rPr>
                      <w:rFonts w:hint="default" w:ascii="Times New Roman" w:hAnsi="Times New Roman" w:eastAsia="宋体" w:cs="Times New Roman"/>
                      <w:b/>
                      <w:bCs w:val="0"/>
                      <w:color w:val="000000" w:themeColor="text1"/>
                      <w:kern w:val="2"/>
                      <w:sz w:val="21"/>
                      <w:szCs w:val="21"/>
                      <w14:textFill>
                        <w14:solidFill>
                          <w14:schemeClr w14:val="tx1"/>
                        </w14:solidFill>
                      </w14:textFill>
                    </w:rPr>
                    <w:t>m</w:t>
                  </w:r>
                </w:p>
              </w:tc>
              <w:tc>
                <w:tcPr>
                  <w:tcW w:w="1669" w:type="pct"/>
                  <w:vMerge w:val="restart"/>
                  <w:tcBorders>
                    <w:top w:val="single" w:color="auto" w:sz="12" w:space="0"/>
                    <w:left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声源控制措施</w:t>
                  </w:r>
                </w:p>
              </w:tc>
              <w:tc>
                <w:tcPr>
                  <w:tcW w:w="614" w:type="pct"/>
                  <w:vMerge w:val="restart"/>
                  <w:tcBorders>
                    <w:top w:val="single" w:color="auto" w:sz="12" w:space="0"/>
                    <w:left w:val="single" w:color="auto" w:sz="4" w:space="0"/>
                    <w:bottom w:val="single" w:color="auto" w:sz="4" w:space="0"/>
                    <w:right w:val="nil"/>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eastAsia" w:ascii="宋体" w:hAnsi="宋体" w:eastAsia="宋体" w:cs="宋体"/>
                      <w:b/>
                      <w:bCs w:val="0"/>
                      <w:color w:val="000000" w:themeColor="text1"/>
                      <w:kern w:val="2"/>
                      <w:sz w:val="21"/>
                      <w:szCs w:val="21"/>
                      <w14:textFill>
                        <w14:solidFill>
                          <w14:schemeClr w14:val="tx1"/>
                        </w14:solidFill>
                      </w14:textFill>
                    </w:rPr>
                    <w:t>运行时段</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470" w:type="pct"/>
                  <w:vMerge w:val="continue"/>
                  <w:tcBorders>
                    <w:top w:val="single" w:color="auto" w:sz="12" w:space="0"/>
                    <w:left w:val="nil"/>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default" w:ascii="Times New Roman" w:hAnsi="Times New Roman" w:eastAsia="宋体" w:cs="Times New Roman"/>
                      <w:b/>
                      <w:bCs w:val="0"/>
                      <w:color w:val="000000" w:themeColor="text1"/>
                      <w:kern w:val="2"/>
                      <w:sz w:val="21"/>
                      <w:szCs w:val="21"/>
                      <w14:textFill>
                        <w14:solidFill>
                          <w14:schemeClr w14:val="tx1"/>
                        </w14:solidFill>
                      </w14:textFill>
                    </w:rPr>
                    <w:t>X</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default" w:ascii="Times New Roman" w:hAnsi="Times New Roman" w:eastAsia="宋体" w:cs="Times New Roman"/>
                      <w:b/>
                      <w:bCs w:val="0"/>
                      <w:color w:val="000000" w:themeColor="text1"/>
                      <w:kern w:val="2"/>
                      <w:sz w:val="21"/>
                      <w:szCs w:val="21"/>
                      <w14:textFill>
                        <w14:solidFill>
                          <w14:schemeClr w14:val="tx1"/>
                        </w14:solidFill>
                      </w14:textFill>
                    </w:rPr>
                    <w:t>Y</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
                      <w:bCs w:val="0"/>
                      <w:color w:val="000000" w:themeColor="text1"/>
                      <w:kern w:val="2"/>
                      <w:sz w:val="21"/>
                      <w:szCs w:val="21"/>
                      <w14:textFill>
                        <w14:solidFill>
                          <w14:schemeClr w14:val="tx1"/>
                        </w14:solidFill>
                      </w14:textFill>
                    </w:rPr>
                  </w:pPr>
                  <w:r>
                    <w:rPr>
                      <w:rFonts w:hint="default" w:ascii="Times New Roman" w:hAnsi="Times New Roman" w:eastAsia="宋体" w:cs="Times New Roman"/>
                      <w:b/>
                      <w:bCs w:val="0"/>
                      <w:color w:val="000000" w:themeColor="text1"/>
                      <w:kern w:val="2"/>
                      <w:sz w:val="21"/>
                      <w:szCs w:val="21"/>
                      <w14:textFill>
                        <w14:solidFill>
                          <w14:schemeClr w14:val="tx1"/>
                        </w14:solidFill>
                      </w14:textFill>
                    </w:rPr>
                    <w:t>Z</w:t>
                  </w:r>
                </w:p>
              </w:tc>
              <w:tc>
                <w:tcPr>
                  <w:tcW w:w="677"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448" w:type="pct"/>
                  <w:vMerge w:val="continue"/>
                  <w:tcBorders>
                    <w:top w:val="single" w:color="auto" w:sz="12"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1669" w:type="pct"/>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614" w:type="pct"/>
                  <w:vMerge w:val="continue"/>
                  <w:tcBorders>
                    <w:top w:val="single" w:color="auto" w:sz="12" w:space="0"/>
                    <w:left w:val="single" w:color="auto" w:sz="4" w:space="0"/>
                    <w:bottom w:val="single" w:color="auto" w:sz="4"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470"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Cs/>
                      <w:color w:val="000000" w:themeColor="text1"/>
                      <w:kern w:val="2"/>
                      <w:sz w:val="21"/>
                      <w:szCs w:val="21"/>
                      <w14:textFill>
                        <w14:solidFill>
                          <w14:schemeClr w14:val="tx1"/>
                        </w14:solidFill>
                      </w14:textFill>
                    </w:rPr>
                  </w:pPr>
                  <w:r>
                    <w:rPr>
                      <w:rFonts w:hint="eastAsia" w:ascii="宋体" w:hAnsi="宋体" w:eastAsia="宋体" w:cs="宋体"/>
                      <w:bCs/>
                      <w:color w:val="000000" w:themeColor="text1"/>
                      <w:kern w:val="2"/>
                      <w:sz w:val="21"/>
                      <w:szCs w:val="21"/>
                      <w:lang w:val="en-US" w:eastAsia="zh-CN" w:bidi="ar"/>
                      <w14:textFill>
                        <w14:solidFill>
                          <w14:schemeClr w14:val="tx1"/>
                        </w14:solidFill>
                      </w14:textFill>
                    </w:rPr>
                    <w:t>风机1</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36.2</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-111.1</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1.2</w:t>
                  </w:r>
                </w:p>
              </w:tc>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85</w:t>
                  </w:r>
                </w:p>
              </w:tc>
              <w:tc>
                <w:tcPr>
                  <w:tcW w:w="44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eastAsia"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1</w:t>
                  </w:r>
                </w:p>
              </w:tc>
              <w:tc>
                <w:tcPr>
                  <w:tcW w:w="1669" w:type="pct"/>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614" w:type="pct"/>
                  <w:tcBorders>
                    <w:top w:val="single" w:color="auto" w:sz="4" w:space="0"/>
                    <w:left w:val="single" w:color="auto" w:sz="4" w:space="0"/>
                    <w:bottom w:val="single" w:color="auto" w:sz="4" w:space="0"/>
                    <w:right w:val="nil"/>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Cs/>
                      <w:color w:val="000000" w:themeColor="text1"/>
                      <w:kern w:val="0"/>
                      <w:sz w:val="18"/>
                      <w:szCs w:val="18"/>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12h/d</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470"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Cs/>
                      <w:color w:val="000000" w:themeColor="text1"/>
                      <w:kern w:val="2"/>
                      <w:sz w:val="21"/>
                      <w:szCs w:val="21"/>
                      <w14:textFill>
                        <w14:solidFill>
                          <w14:schemeClr w14:val="tx1"/>
                        </w14:solidFill>
                      </w14:textFill>
                    </w:rPr>
                  </w:pPr>
                  <w:r>
                    <w:rPr>
                      <w:rFonts w:hint="eastAsia" w:ascii="宋体" w:hAnsi="宋体" w:eastAsia="宋体" w:cs="宋体"/>
                      <w:bCs/>
                      <w:color w:val="000000" w:themeColor="text1"/>
                      <w:kern w:val="2"/>
                      <w:sz w:val="21"/>
                      <w:szCs w:val="21"/>
                      <w:lang w:val="en-US" w:eastAsia="zh-CN" w:bidi="ar"/>
                      <w14:textFill>
                        <w14:solidFill>
                          <w14:schemeClr w14:val="tx1"/>
                        </w14:solidFill>
                      </w14:textFill>
                    </w:rPr>
                    <w:t>风机2</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34.9</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-115</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1.2</w:t>
                  </w:r>
                </w:p>
              </w:tc>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85</w:t>
                  </w:r>
                </w:p>
              </w:tc>
              <w:tc>
                <w:tcPr>
                  <w:tcW w:w="44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firstLine="0" w:firstLineChars="0"/>
                    <w:jc w:val="center"/>
                    <w:rPr>
                      <w:rFonts w:hint="eastAsia" w:ascii="Times New Roman" w:hAnsi="Times New Roman" w:eastAsia="宋体" w:cs="Times New Roman"/>
                      <w:bCs/>
                      <w:color w:val="000000" w:themeColor="text1"/>
                      <w:kern w:val="0"/>
                      <w:sz w:val="21"/>
                      <w:szCs w:val="21"/>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1</w:t>
                  </w:r>
                </w:p>
              </w:tc>
              <w:tc>
                <w:tcPr>
                  <w:tcW w:w="1669" w:type="pct"/>
                  <w:vMerge w:val="continue"/>
                  <w:tcBorders>
                    <w:left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614" w:type="pct"/>
                  <w:tcBorders>
                    <w:top w:val="single" w:color="auto" w:sz="4" w:space="0"/>
                    <w:left w:val="single" w:color="auto" w:sz="4" w:space="0"/>
                    <w:bottom w:val="single" w:color="auto" w:sz="4" w:space="0"/>
                    <w:right w:val="nil"/>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Cs/>
                      <w:color w:val="000000" w:themeColor="text1"/>
                      <w:kern w:val="0"/>
                      <w:sz w:val="18"/>
                      <w:szCs w:val="18"/>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12h/d</w:t>
                  </w:r>
                </w:p>
              </w:tc>
            </w:tr>
            <w:tr>
              <w:tblPrEx>
                <w:tblBorders>
                  <w:top w:val="single" w:color="auto" w:sz="12" w:space="0"/>
                  <w:left w:val="none" w:color="auto" w:sz="6" w:space="0"/>
                  <w:bottom w:val="single" w:color="auto" w:sz="12" w:space="0"/>
                  <w:right w:val="none" w:color="auto" w:sz="6"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jc w:val="center"/>
              </w:trPr>
              <w:tc>
                <w:tcPr>
                  <w:tcW w:w="470"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Cs/>
                      <w:color w:val="000000" w:themeColor="text1"/>
                      <w:kern w:val="2"/>
                      <w:sz w:val="21"/>
                      <w:szCs w:val="21"/>
                      <w:lang w:val="en-US" w:eastAsia="zh-CN" w:bidi="ar"/>
                      <w14:textFill>
                        <w14:solidFill>
                          <w14:schemeClr w14:val="tx1"/>
                        </w14:solidFill>
                      </w14:textFill>
                    </w:rPr>
                  </w:pPr>
                  <w:r>
                    <w:rPr>
                      <w:rFonts w:hint="eastAsia" w:ascii="宋体" w:hAnsi="宋体" w:eastAsia="宋体" w:cs="宋体"/>
                      <w:bCs/>
                      <w:color w:val="000000" w:themeColor="text1"/>
                      <w:kern w:val="2"/>
                      <w:sz w:val="21"/>
                      <w:szCs w:val="21"/>
                      <w:lang w:val="en-US" w:eastAsia="zh-CN" w:bidi="ar"/>
                      <w14:textFill>
                        <w14:solidFill>
                          <w14:schemeClr w14:val="tx1"/>
                        </w14:solidFill>
                      </w14:textFill>
                    </w:rPr>
                    <w:t>风机</w:t>
                  </w:r>
                  <w:r>
                    <w:rPr>
                      <w:rFonts w:hint="eastAsia" w:ascii="宋体" w:hAnsi="宋体" w:cs="宋体"/>
                      <w:bCs/>
                      <w:color w:val="000000" w:themeColor="text1"/>
                      <w:kern w:val="2"/>
                      <w:sz w:val="21"/>
                      <w:szCs w:val="21"/>
                      <w:lang w:val="en-US" w:eastAsia="zh-CN" w:bidi="ar"/>
                      <w14:textFill>
                        <w14:solidFill>
                          <w14:schemeClr w14:val="tx1"/>
                        </w14:solidFill>
                      </w14:textFill>
                    </w:rPr>
                    <w:t>3</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3</w:t>
                  </w:r>
                  <w:r>
                    <w:rPr>
                      <w:rFonts w:hint="eastAsia" w:cs="Times New Roman"/>
                      <w:bCs/>
                      <w:color w:val="000000" w:themeColor="text1"/>
                      <w:kern w:val="0"/>
                      <w:sz w:val="21"/>
                      <w:szCs w:val="21"/>
                      <w:lang w:val="en-US" w:eastAsia="zh-CN" w:bidi="ar"/>
                      <w14:textFill>
                        <w14:solidFill>
                          <w14:schemeClr w14:val="tx1"/>
                        </w14:solidFill>
                      </w14:textFill>
                    </w:rPr>
                    <w:t>2</w:t>
                  </w: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w:t>
                  </w:r>
                  <w:r>
                    <w:rPr>
                      <w:rFonts w:hint="eastAsia" w:cs="Times New Roman"/>
                      <w:bCs/>
                      <w:color w:val="000000" w:themeColor="text1"/>
                      <w:kern w:val="0"/>
                      <w:sz w:val="21"/>
                      <w:szCs w:val="21"/>
                      <w:lang w:val="en-US" w:eastAsia="zh-CN" w:bidi="ar"/>
                      <w14:textFill>
                        <w14:solidFill>
                          <w14:schemeClr w14:val="tx1"/>
                        </w14:solidFill>
                      </w14:textFill>
                    </w:rPr>
                    <w:t>3</w:t>
                  </w:r>
                </w:p>
              </w:tc>
              <w:tc>
                <w:tcPr>
                  <w:tcW w:w="455"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-11</w:t>
                  </w:r>
                  <w:r>
                    <w:rPr>
                      <w:rFonts w:hint="eastAsia" w:cs="Times New Roman"/>
                      <w:bCs/>
                      <w:color w:val="000000" w:themeColor="text1"/>
                      <w:kern w:val="0"/>
                      <w:sz w:val="21"/>
                      <w:szCs w:val="21"/>
                      <w:lang w:val="en-US" w:eastAsia="zh-CN" w:bidi="ar"/>
                      <w14:textFill>
                        <w14:solidFill>
                          <w14:schemeClr w14:val="tx1"/>
                        </w14:solidFill>
                      </w14:textFill>
                    </w:rPr>
                    <w:t>0</w:t>
                  </w:r>
                </w:p>
              </w:tc>
              <w:tc>
                <w:tcPr>
                  <w:tcW w:w="298"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both"/>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1.2</w:t>
                  </w:r>
                </w:p>
              </w:tc>
              <w:tc>
                <w:tcPr>
                  <w:tcW w:w="67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bCs/>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t>85</w:t>
                  </w:r>
                </w:p>
              </w:tc>
              <w:tc>
                <w:tcPr>
                  <w:tcW w:w="448" w:type="pct"/>
                  <w:tcBorders>
                    <w:top w:val="single" w:color="auto" w:sz="4" w:space="0"/>
                    <w:left w:val="single" w:color="auto" w:sz="4" w:space="0"/>
                    <w:bottom w:val="single" w:color="auto" w:sz="4" w:space="0"/>
                    <w:right w:val="single" w:color="auto" w:sz="4" w:space="0"/>
                  </w:tcBorders>
                  <w:shd w:val="clear" w:color="auto" w:fill="auto"/>
                  <w:vAlign w:val="center"/>
                </w:tcPr>
                <w:p>
                  <w:pPr>
                    <w:pStyle w:val="1069"/>
                    <w:keepNext w:val="0"/>
                    <w:keepLines w:val="0"/>
                    <w:widowControl/>
                    <w:suppressLineNumbers w:val="0"/>
                    <w:snapToGrid w:val="0"/>
                    <w:ind w:left="0" w:leftChars="0" w:right="0" w:rightChars="0" w:firstLine="0" w:firstLineChars="0"/>
                    <w:jc w:val="center"/>
                    <w:rPr>
                      <w:rFonts w:hint="default" w:ascii="Times New Roman" w:hAnsi="Times New Roman" w:eastAsia="宋体" w:cs="Times New Roman"/>
                      <w:bCs/>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kern w:val="0"/>
                      <w:sz w:val="21"/>
                      <w:szCs w:val="21"/>
                      <w14:textFill>
                        <w14:solidFill>
                          <w14:schemeClr w14:val="tx1"/>
                        </w14:solidFill>
                      </w14:textFill>
                    </w:rPr>
                    <w:t>1</w:t>
                  </w:r>
                </w:p>
              </w:tc>
              <w:tc>
                <w:tcPr>
                  <w:tcW w:w="1669" w:type="pct"/>
                  <w:vMerge w:val="continue"/>
                  <w:tcBorders>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themeColor="text1"/>
                      <w:sz w:val="20"/>
                      <w:szCs w:val="20"/>
                      <w14:textFill>
                        <w14:solidFill>
                          <w14:schemeClr w14:val="tx1"/>
                        </w14:solidFill>
                      </w14:textFill>
                    </w:rPr>
                  </w:pPr>
                </w:p>
              </w:tc>
              <w:tc>
                <w:tcPr>
                  <w:tcW w:w="614" w:type="pct"/>
                  <w:tcBorders>
                    <w:top w:val="single" w:color="auto" w:sz="4" w:space="0"/>
                    <w:left w:val="single" w:color="auto" w:sz="4" w:space="0"/>
                    <w:bottom w:val="single" w:color="auto" w:sz="4" w:space="0"/>
                    <w:right w:val="nil"/>
                  </w:tcBorders>
                  <w:shd w:val="clear" w:color="auto" w:fill="auto"/>
                  <w:vAlign w:val="center"/>
                </w:tcPr>
                <w:p>
                  <w:pPr>
                    <w:pStyle w:val="1069"/>
                    <w:keepNext w:val="0"/>
                    <w:keepLines w:val="0"/>
                    <w:widowControl/>
                    <w:suppressLineNumbers w:val="0"/>
                    <w:snapToGrid w:val="0"/>
                    <w:ind w:left="0" w:firstLine="0" w:firstLineChars="0"/>
                    <w:jc w:val="center"/>
                    <w:rPr>
                      <w:rFonts w:hint="default" w:ascii="Times New Roman" w:hAnsi="Times New Roman" w:eastAsia="宋体" w:cs="Times New Roman"/>
                      <w:bCs/>
                      <w:color w:val="000000" w:themeColor="text1"/>
                      <w:kern w:val="0"/>
                      <w:sz w:val="18"/>
                      <w:szCs w:val="18"/>
                      <w14:textFill>
                        <w14:solidFill>
                          <w14:schemeClr w14:val="tx1"/>
                        </w14:solidFill>
                      </w14:textFill>
                    </w:rPr>
                  </w:pPr>
                  <w:r>
                    <w:rPr>
                      <w:rFonts w:hint="default" w:ascii="Times New Roman" w:hAnsi="Times New Roman" w:eastAsia="宋体" w:cs="Times New Roman"/>
                      <w:bCs/>
                      <w:color w:val="000000" w:themeColor="text1"/>
                      <w:kern w:val="0"/>
                      <w:sz w:val="18"/>
                      <w:szCs w:val="18"/>
                      <w14:textFill>
                        <w14:solidFill>
                          <w14:schemeClr w14:val="tx1"/>
                        </w14:solidFill>
                      </w14:textFill>
                    </w:rPr>
                    <w:t>12h/d</w:t>
                  </w:r>
                </w:p>
              </w:tc>
            </w:tr>
          </w:tbl>
          <w:p>
            <w:pPr>
              <w:keepNext w:val="0"/>
              <w:keepLines w:val="0"/>
              <w:widowControl w:val="0"/>
              <w:suppressLineNumbers w:val="0"/>
              <w:spacing w:before="120" w:beforeLines="50" w:beforeAutospacing="0" w:after="0" w:afterAutospacing="0"/>
              <w:ind w:left="0" w:right="0"/>
              <w:jc w:val="both"/>
              <w:rPr>
                <w:rFonts w:hint="eastAsia" w:ascii="Times New Roman" w:hAnsi="宋体" w:eastAsia="宋体" w:cs="Times New Roman"/>
                <w:b/>
                <w:bCs w:val="0"/>
                <w:color w:val="0C0C0C"/>
                <w:kern w:val="2"/>
                <w:sz w:val="24"/>
                <w:szCs w:val="24"/>
              </w:rPr>
            </w:pPr>
            <w:r>
              <w:rPr>
                <w:rFonts w:hint="eastAsia" w:ascii="Times New Roman" w:hAnsi="宋体" w:eastAsia="宋体" w:cs="Times New Roman"/>
                <w:b/>
                <w:bCs w:val="0"/>
                <w:color w:val="0C0C0C"/>
                <w:kern w:val="2"/>
                <w:sz w:val="24"/>
                <w:szCs w:val="24"/>
                <w:lang w:val="en-US" w:eastAsia="zh-CN" w:bidi="ar"/>
              </w:rPr>
              <w:t xml:space="preserve"> </w:t>
            </w:r>
          </w:p>
          <w:p>
            <w:pPr>
              <w:keepNext w:val="0"/>
              <w:keepLines w:val="0"/>
              <w:widowControl w:val="0"/>
              <w:suppressLineNumbers w:val="0"/>
              <w:spacing w:before="120" w:beforeLines="50" w:beforeAutospacing="0" w:after="0" w:afterAutospacing="0"/>
              <w:ind w:left="0" w:right="0"/>
              <w:jc w:val="center"/>
              <w:rPr>
                <w:rFonts w:hint="default" w:ascii="Times New Roman" w:hAnsi="宋体" w:eastAsia="宋体" w:cs="Times New Roman"/>
                <w:b/>
                <w:bCs w:val="0"/>
                <w:color w:val="0C0C0C"/>
                <w:kern w:val="2"/>
                <w:sz w:val="24"/>
                <w:szCs w:val="24"/>
              </w:rPr>
            </w:pPr>
            <w:r>
              <w:rPr>
                <w:rFonts w:hint="eastAsia" w:ascii="宋体" w:hAnsi="宋体" w:eastAsia="宋体" w:cs="宋体"/>
                <w:b/>
                <w:bCs w:val="0"/>
                <w:color w:val="0C0C0C"/>
                <w:kern w:val="2"/>
                <w:sz w:val="24"/>
                <w:szCs w:val="24"/>
                <w:lang w:val="en-US" w:eastAsia="zh-CN" w:bidi="ar"/>
              </w:rPr>
              <w:t>表</w:t>
            </w:r>
            <w:r>
              <w:rPr>
                <w:rFonts w:hint="default" w:ascii="Times New Roman" w:hAnsi="Times New Roman" w:eastAsia="宋体" w:cs="Times New Roman"/>
                <w:b/>
                <w:bCs w:val="0"/>
                <w:color w:val="0C0C0C"/>
                <w:kern w:val="2"/>
                <w:sz w:val="24"/>
                <w:szCs w:val="24"/>
                <w:lang w:val="en-US" w:eastAsia="zh-CN" w:bidi="ar"/>
              </w:rPr>
              <w:t>4-1</w:t>
            </w:r>
            <w:r>
              <w:rPr>
                <w:rFonts w:hint="eastAsia" w:ascii="Times New Roman" w:hAnsi="Times New Roman" w:eastAsia="宋体" w:cs="Times New Roman"/>
                <w:b/>
                <w:bCs w:val="0"/>
                <w:color w:val="0C0C0C"/>
                <w:kern w:val="2"/>
                <w:sz w:val="24"/>
                <w:szCs w:val="24"/>
                <w:lang w:val="en-US" w:eastAsia="zh-CN" w:bidi="ar"/>
              </w:rPr>
              <w:t>1</w:t>
            </w:r>
            <w:r>
              <w:rPr>
                <w:rFonts w:hint="default" w:ascii="Times New Roman" w:hAnsi="宋体" w:eastAsia="宋体" w:cs="Times New Roman"/>
                <w:b/>
                <w:bCs w:val="0"/>
                <w:color w:val="0C0C0C"/>
                <w:kern w:val="2"/>
                <w:sz w:val="24"/>
                <w:szCs w:val="24"/>
                <w:lang w:val="en-US" w:eastAsia="zh-CN" w:bidi="ar"/>
              </w:rPr>
              <w:t xml:space="preserve"> </w:t>
            </w:r>
            <w:r>
              <w:rPr>
                <w:rFonts w:hint="eastAsia" w:ascii="Times New Roman" w:hAnsi="宋体" w:eastAsia="宋体" w:cs="Times New Roman"/>
                <w:b/>
                <w:bCs w:val="0"/>
                <w:color w:val="0C0C0C"/>
                <w:kern w:val="2"/>
                <w:sz w:val="24"/>
                <w:szCs w:val="24"/>
                <w:lang w:val="en-US" w:eastAsia="zh-CN" w:bidi="ar"/>
              </w:rPr>
              <w:t xml:space="preserve"> </w:t>
            </w:r>
            <w:r>
              <w:rPr>
                <w:rFonts w:hint="eastAsia" w:ascii="宋体" w:hAnsi="宋体" w:eastAsia="宋体" w:cs="宋体"/>
                <w:b/>
                <w:bCs w:val="0"/>
                <w:color w:val="0C0C0C"/>
                <w:kern w:val="2"/>
                <w:sz w:val="24"/>
                <w:szCs w:val="24"/>
                <w:lang w:val="en-US" w:eastAsia="zh-CN" w:bidi="ar"/>
              </w:rPr>
              <w:t>本项目噪声源强及降噪措施汇总表（室内）</w:t>
            </w:r>
          </w:p>
          <w:tbl>
            <w:tblPr>
              <w:tblStyle w:val="59"/>
              <w:tblW w:w="4804" w:type="pct"/>
              <w:jc w:val="center"/>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431"/>
              <w:gridCol w:w="863"/>
              <w:gridCol w:w="460"/>
              <w:gridCol w:w="970"/>
              <w:gridCol w:w="847"/>
              <w:gridCol w:w="495"/>
              <w:gridCol w:w="577"/>
              <w:gridCol w:w="620"/>
              <w:gridCol w:w="454"/>
              <w:gridCol w:w="719"/>
              <w:gridCol w:w="864"/>
              <w:gridCol w:w="1332"/>
              <w:gridCol w:w="917"/>
              <w:gridCol w:w="630"/>
              <w:gridCol w:w="654"/>
              <w:gridCol w:w="1231"/>
            </w:tblGrid>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restart"/>
                  <w:tcBorders>
                    <w:top w:val="single" w:color="auto" w:sz="12" w:space="0"/>
                    <w:left w:val="nil"/>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建筑物名称</w:t>
                  </w:r>
                </w:p>
              </w:tc>
              <w:tc>
                <w:tcPr>
                  <w:tcW w:w="358"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声源名称及型号</w:t>
                  </w:r>
                </w:p>
              </w:tc>
              <w:tc>
                <w:tcPr>
                  <w:tcW w:w="191"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数量</w:t>
                  </w:r>
                  <w:r>
                    <w:rPr>
                      <w:rFonts w:hint="default" w:ascii="Times New Roman" w:hAnsi="Times New Roman" w:eastAsia="宋体" w:cs="Times New Roman"/>
                      <w:b/>
                      <w:bCs w:val="0"/>
                      <w:color w:val="0C0C0C"/>
                      <w:kern w:val="2"/>
                      <w:sz w:val="21"/>
                      <w:szCs w:val="21"/>
                      <w:lang w:val="en-US" w:eastAsia="zh-CN" w:bidi="ar"/>
                    </w:rPr>
                    <w:t>/</w:t>
                  </w:r>
                  <w:r>
                    <w:rPr>
                      <w:rFonts w:hint="eastAsia" w:ascii="宋体" w:hAnsi="宋体" w:eastAsia="宋体" w:cs="宋体"/>
                      <w:b/>
                      <w:bCs w:val="0"/>
                      <w:color w:val="0C0C0C"/>
                      <w:kern w:val="2"/>
                      <w:sz w:val="21"/>
                      <w:szCs w:val="21"/>
                      <w:lang w:val="en-US" w:eastAsia="zh-CN" w:bidi="ar"/>
                    </w:rPr>
                    <w:t>台</w:t>
                  </w:r>
                </w:p>
              </w:tc>
              <w:tc>
                <w:tcPr>
                  <w:tcW w:w="402" w:type="pc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单个声源源强</w:t>
                  </w:r>
                </w:p>
              </w:tc>
              <w:tc>
                <w:tcPr>
                  <w:tcW w:w="351"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声源控制措施</w:t>
                  </w:r>
                </w:p>
              </w:tc>
              <w:tc>
                <w:tcPr>
                  <w:tcW w:w="701" w:type="pct"/>
                  <w:gridSpan w:val="3"/>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空间相对位置</w:t>
                  </w:r>
                  <w:r>
                    <w:rPr>
                      <w:rFonts w:hint="default" w:ascii="Times New Roman" w:hAnsi="Times New Roman" w:eastAsia="宋体" w:cs="Times New Roman"/>
                      <w:b/>
                      <w:bCs w:val="0"/>
                      <w:color w:val="0C0C0C"/>
                      <w:kern w:val="2"/>
                      <w:sz w:val="21"/>
                      <w:szCs w:val="21"/>
                      <w:lang w:val="en-US" w:eastAsia="zh-CN" w:bidi="ar"/>
                    </w:rPr>
                    <w:t>/m</w:t>
                  </w:r>
                </w:p>
              </w:tc>
              <w:tc>
                <w:tcPr>
                  <w:tcW w:w="486" w:type="pct"/>
                  <w:gridSpan w:val="2"/>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距室内边界距离</w:t>
                  </w:r>
                  <w:r>
                    <w:rPr>
                      <w:rFonts w:hint="default" w:ascii="Times New Roman" w:hAnsi="Times New Roman" w:eastAsia="宋体" w:cs="Times New Roman"/>
                      <w:b/>
                      <w:bCs w:val="0"/>
                      <w:color w:val="0C0C0C"/>
                      <w:kern w:val="2"/>
                      <w:sz w:val="21"/>
                      <w:szCs w:val="21"/>
                      <w:lang w:val="en-US" w:eastAsia="zh-CN" w:bidi="ar"/>
                    </w:rPr>
                    <w:t>/m</w:t>
                  </w:r>
                </w:p>
              </w:tc>
              <w:tc>
                <w:tcPr>
                  <w:tcW w:w="358"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室内边界声级</w:t>
                  </w:r>
                  <w:r>
                    <w:rPr>
                      <w:rFonts w:hint="default" w:ascii="Times New Roman" w:hAnsi="Times New Roman" w:eastAsia="宋体" w:cs="Times New Roman"/>
                      <w:b/>
                      <w:bCs w:val="0"/>
                      <w:color w:val="0C0C0C"/>
                      <w:kern w:val="2"/>
                      <w:sz w:val="21"/>
                      <w:szCs w:val="21"/>
                      <w:lang w:val="en-US" w:eastAsia="zh-CN" w:bidi="ar"/>
                    </w:rPr>
                    <w:t>/dB(A)</w:t>
                  </w:r>
                </w:p>
              </w:tc>
              <w:tc>
                <w:tcPr>
                  <w:tcW w:w="552"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运行时段</w:t>
                  </w:r>
                </w:p>
              </w:tc>
              <w:tc>
                <w:tcPr>
                  <w:tcW w:w="380" w:type="pct"/>
                  <w:vMerge w:val="restart"/>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建筑物插入损失</w:t>
                  </w:r>
                  <w:r>
                    <w:rPr>
                      <w:rFonts w:hint="default" w:ascii="Times New Roman" w:hAnsi="Times New Roman" w:eastAsia="宋体" w:cs="Times New Roman"/>
                      <w:b/>
                      <w:bCs w:val="0"/>
                      <w:color w:val="0C0C0C"/>
                      <w:kern w:val="2"/>
                      <w:sz w:val="21"/>
                      <w:szCs w:val="21"/>
                      <w:lang w:val="en-US" w:eastAsia="zh-CN" w:bidi="ar"/>
                    </w:rPr>
                    <w:t>/dB(A)</w:t>
                  </w:r>
                </w:p>
              </w:tc>
              <w:tc>
                <w:tcPr>
                  <w:tcW w:w="1040" w:type="pct"/>
                  <w:gridSpan w:val="3"/>
                  <w:tcBorders>
                    <w:top w:val="single" w:color="auto" w:sz="12" w:space="0"/>
                    <w:left w:val="single" w:color="auto" w:sz="4" w:space="0"/>
                    <w:bottom w:val="nil"/>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2"/>
                      <w:sz w:val="21"/>
                      <w:szCs w:val="21"/>
                      <w:lang w:val="en-US" w:eastAsia="zh-CN" w:bidi="ar"/>
                    </w:rPr>
                    <w:t>建筑物外噪声</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1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声压级（</w:t>
                  </w:r>
                  <w:r>
                    <w:rPr>
                      <w:rFonts w:hint="default" w:ascii="Times New Roman" w:hAnsi="Times New Roman" w:eastAsia="宋体" w:cs="Times New Roman"/>
                      <w:b/>
                      <w:bCs w:val="0"/>
                      <w:color w:val="0C0C0C"/>
                      <w:kern w:val="2"/>
                      <w:sz w:val="21"/>
                      <w:szCs w:val="21"/>
                      <w:lang w:val="en-US" w:eastAsia="zh-CN" w:bidi="ar"/>
                    </w:rPr>
                    <w:t>1m</w:t>
                  </w:r>
                  <w:r>
                    <w:rPr>
                      <w:rFonts w:hint="eastAsia" w:ascii="宋体" w:hAnsi="宋体" w:eastAsia="宋体" w:cs="宋体"/>
                      <w:b/>
                      <w:bCs w:val="0"/>
                      <w:color w:val="0C0C0C"/>
                      <w:kern w:val="2"/>
                      <w:sz w:val="21"/>
                      <w:szCs w:val="21"/>
                      <w:lang w:val="en-US" w:eastAsia="zh-CN" w:bidi="ar"/>
                    </w:rPr>
                    <w:t>处</w:t>
                  </w:r>
                  <w:r>
                    <w:rPr>
                      <w:rFonts w:hint="default" w:ascii="Times New Roman" w:hAnsi="Times New Roman" w:eastAsia="宋体" w:cs="Times New Roman"/>
                      <w:b/>
                      <w:bCs w:val="0"/>
                      <w:color w:val="0C0C0C"/>
                      <w:kern w:val="2"/>
                      <w:sz w:val="21"/>
                      <w:szCs w:val="21"/>
                      <w:lang w:val="en-US" w:eastAsia="zh-CN" w:bidi="ar"/>
                    </w:rPr>
                    <w:t>/dB</w:t>
                  </w:r>
                  <w:r>
                    <w:rPr>
                      <w:rFonts w:hint="eastAsia" w:ascii="宋体" w:hAnsi="宋体" w:eastAsia="宋体" w:cs="宋体"/>
                      <w:b/>
                      <w:bCs w:val="0"/>
                      <w:color w:val="0C0C0C"/>
                      <w:kern w:val="2"/>
                      <w:sz w:val="21"/>
                      <w:szCs w:val="21"/>
                      <w:lang w:val="en-US" w:eastAsia="zh-CN" w:bidi="ar"/>
                    </w:rPr>
                    <w:t>（</w:t>
                  </w:r>
                  <w:r>
                    <w:rPr>
                      <w:rFonts w:hint="default" w:ascii="Times New Roman" w:hAnsi="Times New Roman" w:eastAsia="宋体" w:cs="Times New Roman"/>
                      <w:b/>
                      <w:bCs w:val="0"/>
                      <w:color w:val="0C0C0C"/>
                      <w:kern w:val="2"/>
                      <w:sz w:val="21"/>
                      <w:szCs w:val="21"/>
                      <w:lang w:val="en-US" w:eastAsia="zh-CN" w:bidi="ar"/>
                    </w:rPr>
                    <w:t>A</w:t>
                  </w:r>
                  <w:r>
                    <w:rPr>
                      <w:rFonts w:hint="eastAsia" w:ascii="宋体" w:hAnsi="宋体" w:eastAsia="宋体" w:cs="宋体"/>
                      <w:b/>
                      <w:bCs w:val="0"/>
                      <w:color w:val="0C0C0C"/>
                      <w:kern w:val="2"/>
                      <w:sz w:val="21"/>
                      <w:szCs w:val="21"/>
                      <w:lang w:val="en-US" w:eastAsia="zh-CN" w:bidi="ar"/>
                    </w:rPr>
                    <w:t>））</w:t>
                  </w:r>
                </w:p>
              </w:tc>
              <w:tc>
                <w:tcPr>
                  <w:tcW w:w="351"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default" w:ascii="Times New Roman" w:hAnsi="Times New Roman" w:eastAsia="宋体" w:cs="Times New Roman"/>
                      <w:b/>
                      <w:bCs w:val="0"/>
                      <w:color w:val="0C0C0C"/>
                      <w:kern w:val="2"/>
                      <w:sz w:val="21"/>
                      <w:szCs w:val="21"/>
                      <w:lang w:val="en-US" w:eastAsia="zh-CN" w:bidi="ar"/>
                    </w:rPr>
                    <w:t>X</w:t>
                  </w:r>
                </w:p>
              </w:tc>
              <w:tc>
                <w:tcPr>
                  <w:tcW w:w="239"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default" w:ascii="Times New Roman" w:hAnsi="Times New Roman" w:eastAsia="宋体" w:cs="Times New Roman"/>
                      <w:b/>
                      <w:bCs w:val="0"/>
                      <w:color w:val="0C0C0C"/>
                      <w:kern w:val="2"/>
                      <w:sz w:val="21"/>
                      <w:szCs w:val="21"/>
                      <w:lang w:val="en-US" w:eastAsia="zh-CN" w:bidi="ar"/>
                    </w:rPr>
                    <w:t>Y</w:t>
                  </w:r>
                </w:p>
              </w:tc>
              <w:tc>
                <w:tcPr>
                  <w:tcW w:w="256"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b/>
                      <w:bCs w:val="0"/>
                      <w:color w:val="0C0C0C"/>
                      <w:kern w:val="2"/>
                      <w:sz w:val="21"/>
                      <w:szCs w:val="21"/>
                      <w:lang w:val="en-US" w:eastAsia="zh-CN" w:bidi="ar"/>
                    </w:rPr>
                    <w:t>Z</w:t>
                  </w:r>
                </w:p>
              </w:tc>
              <w:tc>
                <w:tcPr>
                  <w:tcW w:w="486" w:type="pct"/>
                  <w:gridSpan w:val="2"/>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52"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1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532" w:type="pct"/>
                  <w:gridSpan w:val="2"/>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声压级</w:t>
                  </w:r>
                  <w:r>
                    <w:rPr>
                      <w:rFonts w:hint="default" w:ascii="Times New Roman" w:hAnsi="Times New Roman" w:eastAsia="宋体" w:cs="Times New Roman"/>
                      <w:b/>
                      <w:bCs w:val="0"/>
                      <w:color w:val="0C0C0C"/>
                      <w:kern w:val="2"/>
                      <w:sz w:val="21"/>
                      <w:szCs w:val="21"/>
                      <w:lang w:val="en-US" w:eastAsia="zh-CN" w:bidi="ar"/>
                    </w:rPr>
                    <w:t>/dB(A)</w:t>
                  </w:r>
                </w:p>
              </w:tc>
              <w:tc>
                <w:tcPr>
                  <w:tcW w:w="508" w:type="pc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2"/>
                      <w:sz w:val="21"/>
                      <w:szCs w:val="21"/>
                      <w:lang w:val="en-US" w:eastAsia="zh-CN" w:bidi="ar"/>
                    </w:rPr>
                    <w:t>建筑物外距厂界距离</w:t>
                  </w:r>
                  <w:r>
                    <w:rPr>
                      <w:rFonts w:hint="default" w:ascii="Times New Roman" w:hAnsi="Times New Roman" w:eastAsia="宋体" w:cs="Times New Roman"/>
                      <w:b/>
                      <w:bCs w:val="0"/>
                      <w:color w:val="0C0C0C"/>
                      <w:kern w:val="2"/>
                      <w:sz w:val="21"/>
                      <w:szCs w:val="21"/>
                      <w:lang w:val="en-US" w:eastAsia="zh-CN" w:bidi="ar"/>
                    </w:rPr>
                    <w:t>m</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restart"/>
                  <w:tcBorders>
                    <w:top w:val="single" w:color="auto" w:sz="2" w:space="0"/>
                    <w:left w:val="nil"/>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室内</w:t>
                  </w: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rPr>
                    <w:t>天然气铝熔炉</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1</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80</w:t>
                  </w:r>
                </w:p>
              </w:tc>
              <w:tc>
                <w:tcPr>
                  <w:tcW w:w="35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采用低噪音设备，进行厂房隔声、设备安装减振基座、减振垫等措施进行噪声控制</w:t>
                  </w: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C0C0C"/>
                      <w:kern w:val="2"/>
                      <w:sz w:val="21"/>
                      <w:szCs w:val="21"/>
                    </w:rPr>
                  </w:pPr>
                  <w:r>
                    <w:rPr>
                      <w:rFonts w:hint="default" w:ascii="Arial" w:hAnsi="Arial" w:eastAsia="Arial" w:cs="Arial"/>
                      <w:sz w:val="20"/>
                    </w:rPr>
                    <w:t>6.1</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C0C0C"/>
                      <w:kern w:val="2"/>
                      <w:sz w:val="21"/>
                      <w:szCs w:val="21"/>
                    </w:rPr>
                  </w:pPr>
                  <w:r>
                    <w:rPr>
                      <w:rFonts w:hint="default" w:ascii="Arial" w:hAnsi="Arial" w:eastAsia="Arial" w:cs="Arial"/>
                      <w:sz w:val="20"/>
                    </w:rPr>
                    <w:t>2.3</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32.2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49.8</w:t>
                  </w:r>
                </w:p>
              </w:tc>
              <w:tc>
                <w:tcPr>
                  <w:tcW w:w="55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4"/>
                      <w:sz w:val="21"/>
                      <w:szCs w:val="21"/>
                      <w:lang w:val="en-US" w:eastAsia="zh-CN" w:bidi="ar"/>
                    </w:rPr>
                    <w:t>0</w:t>
                  </w:r>
                  <w:r>
                    <w:rPr>
                      <w:rFonts w:hint="default" w:ascii="Times New Roman" w:hAnsi="宋体" w:eastAsia="宋体" w:cs="Times New Roman"/>
                      <w:color w:val="0C0C0C"/>
                      <w:kern w:val="24"/>
                      <w:sz w:val="21"/>
                      <w:szCs w:val="21"/>
                      <w:lang w:val="en-US" w:eastAsia="zh-CN" w:bidi="ar"/>
                    </w:rPr>
                    <w:t>8</w:t>
                  </w:r>
                  <w:r>
                    <w:rPr>
                      <w:rFonts w:hint="default" w:ascii="Times New Roman" w:hAnsi="Times New Roman" w:eastAsia="宋体" w:cs="Times New Roman"/>
                      <w:color w:val="0C0C0C"/>
                      <w:kern w:val="24"/>
                      <w:sz w:val="21"/>
                      <w:szCs w:val="21"/>
                      <w:lang w:val="en-US" w:eastAsia="zh-CN" w:bidi="ar"/>
                    </w:rPr>
                    <w:t>:0</w:t>
                  </w:r>
                  <w:r>
                    <w:rPr>
                      <w:rFonts w:hint="default" w:ascii="Times New Roman" w:hAnsi="宋体" w:eastAsia="宋体" w:cs="Times New Roman"/>
                      <w:color w:val="0C0C0C"/>
                      <w:kern w:val="24"/>
                      <w:sz w:val="21"/>
                      <w:szCs w:val="21"/>
                      <w:lang w:val="en-US" w:eastAsia="zh-CN" w:bidi="ar"/>
                    </w:rPr>
                    <w:t>0</w:t>
                  </w:r>
                  <w:r>
                    <w:rPr>
                      <w:rFonts w:hint="default" w:ascii="Times New Roman" w:hAnsi="Times New Roman" w:eastAsia="宋体" w:cs="Times New Roman"/>
                      <w:color w:val="0C0C0C"/>
                      <w:kern w:val="24"/>
                      <w:sz w:val="21"/>
                      <w:szCs w:val="21"/>
                      <w:lang w:val="en-US" w:eastAsia="zh-CN" w:bidi="ar"/>
                    </w:rPr>
                    <w:t>~</w:t>
                  </w:r>
                  <w:r>
                    <w:rPr>
                      <w:rFonts w:hint="default" w:ascii="Times New Roman" w:hAnsi="宋体" w:eastAsia="宋体" w:cs="Times New Roman"/>
                      <w:color w:val="0C0C0C"/>
                      <w:kern w:val="24"/>
                      <w:sz w:val="21"/>
                      <w:szCs w:val="21"/>
                      <w:lang w:val="en-US" w:eastAsia="zh-CN" w:bidi="ar"/>
                    </w:rPr>
                    <w:t>16</w:t>
                  </w:r>
                  <w:r>
                    <w:rPr>
                      <w:rFonts w:hint="default" w:ascii="Times New Roman" w:hAnsi="Times New Roman" w:eastAsia="宋体" w:cs="Times New Roman"/>
                      <w:color w:val="0C0C0C"/>
                      <w:kern w:val="24"/>
                      <w:sz w:val="21"/>
                      <w:szCs w:val="21"/>
                      <w:lang w:val="en-US" w:eastAsia="zh-CN" w:bidi="ar"/>
                    </w:rPr>
                    <w:t>:0</w:t>
                  </w:r>
                  <w:r>
                    <w:rPr>
                      <w:rFonts w:hint="default" w:ascii="Times New Roman" w:hAnsi="宋体" w:eastAsia="宋体" w:cs="Times New Roman"/>
                      <w:color w:val="0C0C0C"/>
                      <w:kern w:val="24"/>
                      <w:sz w:val="21"/>
                      <w:szCs w:val="21"/>
                      <w:lang w:val="en-US" w:eastAsia="zh-CN" w:bidi="ar"/>
                    </w:rPr>
                    <w:t>0</w:t>
                  </w: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29.8</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24</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52.4</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32.4</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29.9</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50.5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30.5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16.6</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55.6</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35.6</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default" w:ascii="Times New Roman" w:hAnsi="Times New Roman" w:eastAsia="宋体" w:cs="Times New Roman"/>
                      <w:color w:val="0C0C0C"/>
                      <w:kern w:val="2"/>
                      <w:sz w:val="21"/>
                      <w:szCs w:val="21"/>
                      <w:vertAlign w:val="baseline"/>
                      <w:lang w:val="en-US" w:eastAsia="zh-CN"/>
                    </w:rPr>
                    <w:t>燃气机边保温炉</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75</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8.2</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6.9</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32.9</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47.7</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27.7</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29</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48.8</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28.8</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29.1</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48.7</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28.7</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11.6</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56.7</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36.7</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default" w:ascii="Times New Roman" w:hAnsi="Times New Roman" w:eastAsia="宋体" w:cs="Times New Roman"/>
                      <w:color w:val="0C0C0C"/>
                      <w:kern w:val="2"/>
                      <w:sz w:val="21"/>
                      <w:szCs w:val="21"/>
                      <w:vertAlign w:val="baseline"/>
                      <w:lang w:val="en-US" w:eastAsia="zh-CN"/>
                    </w:rPr>
                    <w:t>机边中颍保温炉(电)</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4</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75</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4.1</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default" w:ascii="Arial" w:hAnsi="Arial" w:eastAsia="Arial" w:cs="Arial"/>
                      <w:sz w:val="20"/>
                      <w:lang w:val="en-US" w:eastAsia="zh-CN"/>
                    </w:rPr>
                    <w:t>31.7</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51</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31</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default" w:ascii="Arial" w:hAnsi="Arial" w:eastAsia="Arial" w:cs="Arial"/>
                      <w:sz w:val="20"/>
                      <w:lang w:val="en-US" w:eastAsia="zh-CN"/>
                    </w:rPr>
                    <w:t>19.3</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55.3</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35.3</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default" w:ascii="Arial" w:hAnsi="Arial" w:eastAsia="Arial" w:cs="Arial"/>
                      <w:sz w:val="20"/>
                      <w:lang w:val="en-US" w:eastAsia="zh-CN"/>
                    </w:rPr>
                    <w:t>30.6</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51.3</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31.3</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default" w:ascii="Arial" w:hAnsi="Arial" w:eastAsia="Arial" w:cs="Arial"/>
                      <w:sz w:val="20"/>
                      <w:lang w:val="en-US" w:eastAsia="zh-CN"/>
                    </w:rPr>
                    <w:t>21.3</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54.5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34.5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冷室铝合金压铸机</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6</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80</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2.3</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3.8</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36.3</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56.6</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36.6</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23.2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60.5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40.5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25.9</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59.5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39.5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17.4</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63</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43</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压铸机辅助机械手</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6</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75</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3.3</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6.6</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36.9</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51.4</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31.4</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26.1</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54.4</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34.4</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25.2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54.8</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34.8</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14.5</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59.6</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39.6</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抛丸机</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85</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-8.2</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24.5</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56.1</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48</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28</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34.8</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52.2</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32.2</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5.6</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68</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48</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5.8</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67.7</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47.7</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砂带机</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3</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80</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-4.6</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22.5</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50.5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30.5</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35.1</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53.9</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33.9</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9.7</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5.5</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70</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50</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油压切边机</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3</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80</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-6.4</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18.6</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51.5</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50.5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30.5</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30.8</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10.4</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64.4</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44.4</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9.8</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64.9</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44.9</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textAlignment w:val="baseline"/>
                    <w:rPr>
                      <w:rFonts w:hint="default" w:ascii="Times New Roman" w:hAnsi="Times New Roman" w:eastAsia="宋体" w:cs="Times New Roman"/>
                      <w:color w:val="0C0C0C"/>
                      <w:kern w:val="2"/>
                      <w:sz w:val="21"/>
                      <w:szCs w:val="21"/>
                      <w:vertAlign w:val="baseline"/>
                    </w:rPr>
                  </w:pPr>
                  <w:r>
                    <w:rPr>
                      <w:rFonts w:hint="eastAsia" w:ascii="宋体" w:hAnsi="宋体" w:eastAsia="宋体" w:cs="宋体"/>
                      <w:color w:val="0C0C0C"/>
                      <w:kern w:val="2"/>
                      <w:sz w:val="21"/>
                      <w:szCs w:val="21"/>
                      <w:vertAlign w:val="baseline"/>
                      <w:lang w:val="en-US" w:eastAsia="zh-CN" w:bidi="ar"/>
                    </w:rPr>
                    <w:t>锯床</w:t>
                  </w:r>
                </w:p>
              </w:tc>
              <w:tc>
                <w:tcPr>
                  <w:tcW w:w="191"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eastAsia"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w:t>
                  </w:r>
                </w:p>
              </w:tc>
              <w:tc>
                <w:tcPr>
                  <w:tcW w:w="402"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80</w:t>
                  </w: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-2.6</w:t>
                  </w:r>
                </w:p>
              </w:tc>
              <w:tc>
                <w:tcPr>
                  <w:tcW w:w="239"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lang w:val="en-US" w:eastAsia="zh-CN"/>
                    </w:rPr>
                  </w:pPr>
                  <w:r>
                    <w:rPr>
                      <w:rFonts w:hint="eastAsia" w:cs="Times New Roman"/>
                      <w:color w:val="0C0C0C"/>
                      <w:kern w:val="2"/>
                      <w:sz w:val="21"/>
                      <w:szCs w:val="21"/>
                      <w:lang w:val="en-US" w:eastAsia="zh-CN"/>
                    </w:rPr>
                    <w:t>16.6</w:t>
                  </w:r>
                </w:p>
              </w:tc>
              <w:tc>
                <w:tcPr>
                  <w:tcW w:w="256"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1.2</w:t>
                  </w: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47.2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49.5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restar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20</w:t>
                  </w: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东</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29.5</w:t>
                  </w:r>
                </w:p>
              </w:tc>
              <w:tc>
                <w:tcPr>
                  <w:tcW w:w="508" w:type="pct"/>
                  <w:vMerge w:val="restart"/>
                  <w:tcBorders>
                    <w:top w:val="single" w:color="auto" w:sz="2" w:space="0"/>
                    <w:left w:val="single" w:color="auto" w:sz="4" w:space="0"/>
                    <w:bottom w:val="single" w:color="auto" w:sz="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1</w:t>
                  </w: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31.2</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53.1</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33.1</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14.7</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59.7</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西</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39.7</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tblCellMar>
                  <w:top w:w="0" w:type="dxa"/>
                  <w:left w:w="108" w:type="dxa"/>
                  <w:bottom w:w="0" w:type="dxa"/>
                  <w:right w:w="108" w:type="dxa"/>
                </w:tblCellMar>
              </w:tblPrEx>
              <w:trPr>
                <w:trHeight w:val="90" w:hRule="atLeast"/>
                <w:jc w:val="center"/>
              </w:trPr>
              <w:tc>
                <w:tcPr>
                  <w:tcW w:w="179" w:type="pct"/>
                  <w:vMerge w:val="continue"/>
                  <w:tcBorders>
                    <w:top w:val="single" w:color="auto" w:sz="2" w:space="0"/>
                    <w:left w:val="nil"/>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8"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9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0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51"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05"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39"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56"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97"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9.4</w:t>
                  </w:r>
                </w:p>
              </w:tc>
              <w:tc>
                <w:tcPr>
                  <w:tcW w:w="358"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63.5</w:t>
                  </w:r>
                </w:p>
              </w:tc>
              <w:tc>
                <w:tcPr>
                  <w:tcW w:w="552"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80" w:type="pct"/>
                  <w:vMerge w:val="continue"/>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26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2"/>
                      <w:sz w:val="21"/>
                      <w:szCs w:val="21"/>
                      <w:lang w:val="en-US" w:eastAsia="zh-CN" w:bidi="ar"/>
                    </w:rPr>
                    <w:t>北</w:t>
                  </w:r>
                </w:p>
              </w:tc>
              <w:tc>
                <w:tcPr>
                  <w:tcW w:w="271" w:type="pct"/>
                  <w:tcBorders>
                    <w:top w:val="single" w:color="auto" w:sz="2" w:space="0"/>
                    <w:left w:val="single" w:color="auto" w:sz="4" w:space="0"/>
                    <w:bottom w:val="single" w:color="auto" w:sz="2"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Arial" w:hAnsi="Arial" w:eastAsia="Arial" w:cs="Arial"/>
                      <w:sz w:val="20"/>
                      <w:lang w:val="en-US" w:eastAsia="zh-CN"/>
                    </w:rPr>
                  </w:pPr>
                  <w:r>
                    <w:rPr>
                      <w:rFonts w:hint="eastAsia" w:ascii="Arial" w:hAnsi="Arial" w:eastAsia="Arial" w:cs="Arial"/>
                      <w:sz w:val="20"/>
                      <w:lang w:val="en-US" w:eastAsia="zh-CN"/>
                    </w:rPr>
                    <w:t>43.5</w:t>
                  </w:r>
                </w:p>
              </w:tc>
              <w:tc>
                <w:tcPr>
                  <w:tcW w:w="508" w:type="pct"/>
                  <w:vMerge w:val="continue"/>
                  <w:tcBorders>
                    <w:top w:val="single" w:color="auto" w:sz="2" w:space="0"/>
                    <w:left w:val="single" w:color="auto" w:sz="4" w:space="0"/>
                    <w:bottom w:val="single" w:color="auto" w:sz="2"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auto" w:sz="12" w:space="0"/>
                  <w:left w:val="none" w:color="auto" w:sz="6" w:space="0"/>
                  <w:bottom w:val="single" w:color="auto" w:sz="12" w:space="0"/>
                  <w:right w:val="none" w:color="auto" w:sz="6"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5000" w:type="pct"/>
                  <w:gridSpan w:val="16"/>
                  <w:tcBorders>
                    <w:top w:val="single" w:color="auto" w:sz="2" w:space="0"/>
                    <w:left w:val="nil"/>
                    <w:bottom w:val="single" w:color="auto" w:sz="12" w:space="0"/>
                    <w:right w:val="nil"/>
                  </w:tcBorders>
                  <w:shd w:val="clear" w:color="auto" w:fill="auto"/>
                  <w:vAlign w:val="center"/>
                </w:tcPr>
                <w:p>
                  <w:pPr>
                    <w:keepNext w:val="0"/>
                    <w:keepLines w:val="0"/>
                    <w:widowControl w:val="0"/>
                    <w:suppressLineNumbers w:val="0"/>
                    <w:spacing w:before="0" w:beforeAutospacing="0" w:after="0" w:afterAutospacing="0"/>
                    <w:ind w:left="-63" w:leftChars="-30" w:right="-63" w:rightChars="-30"/>
                    <w:jc w:val="left"/>
                    <w:rPr>
                      <w:rFonts w:hint="default" w:ascii="Times New Roman" w:hAnsi="Times New Roman" w:eastAsia="宋体" w:cs="Times New Roman"/>
                      <w:color w:val="0C0C0C"/>
                      <w:kern w:val="2"/>
                      <w:sz w:val="21"/>
                      <w:szCs w:val="21"/>
                    </w:rPr>
                  </w:pPr>
                  <w:r>
                    <w:rPr>
                      <w:rFonts w:hint="eastAsia" w:ascii="宋体" w:hAnsi="宋体" w:eastAsia="宋体" w:cs="宋体"/>
                      <w:b/>
                      <w:bCs/>
                      <w:color w:val="0C0C0C"/>
                      <w:kern w:val="2"/>
                      <w:sz w:val="20"/>
                      <w:szCs w:val="20"/>
                      <w:lang w:val="en-US" w:eastAsia="zh-CN" w:bidi="ar"/>
                    </w:rPr>
                    <w:t>以项目生产厂房中心</w:t>
                  </w:r>
                  <w:r>
                    <w:rPr>
                      <w:rFonts w:hint="eastAsia" w:ascii="宋体" w:hAnsi="宋体" w:eastAsia="宋体" w:cs="宋体"/>
                      <w:b/>
                      <w:bCs/>
                      <w:kern w:val="2"/>
                      <w:sz w:val="20"/>
                      <w:szCs w:val="20"/>
                      <w:lang w:val="en-US" w:eastAsia="zh-CN" w:bidi="ar"/>
                    </w:rPr>
                    <w:t>点（</w:t>
                  </w:r>
                  <w:r>
                    <w:rPr>
                      <w:rFonts w:hint="default" w:ascii="Times New Roman" w:hAnsi="Times New Roman" w:eastAsia="宋体" w:cs="Times New Roman"/>
                      <w:b/>
                      <w:bCs/>
                      <w:kern w:val="2"/>
                      <w:sz w:val="20"/>
                      <w:szCs w:val="20"/>
                      <w:lang w:val="en-US" w:eastAsia="zh-CN" w:bidi="ar"/>
                    </w:rPr>
                    <w:t>118.227211,31.216480</w:t>
                  </w:r>
                  <w:r>
                    <w:rPr>
                      <w:rFonts w:hint="eastAsia" w:ascii="宋体" w:hAnsi="宋体" w:eastAsia="宋体" w:cs="宋体"/>
                      <w:b/>
                      <w:bCs/>
                      <w:color w:val="0C0C0C"/>
                      <w:kern w:val="2"/>
                      <w:sz w:val="20"/>
                      <w:szCs w:val="20"/>
                      <w:lang w:val="en-US" w:eastAsia="zh-CN" w:bidi="ar"/>
                    </w:rPr>
                    <w:t>）为原点坐标。</w:t>
                  </w:r>
                </w:p>
              </w:tc>
            </w:tr>
          </w:tbl>
          <w:p>
            <w:pPr>
              <w:keepNext w:val="0"/>
              <w:keepLines w:val="0"/>
              <w:suppressLineNumbers w:val="0"/>
              <w:spacing w:before="120" w:beforeLines="50" w:beforeAutospacing="0" w:after="0" w:afterAutospacing="0" w:line="360" w:lineRule="auto"/>
              <w:ind w:left="0" w:right="0"/>
              <w:rPr>
                <w:rFonts w:hint="default" w:cs="宋体"/>
                <w:b/>
                <w:color w:val="0D0D0D" w:themeColor="text1" w:themeTint="F2"/>
                <w:szCs w:val="21"/>
                <w14:textFill>
                  <w14:solidFill>
                    <w14:schemeClr w14:val="tx1">
                      <w14:lumMod w14:val="95000"/>
                      <w14:lumOff w14:val="5000"/>
                    </w14:schemeClr>
                  </w14:solidFill>
                </w14:textFill>
              </w:rPr>
            </w:pPr>
          </w:p>
        </w:tc>
      </w:tr>
    </w:tbl>
    <w:p>
      <w:pPr>
        <w:rPr>
          <w:color w:val="0D0D0D" w:themeColor="text1" w:themeTint="F2"/>
          <w14:textFill>
            <w14:solidFill>
              <w14:schemeClr w14:val="tx1">
                <w14:lumMod w14:val="95000"/>
                <w14:lumOff w14:val="5000"/>
              </w14:schemeClr>
            </w14:solidFill>
          </w14:textFill>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tbl>
      <w:tblPr>
        <w:tblStyle w:val="59"/>
        <w:tblpPr w:leftFromText="180" w:rightFromText="180" w:vertAnchor="text" w:tblpXSpec="center" w:tblpY="1"/>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1"/>
        <w:gridCol w:w="829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restart"/>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运营</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期环</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境影</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响和</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保护</w:t>
            </w:r>
          </w:p>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措施</w:t>
            </w:r>
          </w:p>
        </w:tc>
        <w:tc>
          <w:tcPr>
            <w:tcW w:w="8293" w:type="dxa"/>
          </w:tcPr>
          <w:p>
            <w:pPr>
              <w:keepNext/>
              <w:keepLines/>
              <w:suppressLineNumbers w:val="0"/>
              <w:spacing w:before="0" w:beforeAutospacing="0" w:after="0" w:afterAutospacing="0" w:line="360" w:lineRule="auto"/>
              <w:ind w:left="0" w:right="0" w:firstLine="472" w:firstLineChars="196"/>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default"/>
                <w:b/>
                <w:bCs/>
                <w:color w:val="0D0D0D" w:themeColor="text1" w:themeTint="F2"/>
                <w:sz w:val="24"/>
                <w:szCs w:val="32"/>
                <w14:textFill>
                  <w14:solidFill>
                    <w14:schemeClr w14:val="tx1">
                      <w14:lumMod w14:val="95000"/>
                      <w14:lumOff w14:val="5000"/>
                    </w14:schemeClr>
                  </w14:solidFill>
                </w14:textFill>
              </w:rPr>
              <w:t>2</w:t>
            </w:r>
            <w:r>
              <w:rPr>
                <w:rFonts w:hint="eastAsia"/>
                <w:b/>
                <w:bCs/>
                <w:color w:val="0D0D0D" w:themeColor="text1" w:themeTint="F2"/>
                <w:sz w:val="24"/>
                <w:szCs w:val="32"/>
                <w14:textFill>
                  <w14:solidFill>
                    <w14:schemeClr w14:val="tx1">
                      <w14:lumMod w14:val="95000"/>
                      <w14:lumOff w14:val="5000"/>
                    </w14:schemeClr>
                  </w14:solidFill>
                </w14:textFill>
              </w:rPr>
              <w:t>、预测模式</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采用《环境影响评价技术导则 声环境》（HJ2.4－2021）推荐的噪声预测模式。根据拟建项目对声环境产生影响的主要设备噪声源、噪声辐射和结构特点，安装位置的环境条件以及噪声源至预测点的距离等因素进行预测。对同个厂房内多个设备可作为面源，将整个厂房等效作为面源；室外的噪声源设备，则均视为单个点源。</w:t>
            </w:r>
          </w:p>
          <w:p>
            <w:pPr>
              <w:keepNext w:val="0"/>
              <w:keepLines w:val="0"/>
              <w:suppressLineNumbers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①</w:t>
            </w:r>
            <w:r>
              <w:rPr>
                <w:rFonts w:hint="eastAsia"/>
                <w:color w:val="0D0D0D" w:themeColor="text1" w:themeTint="F2"/>
                <w:sz w:val="24"/>
                <w14:textFill>
                  <w14:solidFill>
                    <w14:schemeClr w14:val="tx1">
                      <w14:lumMod w14:val="95000"/>
                      <w14:lumOff w14:val="5000"/>
                    </w14:schemeClr>
                  </w14:solidFill>
                </w14:textFill>
              </w:rPr>
              <w:t>室外点声源</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只考虑几何发散衰减时，预测的基本公式如下：</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10"/>
                <w:sz w:val="24"/>
                <w14:textFill>
                  <w14:solidFill>
                    <w14:schemeClr w14:val="tx1">
                      <w14:lumMod w14:val="95000"/>
                      <w14:lumOff w14:val="5000"/>
                    </w14:schemeClr>
                  </w14:solidFill>
                </w14:textFill>
              </w:rPr>
              <w:object>
                <v:shape id="_x0000_i1025" o:spt="75" type="#_x0000_t75" style="height:16.85pt;width:9.1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r>
              <w:rPr>
                <w:rFonts w:hint="eastAsia"/>
                <w:color w:val="0D0D0D" w:themeColor="text1" w:themeTint="F2"/>
                <w:position w:val="-14"/>
                <w:sz w:val="24"/>
                <w14:textFill>
                  <w14:solidFill>
                    <w14:schemeClr w14:val="tx1">
                      <w14:lumMod w14:val="95000"/>
                      <w14:lumOff w14:val="5000"/>
                    </w14:schemeClr>
                  </w14:solidFill>
                </w14:textFill>
              </w:rPr>
              <w:object>
                <v:shape id="_x0000_i1026" o:spt="75" type="#_x0000_t75" style="height:18.8pt;width:132.3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p>
          <w:p>
            <w:pPr>
              <w:keepNext w:val="0"/>
              <w:keepLines w:val="0"/>
              <w:suppressLineNumbers w:val="0"/>
              <w:spacing w:before="0" w:beforeAutospacing="0" w:after="0" w:afterAutospacing="0" w:line="360" w:lineRule="auto"/>
              <w:ind w:left="0" w:right="0" w:firstLine="960" w:firstLineChars="4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p</w:t>
            </w:r>
            <w:r>
              <w:rPr>
                <w:rFonts w:hint="eastAsia"/>
                <w:color w:val="0D0D0D" w:themeColor="text1" w:themeTint="F2"/>
                <w:sz w:val="24"/>
                <w14:textFill>
                  <w14:solidFill>
                    <w14:schemeClr w14:val="tx1">
                      <w14:lumMod w14:val="95000"/>
                      <w14:lumOff w14:val="5000"/>
                    </w14:schemeClr>
                  </w14:solidFill>
                </w14:textFill>
              </w:rPr>
              <w:t>(r)</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预测点处声压级，dB；</w:t>
            </w:r>
          </w:p>
          <w:p>
            <w:pPr>
              <w:keepNext w:val="0"/>
              <w:keepLines w:val="0"/>
              <w:suppressLineNumbers w:val="0"/>
              <w:spacing w:before="0" w:beforeAutospacing="0" w:after="0" w:afterAutospacing="0" w:line="360" w:lineRule="auto"/>
              <w:ind w:left="0" w:right="0" w:firstLine="1680" w:firstLineChars="7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L</w:t>
            </w:r>
            <w:r>
              <w:rPr>
                <w:rFonts w:hint="eastAsia"/>
                <w:color w:val="0D0D0D" w:themeColor="text1" w:themeTint="F2"/>
                <w:sz w:val="24"/>
                <w:vertAlign w:val="subscript"/>
                <w14:textFill>
                  <w14:solidFill>
                    <w14:schemeClr w14:val="tx1">
                      <w14:lumMod w14:val="95000"/>
                      <w14:lumOff w14:val="5000"/>
                    </w14:schemeClr>
                  </w14:solidFill>
                </w14:textFill>
              </w:rPr>
              <w:t>p</w:t>
            </w:r>
            <w:r>
              <w:rPr>
                <w:rFonts w:hint="eastAsia"/>
                <w:color w:val="0D0D0D" w:themeColor="text1" w:themeTint="F2"/>
                <w:sz w:val="24"/>
                <w14:textFill>
                  <w14:solidFill>
                    <w14:schemeClr w14:val="tx1">
                      <w14:lumMod w14:val="95000"/>
                      <w14:lumOff w14:val="5000"/>
                    </w14:schemeClr>
                  </w14:solidFill>
                </w14:textFill>
              </w:rPr>
              <w:t>(r</w:t>
            </w:r>
            <w:r>
              <w:rPr>
                <w:rFonts w:hint="eastAsia"/>
                <w:color w:val="0D0D0D" w:themeColor="text1" w:themeTint="F2"/>
                <w:sz w:val="24"/>
                <w:vertAlign w:val="subscript"/>
                <w14:textFill>
                  <w14:solidFill>
                    <w14:schemeClr w14:val="tx1">
                      <w14:lumMod w14:val="95000"/>
                      <w14:lumOff w14:val="5000"/>
                    </w14:schemeClr>
                  </w14:solidFill>
                </w14:textFill>
              </w:rPr>
              <w:t>0</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参考位置r</w:t>
            </w:r>
            <w:r>
              <w:rPr>
                <w:rFonts w:hint="eastAsia"/>
                <w:color w:val="0D0D0D" w:themeColor="text1" w:themeTint="F2"/>
                <w:sz w:val="24"/>
                <w:vertAlign w:val="subscript"/>
                <w14:textFill>
                  <w14:solidFill>
                    <w14:schemeClr w14:val="tx1">
                      <w14:lumMod w14:val="95000"/>
                      <w14:lumOff w14:val="5000"/>
                    </w14:schemeClr>
                  </w14:solidFill>
                </w14:textFill>
              </w:rPr>
              <w:t>0</w:t>
            </w:r>
            <w:r>
              <w:rPr>
                <w:rFonts w:hint="eastAsia"/>
                <w:color w:val="0D0D0D" w:themeColor="text1" w:themeTint="F2"/>
                <w:sz w:val="24"/>
                <w14:textFill>
                  <w14:solidFill>
                    <w14:schemeClr w14:val="tx1">
                      <w14:lumMod w14:val="95000"/>
                      <w14:lumOff w14:val="5000"/>
                    </w14:schemeClr>
                  </w14:solidFill>
                </w14:textFill>
              </w:rPr>
              <w:t>处的声压级，dB；</w:t>
            </w:r>
          </w:p>
          <w:p>
            <w:pPr>
              <w:keepNext w:val="0"/>
              <w:keepLines w:val="0"/>
              <w:suppressLineNumbers w:val="0"/>
              <w:spacing w:before="0" w:beforeAutospacing="0" w:after="0" w:afterAutospacing="0" w:line="360" w:lineRule="auto"/>
              <w:ind w:left="0" w:right="0" w:firstLine="1680" w:firstLineChars="7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r</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预测点距声源的距离；</w:t>
            </w:r>
          </w:p>
          <w:p>
            <w:pPr>
              <w:keepNext w:val="0"/>
              <w:keepLines w:val="0"/>
              <w:suppressLineNumbers w:val="0"/>
              <w:spacing w:before="0" w:beforeAutospacing="0" w:after="0" w:afterAutospacing="0" w:line="360" w:lineRule="auto"/>
              <w:ind w:left="0" w:right="0" w:firstLine="1680" w:firstLineChars="7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r</w:t>
            </w:r>
            <w:r>
              <w:rPr>
                <w:rFonts w:hint="eastAsia"/>
                <w:color w:val="0D0D0D" w:themeColor="text1" w:themeTint="F2"/>
                <w:sz w:val="24"/>
                <w:vertAlign w:val="subscript"/>
                <w14:textFill>
                  <w14:solidFill>
                    <w14:schemeClr w14:val="tx1">
                      <w14:lumMod w14:val="95000"/>
                      <w14:lumOff w14:val="5000"/>
                    </w14:schemeClr>
                  </w14:solidFill>
                </w14:textFill>
              </w:rPr>
              <w:t>0</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参考位置距声源的距离。</w:t>
            </w:r>
          </w:p>
          <w:p>
            <w:pPr>
              <w:keepNext w:val="0"/>
              <w:keepLines w:val="0"/>
              <w:suppressLineNumbers w:val="0"/>
              <w:adjustRightInd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②</w:t>
            </w:r>
            <w:r>
              <w:rPr>
                <w:rFonts w:hint="eastAsia"/>
                <w:color w:val="0D0D0D" w:themeColor="text1" w:themeTint="F2"/>
                <w:sz w:val="24"/>
                <w14:textFill>
                  <w14:solidFill>
                    <w14:schemeClr w14:val="tx1">
                      <w14:lumMod w14:val="95000"/>
                      <w14:lumOff w14:val="5000"/>
                    </w14:schemeClr>
                  </w14:solidFill>
                </w14:textFill>
              </w:rPr>
              <w:t>室内点声源</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声源源位于室内，室内声源可采用等效室外声源声功率级法进行计算。设靠近开口处（或窗户）室内、室外某倍频带的声压级或A声级分别为L</w:t>
            </w:r>
            <w:r>
              <w:rPr>
                <w:rFonts w:hint="eastAsia"/>
                <w:color w:val="0D0D0D" w:themeColor="text1" w:themeTint="F2"/>
                <w:sz w:val="24"/>
                <w:vertAlign w:val="subscript"/>
                <w14:textFill>
                  <w14:solidFill>
                    <w14:schemeClr w14:val="tx1">
                      <w14:lumMod w14:val="95000"/>
                      <w14:lumOff w14:val="5000"/>
                    </w14:schemeClr>
                  </w14:solidFill>
                </w14:textFill>
              </w:rPr>
              <w:t>p1</w:t>
            </w:r>
            <w:r>
              <w:rPr>
                <w:rFonts w:hint="eastAsia"/>
                <w:color w:val="0D0D0D" w:themeColor="text1" w:themeTint="F2"/>
                <w:sz w:val="24"/>
                <w14:textFill>
                  <w14:solidFill>
                    <w14:schemeClr w14:val="tx1">
                      <w14:lumMod w14:val="95000"/>
                      <w14:lumOff w14:val="5000"/>
                    </w14:schemeClr>
                  </w14:solidFill>
                </w14:textFill>
              </w:rPr>
              <w:t>和L</w:t>
            </w:r>
            <w:r>
              <w:rPr>
                <w:rFonts w:hint="eastAsia"/>
                <w:color w:val="0D0D0D" w:themeColor="text1" w:themeTint="F2"/>
                <w:sz w:val="24"/>
                <w:vertAlign w:val="subscript"/>
                <w14:textFill>
                  <w14:solidFill>
                    <w14:schemeClr w14:val="tx1">
                      <w14:lumMod w14:val="95000"/>
                      <w14:lumOff w14:val="5000"/>
                    </w14:schemeClr>
                  </w14:solidFill>
                </w14:textFill>
              </w:rPr>
              <w:t>p2</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drawing>
                <wp:inline distT="0" distB="0" distL="0" distR="0">
                  <wp:extent cx="2859405" cy="137858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859405" cy="1378585"/>
                          </a:xfrm>
                          <a:prstGeom prst="rect">
                            <a:avLst/>
                          </a:prstGeom>
                          <a:noFill/>
                          <a:ln>
                            <a:noFill/>
                          </a:ln>
                        </pic:spPr>
                      </pic:pic>
                    </a:graphicData>
                  </a:graphic>
                </wp:inline>
              </w:drawing>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 w:val="24"/>
                <w:szCs w:val="21"/>
                <w14:textFill>
                  <w14:solidFill>
                    <w14:schemeClr w14:val="tx1">
                      <w14:lumMod w14:val="95000"/>
                      <w14:lumOff w14:val="5000"/>
                    </w14:schemeClr>
                  </w14:solidFill>
                </w14:textFill>
              </w:rPr>
              <w:t>室内声源等效为室外声源图例</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1）计算出某一室内声源靠近围护结构处产生的倍频带声压级或A声级：</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28"/>
                <w:sz w:val="24"/>
                <w14:textFill>
                  <w14:solidFill>
                    <w14:schemeClr w14:val="tx1">
                      <w14:lumMod w14:val="95000"/>
                      <w14:lumOff w14:val="5000"/>
                    </w14:schemeClr>
                  </w14:solidFill>
                </w14:textFill>
              </w:rPr>
              <w:object>
                <v:shape id="_x0000_i1027" o:spt="75" type="#_x0000_t75" style="height:33.75pt;width:132.3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17">
                  <o:LockedField>false</o:LockedField>
                </o:OLEObject>
              </w:objec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p1</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靠近开口处（或窗户）室内某倍频带的声压级或A声级，dB；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L</w:t>
            </w:r>
            <w:r>
              <w:rPr>
                <w:rFonts w:hint="eastAsia"/>
                <w:color w:val="0D0D0D" w:themeColor="text1" w:themeTint="F2"/>
                <w:sz w:val="24"/>
                <w:vertAlign w:val="subscript"/>
                <w14:textFill>
                  <w14:solidFill>
                    <w14:schemeClr w14:val="tx1">
                      <w14:lumMod w14:val="95000"/>
                      <w14:lumOff w14:val="5000"/>
                    </w14:schemeClr>
                  </w14:solidFill>
                </w14:textFill>
              </w:rPr>
              <w:t>w</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点声源声功率级（A计权或倍频带），dB；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Q</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指向性因数，通常对无指向性声源，当声源放在房间中心时，Q=1，当放在一面墙的中心时，Q=2；当放在两面墙夹角处时，Q=4；当放在三面墙夹角处时，Q=8；</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R</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房间常数，R=S</w:t>
            </w:r>
            <w:r>
              <w:rPr>
                <w:rFonts w:hint="default"/>
                <w:color w:val="0D0D0D" w:themeColor="text1" w:themeTint="F2"/>
                <w:sz w:val="24"/>
                <w14:textFill>
                  <w14:solidFill>
                    <w14:schemeClr w14:val="tx1">
                      <w14:lumMod w14:val="95000"/>
                      <w14:lumOff w14:val="5000"/>
                    </w14:schemeClr>
                  </w14:solidFill>
                </w14:textFill>
              </w:rPr>
              <w:t>α/（1-α）</w:t>
            </w:r>
            <w:r>
              <w:rPr>
                <w:rFonts w:hint="eastAsia"/>
                <w:color w:val="0D0D0D" w:themeColor="text1" w:themeTint="F2"/>
                <w:sz w:val="24"/>
                <w14:textFill>
                  <w14:solidFill>
                    <w14:schemeClr w14:val="tx1">
                      <w14:lumMod w14:val="95000"/>
                      <w14:lumOff w14:val="5000"/>
                    </w14:schemeClr>
                  </w14:solidFill>
                </w14:textFill>
              </w:rPr>
              <w:t>，S为房间内表面面积，m</w:t>
            </w:r>
            <w:r>
              <w:rPr>
                <w:rFonts w:hint="eastAsia"/>
                <w:color w:val="0D0D0D" w:themeColor="text1" w:themeTint="F2"/>
                <w:sz w:val="24"/>
                <w:vertAlign w:val="superscript"/>
                <w14:textFill>
                  <w14:solidFill>
                    <w14:schemeClr w14:val="tx1">
                      <w14:lumMod w14:val="95000"/>
                      <w14:lumOff w14:val="5000"/>
                    </w14:schemeClr>
                  </w14:solidFill>
                </w14:textFill>
              </w:rPr>
              <w:t>2</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α</w:t>
            </w:r>
            <w:r>
              <w:rPr>
                <w:rFonts w:hint="eastAsia"/>
                <w:color w:val="0D0D0D" w:themeColor="text1" w:themeTint="F2"/>
                <w:sz w:val="24"/>
                <w14:textFill>
                  <w14:solidFill>
                    <w14:schemeClr w14:val="tx1">
                      <w14:lumMod w14:val="95000"/>
                      <w14:lumOff w14:val="5000"/>
                    </w14:schemeClr>
                  </w14:solidFill>
                </w14:textFill>
              </w:rPr>
              <w:t>为平均吸声系数；</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r</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声源到靠近围护结构某点处的距离，m。</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2）计算出所有室内声源在围护结构处产生的i倍频带叠加声压级：</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28"/>
                <w:sz w:val="24"/>
                <w14:textFill>
                  <w14:solidFill>
                    <w14:schemeClr w14:val="tx1">
                      <w14:lumMod w14:val="95000"/>
                      <w14:lumOff w14:val="5000"/>
                    </w14:schemeClr>
                  </w14:solidFill>
                </w14:textFill>
              </w:rPr>
              <w:object>
                <v:shape id="_x0000_i1028" o:spt="75" type="#_x0000_t75" style="height:33.75pt;width:127.8pt;" o:ole="t" filled="f" o:preferrelative="t" stroked="f" coordsize="21600,21600">
                  <v:path/>
                  <v:fill on="f" focussize="0,0"/>
                  <v:stroke on="f" joinstyle="miter"/>
                  <v:imagedata r:id="rId20" o:title=""/>
                  <o:lock v:ext="edit" aspectratio="t"/>
                  <w10:wrap type="none"/>
                  <w10:anchorlock/>
                </v:shape>
                <o:OLEObject Type="Embed" ProgID="Equation.3" ShapeID="_x0000_i1028" DrawAspect="Content" ObjectID="_1468075728" r:id="rId19">
                  <o:LockedField>false</o:LockedField>
                </o:OLEObject>
              </w:objec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p1i</w:t>
            </w:r>
            <w:r>
              <w:rPr>
                <w:rFonts w:hint="eastAsia"/>
                <w:color w:val="0D0D0D" w:themeColor="text1" w:themeTint="F2"/>
                <w:sz w:val="24"/>
                <w14:textFill>
                  <w14:solidFill>
                    <w14:schemeClr w14:val="tx1">
                      <w14:lumMod w14:val="95000"/>
                      <w14:lumOff w14:val="5000"/>
                    </w14:schemeClr>
                  </w14:solidFill>
                </w14:textFill>
              </w:rPr>
              <w:t>(T)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靠近围护结构处室内N个声源i倍频带的叠加声压级，dB；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L</w:t>
            </w:r>
            <w:r>
              <w:rPr>
                <w:rFonts w:hint="eastAsia"/>
                <w:color w:val="0D0D0D" w:themeColor="text1" w:themeTint="F2"/>
                <w:sz w:val="24"/>
                <w:vertAlign w:val="subscript"/>
                <w14:textFill>
                  <w14:solidFill>
                    <w14:schemeClr w14:val="tx1">
                      <w14:lumMod w14:val="95000"/>
                      <w14:lumOff w14:val="5000"/>
                    </w14:schemeClr>
                  </w14:solidFill>
                </w14:textFill>
              </w:rPr>
              <w:t>p1ij</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室内j声源i倍频带的声压级，dB（A）；</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N</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室内声源总数。</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3）计算出靠近室外围护结构处的声压级：</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14"/>
                <w:sz w:val="24"/>
                <w14:textFill>
                  <w14:solidFill>
                    <w14:schemeClr w14:val="tx1">
                      <w14:lumMod w14:val="95000"/>
                      <w14:lumOff w14:val="5000"/>
                    </w14:schemeClr>
                  </w14:solidFill>
                </w14:textFill>
              </w:rPr>
              <w:object>
                <v:shape id="_x0000_i1029" o:spt="75" type="#_x0000_t75" style="height:18.8pt;width:132.3pt;" o:ole="t" filled="f" o:preferrelative="t" stroked="f" coordsize="21600,21600">
                  <v:path/>
                  <v:fill on="f" focussize="0,0"/>
                  <v:stroke on="f" joinstyle="miter"/>
                  <v:imagedata r:id="rId22" o:title=""/>
                  <o:lock v:ext="edit" aspectratio="t"/>
                  <w10:wrap type="none"/>
                  <w10:anchorlock/>
                </v:shape>
                <o:OLEObject Type="Embed" ProgID="Equation.3" ShapeID="_x0000_i1029" DrawAspect="Content" ObjectID="_1468075729" r:id="rId21">
                  <o:LockedField>false</o:LockedField>
                </o:OLEObject>
              </w:object>
            </w:r>
            <w:r>
              <w:rPr>
                <w:rFonts w:hint="eastAsia"/>
                <w:color w:val="0D0D0D" w:themeColor="text1" w:themeTint="F2"/>
                <w:sz w:val="24"/>
                <w14:textFill>
                  <w14:solidFill>
                    <w14:schemeClr w14:val="tx1">
                      <w14:lumMod w14:val="95000"/>
                      <w14:lumOff w14:val="5000"/>
                    </w14:schemeClr>
                  </w14:solidFill>
                </w14:textFill>
              </w:rPr>
              <w:t xml:space="preserve">    </w: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p2i</w:t>
            </w:r>
            <w:r>
              <w:rPr>
                <w:rFonts w:hint="eastAsia"/>
                <w:color w:val="0D0D0D" w:themeColor="text1" w:themeTint="F2"/>
                <w:sz w:val="24"/>
                <w14:textFill>
                  <w14:solidFill>
                    <w14:schemeClr w14:val="tx1">
                      <w14:lumMod w14:val="95000"/>
                      <w14:lumOff w14:val="5000"/>
                    </w14:schemeClr>
                  </w14:solidFill>
                </w14:textFill>
              </w:rPr>
              <w:t>(T)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靠近围护结构处室外N个声源i倍频带的叠加声压级，dB；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TL</w:t>
            </w:r>
            <w:r>
              <w:rPr>
                <w:rFonts w:hint="eastAsia"/>
                <w:color w:val="0D0D0D" w:themeColor="text1" w:themeTint="F2"/>
                <w:sz w:val="24"/>
                <w:vertAlign w:val="subscript"/>
                <w14:textFill>
                  <w14:solidFill>
                    <w14:schemeClr w14:val="tx1">
                      <w14:lumMod w14:val="95000"/>
                      <w14:lumOff w14:val="5000"/>
                    </w14:schemeClr>
                  </w14:solidFill>
                </w14:textFill>
              </w:rPr>
              <w:t>i</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围护结构i倍频带的隔声量，dB。</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4）将室外声源的声压级和透过面积换算成等效的室外声源，计算出中心位置位于透声面积处的等效声源的倍频带声功率级：</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14"/>
                <w:sz w:val="24"/>
                <w14:textFill>
                  <w14:solidFill>
                    <w14:schemeClr w14:val="tx1">
                      <w14:lumMod w14:val="95000"/>
                      <w14:lumOff w14:val="5000"/>
                    </w14:schemeClr>
                  </w14:solidFill>
                </w14:textFill>
              </w:rPr>
              <w:object>
                <v:shape id="_x0000_i1030" o:spt="75" type="#_x0000_t75" style="height:18.8pt;width:97.95pt;" o:ole="t" filled="f" o:preferrelative="t" stroked="f" coordsize="21600,21600">
                  <v:path/>
                  <v:fill on="f" focussize="0,0"/>
                  <v:stroke on="f" joinstyle="miter"/>
                  <v:imagedata r:id="rId24" o:title=""/>
                  <o:lock v:ext="edit" aspectratio="t"/>
                  <w10:wrap type="none"/>
                  <w10:anchorlock/>
                </v:shape>
                <o:OLEObject Type="Embed" ProgID="Equation.3" ShapeID="_x0000_i1030" DrawAspect="Content" ObjectID="_1468075730" r:id="rId23">
                  <o:LockedField>false</o:LockedField>
                </o:OLEObject>
              </w:objec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w</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中心位置位于透声面积（S）处的等效声源的倍频带声功率级，dB；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L</w:t>
            </w:r>
            <w:r>
              <w:rPr>
                <w:rFonts w:hint="eastAsia"/>
                <w:color w:val="0D0D0D" w:themeColor="text1" w:themeTint="F2"/>
                <w:sz w:val="24"/>
                <w:vertAlign w:val="subscript"/>
                <w14:textFill>
                  <w14:solidFill>
                    <w14:schemeClr w14:val="tx1">
                      <w14:lumMod w14:val="95000"/>
                      <w14:lumOff w14:val="5000"/>
                    </w14:schemeClr>
                  </w14:solidFill>
                </w14:textFill>
              </w:rPr>
              <w:t>p2</w:t>
            </w:r>
            <w:r>
              <w:rPr>
                <w:rFonts w:hint="eastAsia"/>
                <w:color w:val="0D0D0D" w:themeColor="text1" w:themeTint="F2"/>
                <w:sz w:val="24"/>
                <w14:textFill>
                  <w14:solidFill>
                    <w14:schemeClr w14:val="tx1">
                      <w14:lumMod w14:val="95000"/>
                      <w14:lumOff w14:val="5000"/>
                    </w14:schemeClr>
                  </w14:solidFill>
                </w14:textFill>
              </w:rPr>
              <w:t>(T)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靠近围护结构处室外声源的声压级，dB；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S</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透声面积，m</w:t>
            </w:r>
            <w:r>
              <w:rPr>
                <w:rFonts w:hint="eastAsia"/>
                <w:color w:val="0D0D0D" w:themeColor="text1" w:themeTint="F2"/>
                <w:sz w:val="24"/>
                <w:vertAlign w:val="superscript"/>
                <w14:textFill>
                  <w14:solidFill>
                    <w14:schemeClr w14:val="tx1">
                      <w14:lumMod w14:val="95000"/>
                      <w14:lumOff w14:val="5000"/>
                    </w14:schemeClr>
                  </w14:solidFill>
                </w14:textFill>
              </w:rPr>
              <w:t>2</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5）如果声源处于半自由声场：</w:t>
            </w:r>
          </w:p>
          <w:p>
            <w:pPr>
              <w:keepNext w:val="0"/>
              <w:keepLines w:val="0"/>
              <w:suppressLineNumbers w:val="0"/>
              <w:spacing w:before="0" w:beforeAutospacing="0" w:after="0" w:afterAutospacing="0" w:line="360" w:lineRule="auto"/>
              <w:ind w:left="0" w:right="0" w:firstLine="3840" w:firstLineChars="16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L</w:t>
            </w:r>
            <w:r>
              <w:rPr>
                <w:rFonts w:hint="eastAsia"/>
                <w:color w:val="0D0D0D" w:themeColor="text1" w:themeTint="F2"/>
                <w:sz w:val="24"/>
                <w:vertAlign w:val="subscript"/>
                <w14:textFill>
                  <w14:solidFill>
                    <w14:schemeClr w14:val="tx1">
                      <w14:lumMod w14:val="95000"/>
                      <w14:lumOff w14:val="5000"/>
                    </w14:schemeClr>
                  </w14:solidFill>
                </w14:textFill>
              </w:rPr>
              <w:t>p</w:t>
            </w:r>
            <w:r>
              <w:rPr>
                <w:rFonts w:hint="eastAsia"/>
                <w:color w:val="0D0D0D" w:themeColor="text1" w:themeTint="F2"/>
                <w:sz w:val="24"/>
                <w14:textFill>
                  <w14:solidFill>
                    <w14:schemeClr w14:val="tx1">
                      <w14:lumMod w14:val="95000"/>
                      <w14:lumOff w14:val="5000"/>
                    </w14:schemeClr>
                  </w14:solidFill>
                </w14:textFill>
              </w:rPr>
              <w:t>(r)=L</w:t>
            </w:r>
            <w:r>
              <w:rPr>
                <w:rFonts w:hint="eastAsia"/>
                <w:color w:val="0D0D0D" w:themeColor="text1" w:themeTint="F2"/>
                <w:sz w:val="24"/>
                <w:vertAlign w:val="subscript"/>
                <w14:textFill>
                  <w14:solidFill>
                    <w14:schemeClr w14:val="tx1">
                      <w14:lumMod w14:val="95000"/>
                      <w14:lumOff w14:val="5000"/>
                    </w14:schemeClr>
                  </w14:solidFill>
                </w14:textFill>
              </w:rPr>
              <w:t>W</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20lg</w:t>
            </w:r>
            <w:r>
              <w:rPr>
                <w:rFonts w:hint="eastAsia"/>
                <w:color w:val="0D0D0D" w:themeColor="text1" w:themeTint="F2"/>
                <w:sz w:val="24"/>
                <w14:textFill>
                  <w14:solidFill>
                    <w14:schemeClr w14:val="tx1">
                      <w14:lumMod w14:val="95000"/>
                      <w14:lumOff w14:val="5000"/>
                    </w14:schemeClr>
                  </w14:solidFill>
                </w14:textFill>
              </w:rPr>
              <w:t>r-</w:t>
            </w:r>
            <w:r>
              <w:rPr>
                <w:rFonts w:hint="default"/>
                <w:color w:val="0D0D0D" w:themeColor="text1" w:themeTint="F2"/>
                <w:sz w:val="24"/>
                <w14:textFill>
                  <w14:solidFill>
                    <w14:schemeClr w14:val="tx1">
                      <w14:lumMod w14:val="95000"/>
                      <w14:lumOff w14:val="5000"/>
                    </w14:schemeClr>
                  </w14:solidFill>
                </w14:textFill>
              </w:rPr>
              <w:t>8</w: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w:t>
            </w:r>
            <w:r>
              <w:rPr>
                <w:rFonts w:hint="default"/>
                <w:color w:val="0D0D0D" w:themeColor="text1" w:themeTint="F2"/>
                <w:sz w:val="24"/>
                <w14:textFill>
                  <w14:solidFill>
                    <w14:schemeClr w14:val="tx1">
                      <w14:lumMod w14:val="95000"/>
                      <w14:lumOff w14:val="5000"/>
                    </w14:schemeClr>
                  </w14:solidFill>
                </w14:textFill>
              </w:rPr>
              <w:t>L</w:t>
            </w:r>
            <w:r>
              <w:rPr>
                <w:rFonts w:hint="default"/>
                <w:color w:val="0D0D0D" w:themeColor="text1" w:themeTint="F2"/>
                <w:sz w:val="24"/>
                <w:vertAlign w:val="subscript"/>
                <w14:textFill>
                  <w14:solidFill>
                    <w14:schemeClr w14:val="tx1">
                      <w14:lumMod w14:val="95000"/>
                      <w14:lumOff w14:val="5000"/>
                    </w14:schemeClr>
                  </w14:solidFill>
                </w14:textFill>
              </w:rPr>
              <w:t>p</w:t>
            </w:r>
            <w:r>
              <w:rPr>
                <w:rFonts w:hint="default"/>
                <w:color w:val="0D0D0D" w:themeColor="text1" w:themeTint="F2"/>
                <w:sz w:val="24"/>
                <w14:textFill>
                  <w14:solidFill>
                    <w14:schemeClr w14:val="tx1">
                      <w14:lumMod w14:val="95000"/>
                      <w14:lumOff w14:val="5000"/>
                    </w14:schemeClr>
                  </w14:solidFill>
                </w14:textFill>
              </w:rPr>
              <w:t>(r)——</w:t>
            </w:r>
            <w:r>
              <w:rPr>
                <w:rFonts w:hint="eastAsia"/>
                <w:color w:val="0D0D0D" w:themeColor="text1" w:themeTint="F2"/>
                <w:sz w:val="24"/>
                <w14:textFill>
                  <w14:solidFill>
                    <w14:schemeClr w14:val="tx1">
                      <w14:lumMod w14:val="95000"/>
                      <w14:lumOff w14:val="5000"/>
                    </w14:schemeClr>
                  </w14:solidFill>
                </w14:textFill>
              </w:rPr>
              <w:t>预测点处声压级，</w:t>
            </w:r>
            <w:r>
              <w:rPr>
                <w:rFonts w:hint="default"/>
                <w:color w:val="0D0D0D" w:themeColor="text1" w:themeTint="F2"/>
                <w:sz w:val="24"/>
                <w14:textFill>
                  <w14:solidFill>
                    <w14:schemeClr w14:val="tx1">
                      <w14:lumMod w14:val="95000"/>
                      <w14:lumOff w14:val="5000"/>
                    </w14:schemeClr>
                  </w14:solidFill>
                </w14:textFill>
              </w:rPr>
              <w:t>dB</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L</w:t>
            </w:r>
            <w:r>
              <w:rPr>
                <w:rFonts w:hint="default"/>
                <w:color w:val="0D0D0D" w:themeColor="text1" w:themeTint="F2"/>
                <w:sz w:val="24"/>
                <w:vertAlign w:val="subscript"/>
                <w14:textFill>
                  <w14:solidFill>
                    <w14:schemeClr w14:val="tx1">
                      <w14:lumMod w14:val="95000"/>
                      <w14:lumOff w14:val="5000"/>
                    </w14:schemeClr>
                  </w14:solidFill>
                </w14:textFill>
              </w:rPr>
              <w:t>w</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由点声源产生的倍频带声功率级，</w:t>
            </w:r>
            <w:r>
              <w:rPr>
                <w:rFonts w:hint="default"/>
                <w:color w:val="0D0D0D" w:themeColor="text1" w:themeTint="F2"/>
                <w:sz w:val="24"/>
                <w14:textFill>
                  <w14:solidFill>
                    <w14:schemeClr w14:val="tx1">
                      <w14:lumMod w14:val="95000"/>
                      <w14:lumOff w14:val="5000"/>
                    </w14:schemeClr>
                  </w14:solidFill>
                </w14:textFill>
              </w:rPr>
              <w:t>dB</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r——</w:t>
            </w:r>
            <w:r>
              <w:rPr>
                <w:rFonts w:hint="eastAsia"/>
                <w:color w:val="0D0D0D" w:themeColor="text1" w:themeTint="F2"/>
                <w:sz w:val="24"/>
                <w14:textFill>
                  <w14:solidFill>
                    <w14:schemeClr w14:val="tx1">
                      <w14:lumMod w14:val="95000"/>
                      <w14:lumOff w14:val="5000"/>
                    </w14:schemeClr>
                  </w14:solidFill>
                </w14:textFill>
              </w:rPr>
              <w:t>预测点距声源的距离。</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③预测点的等效声级贡献值</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设第i个室外声源在预测点产生的A声级为L</w:t>
            </w:r>
            <w:r>
              <w:rPr>
                <w:rFonts w:hint="eastAsia"/>
                <w:color w:val="0D0D0D" w:themeColor="text1" w:themeTint="F2"/>
                <w:sz w:val="24"/>
                <w:vertAlign w:val="subscript"/>
                <w14:textFill>
                  <w14:solidFill>
                    <w14:schemeClr w14:val="tx1">
                      <w14:lumMod w14:val="95000"/>
                      <w14:lumOff w14:val="5000"/>
                    </w14:schemeClr>
                  </w14:solidFill>
                </w14:textFill>
              </w:rPr>
              <w:t>Ai</w:t>
            </w:r>
            <w:r>
              <w:rPr>
                <w:rFonts w:hint="eastAsia"/>
                <w:color w:val="0D0D0D" w:themeColor="text1" w:themeTint="F2"/>
                <w:sz w:val="24"/>
                <w14:textFill>
                  <w14:solidFill>
                    <w14:schemeClr w14:val="tx1">
                      <w14:lumMod w14:val="95000"/>
                      <w14:lumOff w14:val="5000"/>
                    </w14:schemeClr>
                  </w14:solidFill>
                </w14:textFill>
              </w:rPr>
              <w:t>，在T时间内该声源工作时间为t</w:t>
            </w:r>
            <w:r>
              <w:rPr>
                <w:rFonts w:hint="eastAsia"/>
                <w:color w:val="0D0D0D" w:themeColor="text1" w:themeTint="F2"/>
                <w:sz w:val="24"/>
                <w:vertAlign w:val="subscript"/>
                <w14:textFill>
                  <w14:solidFill>
                    <w14:schemeClr w14:val="tx1">
                      <w14:lumMod w14:val="95000"/>
                      <w14:lumOff w14:val="5000"/>
                    </w14:schemeClr>
                  </w14:solidFill>
                </w14:textFill>
              </w:rPr>
              <w:t>i</w:t>
            </w:r>
            <w:r>
              <w:rPr>
                <w:rFonts w:hint="eastAsia"/>
                <w:color w:val="0D0D0D" w:themeColor="text1" w:themeTint="F2"/>
                <w:sz w:val="24"/>
                <w14:textFill>
                  <w14:solidFill>
                    <w14:schemeClr w14:val="tx1">
                      <w14:lumMod w14:val="95000"/>
                      <w14:lumOff w14:val="5000"/>
                    </w14:schemeClr>
                  </w14:solidFill>
                </w14:textFill>
              </w:rPr>
              <w:t>；第j个室外声源在预测点产生的A声级为L</w:t>
            </w:r>
            <w:r>
              <w:rPr>
                <w:rFonts w:hint="eastAsia"/>
                <w:color w:val="0D0D0D" w:themeColor="text1" w:themeTint="F2"/>
                <w:sz w:val="24"/>
                <w:vertAlign w:val="subscript"/>
                <w14:textFill>
                  <w14:solidFill>
                    <w14:schemeClr w14:val="tx1">
                      <w14:lumMod w14:val="95000"/>
                      <w14:lumOff w14:val="5000"/>
                    </w14:schemeClr>
                  </w14:solidFill>
                </w14:textFill>
              </w:rPr>
              <w:t>Aj</w:t>
            </w:r>
            <w:r>
              <w:rPr>
                <w:rFonts w:hint="eastAsia"/>
                <w:color w:val="0D0D0D" w:themeColor="text1" w:themeTint="F2"/>
                <w:sz w:val="24"/>
                <w14:textFill>
                  <w14:solidFill>
                    <w14:schemeClr w14:val="tx1">
                      <w14:lumMod w14:val="95000"/>
                      <w14:lumOff w14:val="5000"/>
                    </w14:schemeClr>
                  </w14:solidFill>
                </w14:textFill>
              </w:rPr>
              <w:t>，在T时间内该声源工作时间为t</w:t>
            </w:r>
            <w:r>
              <w:rPr>
                <w:rFonts w:hint="eastAsia"/>
                <w:color w:val="0D0D0D" w:themeColor="text1" w:themeTint="F2"/>
                <w:sz w:val="24"/>
                <w:vertAlign w:val="subscript"/>
                <w14:textFill>
                  <w14:solidFill>
                    <w14:schemeClr w14:val="tx1">
                      <w14:lumMod w14:val="95000"/>
                      <w14:lumOff w14:val="5000"/>
                    </w14:schemeClr>
                  </w14:solidFill>
                </w14:textFill>
              </w:rPr>
              <w:t>j</w:t>
            </w:r>
            <w:r>
              <w:rPr>
                <w:rFonts w:hint="eastAsia"/>
                <w:color w:val="0D0D0D" w:themeColor="text1" w:themeTint="F2"/>
                <w:sz w:val="24"/>
                <w14:textFill>
                  <w14:solidFill>
                    <w14:schemeClr w14:val="tx1">
                      <w14:lumMod w14:val="95000"/>
                      <w14:lumOff w14:val="5000"/>
                    </w14:schemeClr>
                  </w14:solidFill>
                </w14:textFill>
              </w:rPr>
              <w:t>，则项目声源对预测点的贡献值为：</w:t>
            </w:r>
          </w:p>
          <w:p>
            <w:pPr>
              <w:keepNext w:val="0"/>
              <w:keepLines w:val="0"/>
              <w:suppressLineNumbers w:val="0"/>
              <w:spacing w:before="0" w:beforeAutospacing="0" w:after="0" w:afterAutospacing="0" w:line="360" w:lineRule="auto"/>
              <w:ind w:left="0" w:right="0"/>
              <w:jc w:val="center"/>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position w:val="-34"/>
                <w:sz w:val="24"/>
                <w14:textFill>
                  <w14:solidFill>
                    <w14:schemeClr w14:val="tx1">
                      <w14:lumMod w14:val="95000"/>
                      <w14:lumOff w14:val="5000"/>
                    </w14:schemeClr>
                  </w14:solidFill>
                </w14:textFill>
              </w:rPr>
              <w:object>
                <v:shape id="_x0000_i1031" o:spt="75" type="#_x0000_t75" style="height:39.55pt;width:204.3pt;" o:ole="t" filled="f" o:preferrelative="t" stroked="f" coordsize="21600,21600">
                  <v:path/>
                  <v:fill on="f" focussize="0,0"/>
                  <v:stroke on="f" joinstyle="miter"/>
                  <v:imagedata r:id="rId26" o:title=""/>
                  <o:lock v:ext="edit" aspectratio="t"/>
                  <w10:wrap type="none"/>
                  <w10:anchorlock/>
                </v:shape>
                <o:OLEObject Type="Embed" ProgID="Equation.3" ShapeID="_x0000_i1031" DrawAspect="Content" ObjectID="_1468075731" r:id="rId25">
                  <o:LockedField>false</o:LockedField>
                </o:OLEObject>
              </w:object>
            </w:r>
            <w:r>
              <w:rPr>
                <w:rFonts w:hint="eastAsia"/>
                <w:color w:val="0D0D0D" w:themeColor="text1" w:themeTint="F2"/>
                <w:sz w:val="24"/>
                <w14:textFill>
                  <w14:solidFill>
                    <w14:schemeClr w14:val="tx1">
                      <w14:lumMod w14:val="95000"/>
                      <w14:lumOff w14:val="5000"/>
                    </w14:schemeClr>
                  </w14:solidFill>
                </w14:textFill>
              </w:rPr>
              <w:t xml:space="preserve">   </w:t>
            </w:r>
          </w:p>
          <w:p>
            <w:pPr>
              <w:keepNext w:val="0"/>
              <w:keepLines w:val="0"/>
              <w:suppressLineNumbers w:val="0"/>
              <w:spacing w:before="0" w:beforeAutospacing="0" w:after="0" w:afterAutospacing="0" w:line="360" w:lineRule="auto"/>
              <w:ind w:left="0" w:right="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式中：L</w:t>
            </w:r>
            <w:r>
              <w:rPr>
                <w:rFonts w:hint="eastAsia"/>
                <w:color w:val="0D0D0D" w:themeColor="text1" w:themeTint="F2"/>
                <w:sz w:val="24"/>
                <w:vertAlign w:val="subscript"/>
                <w14:textFill>
                  <w14:solidFill>
                    <w14:schemeClr w14:val="tx1">
                      <w14:lumMod w14:val="95000"/>
                      <w14:lumOff w14:val="5000"/>
                    </w14:schemeClr>
                  </w14:solidFill>
                </w14:textFill>
              </w:rPr>
              <w:t>eqg</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建设项目声源在预测点产生的噪声贡献值，dB；</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用于计算等效声级的时间，s；</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N</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室外声源个数；</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t</w:t>
            </w:r>
            <w:r>
              <w:rPr>
                <w:rFonts w:hint="eastAsia"/>
                <w:color w:val="0D0D0D" w:themeColor="text1" w:themeTint="F2"/>
                <w:sz w:val="24"/>
                <w:vertAlign w:val="subscript"/>
                <w14:textFill>
                  <w14:solidFill>
                    <w14:schemeClr w14:val="tx1">
                      <w14:lumMod w14:val="95000"/>
                      <w14:lumOff w14:val="5000"/>
                    </w14:schemeClr>
                  </w14:solidFill>
                </w14:textFill>
              </w:rPr>
              <w:t>i</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在T时间内i声源工作时间，s；</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M</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等效室外声源个数；</w:t>
            </w:r>
          </w:p>
          <w:p>
            <w:pPr>
              <w:keepNext w:val="0"/>
              <w:keepLines w:val="0"/>
              <w:suppressLineNumbers w:val="0"/>
              <w:spacing w:before="0" w:beforeAutospacing="0" w:after="0" w:afterAutospacing="0" w:line="360" w:lineRule="auto"/>
              <w:ind w:left="0" w:right="0" w:firstLine="720" w:firstLineChars="3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t</w:t>
            </w:r>
            <w:r>
              <w:rPr>
                <w:rFonts w:hint="eastAsia"/>
                <w:color w:val="0D0D0D" w:themeColor="text1" w:themeTint="F2"/>
                <w:sz w:val="24"/>
                <w:vertAlign w:val="subscript"/>
                <w14:textFill>
                  <w14:solidFill>
                    <w14:schemeClr w14:val="tx1">
                      <w14:lumMod w14:val="95000"/>
                      <w14:lumOff w14:val="5000"/>
                    </w14:schemeClr>
                  </w14:solidFill>
                </w14:textFill>
              </w:rPr>
              <w:t>j</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在T时间内j声源工作时间，s。</w:t>
            </w:r>
          </w:p>
          <w:p>
            <w:pPr>
              <w:keepNext/>
              <w:keepLines/>
              <w:suppressLineNumbers w:val="0"/>
              <w:spacing w:before="0" w:beforeAutospacing="0" w:after="0" w:afterAutospacing="0" w:line="360" w:lineRule="auto"/>
              <w:ind w:left="0" w:right="0" w:firstLine="472" w:firstLineChars="196"/>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3、</w:t>
            </w:r>
            <w:r>
              <w:rPr>
                <w:rFonts w:hint="default"/>
                <w:b/>
                <w:bCs/>
                <w:color w:val="0D0D0D" w:themeColor="text1" w:themeTint="F2"/>
                <w:sz w:val="24"/>
                <w:szCs w:val="32"/>
                <w14:textFill>
                  <w14:solidFill>
                    <w14:schemeClr w14:val="tx1">
                      <w14:lumMod w14:val="95000"/>
                      <w14:lumOff w14:val="5000"/>
                    </w14:schemeClr>
                  </w14:solidFill>
                </w14:textFill>
              </w:rPr>
              <w:t>预测结果评价</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C0C0C"/>
                <w:kern w:val="0"/>
                <w:sz w:val="24"/>
                <w:szCs w:val="24"/>
              </w:rPr>
            </w:pPr>
            <w:r>
              <w:rPr>
                <w:rFonts w:hint="eastAsia" w:ascii="宋体" w:hAnsi="宋体" w:eastAsia="宋体" w:cs="宋体"/>
                <w:color w:val="0C0C0C"/>
                <w:kern w:val="0"/>
                <w:sz w:val="24"/>
                <w:szCs w:val="24"/>
                <w:lang w:val="en-US" w:eastAsia="zh-CN" w:bidi="ar"/>
              </w:rPr>
              <w:t>拟建项目运行时的预测噪声排放值结果见表</w:t>
            </w:r>
            <w:r>
              <w:rPr>
                <w:rFonts w:hint="default" w:ascii="Times New Roman" w:hAnsi="Times New Roman" w:eastAsia="宋体" w:cs="Times New Roman"/>
                <w:color w:val="0C0C0C"/>
                <w:kern w:val="0"/>
                <w:sz w:val="24"/>
                <w:szCs w:val="24"/>
                <w:lang w:val="en-US" w:eastAsia="zh-CN" w:bidi="ar"/>
              </w:rPr>
              <w:t>4-1</w:t>
            </w:r>
            <w:r>
              <w:rPr>
                <w:rFonts w:hint="eastAsia" w:ascii="Times New Roman" w:hAnsi="Times New Roman" w:eastAsia="宋体" w:cs="Times New Roman"/>
                <w:color w:val="0C0C0C"/>
                <w:kern w:val="0"/>
                <w:sz w:val="24"/>
                <w:szCs w:val="24"/>
                <w:lang w:val="en-US" w:eastAsia="zh-CN" w:bidi="ar"/>
              </w:rPr>
              <w:t>2</w:t>
            </w:r>
            <w:r>
              <w:rPr>
                <w:rFonts w:hint="eastAsia" w:ascii="宋体" w:hAnsi="宋体" w:eastAsia="宋体" w:cs="宋体"/>
                <w:color w:val="0C0C0C"/>
                <w:kern w:val="0"/>
                <w:sz w:val="24"/>
                <w:szCs w:val="24"/>
                <w:lang w:val="en-US" w:eastAsia="zh-CN" w:bidi="ar"/>
              </w:rPr>
              <w:t>所示。</w:t>
            </w:r>
          </w:p>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C0C0C"/>
                <w:kern w:val="0"/>
                <w:sz w:val="24"/>
                <w:szCs w:val="24"/>
              </w:rPr>
            </w:pPr>
            <w:r>
              <w:rPr>
                <w:rFonts w:hint="eastAsia" w:ascii="宋体" w:hAnsi="宋体" w:eastAsia="宋体" w:cs="宋体"/>
                <w:b/>
                <w:bCs w:val="0"/>
                <w:color w:val="0C0C0C"/>
                <w:kern w:val="0"/>
                <w:sz w:val="24"/>
                <w:szCs w:val="24"/>
                <w:lang w:val="en-US" w:eastAsia="zh-CN" w:bidi="ar"/>
              </w:rPr>
              <w:t>表</w:t>
            </w:r>
            <w:r>
              <w:rPr>
                <w:rFonts w:hint="default" w:ascii="Times New Roman" w:hAnsi="Times New Roman" w:eastAsia="宋体" w:cs="Times New Roman"/>
                <w:b/>
                <w:bCs w:val="0"/>
                <w:color w:val="0C0C0C"/>
                <w:kern w:val="0"/>
                <w:sz w:val="24"/>
                <w:szCs w:val="24"/>
                <w:lang w:val="en-US" w:eastAsia="zh-CN" w:bidi="ar"/>
              </w:rPr>
              <w:t>4-1</w:t>
            </w:r>
            <w:r>
              <w:rPr>
                <w:rFonts w:hint="eastAsia" w:ascii="Times New Roman" w:hAnsi="Times New Roman" w:eastAsia="宋体" w:cs="Times New Roman"/>
                <w:b/>
                <w:bCs w:val="0"/>
                <w:color w:val="0C0C0C"/>
                <w:kern w:val="0"/>
                <w:sz w:val="24"/>
                <w:szCs w:val="24"/>
                <w:lang w:val="en-US" w:eastAsia="zh-CN" w:bidi="ar"/>
              </w:rPr>
              <w:t>2</w:t>
            </w:r>
            <w:r>
              <w:rPr>
                <w:rFonts w:hint="default" w:ascii="Times New Roman" w:hAnsi="Times New Roman" w:eastAsia="宋体" w:cs="Times New Roman"/>
                <w:b/>
                <w:bCs w:val="0"/>
                <w:color w:val="0C0C0C"/>
                <w:kern w:val="0"/>
                <w:sz w:val="24"/>
                <w:szCs w:val="24"/>
                <w:lang w:val="en-US" w:eastAsia="zh-CN" w:bidi="ar"/>
              </w:rPr>
              <w:t xml:space="preserve">  </w:t>
            </w:r>
            <w:r>
              <w:rPr>
                <w:rFonts w:hint="eastAsia" w:ascii="宋体" w:hAnsi="宋体" w:eastAsia="宋体" w:cs="宋体"/>
                <w:b/>
                <w:bCs w:val="0"/>
                <w:color w:val="0C0C0C"/>
                <w:kern w:val="0"/>
                <w:sz w:val="24"/>
                <w:szCs w:val="24"/>
                <w:lang w:val="en-US" w:eastAsia="zh-CN" w:bidi="ar"/>
              </w:rPr>
              <w:t>噪声排放预测结果  单位：</w:t>
            </w:r>
            <w:r>
              <w:rPr>
                <w:rFonts w:hint="default" w:ascii="Times New Roman" w:hAnsi="Times New Roman" w:eastAsia="宋体" w:cs="Times New Roman"/>
                <w:b/>
                <w:bCs w:val="0"/>
                <w:color w:val="0C0C0C"/>
                <w:kern w:val="0"/>
                <w:sz w:val="24"/>
                <w:szCs w:val="24"/>
                <w:lang w:val="en-US" w:eastAsia="zh-CN" w:bidi="ar"/>
              </w:rPr>
              <w:t>dB(A)</w:t>
            </w:r>
          </w:p>
          <w:tbl>
            <w:tblPr>
              <w:tblStyle w:val="5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Layout w:type="fixed"/>
              <w:tblCellMar>
                <w:top w:w="0" w:type="dxa"/>
                <w:left w:w="108" w:type="dxa"/>
                <w:bottom w:w="0" w:type="dxa"/>
                <w:right w:w="108" w:type="dxa"/>
              </w:tblCellMar>
            </w:tblPr>
            <w:tblGrid>
              <w:gridCol w:w="2415"/>
              <w:gridCol w:w="2510"/>
              <w:gridCol w:w="31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97" w:hRule="atLeast"/>
                <w:jc w:val="center"/>
              </w:trPr>
              <w:tc>
                <w:tcPr>
                  <w:tcW w:w="2415" w:type="dxa"/>
                  <w:tcBorders>
                    <w:top w:val="single" w:color="000000" w:sz="12" w:space="0"/>
                    <w:left w:val="nil"/>
                    <w:bottom w:val="single" w:color="auto" w:sz="4"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预测点位</w:t>
                  </w:r>
                </w:p>
              </w:tc>
              <w:tc>
                <w:tcPr>
                  <w:tcW w:w="2510" w:type="dxa"/>
                  <w:tcBorders>
                    <w:top w:val="single" w:color="000000" w:sz="12" w:space="0"/>
                    <w:left w:val="single" w:color="000000" w:sz="6" w:space="0"/>
                    <w:bottom w:val="single" w:color="auto" w:sz="4"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贡献值</w:t>
                  </w:r>
                </w:p>
              </w:tc>
              <w:tc>
                <w:tcPr>
                  <w:tcW w:w="3136" w:type="dxa"/>
                  <w:tcBorders>
                    <w:top w:val="single" w:color="000000" w:sz="12" w:space="0"/>
                    <w:left w:val="single" w:color="000000" w:sz="6" w:space="0"/>
                    <w:bottom w:val="single" w:color="auto" w:sz="4" w:space="0"/>
                    <w:right w:val="nil"/>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b/>
                      <w:bCs w:val="0"/>
                      <w:color w:val="0C0C0C"/>
                      <w:kern w:val="0"/>
                      <w:sz w:val="21"/>
                      <w:szCs w:val="21"/>
                    </w:rPr>
                  </w:pPr>
                  <w:r>
                    <w:rPr>
                      <w:rFonts w:hint="eastAsia" w:ascii="宋体" w:hAnsi="宋体" w:eastAsia="宋体" w:cs="宋体"/>
                      <w:b/>
                      <w:bCs w:val="0"/>
                      <w:color w:val="0C0C0C"/>
                      <w:kern w:val="0"/>
                      <w:sz w:val="21"/>
                      <w:szCs w:val="21"/>
                      <w:lang w:val="en-US" w:eastAsia="zh-CN" w:bidi="ar"/>
                    </w:rPr>
                    <w:t>标准值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97" w:hRule="atLeast"/>
                <w:jc w:val="center"/>
              </w:trPr>
              <w:tc>
                <w:tcPr>
                  <w:tcW w:w="2415" w:type="dxa"/>
                  <w:tcBorders>
                    <w:top w:val="single" w:color="auto" w:sz="4" w:space="0"/>
                    <w:left w:val="nil"/>
                    <w:bottom w:val="single" w:color="000000" w:sz="6"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东厂界</w:t>
                  </w:r>
                </w:p>
              </w:tc>
              <w:tc>
                <w:tcPr>
                  <w:tcW w:w="2510" w:type="dxa"/>
                  <w:tcBorders>
                    <w:top w:val="single" w:color="auto" w:sz="4"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kern w:val="0"/>
                      <w:sz w:val="21"/>
                      <w:szCs w:val="21"/>
                      <w:lang w:val="en-US"/>
                    </w:rPr>
                  </w:pPr>
                  <w:r>
                    <w:rPr>
                      <w:rFonts w:hint="eastAsia" w:cs="Times New Roman"/>
                      <w:kern w:val="0"/>
                      <w:sz w:val="21"/>
                      <w:szCs w:val="21"/>
                      <w:lang w:val="en-US" w:eastAsia="zh-CN" w:bidi="ar"/>
                    </w:rPr>
                    <w:t>41.0</w:t>
                  </w:r>
                </w:p>
              </w:tc>
              <w:tc>
                <w:tcPr>
                  <w:tcW w:w="3136" w:type="dxa"/>
                  <w:vMerge w:val="restart"/>
                  <w:tcBorders>
                    <w:top w:val="nil"/>
                    <w:left w:val="single" w:color="000000" w:sz="6" w:space="0"/>
                    <w:bottom w:val="single" w:color="000000" w:sz="6" w:space="0"/>
                    <w:right w:val="nil"/>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rPr>
                  </w:pPr>
                  <w:r>
                    <w:rPr>
                      <w:rFonts w:hint="eastAsia" w:ascii="宋体" w:hAnsi="宋体" w:eastAsia="宋体" w:cs="宋体"/>
                      <w:kern w:val="2"/>
                      <w:sz w:val="21"/>
                      <w:szCs w:val="21"/>
                      <w:lang w:val="en-US" w:eastAsia="zh-CN" w:bidi="ar"/>
                    </w:rPr>
                    <w:t>昼间</w:t>
                  </w:r>
                  <w:r>
                    <w:rPr>
                      <w:rFonts w:hint="default" w:ascii="Times New Roman" w:hAnsi="Times New Roman" w:eastAsia="宋体" w:cs="Times New Roman"/>
                      <w:kern w:val="2"/>
                      <w:sz w:val="21"/>
                      <w:szCs w:val="21"/>
                      <w:lang w:val="en-US" w:eastAsia="zh-CN" w:bidi="ar"/>
                    </w:rPr>
                    <w:t>≤65 dB(A)</w:t>
                  </w:r>
                </w:p>
                <w:p>
                  <w:pPr>
                    <w:pStyle w:val="54"/>
                    <w:keepNext w:val="0"/>
                    <w:keepLines w:val="0"/>
                    <w:widowControl w:val="0"/>
                    <w:suppressLineNumbers w:val="0"/>
                    <w:autoSpaceDE w:val="0"/>
                    <w:autoSpaceDN w:val="0"/>
                    <w:adjustRightInd w:val="0"/>
                    <w:spacing w:before="0" w:beforeAutospacing="0" w:after="0" w:afterAutospacing="0"/>
                    <w:ind w:left="0" w:right="0"/>
                    <w:jc w:val="center"/>
                    <w:rPr>
                      <w:rFonts w:hint="eastAsia" w:ascii="宋体" w:hAnsi="Times New Roman" w:eastAsia="宋体" w:cs="宋体"/>
                      <w:color w:val="000000"/>
                      <w:sz w:val="24"/>
                      <w:szCs w:val="24"/>
                    </w:rPr>
                  </w:pPr>
                  <w:r>
                    <w:rPr>
                      <w:rFonts w:hint="eastAsia" w:ascii="宋体" w:hAnsi="宋体" w:eastAsia="宋体" w:cs="宋体"/>
                      <w:color w:val="000000"/>
                      <w:kern w:val="2"/>
                      <w:sz w:val="21"/>
                      <w:szCs w:val="21"/>
                      <w:lang w:val="en-US" w:eastAsia="zh-CN" w:bidi="ar"/>
                    </w:rPr>
                    <w:t>夜间</w:t>
                  </w:r>
                  <w:r>
                    <w:rPr>
                      <w:rFonts w:hint="eastAsia" w:ascii="Times New Roman" w:hAnsi="Times New Roman" w:eastAsia="宋体" w:cs="Times New Roman"/>
                      <w:color w:val="000000"/>
                      <w:kern w:val="2"/>
                      <w:sz w:val="21"/>
                      <w:szCs w:val="21"/>
                      <w:lang w:val="en-US" w:eastAsia="zh-CN" w:bidi="ar"/>
                    </w:rPr>
                    <w:t>≤</w:t>
                  </w:r>
                  <w:r>
                    <w:rPr>
                      <w:rFonts w:hint="default" w:ascii="Times New Roman" w:hAnsi="Times New Roman" w:eastAsia="宋体" w:cs="Times New Roman"/>
                      <w:color w:val="000000"/>
                      <w:kern w:val="2"/>
                      <w:sz w:val="21"/>
                      <w:szCs w:val="21"/>
                      <w:lang w:val="en-US" w:eastAsia="zh-CN" w:bidi="ar"/>
                    </w:rPr>
                    <w:t>55dB(A)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15" w:type="dxa"/>
                  <w:tcBorders>
                    <w:top w:val="single" w:color="000000" w:sz="6" w:space="0"/>
                    <w:left w:val="nil"/>
                    <w:bottom w:val="single" w:color="000000" w:sz="6"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南厂界</w:t>
                  </w:r>
                </w:p>
              </w:tc>
              <w:tc>
                <w:tcPr>
                  <w:tcW w:w="2510"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kern w:val="0"/>
                      <w:sz w:val="21"/>
                      <w:szCs w:val="21"/>
                      <w:lang w:val="en-US"/>
                    </w:rPr>
                  </w:pPr>
                  <w:r>
                    <w:rPr>
                      <w:rFonts w:hint="eastAsia" w:cs="Times New Roman"/>
                      <w:kern w:val="0"/>
                      <w:sz w:val="21"/>
                      <w:szCs w:val="21"/>
                      <w:lang w:val="en-US" w:eastAsia="zh-CN" w:bidi="ar"/>
                    </w:rPr>
                    <w:t>44.6</w:t>
                  </w:r>
                </w:p>
              </w:tc>
              <w:tc>
                <w:tcPr>
                  <w:tcW w:w="3136" w:type="dxa"/>
                  <w:vMerge w:val="continue"/>
                  <w:tcBorders>
                    <w:top w:val="nil"/>
                    <w:left w:val="single" w:color="000000" w:sz="6" w:space="0"/>
                    <w:bottom w:val="single" w:color="000000" w:sz="6"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auto"/>
                <w:tblCellMar>
                  <w:top w:w="0" w:type="dxa"/>
                  <w:left w:w="108" w:type="dxa"/>
                  <w:bottom w:w="0" w:type="dxa"/>
                  <w:right w:w="108" w:type="dxa"/>
                </w:tblCellMar>
              </w:tblPrEx>
              <w:trPr>
                <w:trHeight w:val="397" w:hRule="atLeast"/>
                <w:jc w:val="center"/>
              </w:trPr>
              <w:tc>
                <w:tcPr>
                  <w:tcW w:w="2415" w:type="dxa"/>
                  <w:tcBorders>
                    <w:top w:val="single" w:color="000000" w:sz="6" w:space="0"/>
                    <w:left w:val="nil"/>
                    <w:bottom w:val="single" w:color="000000" w:sz="6"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西厂界</w:t>
                  </w:r>
                </w:p>
              </w:tc>
              <w:tc>
                <w:tcPr>
                  <w:tcW w:w="2510"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widowControl w:val="0"/>
                    <w:suppressLineNumbers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rPr>
                  </w:pPr>
                  <w:r>
                    <w:rPr>
                      <w:rFonts w:hint="eastAsia" w:cs="Times New Roman"/>
                      <w:kern w:val="2"/>
                      <w:sz w:val="21"/>
                      <w:szCs w:val="21"/>
                      <w:lang w:val="en-US" w:eastAsia="zh-CN" w:bidi="ar"/>
                    </w:rPr>
                    <w:t>51.7</w:t>
                  </w:r>
                </w:p>
              </w:tc>
              <w:tc>
                <w:tcPr>
                  <w:tcW w:w="3136" w:type="dxa"/>
                  <w:vMerge w:val="continue"/>
                  <w:tcBorders>
                    <w:top w:val="nil"/>
                    <w:left w:val="single" w:color="000000" w:sz="6" w:space="0"/>
                    <w:bottom w:val="single" w:color="000000" w:sz="6"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15" w:type="dxa"/>
                  <w:tcBorders>
                    <w:top w:val="single" w:color="000000" w:sz="6" w:space="0"/>
                    <w:left w:val="nil"/>
                    <w:bottom w:val="single" w:color="000000" w:sz="12"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北厂界</w:t>
                  </w:r>
                </w:p>
              </w:tc>
              <w:tc>
                <w:tcPr>
                  <w:tcW w:w="2510" w:type="dxa"/>
                  <w:tcBorders>
                    <w:top w:val="single" w:color="000000" w:sz="6" w:space="0"/>
                    <w:left w:val="single" w:color="000000" w:sz="6" w:space="0"/>
                    <w:bottom w:val="single" w:color="000000" w:sz="12" w:space="0"/>
                    <w:right w:val="single" w:color="000000" w:sz="6" w:space="0"/>
                  </w:tcBorders>
                  <w:shd w:val="clear" w:color="auto" w:fill="auto"/>
                  <w:vAlign w:val="center"/>
                </w:tcPr>
                <w:p>
                  <w:pPr>
                    <w:keepNext w:val="0"/>
                    <w:keepLines w:val="0"/>
                    <w:widowControl/>
                    <w:suppressLineNumbers w:val="0"/>
                    <w:snapToGrid w:val="0"/>
                    <w:spacing w:before="0" w:beforeAutospacing="0" w:after="0" w:afterAutospacing="0" w:line="300" w:lineRule="exact"/>
                    <w:ind w:left="0" w:right="0"/>
                    <w:jc w:val="center"/>
                    <w:rPr>
                      <w:rFonts w:hint="default" w:ascii="Times New Roman" w:hAnsi="Times New Roman" w:eastAsia="宋体" w:cs="Times New Roman"/>
                      <w:kern w:val="0"/>
                      <w:sz w:val="21"/>
                      <w:szCs w:val="21"/>
                      <w:lang w:val="en-US"/>
                    </w:rPr>
                  </w:pPr>
                  <w:r>
                    <w:rPr>
                      <w:rFonts w:hint="eastAsia" w:cs="Times New Roman"/>
                      <w:kern w:val="0"/>
                      <w:sz w:val="21"/>
                      <w:szCs w:val="21"/>
                      <w:lang w:val="en-US" w:eastAsia="zh-CN" w:bidi="ar"/>
                    </w:rPr>
                    <w:t>54.0</w:t>
                  </w:r>
                </w:p>
              </w:tc>
              <w:tc>
                <w:tcPr>
                  <w:tcW w:w="3136" w:type="dxa"/>
                  <w:vMerge w:val="continue"/>
                  <w:tcBorders>
                    <w:top w:val="nil"/>
                    <w:left w:val="single" w:color="000000" w:sz="6" w:space="0"/>
                    <w:bottom w:val="single" w:color="000000" w:sz="6" w:space="0"/>
                    <w:right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bl>
          <w:p>
            <w:pPr>
              <w:keepNext w:val="0"/>
              <w:keepLines w:val="0"/>
              <w:widowControl/>
              <w:suppressLineNumbers w:val="0"/>
              <w:kinsoku w:val="0"/>
              <w:overflowPunct w:val="0"/>
              <w:spacing w:before="0" w:beforeAutospacing="0" w:after="0" w:afterAutospacing="0" w:line="360" w:lineRule="auto"/>
              <w:ind w:left="0" w:right="0" w:firstLine="480" w:firstLineChars="200"/>
              <w:jc w:val="left"/>
              <w:rPr>
                <w:rFonts w:hint="default" w:ascii="Times New Roman" w:hAnsi="Times New Roman" w:eastAsia="宋体" w:cs="Times New Roman"/>
                <w:color w:val="0C0C0C"/>
                <w:kern w:val="0"/>
                <w:sz w:val="24"/>
                <w:szCs w:val="24"/>
              </w:rPr>
            </w:pPr>
            <w:r>
              <w:rPr>
                <w:rFonts w:hint="eastAsia" w:ascii="宋体" w:hAnsi="宋体" w:eastAsia="宋体" w:cs="宋体"/>
                <w:color w:val="0C0C0C"/>
                <w:kern w:val="0"/>
                <w:sz w:val="24"/>
                <w:szCs w:val="24"/>
                <w:lang w:val="en-US" w:eastAsia="zh-CN" w:bidi="ar"/>
              </w:rPr>
              <w:t>由上表可知，由于本项目大部分噪声源均布置在室内，且主要噪声设备位于厂房内。本项目厂界边界噪声预测排放值为</w:t>
            </w:r>
            <w:r>
              <w:rPr>
                <w:rFonts w:hint="default" w:ascii="Times New Roman" w:hAnsi="Times New Roman" w:eastAsia="宋体" w:cs="Times New Roman"/>
                <w:color w:val="0C0C0C"/>
                <w:kern w:val="0"/>
                <w:sz w:val="24"/>
                <w:szCs w:val="24"/>
                <w:lang w:val="en-US" w:eastAsia="zh-CN" w:bidi="ar"/>
              </w:rPr>
              <w:t>41</w:t>
            </w:r>
            <w:r>
              <w:rPr>
                <w:rFonts w:hint="eastAsia" w:ascii="宋体" w:hAnsi="宋体" w:eastAsia="宋体" w:cs="宋体"/>
                <w:color w:val="0C0C0C"/>
                <w:kern w:val="0"/>
                <w:sz w:val="24"/>
                <w:szCs w:val="24"/>
                <w:lang w:val="en-US" w:eastAsia="zh-CN" w:bidi="ar"/>
              </w:rPr>
              <w:t>～</w:t>
            </w:r>
            <w:r>
              <w:rPr>
                <w:rFonts w:hint="eastAsia" w:cs="Times New Roman"/>
                <w:color w:val="0C0C0C"/>
                <w:kern w:val="0"/>
                <w:sz w:val="24"/>
                <w:szCs w:val="24"/>
                <w:lang w:val="en-US" w:eastAsia="zh-CN" w:bidi="ar"/>
              </w:rPr>
              <w:t>54.0</w:t>
            </w:r>
            <w:r>
              <w:rPr>
                <w:rFonts w:hint="default" w:ascii="Times New Roman" w:hAnsi="Times New Roman" w:eastAsia="宋体" w:cs="Times New Roman"/>
                <w:color w:val="0C0C0C"/>
                <w:kern w:val="0"/>
                <w:sz w:val="24"/>
                <w:szCs w:val="24"/>
                <w:lang w:val="en-US" w:eastAsia="zh-CN" w:bidi="ar"/>
              </w:rPr>
              <w:t>dB(A)</w:t>
            </w:r>
            <w:r>
              <w:rPr>
                <w:rFonts w:hint="eastAsia" w:ascii="宋体" w:hAnsi="宋体" w:eastAsia="宋体" w:cs="宋体"/>
                <w:color w:val="0C0C0C"/>
                <w:kern w:val="0"/>
                <w:sz w:val="24"/>
                <w:szCs w:val="24"/>
                <w:lang w:val="en-US" w:eastAsia="zh-CN" w:bidi="ar"/>
              </w:rPr>
              <w:t>，故本项目实施后其噪声排放可以达到</w:t>
            </w:r>
            <w:r>
              <w:rPr>
                <w:rFonts w:hint="default" w:ascii="Times New Roman" w:hAnsi="Times New Roman" w:eastAsia="宋体" w:cs="Times New Roman"/>
                <w:color w:val="0C0C0C"/>
                <w:kern w:val="0"/>
                <w:sz w:val="24"/>
                <w:szCs w:val="24"/>
                <w:lang w:val="en-US" w:eastAsia="zh-CN" w:bidi="ar"/>
              </w:rPr>
              <w:t>GB12348-2008</w:t>
            </w:r>
            <w:r>
              <w:rPr>
                <w:rFonts w:hint="eastAsia" w:ascii="宋体" w:hAnsi="宋体" w:eastAsia="宋体" w:cs="宋体"/>
                <w:color w:val="0C0C0C"/>
                <w:kern w:val="0"/>
                <w:sz w:val="24"/>
                <w:szCs w:val="24"/>
                <w:lang w:val="en-US" w:eastAsia="zh-CN" w:bidi="ar"/>
              </w:rPr>
              <w:t>《工业企业厂界环境噪声排放标准》</w:t>
            </w:r>
            <w:r>
              <w:rPr>
                <w:rFonts w:hint="default" w:ascii="Times New Roman" w:hAnsi="Times New Roman" w:eastAsia="宋体" w:cs="Times New Roman"/>
                <w:color w:val="0C0C0C"/>
                <w:kern w:val="0"/>
                <w:sz w:val="24"/>
                <w:szCs w:val="24"/>
                <w:lang w:val="en-US" w:eastAsia="zh-CN" w:bidi="ar"/>
              </w:rPr>
              <w:t>3</w:t>
            </w:r>
            <w:r>
              <w:rPr>
                <w:rFonts w:hint="eastAsia" w:ascii="宋体" w:hAnsi="宋体" w:eastAsia="宋体" w:cs="宋体"/>
                <w:color w:val="0C0C0C"/>
                <w:kern w:val="0"/>
                <w:sz w:val="24"/>
                <w:szCs w:val="24"/>
                <w:lang w:val="en-US" w:eastAsia="zh-CN" w:bidi="ar"/>
              </w:rPr>
              <w:t>类标准要求。</w:t>
            </w:r>
          </w:p>
          <w:p>
            <w:pPr>
              <w:keepNext w:val="0"/>
              <w:keepLines w:val="0"/>
              <w:widowControl/>
              <w:suppressLineNumbers w:val="0"/>
              <w:kinsoku w:val="0"/>
              <w:overflowPunct w:val="0"/>
              <w:spacing w:before="0" w:beforeAutospacing="0" w:after="0" w:afterAutospacing="0" w:line="360" w:lineRule="auto"/>
              <w:ind w:left="0" w:right="0" w:firstLine="480" w:firstLineChars="200"/>
              <w:jc w:val="left"/>
              <w:rPr>
                <w:rFonts w:hint="eastAsia" w:ascii="宋体" w:hAnsi="宋体" w:eastAsia="宋体" w:cs="宋体"/>
                <w:color w:val="0C0C0C"/>
                <w:kern w:val="0"/>
                <w:sz w:val="24"/>
                <w:szCs w:val="24"/>
                <w:lang w:val="en-US" w:eastAsia="zh-CN" w:bidi="ar"/>
              </w:rPr>
            </w:pPr>
            <w:r>
              <w:rPr>
                <w:rFonts w:hint="eastAsia" w:ascii="宋体" w:hAnsi="宋体" w:eastAsia="宋体" w:cs="宋体"/>
                <w:color w:val="0C0C0C"/>
                <w:kern w:val="0"/>
                <w:sz w:val="24"/>
                <w:szCs w:val="24"/>
                <w:lang w:val="en-US" w:eastAsia="zh-CN" w:bidi="ar"/>
              </w:rPr>
              <w:t>根据预测结果，拟建项目正常运营时，其厂界环境噪声能做到达标排放，因此拟建项目实施后对周围声环境的影响很小</w:t>
            </w:r>
            <w:r>
              <w:rPr>
                <w:rFonts w:hint="eastAsia" w:ascii="宋体" w:hAnsi="宋体" w:cs="宋体"/>
                <w:color w:val="0C0C0C"/>
                <w:kern w:val="0"/>
                <w:sz w:val="24"/>
                <w:szCs w:val="24"/>
                <w:lang w:val="en-US" w:eastAsia="zh-CN" w:bidi="ar"/>
              </w:rPr>
              <w:t>。</w:t>
            </w:r>
          </w:p>
          <w:p>
            <w:pPr>
              <w:keepNext w:val="0"/>
              <w:keepLines w:val="0"/>
              <w:suppressLineNumbers w:val="0"/>
              <w:autoSpaceDE w:val="0"/>
              <w:autoSpaceDN w:val="0"/>
              <w:adjustRightInd w:val="0"/>
              <w:spacing w:before="0" w:beforeAutospacing="0" w:after="0" w:afterAutospacing="0" w:line="360" w:lineRule="auto"/>
              <w:ind w:left="0" w:right="0" w:firstLine="482" w:firstLineChars="200"/>
              <w:jc w:val="left"/>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4、噪声污染防治措施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本项目噪声源经相应的降噪措施处理后通过建筑物门窗、墙壁的吸收、屏蔽及阻挡作用，将会大幅度地衰减。具体可采取的治理措施如下：</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（1）合理布局：项目将高噪声设备尽量布置在厂区中部，通过距离衰减减轻噪声对外环境的影响。</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（2）选择低噪声设备：项目在满足工艺设计的前提下，尽量选用满足国际标准的低噪声、低振动型号的设备，降低噪声源强。</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（3）隔声、减</w:t>
            </w:r>
            <w:r>
              <w:rPr>
                <w:rFonts w:hint="eastAsia"/>
                <w:color w:val="0D0D0D" w:themeColor="text1" w:themeTint="F2"/>
                <w:sz w:val="24"/>
                <w14:textFill>
                  <w14:solidFill>
                    <w14:schemeClr w14:val="tx1">
                      <w14:lumMod w14:val="95000"/>
                      <w14:lumOff w14:val="5000"/>
                    </w14:schemeClr>
                  </w14:solidFill>
                </w14:textFill>
              </w:rPr>
              <w:t>振</w:t>
            </w:r>
            <w:r>
              <w:rPr>
                <w:rFonts w:hint="default"/>
                <w:color w:val="0D0D0D" w:themeColor="text1" w:themeTint="F2"/>
                <w:sz w:val="24"/>
                <w14:textFill>
                  <w14:solidFill>
                    <w14:schemeClr w14:val="tx1">
                      <w14:lumMod w14:val="95000"/>
                      <w14:lumOff w14:val="5000"/>
                    </w14:schemeClr>
                  </w14:solidFill>
                </w14:textFill>
              </w:rPr>
              <w:t>：建设单位根据噪声产生的性质可分为机械运动噪声，根据其产生的性质和机理不同分别采用了隔声、减振等方式进行了降噪处理。</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（4）强化生产管理：确保降噪设施的有效运行，并加强对生产设备的保养、检修与润滑，保证设备处于良好的运转状态。</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经上述治理措施后，可满足保护操作工人的身心健康需要，加上围墙隔音及距离衰减，能够做到厂界达标。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tc>
        <w:tc>
          <w:tcPr>
            <w:tcW w:w="8293" w:type="dxa"/>
          </w:tcPr>
          <w:p>
            <w:pPr>
              <w:keepNext/>
              <w:keepLines/>
              <w:suppressLineNumbers w:val="0"/>
              <w:spacing w:before="120" w:beforeLines="50" w:beforeAutospacing="0" w:after="0" w:afterAutospacing="0" w:line="360" w:lineRule="auto"/>
              <w:ind w:left="0" w:right="0" w:firstLine="480"/>
              <w:outlineLvl w:val="2"/>
              <w:rPr>
                <w:rFonts w:hint="default"/>
                <w:b/>
                <w:bCs/>
                <w:color w:val="0D0D0D" w:themeColor="text1" w:themeTint="F2"/>
                <w:sz w:val="24"/>
                <w:szCs w:val="32"/>
                <w14:textFill>
                  <w14:solidFill>
                    <w14:schemeClr w14:val="tx1">
                      <w14:lumMod w14:val="95000"/>
                      <w14:lumOff w14:val="5000"/>
                    </w14:schemeClr>
                  </w14:solidFill>
                </w14:textFill>
              </w:rPr>
            </w:pPr>
            <w:r>
              <w:rPr>
                <w:rFonts w:hint="eastAsia"/>
                <w:b/>
                <w:bCs/>
                <w:color w:val="0D0D0D" w:themeColor="text1" w:themeTint="F2"/>
                <w:sz w:val="24"/>
                <w:szCs w:val="32"/>
                <w14:textFill>
                  <w14:solidFill>
                    <w14:schemeClr w14:val="tx1">
                      <w14:lumMod w14:val="95000"/>
                      <w14:lumOff w14:val="5000"/>
                    </w14:schemeClr>
                  </w14:solidFill>
                </w14:textFill>
              </w:rPr>
              <w:t>四、固体废物环境影响和保护措施</w:t>
            </w:r>
          </w:p>
          <w:p>
            <w:pPr>
              <w:keepNext w:val="0"/>
              <w:keepLines w:val="0"/>
              <w:suppressLineNumbers w:val="0"/>
              <w:spacing w:before="0" w:beforeAutospacing="0" w:after="0" w:afterAutospacing="0" w:line="360" w:lineRule="auto"/>
              <w:ind w:left="0" w:right="0" w:firstLine="482" w:firstLineChars="200"/>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1、固体废物产生情况</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本项目固体废物主要分为：一般工业固体废物、危险废物和生活垃圾。其中一般工业固体废物包括</w:t>
            </w:r>
            <w:r>
              <w:rPr>
                <w:rFonts w:hint="eastAsia"/>
                <w:color w:val="0D0D0D" w:themeColor="text1" w:themeTint="F2"/>
                <w:sz w:val="24"/>
                <w14:textFill>
                  <w14:solidFill>
                    <w14:schemeClr w14:val="tx1">
                      <w14:lumMod w14:val="95000"/>
                      <w14:lumOff w14:val="5000"/>
                    </w14:schemeClr>
                  </w14:solidFill>
                </w14:textFill>
              </w:rPr>
              <w:t>收集抛丸粉尘</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不合格品</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金属屑</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废抛丸砂</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废砂轮带</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熔化炉炉渣</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打磨湿式除尘沉渣</w:t>
            </w:r>
            <w:r>
              <w:rPr>
                <w:rFonts w:hint="default"/>
                <w:color w:val="0D0D0D" w:themeColor="text1" w:themeTint="F2"/>
                <w:sz w:val="24"/>
                <w14:textFill>
                  <w14:solidFill>
                    <w14:schemeClr w14:val="tx1">
                      <w14:lumMod w14:val="95000"/>
                      <w14:lumOff w14:val="5000"/>
                    </w14:schemeClr>
                  </w14:solidFill>
                </w14:textFill>
              </w:rPr>
              <w:t>；危险废物包括</w:t>
            </w:r>
            <w:r>
              <w:rPr>
                <w:rFonts w:hint="eastAsia"/>
                <w:color w:val="0D0D0D" w:themeColor="text1" w:themeTint="F2"/>
                <w:sz w:val="24"/>
                <w14:textFill>
                  <w14:solidFill>
                    <w14:schemeClr w14:val="tx1">
                      <w14:lumMod w14:val="95000"/>
                      <w14:lumOff w14:val="5000"/>
                    </w14:schemeClr>
                  </w14:solidFill>
                </w14:textFill>
              </w:rPr>
              <w:t>废脱模剂桶</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废布袋</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收集铝灰</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废活性炭</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废润滑油</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废液压油</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废油桶</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废脱模液沉渣</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集中收集的废含油手套、抹布。</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（1）一般工业固废</w:t>
            </w:r>
          </w:p>
          <w:p>
            <w:pPr>
              <w:keepNext w:val="0"/>
              <w:keepLines w:val="0"/>
              <w:suppressLineNumbers w:val="0"/>
              <w:spacing w:before="0" w:beforeAutospacing="0" w:after="0" w:afterAutospacing="0" w:line="360" w:lineRule="auto"/>
              <w:ind w:left="0" w:right="0" w:firstLine="480" w:firstLineChars="200"/>
              <w:rPr>
                <w:rFonts w:hint="eastAsia"/>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1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①</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eastAsia"/>
                <w:color w:val="0D0D0D" w:themeColor="text1" w:themeTint="F2"/>
                <w:sz w:val="24"/>
                <w:lang w:val="en-US" w:eastAsia="zh-CN"/>
                <w14:textFill>
                  <w14:solidFill>
                    <w14:schemeClr w14:val="tx1">
                      <w14:lumMod w14:val="95000"/>
                      <w14:lumOff w14:val="5000"/>
                    </w14:schemeClr>
                  </w14:solidFill>
                </w14:textFill>
              </w:rPr>
              <w:t>收集抛丸粉尘</w:t>
            </w:r>
            <w:r>
              <w:rPr>
                <w:rFonts w:hint="default"/>
                <w:color w:val="0D0D0D" w:themeColor="text1" w:themeTint="F2"/>
                <w:kern w:val="0"/>
                <w:sz w:val="24"/>
                <w14:textFill>
                  <w14:solidFill>
                    <w14:schemeClr w14:val="tx1">
                      <w14:lumMod w14:val="95000"/>
                      <w14:lumOff w14:val="5000"/>
                    </w14:schemeClr>
                  </w14:solidFill>
                </w14:textFill>
              </w:rPr>
              <w:t>：</w:t>
            </w:r>
            <w:r>
              <w:rPr>
                <w:rFonts w:hint="eastAsia"/>
                <w:color w:val="0D0D0D" w:themeColor="text1" w:themeTint="F2"/>
                <w:kern w:val="0"/>
                <w:sz w:val="24"/>
                <w:lang w:val="en-US" w:eastAsia="zh-CN"/>
                <w14:textFill>
                  <w14:solidFill>
                    <w14:schemeClr w14:val="tx1">
                      <w14:lumMod w14:val="95000"/>
                      <w14:lumOff w14:val="5000"/>
                    </w14:schemeClr>
                  </w14:solidFill>
                </w14:textFill>
              </w:rPr>
              <w:t>抛丸布袋除尘器收集粉尘量为8.456t/a，抛丸粉尘主要成分为铝合金粉尘，属于一般固废，集中收集后外售。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②</w:t>
            </w: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不合格品：项目在检验过程产生少量不合格品，根据建设单位提供资料，</w:t>
            </w:r>
            <w:r>
              <w:rPr>
                <w:rFonts w:hint="eastAsia" w:ascii="宋体" w:hAnsi="宋体"/>
                <w:color w:val="auto"/>
                <w:sz w:val="24"/>
                <w:lang w:val="en-US" w:eastAsia="zh-CN"/>
              </w:rPr>
              <w:t>不合格品约占产品的 0.5%</w:t>
            </w: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，产生的不合格品量约19.5t/a。属于一般固废，集中收集后外售。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kern w:val="0"/>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kern w:val="0"/>
                <w:sz w:val="24"/>
                <w14:textFill>
                  <w14:solidFill>
                    <w14:schemeClr w14:val="tx1">
                      <w14:lumMod w14:val="95000"/>
                      <w14:lumOff w14:val="5000"/>
                    </w14:schemeClr>
                  </w14:solidFill>
                </w14:textFill>
              </w:rPr>
              <w:t>③</w:t>
            </w:r>
            <w:r>
              <w:rPr>
                <w:rFonts w:hint="eastAsia" w:ascii="宋体" w:hAnsi="宋体"/>
                <w:color w:val="0D0D0D" w:themeColor="text1" w:themeTint="F2"/>
                <w:kern w:val="0"/>
                <w:sz w:val="24"/>
                <w:lang w:val="en-US" w:eastAsia="zh-CN"/>
                <w14:textFill>
                  <w14:solidFill>
                    <w14:schemeClr w14:val="tx1">
                      <w14:lumMod w14:val="95000"/>
                      <w14:lumOff w14:val="5000"/>
                    </w14:schemeClr>
                  </w14:solidFill>
                </w14:textFill>
              </w:rPr>
              <w:t>金属屑：项目在锯切过程中产生金属屑，根据建设单位提供资料，产生的金属屑 0.3t/a，属于一般固废，集中收集后回用。</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④废抛丸砂：抛丸钢珠多次使用后含有的金属尘较多，影响抛丸效果，因此需要定期更换，产生废抛丸砂，产生量约0.6t/a，属于一般固废，集中收集后外售。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⑤废砂轮带：砂轮打磨工艺，产生废砂轮带，根据建设单位提供资料，废砂轮带年产生量约0.2t，属于一般固废，集中收集后外售。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⑥熔化炉炉渣：炉渣产生量约占熔化铝锭用量的 1‰，本项目熔化铝锭用量约3900t/a，则炉渣产生量约为3.9t/a，属于一般固废，集中收集后外售。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⑦打磨湿式除尘沉渣：本项目打磨粉尘湿式除尘器会产生沉渣，本项目打磨湿式除尘沉渣产生量为8.371t/a，属于一般固废，集中收集后外售。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（2）危险废物</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①废脱模剂桶：项目外购的脱模剂采用桶装，规格为 250kg/桶，年产生废包装桶约20 个，单个桶质量约20kg，则废脱模剂桶产生量为0.4t/a。属于危险废物（HW49，900-041-49），经收集暂存危险废物暂存间，委托有资质单位处置。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②废布袋：布袋除尘器的布袋定期更换，会产生废布袋，本项目年产生废布袋 0.03t，属于危险废物（HW49，900-041-49），经收集暂存危险废物暂存间，委托有资质单位处置。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③收集铝灰：本次熔化烟尘经袋式除尘器处理，根据工程分析，袋式除尘器收集铝灰量为 3.277t/a。主要为金属氧化物，属于危险废物（HW48，321-034-48），经收集暂存危废间，委托有资质单位处置。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④废活性炭：对压铸脱模废气采用两级活性炭吸附处理，根据工程分析，活性炭吸附有机废气量为1.575t/a，根据《简明通风设计手册》，蜂窝状活性炭装置有效吸附量：qe=0.3kg/kg，则活性炭使用量为5.25t/a，废活性炭（含吸附废气）的产生量约为6.82t/a。本项目均采用碘值800 mg/g的蜂窝活性炭，活性炭半年更换一次，有机废气处理系统设1个活性炭箱，活性炭一次填载量至少约 1.73t。属于危险废物（HW49，900-039-49），经收集暂存危废间，委托有资质单位处置。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⑤废润滑油：项目设备定期维护保养，产生废润滑油，根据建设单位提供资料，更换产生的废润滑油量为0.05t。属于危险废物（HW08，900-217-08），经收集暂存危险废物暂存间，委托有资质单位处置。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00000" w:themeColor="text1"/>
                <w:sz w:val="24"/>
                <w:lang w:val="en-US" w:eastAsia="zh-CN"/>
                <w14:textFill>
                  <w14:solidFill>
                    <w14:schemeClr w14:val="tx1"/>
                  </w14:solidFill>
                </w14:textFill>
              </w:rPr>
              <w:t>⑥废液压油</w:t>
            </w: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：废液压油产生量为0.3t/a。属于危险废物（HW08，900-218-08），经收集暂存危险废物暂存间，委托有资质单位处置。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⑦废油桶：项目外购的润滑油、液压油均采用桶装，使用过程中产生废油桶，单个桶质量约 20kg，年产生量约7个，约0.14 t/a，属于危险废物（HW49，900-041-49），经收集暂存危险废物暂存间，委托有资质单位处置。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eastAsia"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⑧废脱模液沉渣：废脱模液经沉淀池处理过程中会产生沉渣，污泥产生量约为0.1t/a，属于危险废物（ HW17，336-067-17），经收集暂存危险废物暂存间，委托有资质单位处置。</w:t>
            </w:r>
          </w:p>
          <w:p>
            <w:pPr>
              <w:keepNext w:val="0"/>
              <w:keepLines w:val="0"/>
              <w:suppressLineNumbers w:val="0"/>
              <w:spacing w:before="0" w:beforeAutospacing="0" w:after="0" w:afterAutospacing="0" w:line="360" w:lineRule="auto"/>
              <w:ind w:left="0" w:right="0" w:firstLine="480" w:firstLineChars="200"/>
              <w:rPr>
                <w:rFonts w:hint="default" w:ascii="宋体" w:hAnsi="宋体"/>
                <w:color w:val="auto"/>
                <w:sz w:val="24"/>
                <w:lang w:val="en-US" w:eastAsia="zh-CN"/>
              </w:rPr>
            </w:pPr>
            <w:r>
              <w:rPr>
                <w:rFonts w:hint="eastAsia" w:ascii="宋体" w:hAnsi="宋体"/>
                <w:color w:val="auto"/>
                <w:sz w:val="24"/>
                <w:lang w:val="en-US" w:eastAsia="zh-CN"/>
              </w:rPr>
              <w:t>⑨废脱模液：脱模剂回收处理机内脱模液经长时间循环使用后会产生浓度较高的含杂质的脱模废液，需定期清理，回收机内脱模废液作为危废暂存于危废间，脱模废液产生量较少，约为脱模配比后用量的0.1%，约0.75t/a。</w:t>
            </w:r>
          </w:p>
          <w:p>
            <w:pPr>
              <w:keepNext w:val="0"/>
              <w:keepLines w:val="0"/>
              <w:suppressLineNumbers w:val="0"/>
              <w:spacing w:before="0" w:beforeAutospacing="0" w:after="0" w:afterAutospacing="0" w:line="360" w:lineRule="auto"/>
              <w:ind w:left="0" w:right="0" w:firstLine="480" w:firstLineChars="200"/>
              <w:rPr>
                <w:rFonts w:hint="default"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auto"/>
                <w:sz w:val="24"/>
                <w:lang w:val="en-US" w:eastAsia="zh-CN"/>
              </w:rPr>
              <w:t>⑩废含油抹布手套：年产生量约为0.005 t/a，分为未分类收集的和集</w:t>
            </w: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中收集的。集中收集的量为0.003 t/a，属于危险废物，废物类别：HW49（900-041-49），需交资质单位处理；未分类收集量为0.002 t/a，属于“危险废物豁免管理清单”的危险废物，与生活垃圾一起交由环卫部门处理。</w:t>
            </w:r>
          </w:p>
          <w:p>
            <w:pPr>
              <w:keepNext w:val="0"/>
              <w:keepLines w:val="0"/>
              <w:suppressLineNumbers w:val="0"/>
              <w:spacing w:before="0" w:beforeAutospacing="0" w:after="0" w:afterAutospacing="0" w:line="360" w:lineRule="auto"/>
              <w:ind w:left="0" w:right="0" w:firstLine="480" w:firstLineChars="200"/>
              <w:rPr>
                <w:rFonts w:hint="default" w:ascii="宋体" w:hAnsi="宋体"/>
                <w:color w:val="0D0D0D" w:themeColor="text1" w:themeTint="F2"/>
                <w:sz w:val="24"/>
                <w:lang w:val="en-US" w:eastAsia="zh-CN"/>
                <w14:textFill>
                  <w14:solidFill>
                    <w14:schemeClr w14:val="tx1">
                      <w14:lumMod w14:val="95000"/>
                      <w14:lumOff w14:val="5000"/>
                    </w14:schemeClr>
                  </w14:solidFill>
                </w14:textFill>
              </w:rPr>
            </w:pPr>
            <w:r>
              <w:rPr>
                <w:rFonts w:hint="eastAsia" w:ascii="宋体" w:hAnsi="宋体"/>
                <w:color w:val="0D0D0D" w:themeColor="text1" w:themeTint="F2"/>
                <w:sz w:val="24"/>
                <w:lang w:val="en-US" w:eastAsia="zh-CN"/>
                <w14:textFill>
                  <w14:solidFill>
                    <w14:schemeClr w14:val="tx1">
                      <w14:lumMod w14:val="95000"/>
                      <w14:lumOff w14:val="5000"/>
                    </w14:schemeClr>
                  </w14:solidFill>
                </w14:textFill>
              </w:rPr>
              <w:t>（3）生活垃圾</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kern w:val="0"/>
                <w:sz w:val="24"/>
                <w:szCs w:val="20"/>
                <w14:textFill>
                  <w14:solidFill>
                    <w14:schemeClr w14:val="tx1">
                      <w14:lumMod w14:val="95000"/>
                      <w14:lumOff w14:val="5000"/>
                    </w14:schemeClr>
                  </w14:solidFill>
                </w14:textFill>
              </w:rPr>
              <w:t>本项目定员</w:t>
            </w:r>
            <w:r>
              <w:rPr>
                <w:rFonts w:hint="eastAsia"/>
                <w:color w:val="0D0D0D" w:themeColor="text1" w:themeTint="F2"/>
                <w:kern w:val="0"/>
                <w:sz w:val="24"/>
                <w:szCs w:val="20"/>
                <w:lang w:val="en-US" w:eastAsia="zh-CN"/>
                <w14:textFill>
                  <w14:solidFill>
                    <w14:schemeClr w14:val="tx1">
                      <w14:lumMod w14:val="95000"/>
                      <w14:lumOff w14:val="5000"/>
                    </w14:schemeClr>
                  </w14:solidFill>
                </w14:textFill>
              </w:rPr>
              <w:t>21</w:t>
            </w:r>
            <w:r>
              <w:rPr>
                <w:rFonts w:hint="eastAsia"/>
                <w:color w:val="0D0D0D" w:themeColor="text1" w:themeTint="F2"/>
                <w:kern w:val="0"/>
                <w:sz w:val="24"/>
                <w:szCs w:val="20"/>
                <w14:textFill>
                  <w14:solidFill>
                    <w14:schemeClr w14:val="tx1">
                      <w14:lumMod w14:val="95000"/>
                      <w14:lumOff w14:val="5000"/>
                    </w14:schemeClr>
                  </w14:solidFill>
                </w14:textFill>
              </w:rPr>
              <w:t>人，人均生活垃圾产生量按</w:t>
            </w:r>
            <w:r>
              <w:rPr>
                <w:rFonts w:hint="default"/>
                <w:color w:val="0D0D0D" w:themeColor="text1" w:themeTint="F2"/>
                <w:kern w:val="0"/>
                <w:sz w:val="24"/>
                <w:szCs w:val="20"/>
                <w14:textFill>
                  <w14:solidFill>
                    <w14:schemeClr w14:val="tx1">
                      <w14:lumMod w14:val="95000"/>
                      <w14:lumOff w14:val="5000"/>
                    </w14:schemeClr>
                  </w14:solidFill>
                </w14:textFill>
              </w:rPr>
              <w:t>0.5 kg/d</w:t>
            </w:r>
            <w:r>
              <w:rPr>
                <w:rFonts w:hint="eastAsia"/>
                <w:color w:val="0D0D0D" w:themeColor="text1" w:themeTint="F2"/>
                <w:kern w:val="0"/>
                <w:sz w:val="24"/>
                <w:szCs w:val="20"/>
                <w14:textFill>
                  <w14:solidFill>
                    <w14:schemeClr w14:val="tx1">
                      <w14:lumMod w14:val="95000"/>
                      <w14:lumOff w14:val="5000"/>
                    </w14:schemeClr>
                  </w14:solidFill>
                </w14:textFill>
              </w:rPr>
              <w:t>计，则生活垃圾产生量</w:t>
            </w:r>
            <w:r>
              <w:rPr>
                <w:rFonts w:hint="eastAsia"/>
                <w:color w:val="0D0D0D" w:themeColor="text1" w:themeTint="F2"/>
                <w:kern w:val="0"/>
                <w:sz w:val="24"/>
                <w:szCs w:val="20"/>
                <w:lang w:val="en-US" w:eastAsia="zh-CN"/>
                <w14:textFill>
                  <w14:solidFill>
                    <w14:schemeClr w14:val="tx1">
                      <w14:lumMod w14:val="95000"/>
                      <w14:lumOff w14:val="5000"/>
                    </w14:schemeClr>
                  </w14:solidFill>
                </w14:textFill>
              </w:rPr>
              <w:t>3.15</w:t>
            </w:r>
            <w:r>
              <w:rPr>
                <w:rFonts w:hint="eastAsia"/>
                <w:color w:val="0D0D0D" w:themeColor="text1" w:themeTint="F2"/>
                <w:kern w:val="0"/>
                <w:sz w:val="24"/>
                <w:szCs w:val="20"/>
                <w14:textFill>
                  <w14:solidFill>
                    <w14:schemeClr w14:val="tx1">
                      <w14:lumMod w14:val="95000"/>
                      <w14:lumOff w14:val="5000"/>
                    </w14:schemeClr>
                  </w14:solidFill>
                </w14:textFill>
              </w:rPr>
              <w:t xml:space="preserve"> </w:t>
            </w:r>
            <w:r>
              <w:rPr>
                <w:rFonts w:hint="default"/>
                <w:color w:val="0D0D0D" w:themeColor="text1" w:themeTint="F2"/>
                <w:kern w:val="0"/>
                <w:sz w:val="24"/>
                <w:szCs w:val="20"/>
                <w14:textFill>
                  <w14:solidFill>
                    <w14:schemeClr w14:val="tx1">
                      <w14:lumMod w14:val="95000"/>
                      <w14:lumOff w14:val="5000"/>
                    </w14:schemeClr>
                  </w14:solidFill>
                </w14:textFill>
              </w:rPr>
              <w:t>t/a</w:t>
            </w:r>
            <w:r>
              <w:rPr>
                <w:rFonts w:hint="eastAsia"/>
                <w:color w:val="0D0D0D" w:themeColor="text1" w:themeTint="F2"/>
                <w:kern w:val="0"/>
                <w:sz w:val="24"/>
                <w:szCs w:val="20"/>
                <w14:textFill>
                  <w14:solidFill>
                    <w14:schemeClr w14:val="tx1">
                      <w14:lumMod w14:val="95000"/>
                      <w14:lumOff w14:val="5000"/>
                    </w14:schemeClr>
                  </w14:solidFill>
                </w14:textFill>
              </w:rPr>
              <w:t>（年工作日</w:t>
            </w:r>
            <w:r>
              <w:rPr>
                <w:rFonts w:hint="default"/>
                <w:color w:val="0D0D0D" w:themeColor="text1" w:themeTint="F2"/>
                <w:kern w:val="0"/>
                <w:sz w:val="24"/>
                <w:szCs w:val="20"/>
                <w14:textFill>
                  <w14:solidFill>
                    <w14:schemeClr w14:val="tx1">
                      <w14:lumMod w14:val="95000"/>
                      <w14:lumOff w14:val="5000"/>
                    </w14:schemeClr>
                  </w14:solidFill>
                </w14:textFill>
              </w:rPr>
              <w:t>300</w:t>
            </w:r>
            <w:r>
              <w:rPr>
                <w:rFonts w:hint="eastAsia"/>
                <w:color w:val="0D0D0D" w:themeColor="text1" w:themeTint="F2"/>
                <w:kern w:val="0"/>
                <w:sz w:val="24"/>
                <w:szCs w:val="20"/>
                <w14:textFill>
                  <w14:solidFill>
                    <w14:schemeClr w14:val="tx1">
                      <w14:lumMod w14:val="95000"/>
                      <w14:lumOff w14:val="5000"/>
                    </w14:schemeClr>
                  </w14:solidFill>
                </w14:textFill>
              </w:rPr>
              <w:t>天），交由环卫部门统一清运。</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根据环境保护部2017年第43号公告《建设项目危险废物环境影响评价指南》，针对危险废物列明危险废物的名称、数量、类别、形态、危险特性和污染防治措施等内容，具体见下表</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widowControl/>
              <w:suppressLineNumbers w:val="0"/>
              <w:spacing w:before="120" w:beforeLines="50" w:beforeAutospacing="0" w:after="0" w:afterAutospacing="0"/>
              <w:ind w:left="0" w:right="0"/>
              <w:jc w:val="center"/>
              <w:rPr>
                <w:rFonts w:hint="default"/>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表</w:t>
            </w:r>
            <w:r>
              <w:rPr>
                <w:rFonts w:hint="eastAsia"/>
                <w:b/>
                <w:color w:val="0D0D0D" w:themeColor="text1" w:themeTint="F2"/>
                <w:kern w:val="0"/>
                <w:sz w:val="24"/>
                <w14:textFill>
                  <w14:solidFill>
                    <w14:schemeClr w14:val="tx1">
                      <w14:lumMod w14:val="95000"/>
                      <w14:lumOff w14:val="5000"/>
                    </w14:schemeClr>
                  </w14:solidFill>
                </w14:textFill>
              </w:rPr>
              <w:t>4</w:t>
            </w:r>
            <w:r>
              <w:rPr>
                <w:rFonts w:hint="default"/>
                <w:b/>
                <w:color w:val="0D0D0D" w:themeColor="text1" w:themeTint="F2"/>
                <w:kern w:val="0"/>
                <w:sz w:val="24"/>
                <w14:textFill>
                  <w14:solidFill>
                    <w14:schemeClr w14:val="tx1">
                      <w14:lumMod w14:val="95000"/>
                      <w14:lumOff w14:val="5000"/>
                    </w14:schemeClr>
                  </w14:solidFill>
                </w14:textFill>
              </w:rPr>
              <w:t>-1</w:t>
            </w:r>
            <w:r>
              <w:rPr>
                <w:rFonts w:hint="eastAsia"/>
                <w:b/>
                <w:color w:val="0D0D0D" w:themeColor="text1" w:themeTint="F2"/>
                <w:kern w:val="0"/>
                <w:sz w:val="24"/>
                <w:lang w:val="en-US" w:eastAsia="zh-CN"/>
                <w14:textFill>
                  <w14:solidFill>
                    <w14:schemeClr w14:val="tx1">
                      <w14:lumMod w14:val="95000"/>
                      <w14:lumOff w14:val="5000"/>
                    </w14:schemeClr>
                  </w14:solidFill>
                </w14:textFill>
              </w:rPr>
              <w:t>3</w:t>
            </w:r>
            <w:r>
              <w:rPr>
                <w:rFonts w:hint="default"/>
                <w:b/>
                <w:color w:val="0D0D0D" w:themeColor="text1" w:themeTint="F2"/>
                <w:kern w:val="0"/>
                <w:sz w:val="24"/>
                <w14:textFill>
                  <w14:solidFill>
                    <w14:schemeClr w14:val="tx1">
                      <w14:lumMod w14:val="95000"/>
                      <w14:lumOff w14:val="5000"/>
                    </w14:schemeClr>
                  </w14:solidFill>
                </w14:textFill>
              </w:rPr>
              <w:t xml:space="preserve">  本项目</w:t>
            </w:r>
            <w:r>
              <w:rPr>
                <w:rFonts w:hint="eastAsia"/>
                <w:b/>
                <w:color w:val="0D0D0D" w:themeColor="text1" w:themeTint="F2"/>
                <w:kern w:val="0"/>
                <w:sz w:val="24"/>
                <w14:textFill>
                  <w14:solidFill>
                    <w14:schemeClr w14:val="tx1">
                      <w14:lumMod w14:val="95000"/>
                      <w14:lumOff w14:val="5000"/>
                    </w14:schemeClr>
                  </w14:solidFill>
                </w14:textFill>
              </w:rPr>
              <w:t>固体</w:t>
            </w:r>
            <w:r>
              <w:rPr>
                <w:rFonts w:hint="default"/>
                <w:b/>
                <w:color w:val="0D0D0D" w:themeColor="text1" w:themeTint="F2"/>
                <w:kern w:val="0"/>
                <w:sz w:val="24"/>
                <w14:textFill>
                  <w14:solidFill>
                    <w14:schemeClr w14:val="tx1">
                      <w14:lumMod w14:val="95000"/>
                      <w14:lumOff w14:val="5000"/>
                    </w14:schemeClr>
                  </w14:solidFill>
                </w14:textFill>
              </w:rPr>
              <w:t>废物特性、产生量情况、污染防治措施情况一览表</w:t>
            </w:r>
          </w:p>
          <w:tbl>
            <w:tblPr>
              <w:tblStyle w:val="59"/>
              <w:tblW w:w="773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1"/>
              <w:gridCol w:w="1222"/>
              <w:gridCol w:w="680"/>
              <w:gridCol w:w="917"/>
              <w:gridCol w:w="1393"/>
              <w:gridCol w:w="783"/>
              <w:gridCol w:w="1002"/>
              <w:gridCol w:w="12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51"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序号</w:t>
                  </w:r>
                </w:p>
              </w:tc>
              <w:tc>
                <w:tcPr>
                  <w:tcW w:w="1222"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名称</w:t>
                  </w:r>
                </w:p>
              </w:tc>
              <w:tc>
                <w:tcPr>
                  <w:tcW w:w="680"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来源</w:t>
                  </w:r>
                </w:p>
              </w:tc>
              <w:tc>
                <w:tcPr>
                  <w:tcW w:w="917" w:type="dxa"/>
                  <w:vAlign w:val="center"/>
                </w:tcPr>
                <w:p>
                  <w:pPr>
                    <w:keepNext w:val="0"/>
                    <w:keepLines w:val="0"/>
                    <w:suppressLineNumbers w:val="0"/>
                    <w:spacing w:before="0" w:beforeAutospacing="0" w:after="0" w:afterAutospacing="0"/>
                    <w:ind w:left="-57" w:right="-57"/>
                    <w:jc w:val="center"/>
                    <w:rPr>
                      <w:rFonts w:hint="eastAsia" w:eastAsia="宋体"/>
                      <w:b/>
                      <w:color w:val="0D0D0D" w:themeColor="text1" w:themeTint="F2"/>
                      <w:szCs w:val="21"/>
                      <w:lang w:eastAsia="zh-CN"/>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废物</w:t>
                  </w:r>
                </w:p>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类别</w:t>
                  </w:r>
                </w:p>
              </w:tc>
              <w:tc>
                <w:tcPr>
                  <w:tcW w:w="1393"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废物代码</w:t>
                  </w:r>
                </w:p>
              </w:tc>
              <w:tc>
                <w:tcPr>
                  <w:tcW w:w="783"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形态</w:t>
                  </w:r>
                </w:p>
              </w:tc>
              <w:tc>
                <w:tcPr>
                  <w:tcW w:w="1002" w:type="dxa"/>
                  <w:vAlign w:val="center"/>
                </w:tcPr>
                <w:p>
                  <w:pPr>
                    <w:keepNext w:val="0"/>
                    <w:keepLines w:val="0"/>
                    <w:suppressLineNumbers w:val="0"/>
                    <w:spacing w:before="0" w:beforeAutospacing="0" w:after="0" w:afterAutospacing="0"/>
                    <w:ind w:left="-57" w:right="-57"/>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产生量（t/a）</w:t>
                  </w:r>
                </w:p>
              </w:tc>
              <w:tc>
                <w:tcPr>
                  <w:tcW w:w="1288" w:type="dxa"/>
                  <w:vAlign w:val="center"/>
                </w:tcPr>
                <w:p>
                  <w:pPr>
                    <w:keepNext w:val="0"/>
                    <w:keepLines w:val="0"/>
                    <w:suppressLineNumbers w:val="0"/>
                    <w:spacing w:before="0" w:beforeAutospacing="0" w:after="0" w:afterAutospacing="0"/>
                    <w:ind w:left="-57" w:right="-57"/>
                    <w:jc w:val="center"/>
                    <w:rPr>
                      <w:rFonts w:hint="eastAsia"/>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拟采取的利用或处置方式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p>
              </w:tc>
              <w:tc>
                <w:tcPr>
                  <w:tcW w:w="1222"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收集抛丸粉尘</w:t>
                  </w:r>
                </w:p>
              </w:tc>
              <w:tc>
                <w:tcPr>
                  <w:tcW w:w="680"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废气处理</w:t>
                  </w:r>
                </w:p>
              </w:tc>
              <w:tc>
                <w:tcPr>
                  <w:tcW w:w="917" w:type="dxa"/>
                  <w:vMerge w:val="restart"/>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一般</w:t>
                  </w:r>
                </w:p>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固废</w:t>
                  </w:r>
                </w:p>
              </w:tc>
              <w:tc>
                <w:tcPr>
                  <w:tcW w:w="1393"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8.456</w:t>
                  </w:r>
                </w:p>
              </w:tc>
              <w:tc>
                <w:tcPr>
                  <w:tcW w:w="1288" w:type="dxa"/>
                  <w:vMerge w:val="restart"/>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不合格品</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检验</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19.5</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3</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金属屑</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锯切</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w:t>
                  </w:r>
                </w:p>
              </w:tc>
              <w:tc>
                <w:tcPr>
                  <w:tcW w:w="1288"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lang w:val="en-US"/>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集中收集后回用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4</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废抛丸砂</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抛丸</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0.6</w:t>
                  </w:r>
                </w:p>
              </w:tc>
              <w:tc>
                <w:tcPr>
                  <w:tcW w:w="1288" w:type="dxa"/>
                  <w:vMerge w:val="restart"/>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5</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废砂轮带</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打磨</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2</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6</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熔化炉炉渣</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w:t>
                  </w:r>
                  <w:r>
                    <w:rPr>
                      <w:rFonts w:hint="default"/>
                      <w:color w:val="0D0D0D" w:themeColor="text1" w:themeTint="F2"/>
                      <w:szCs w:val="21"/>
                      <w14:textFill>
                        <w14:solidFill>
                          <w14:schemeClr w14:val="tx1">
                            <w14:lumMod w14:val="95000"/>
                            <w14:lumOff w14:val="5000"/>
                          </w14:schemeClr>
                        </w14:solidFill>
                      </w14:textFill>
                    </w:rPr>
                    <w:t>9</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7</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打磨湿式除尘沉渣</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废气处理</w:t>
                  </w:r>
                </w:p>
              </w:tc>
              <w:tc>
                <w:tcPr>
                  <w:tcW w:w="917"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8.371</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8</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废脱模剂桶</w:t>
                  </w:r>
                </w:p>
              </w:tc>
              <w:tc>
                <w:tcPr>
                  <w:tcW w:w="680"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压铸脱模</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0.4</w:t>
                  </w:r>
                </w:p>
              </w:tc>
              <w:tc>
                <w:tcPr>
                  <w:tcW w:w="1288" w:type="dxa"/>
                  <w:vMerge w:val="restart"/>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9</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废布袋</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废气处理</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0</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收集铝灰</w:t>
                  </w:r>
                </w:p>
              </w:tc>
              <w:tc>
                <w:tcPr>
                  <w:tcW w:w="680" w:type="dxa"/>
                  <w:vAlign w:val="center"/>
                </w:tcPr>
                <w:p>
                  <w:pPr>
                    <w:keepNext w:val="0"/>
                    <w:keepLines w:val="0"/>
                    <w:suppressLineNumbers w:val="0"/>
                    <w:spacing w:before="0" w:beforeAutospacing="0" w:after="0" w:afterAutospacing="0"/>
                    <w:ind w:left="-57" w:right="-57"/>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废气处理</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3.277</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1</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废活性炭</w:t>
                  </w:r>
                </w:p>
              </w:tc>
              <w:tc>
                <w:tcPr>
                  <w:tcW w:w="68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废气处理</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6.82</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2</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废润滑油</w:t>
                  </w:r>
                </w:p>
              </w:tc>
              <w:tc>
                <w:tcPr>
                  <w:tcW w:w="680" w:type="dxa"/>
                  <w:vMerge w:val="restart"/>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设备维护</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HW08</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900-218-08</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液</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05</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3</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废液压油</w:t>
                  </w:r>
                </w:p>
              </w:tc>
              <w:tc>
                <w:tcPr>
                  <w:tcW w:w="680"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900-039-</w:t>
                  </w:r>
                  <w:r>
                    <w:rPr>
                      <w:rFonts w:hint="eastAsia"/>
                      <w:color w:val="0D0D0D" w:themeColor="text1" w:themeTint="F2"/>
                      <w:szCs w:val="21"/>
                      <w14:textFill>
                        <w14:solidFill>
                          <w14:schemeClr w14:val="tx1">
                            <w14:lumMod w14:val="95000"/>
                            <w14:lumOff w14:val="5000"/>
                          </w14:schemeClr>
                        </w14:solidFill>
                      </w14:textFill>
                    </w:rPr>
                    <w:t>4</w:t>
                  </w:r>
                  <w:r>
                    <w:rPr>
                      <w:rFonts w:hint="default"/>
                      <w:color w:val="0D0D0D" w:themeColor="text1" w:themeTint="F2"/>
                      <w:szCs w:val="21"/>
                      <w14:textFill>
                        <w14:solidFill>
                          <w14:schemeClr w14:val="tx1">
                            <w14:lumMod w14:val="95000"/>
                            <w14:lumOff w14:val="5000"/>
                          </w14:schemeClr>
                        </w14:solidFill>
                      </w14:textFill>
                    </w:rPr>
                    <w:t>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1</w:t>
                  </w:r>
                  <w:r>
                    <w:rPr>
                      <w:rFonts w:hint="default"/>
                      <w:color w:val="0D0D0D" w:themeColor="text1" w:themeTint="F2"/>
                      <w:szCs w:val="21"/>
                      <w14:textFill>
                        <w14:solidFill>
                          <w14:schemeClr w14:val="tx1">
                            <w14:lumMod w14:val="95000"/>
                            <w14:lumOff w14:val="5000"/>
                          </w14:schemeClr>
                        </w14:solidFill>
                      </w14:textFill>
                    </w:rPr>
                    <w:t>4</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废油桶</w:t>
                  </w:r>
                </w:p>
              </w:tc>
              <w:tc>
                <w:tcPr>
                  <w:tcW w:w="680"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HW06</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900-402-06</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液</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0.14</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1"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15</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废脱模液沉渣</w:t>
                  </w:r>
                </w:p>
              </w:tc>
              <w:tc>
                <w:tcPr>
                  <w:tcW w:w="680"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废水处理</w:t>
                  </w:r>
                </w:p>
              </w:tc>
              <w:tc>
                <w:tcPr>
                  <w:tcW w:w="917"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451"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16</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eastAsia"/>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废脱模液</w:t>
                  </w:r>
                </w:p>
              </w:tc>
              <w:tc>
                <w:tcPr>
                  <w:tcW w:w="680" w:type="dxa"/>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废水处理</w:t>
                  </w:r>
                </w:p>
              </w:tc>
              <w:tc>
                <w:tcPr>
                  <w:tcW w:w="917"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w:t>
                  </w:r>
                  <w:r>
                    <w:rPr>
                      <w:rFonts w:hint="eastAsia"/>
                      <w:color w:val="0D0D0D" w:themeColor="text1" w:themeTint="F2"/>
                      <w:szCs w:val="21"/>
                      <w:lang w:val="en-US" w:eastAsia="zh-CN"/>
                      <w14:textFill>
                        <w14:solidFill>
                          <w14:schemeClr w14:val="tx1">
                            <w14:lumMod w14:val="95000"/>
                            <w14:lumOff w14:val="5000"/>
                          </w14:schemeClr>
                        </w14:solidFill>
                      </w14:textFill>
                    </w:rPr>
                    <w:t>07</w:t>
                  </w:r>
                  <w:r>
                    <w:rPr>
                      <w:rFonts w:hint="default"/>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0</w:t>
                  </w:r>
                  <w:r>
                    <w:rPr>
                      <w:rFonts w:hint="default"/>
                      <w:color w:val="0D0D0D" w:themeColor="text1" w:themeTint="F2"/>
                      <w:szCs w:val="21"/>
                      <w14:textFill>
                        <w14:solidFill>
                          <w14:schemeClr w14:val="tx1">
                            <w14:lumMod w14:val="95000"/>
                            <w14:lumOff w14:val="5000"/>
                          </w14:schemeClr>
                        </w14:solidFill>
                      </w14:textFill>
                    </w:rPr>
                    <w:t>9</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液</w:t>
                  </w:r>
                </w:p>
              </w:tc>
              <w:tc>
                <w:tcPr>
                  <w:tcW w:w="1002" w:type="dxa"/>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75</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51"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17</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集中收集的</w:t>
                  </w:r>
                  <w:r>
                    <w:rPr>
                      <w:rFonts w:hint="default"/>
                      <w:color w:val="0D0D0D" w:themeColor="text1" w:themeTint="F2"/>
                      <w:szCs w:val="21"/>
                      <w14:textFill>
                        <w14:solidFill>
                          <w14:schemeClr w14:val="tx1">
                            <w14:lumMod w14:val="95000"/>
                            <w14:lumOff w14:val="5000"/>
                          </w14:schemeClr>
                        </w14:solidFill>
                      </w14:textFill>
                    </w:rPr>
                    <w:t>废含油手套、抹布</w:t>
                  </w:r>
                </w:p>
              </w:tc>
              <w:tc>
                <w:tcPr>
                  <w:tcW w:w="68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设备</w:t>
                  </w:r>
                  <w:r>
                    <w:rPr>
                      <w:rFonts w:hint="default"/>
                      <w:color w:val="0D0D0D" w:themeColor="text1" w:themeTint="F2"/>
                      <w:szCs w:val="21"/>
                      <w:lang w:val="en-US" w:eastAsia="zh-CN"/>
                      <w14:textFill>
                        <w14:solidFill>
                          <w14:schemeClr w14:val="tx1">
                            <w14:lumMod w14:val="95000"/>
                            <w14:lumOff w14:val="5000"/>
                          </w14:schemeClr>
                        </w14:solidFill>
                      </w14:textFill>
                    </w:rPr>
                    <w:t>保养</w:t>
                  </w:r>
                </w:p>
              </w:tc>
              <w:tc>
                <w:tcPr>
                  <w:tcW w:w="917"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HW49</w:t>
                  </w: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900-041-49</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w:t>
                  </w:r>
                </w:p>
              </w:tc>
              <w:tc>
                <w:tcPr>
                  <w:tcW w:w="1002"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0.003</w:t>
                  </w:r>
                </w:p>
              </w:tc>
              <w:tc>
                <w:tcPr>
                  <w:tcW w:w="1288" w:type="dxa"/>
                  <w:vMerge w:val="continue"/>
                  <w:vAlign w:val="center"/>
                </w:tcPr>
                <w:p>
                  <w:pPr>
                    <w:keepNext w:val="0"/>
                    <w:keepLines w:val="0"/>
                    <w:suppressLineNumbers w:val="0"/>
                    <w:spacing w:before="0" w:beforeAutospacing="0" w:after="0" w:afterAutospacing="0"/>
                    <w:ind w:left="-57" w:right="-57"/>
                    <w:jc w:val="center"/>
                    <w:rPr>
                      <w:rFonts w:hint="default"/>
                      <w:color w:val="0D0D0D" w:themeColor="text1" w:themeTint="F2"/>
                      <w:kern w:val="0"/>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51"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1</w:t>
                  </w:r>
                  <w:r>
                    <w:rPr>
                      <w:rFonts w:hint="eastAsia"/>
                      <w:color w:val="0D0D0D" w:themeColor="text1" w:themeTint="F2"/>
                      <w:szCs w:val="21"/>
                      <w:lang w:val="en-US" w:eastAsia="zh-CN"/>
                      <w14:textFill>
                        <w14:solidFill>
                          <w14:schemeClr w14:val="tx1">
                            <w14:lumMod w14:val="95000"/>
                            <w14:lumOff w14:val="5000"/>
                          </w14:schemeClr>
                        </w14:solidFill>
                      </w14:textFill>
                    </w:rPr>
                    <w:t>8</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未分类收集的含油抹布手套</w:t>
                  </w:r>
                </w:p>
              </w:tc>
              <w:tc>
                <w:tcPr>
                  <w:tcW w:w="680" w:type="dxa"/>
                  <w:vAlign w:val="center"/>
                </w:tcPr>
                <w:p>
                  <w:pPr>
                    <w:keepNext w:val="0"/>
                    <w:keepLines w:val="0"/>
                    <w:suppressLineNumbers w:val="0"/>
                    <w:spacing w:before="0" w:beforeAutospacing="0" w:after="0" w:afterAutospacing="0"/>
                    <w:ind w:left="-57" w:right="-57"/>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设备</w:t>
                  </w:r>
                  <w:r>
                    <w:rPr>
                      <w:rFonts w:hint="default"/>
                      <w:color w:val="0D0D0D" w:themeColor="text1" w:themeTint="F2"/>
                      <w:szCs w:val="21"/>
                      <w:lang w:val="en-US" w:eastAsia="zh-CN"/>
                      <w14:textFill>
                        <w14:solidFill>
                          <w14:schemeClr w14:val="tx1">
                            <w14:lumMod w14:val="95000"/>
                            <w14:lumOff w14:val="5000"/>
                          </w14:schemeClr>
                        </w14:solidFill>
                      </w14:textFill>
                    </w:rPr>
                    <w:t>保养</w:t>
                  </w:r>
                </w:p>
              </w:tc>
              <w:tc>
                <w:tcPr>
                  <w:tcW w:w="917"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szCs w:val="21"/>
                    </w:rPr>
                    <w:t>/</w:t>
                  </w:r>
                </w:p>
              </w:tc>
              <w:tc>
                <w:tcPr>
                  <w:tcW w:w="1393"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szCs w:val="21"/>
                    </w:rPr>
                    <w:t>900-041-49</w:t>
                  </w:r>
                </w:p>
              </w:tc>
              <w:tc>
                <w:tcPr>
                  <w:tcW w:w="783"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kern w:val="2"/>
                      <w:sz w:val="21"/>
                      <w:szCs w:val="21"/>
                      <w:lang w:val="en-US" w:eastAsia="zh-CN" w:bidi="ar-SA"/>
                    </w:rPr>
                  </w:pPr>
                  <w:r>
                    <w:rPr>
                      <w:rFonts w:hint="eastAsia"/>
                      <w:szCs w:val="21"/>
                    </w:rPr>
                    <w:t>固</w:t>
                  </w:r>
                </w:p>
              </w:tc>
              <w:tc>
                <w:tcPr>
                  <w:tcW w:w="1002"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0.002</w:t>
                  </w:r>
                </w:p>
              </w:tc>
              <w:tc>
                <w:tcPr>
                  <w:tcW w:w="1288" w:type="dxa"/>
                  <w:vMerge w:val="restart"/>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451" w:type="dxa"/>
                  <w:vAlign w:val="center"/>
                </w:tcPr>
                <w:p>
                  <w:pPr>
                    <w:keepNext w:val="0"/>
                    <w:keepLines w:val="0"/>
                    <w:suppressLineNumbers w:val="0"/>
                    <w:spacing w:before="0" w:beforeAutospacing="0" w:after="0" w:afterAutospacing="0"/>
                    <w:ind w:left="-57" w:right="-57"/>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19</w:t>
                  </w:r>
                </w:p>
              </w:tc>
              <w:tc>
                <w:tcPr>
                  <w:tcW w:w="122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生活垃圾</w:t>
                  </w:r>
                </w:p>
              </w:tc>
              <w:tc>
                <w:tcPr>
                  <w:tcW w:w="680"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员工生活</w:t>
                  </w:r>
                </w:p>
              </w:tc>
              <w:tc>
                <w:tcPr>
                  <w:tcW w:w="917"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39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783"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固/液</w:t>
                  </w:r>
                </w:p>
              </w:tc>
              <w:tc>
                <w:tcPr>
                  <w:tcW w:w="1002" w:type="dxa"/>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3.15</w:t>
                  </w:r>
                </w:p>
              </w:tc>
              <w:tc>
                <w:tcPr>
                  <w:tcW w:w="1288" w:type="dxa"/>
                  <w:vMerge w:val="continue"/>
                  <w:vAlign w:val="center"/>
                </w:tcPr>
                <w:p>
                  <w:pPr>
                    <w:keepNext w:val="0"/>
                    <w:keepLines w:val="0"/>
                    <w:suppressLineNumbers w:val="0"/>
                    <w:spacing w:before="0" w:beforeAutospacing="0" w:after="0" w:afterAutospacing="0"/>
                    <w:ind w:left="-57" w:right="-57"/>
                    <w:jc w:val="center"/>
                    <w:rPr>
                      <w:rFonts w:hint="eastAsia"/>
                      <w:color w:val="0D0D0D" w:themeColor="text1" w:themeTint="F2"/>
                      <w:szCs w:val="21"/>
                      <w14:textFill>
                        <w14:solidFill>
                          <w14:schemeClr w14:val="tx1">
                            <w14:lumMod w14:val="95000"/>
                            <w14:lumOff w14:val="5000"/>
                          </w14:schemeClr>
                        </w14:solidFill>
                      </w14:textFill>
                    </w:rPr>
                  </w:pPr>
                </w:p>
              </w:tc>
            </w:tr>
          </w:tbl>
          <w:p>
            <w:pPr>
              <w:keepNext w:val="0"/>
              <w:keepLines w:val="0"/>
              <w:suppressLineNumbers w:val="0"/>
              <w:snapToGrid w:val="0"/>
              <w:spacing w:before="120" w:beforeLines="50" w:beforeAutospacing="0" w:after="0" w:afterAutospacing="0" w:line="360" w:lineRule="auto"/>
              <w:ind w:left="0" w:right="0" w:firstLine="472" w:firstLineChars="196"/>
              <w:outlineLvl w:val="3"/>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2、一般固废环境影响分析</w:t>
            </w:r>
            <w:r>
              <w:rPr>
                <w:rFonts w:hint="eastAsia"/>
                <w:b/>
                <w:bCs/>
                <w:color w:val="0D0D0D" w:themeColor="text1" w:themeTint="F2"/>
                <w:sz w:val="24"/>
                <w14:textFill>
                  <w14:solidFill>
                    <w14:schemeClr w14:val="tx1">
                      <w14:lumMod w14:val="95000"/>
                      <w14:lumOff w14:val="5000"/>
                    </w14:schemeClr>
                  </w14:solidFill>
                </w14:textFill>
              </w:rPr>
              <w:t>和保护措施</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项目产生的一般工业固废为</w:t>
            </w:r>
            <w:r>
              <w:rPr>
                <w:rFonts w:hint="eastAsia"/>
                <w:color w:val="0D0D0D" w:themeColor="text1" w:themeTint="F2"/>
                <w:sz w:val="24"/>
                <w14:textFill>
                  <w14:solidFill>
                    <w14:schemeClr w14:val="tx1">
                      <w14:lumMod w14:val="95000"/>
                      <w14:lumOff w14:val="5000"/>
                    </w14:schemeClr>
                  </w14:solidFill>
                </w14:textFill>
              </w:rPr>
              <w:t>收集抛丸粉尘</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不合格品</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金属屑</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废抛丸砂</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废砂轮带</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熔化炉炉渣</w:t>
            </w:r>
            <w:r>
              <w:rPr>
                <w:rFonts w:hint="eastAsia"/>
                <w:color w:val="0D0D0D" w:themeColor="text1" w:themeTint="F2"/>
                <w:sz w:val="24"/>
                <w:lang w:eastAsia="zh-CN"/>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打磨湿式除尘沉渣</w:t>
            </w:r>
            <w:r>
              <w:rPr>
                <w:rFonts w:hint="default"/>
                <w:color w:val="0D0D0D" w:themeColor="text1" w:themeTint="F2"/>
                <w:kern w:val="0"/>
                <w:sz w:val="24"/>
                <w14:textFill>
                  <w14:solidFill>
                    <w14:schemeClr w14:val="tx1">
                      <w14:lumMod w14:val="95000"/>
                      <w14:lumOff w14:val="5000"/>
                    </w14:schemeClr>
                  </w14:solidFill>
                </w14:textFill>
              </w:rPr>
              <w:t>，暂存于项目一般固废仓库，</w:t>
            </w:r>
            <w:r>
              <w:rPr>
                <w:rFonts w:hint="eastAsia"/>
                <w:color w:val="0D0D0D" w:themeColor="text1" w:themeTint="F2"/>
                <w:kern w:val="0"/>
                <w:sz w:val="24"/>
                <w14:textFill>
                  <w14:solidFill>
                    <w14:schemeClr w14:val="tx1">
                      <w14:lumMod w14:val="95000"/>
                      <w14:lumOff w14:val="5000"/>
                    </w14:schemeClr>
                  </w14:solidFill>
                </w14:textFill>
              </w:rPr>
              <w:t>均</w:t>
            </w:r>
            <w:r>
              <w:rPr>
                <w:rFonts w:hint="eastAsia"/>
                <w:color w:val="0D0D0D" w:themeColor="text1" w:themeTint="F2"/>
                <w:kern w:val="0"/>
                <w:sz w:val="24"/>
                <w:szCs w:val="20"/>
                <w14:textFill>
                  <w14:solidFill>
                    <w14:schemeClr w14:val="tx1">
                      <w14:lumMod w14:val="95000"/>
                      <w14:lumOff w14:val="5000"/>
                    </w14:schemeClr>
                  </w14:solidFill>
                </w14:textFill>
              </w:rPr>
              <w:t>按规定综合利用</w:t>
            </w:r>
            <w:r>
              <w:rPr>
                <w:rFonts w:hint="eastAsia"/>
                <w:color w:val="0D0D0D" w:themeColor="text1" w:themeTint="F2"/>
                <w:sz w:val="24"/>
                <w:szCs w:val="21"/>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对环境影响较小。</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一般工业固废临时堆放场应根据</w:t>
            </w:r>
            <w:r>
              <w:rPr>
                <w:rFonts w:hint="default"/>
                <w:color w:val="0D0D0D" w:themeColor="text1" w:themeTint="F2"/>
                <w:sz w:val="24"/>
                <w14:textFill>
                  <w14:solidFill>
                    <w14:schemeClr w14:val="tx1">
                      <w14:lumMod w14:val="95000"/>
                      <w14:lumOff w14:val="5000"/>
                    </w14:schemeClr>
                  </w14:solidFill>
                </w14:textFill>
              </w:rPr>
              <w:t>《一般工业固体废物贮存</w:t>
            </w:r>
            <w:r>
              <w:rPr>
                <w:rFonts w:hint="eastAsia"/>
                <w:color w:val="0D0D0D" w:themeColor="text1" w:themeTint="F2"/>
                <w:sz w:val="24"/>
                <w14:textFill>
                  <w14:solidFill>
                    <w14:schemeClr w14:val="tx1">
                      <w14:lumMod w14:val="95000"/>
                      <w14:lumOff w14:val="5000"/>
                    </w14:schemeClr>
                  </w14:solidFill>
                </w14:textFill>
              </w:rPr>
              <w:t>和填埋</w:t>
            </w:r>
            <w:r>
              <w:rPr>
                <w:rFonts w:hint="default"/>
                <w:color w:val="0D0D0D" w:themeColor="text1" w:themeTint="F2"/>
                <w:sz w:val="24"/>
                <w14:textFill>
                  <w14:solidFill>
                    <w14:schemeClr w14:val="tx1">
                      <w14:lumMod w14:val="95000"/>
                      <w14:lumOff w14:val="5000"/>
                    </w14:schemeClr>
                  </w14:solidFill>
                </w14:textFill>
              </w:rPr>
              <w:t>污染控制标准》（GB18599-2020）</w:t>
            </w:r>
            <w:r>
              <w:rPr>
                <w:rFonts w:hint="default"/>
                <w:color w:val="0D0D0D" w:themeColor="text1" w:themeTint="F2"/>
                <w:kern w:val="0"/>
                <w:sz w:val="24"/>
                <w14:textFill>
                  <w14:solidFill>
                    <w14:schemeClr w14:val="tx1">
                      <w14:lumMod w14:val="95000"/>
                      <w14:lumOff w14:val="5000"/>
                    </w14:schemeClr>
                  </w14:solidFill>
                </w14:textFill>
              </w:rPr>
              <w:t>中的要求规范化建设，固废临时贮存场应满足如下要求：</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①</w:t>
            </w:r>
            <w:r>
              <w:rPr>
                <w:rFonts w:hint="default"/>
                <w:color w:val="0D0D0D" w:themeColor="text1" w:themeTint="F2"/>
                <w:kern w:val="0"/>
                <w:sz w:val="24"/>
                <w14:textFill>
                  <w14:solidFill>
                    <w14:schemeClr w14:val="tx1">
                      <w14:lumMod w14:val="95000"/>
                      <w14:lumOff w14:val="5000"/>
                    </w14:schemeClr>
                  </w14:solidFill>
                </w14:textFill>
              </w:rPr>
              <w:t>临时堆放场应选在防渗性能好的地基上天然基础层地表距地下水位的距离不得小于1.5m。临时堆放场四周应建有围墙，防止固废流失以及造成粉尘污染。</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②</w:t>
            </w:r>
            <w:r>
              <w:rPr>
                <w:rFonts w:hint="default"/>
                <w:color w:val="0D0D0D" w:themeColor="text1" w:themeTint="F2"/>
                <w:kern w:val="0"/>
                <w:sz w:val="24"/>
                <w14:textFill>
                  <w14:solidFill>
                    <w14:schemeClr w14:val="tx1">
                      <w14:lumMod w14:val="95000"/>
                      <w14:lumOff w14:val="5000"/>
                    </w14:schemeClr>
                  </w14:solidFill>
                </w14:textFill>
              </w:rPr>
              <w:t>临时堆放场应建有防雨淋、防渗透措施。本项目储存在钢结构仓库内，地面进行硬化，可以满足防雨淋、防渗透要求。</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s="宋体"/>
                <w:color w:val="0D0D0D" w:themeColor="text1" w:themeTint="F2"/>
                <w:kern w:val="0"/>
                <w:sz w:val="24"/>
                <w14:textFill>
                  <w14:solidFill>
                    <w14:schemeClr w14:val="tx1">
                      <w14:lumMod w14:val="95000"/>
                      <w14:lumOff w14:val="5000"/>
                    </w14:schemeClr>
                  </w14:solidFill>
                </w14:textFill>
              </w:rPr>
              <w:t>③</w:t>
            </w:r>
            <w:r>
              <w:rPr>
                <w:rFonts w:hint="default"/>
                <w:color w:val="0D0D0D" w:themeColor="text1" w:themeTint="F2"/>
                <w:kern w:val="0"/>
                <w:sz w:val="24"/>
                <w14:textFill>
                  <w14:solidFill>
                    <w14:schemeClr w14:val="tx1">
                      <w14:lumMod w14:val="95000"/>
                      <w14:lumOff w14:val="5000"/>
                    </w14:schemeClr>
                  </w14:solidFill>
                </w14:textFill>
              </w:rPr>
              <w:t>为了便于管理，临时堆放场应按GB15562.2-1995《环境保护图形标识—固体废物贮存（处置）场》设置环境保护图形标志。</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企业在生产过程中，应加强现有一般固废库的管理，定点收集堆存，并及时处理，不会对环境造成不利影响。</w:t>
            </w:r>
          </w:p>
          <w:p>
            <w:pPr>
              <w:keepNext w:val="0"/>
              <w:keepLines w:val="0"/>
              <w:suppressLineNumbers w:val="0"/>
              <w:snapToGrid w:val="0"/>
              <w:spacing w:before="0" w:beforeAutospacing="0" w:after="0" w:afterAutospacing="0" w:line="360" w:lineRule="auto"/>
              <w:ind w:left="0" w:right="0" w:firstLine="472" w:firstLineChars="196"/>
              <w:outlineLvl w:val="3"/>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3、危险废物环境影响分析</w:t>
            </w:r>
            <w:r>
              <w:rPr>
                <w:rFonts w:hint="eastAsia"/>
                <w:b/>
                <w:bCs/>
                <w:color w:val="0D0D0D" w:themeColor="text1" w:themeTint="F2"/>
                <w:sz w:val="24"/>
                <w14:textFill>
                  <w14:solidFill>
                    <w14:schemeClr w14:val="tx1">
                      <w14:lumMod w14:val="95000"/>
                      <w14:lumOff w14:val="5000"/>
                    </w14:schemeClr>
                  </w14:solidFill>
                </w14:textFill>
              </w:rPr>
              <w:t>和保护措施</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本项目产生的危险废物分别按照废物特性</w:t>
            </w:r>
            <w:r>
              <w:rPr>
                <w:rFonts w:hint="default"/>
                <w:color w:val="0D0D0D" w:themeColor="text1" w:themeTint="F2"/>
                <w:kern w:val="0"/>
                <w:sz w:val="24"/>
                <w14:textFill>
                  <w14:solidFill>
                    <w14:schemeClr w14:val="tx1">
                      <w14:lumMod w14:val="95000"/>
                      <w14:lumOff w14:val="5000"/>
                    </w14:schemeClr>
                  </w14:solidFill>
                </w14:textFill>
              </w:rPr>
              <w:t>采用专门的容器收集后暂存于项目危废仓库，定期交资质单位处理。项目</w:t>
            </w:r>
            <w:r>
              <w:rPr>
                <w:rFonts w:hint="eastAsia"/>
                <w:color w:val="0D0D0D" w:themeColor="text1" w:themeTint="F2"/>
                <w:kern w:val="0"/>
                <w:sz w:val="24"/>
                <w14:textFill>
                  <w14:solidFill>
                    <w14:schemeClr w14:val="tx1">
                      <w14:lumMod w14:val="95000"/>
                      <w14:lumOff w14:val="5000"/>
                    </w14:schemeClr>
                  </w14:solidFill>
                </w14:textFill>
              </w:rPr>
              <w:t>新</w:t>
            </w:r>
            <w:r>
              <w:rPr>
                <w:rFonts w:hint="default"/>
                <w:color w:val="0D0D0D" w:themeColor="text1" w:themeTint="F2"/>
                <w:kern w:val="0"/>
                <w:sz w:val="24"/>
                <w14:textFill>
                  <w14:solidFill>
                    <w14:schemeClr w14:val="tx1">
                      <w14:lumMod w14:val="95000"/>
                      <w14:lumOff w14:val="5000"/>
                    </w14:schemeClr>
                  </w14:solidFill>
                </w14:textFill>
              </w:rPr>
              <w:t>建1间危废暂存间，</w:t>
            </w:r>
            <w:r>
              <w:rPr>
                <w:rFonts w:hint="default"/>
                <w:color w:val="auto"/>
                <w:kern w:val="0"/>
                <w:sz w:val="24"/>
              </w:rPr>
              <w:t>位于</w:t>
            </w:r>
            <w:r>
              <w:rPr>
                <w:rFonts w:hint="eastAsia"/>
                <w:color w:val="auto"/>
                <w:kern w:val="0"/>
                <w:sz w:val="24"/>
              </w:rPr>
              <w:t>厂房东侧</w:t>
            </w:r>
            <w:r>
              <w:rPr>
                <w:rFonts w:hint="default"/>
                <w:color w:val="auto"/>
                <w:kern w:val="0"/>
                <w:sz w:val="24"/>
              </w:rPr>
              <w:t>，占</w:t>
            </w:r>
            <w:r>
              <w:rPr>
                <w:rFonts w:hint="default"/>
                <w:color w:val="0D0D0D" w:themeColor="text1" w:themeTint="F2"/>
                <w:kern w:val="0"/>
                <w:sz w:val="24"/>
                <w14:textFill>
                  <w14:solidFill>
                    <w14:schemeClr w14:val="tx1">
                      <w14:lumMod w14:val="95000"/>
                      <w14:lumOff w14:val="5000"/>
                    </w14:schemeClr>
                  </w14:solidFill>
                </w14:textFill>
              </w:rPr>
              <w:t>地面积约</w:t>
            </w:r>
            <w:r>
              <w:rPr>
                <w:rFonts w:hint="eastAsia"/>
                <w:color w:val="0D0D0D" w:themeColor="text1" w:themeTint="F2"/>
                <w:kern w:val="0"/>
                <w:sz w:val="24"/>
                <w:lang w:val="en-US" w:eastAsia="zh-CN"/>
                <w14:textFill>
                  <w14:solidFill>
                    <w14:schemeClr w14:val="tx1">
                      <w14:lumMod w14:val="95000"/>
                      <w14:lumOff w14:val="5000"/>
                    </w14:schemeClr>
                  </w14:solidFill>
                </w14:textFill>
              </w:rPr>
              <w:t>12</w:t>
            </w:r>
            <w:r>
              <w:rPr>
                <w:rFonts w:hint="eastAsia"/>
                <w:color w:val="0D0D0D" w:themeColor="text1" w:themeTint="F2"/>
                <w:kern w:val="0"/>
                <w:sz w:val="24"/>
                <w14:textFill>
                  <w14:solidFill>
                    <w14:schemeClr w14:val="tx1">
                      <w14:lumMod w14:val="95000"/>
                      <w14:lumOff w14:val="5000"/>
                    </w14:schemeClr>
                  </w14:solidFill>
                </w14:textFill>
              </w:rPr>
              <w:t xml:space="preserve"> </w:t>
            </w:r>
            <w:r>
              <w:rPr>
                <w:rFonts w:hint="default"/>
                <w:color w:val="0D0D0D" w:themeColor="text1" w:themeTint="F2"/>
                <w:kern w:val="0"/>
                <w:sz w:val="24"/>
                <w14:textFill>
                  <w14:solidFill>
                    <w14:schemeClr w14:val="tx1">
                      <w14:lumMod w14:val="95000"/>
                      <w14:lumOff w14:val="5000"/>
                    </w14:schemeClr>
                  </w14:solidFill>
                </w14:textFill>
              </w:rPr>
              <w:t>m</w:t>
            </w:r>
            <w:r>
              <w:rPr>
                <w:rFonts w:hint="default"/>
                <w:color w:val="0D0D0D" w:themeColor="text1" w:themeTint="F2"/>
                <w:kern w:val="0"/>
                <w:sz w:val="24"/>
                <w:vertAlign w:val="superscript"/>
                <w14:textFill>
                  <w14:solidFill>
                    <w14:schemeClr w14:val="tx1">
                      <w14:lumMod w14:val="95000"/>
                      <w14:lumOff w14:val="5000"/>
                    </w14:schemeClr>
                  </w14:solidFill>
                </w14:textFill>
              </w:rPr>
              <w:t>2</w:t>
            </w:r>
            <w:r>
              <w:rPr>
                <w:rFonts w:hint="default"/>
                <w:color w:val="0D0D0D" w:themeColor="text1" w:themeTint="F2"/>
                <w:kern w:val="0"/>
                <w:sz w:val="24"/>
                <w14:textFill>
                  <w14:solidFill>
                    <w14:schemeClr w14:val="tx1">
                      <w14:lumMod w14:val="95000"/>
                      <w14:lumOff w14:val="5000"/>
                    </w14:schemeClr>
                  </w14:solidFill>
                </w14:textFill>
              </w:rPr>
              <w:t>，建设满足</w:t>
            </w:r>
            <w:r>
              <w:rPr>
                <w:rFonts w:hint="eastAsia"/>
                <w:color w:val="0D0D0D" w:themeColor="text1" w:themeTint="F2"/>
                <w:sz w:val="24"/>
                <w14:textFill>
                  <w14:solidFill>
                    <w14:schemeClr w14:val="tx1">
                      <w14:lumMod w14:val="95000"/>
                      <w14:lumOff w14:val="5000"/>
                    </w14:schemeClr>
                  </w14:solidFill>
                </w14:textFill>
              </w:rPr>
              <w:t>《危险废物贮存污染控制标准》（</w:t>
            </w:r>
            <w:r>
              <w:rPr>
                <w:rFonts w:hint="default"/>
                <w:color w:val="0D0D0D" w:themeColor="text1" w:themeTint="F2"/>
                <w:sz w:val="24"/>
                <w14:textFill>
                  <w14:solidFill>
                    <w14:schemeClr w14:val="tx1">
                      <w14:lumMod w14:val="95000"/>
                      <w14:lumOff w14:val="5000"/>
                    </w14:schemeClr>
                  </w14:solidFill>
                </w14:textFill>
              </w:rPr>
              <w:t>GB1859</w:t>
            </w:r>
            <w:r>
              <w:rPr>
                <w:rFonts w:hint="eastAsia"/>
                <w:color w:val="0D0D0D" w:themeColor="text1" w:themeTint="F2"/>
                <w:sz w:val="24"/>
                <w:lang w:val="en-US" w:eastAsia="zh-CN"/>
                <w14:textFill>
                  <w14:solidFill>
                    <w14:schemeClr w14:val="tx1">
                      <w14:lumMod w14:val="95000"/>
                      <w14:lumOff w14:val="5000"/>
                    </w14:schemeClr>
                  </w14:solidFill>
                </w14:textFill>
              </w:rPr>
              <w:t>7</w:t>
            </w:r>
            <w:r>
              <w:rPr>
                <w:rFonts w:hint="default"/>
                <w:color w:val="0D0D0D" w:themeColor="text1" w:themeTint="F2"/>
                <w:sz w:val="24"/>
                <w14:textFill>
                  <w14:solidFill>
                    <w14:schemeClr w14:val="tx1">
                      <w14:lumMod w14:val="95000"/>
                      <w14:lumOff w14:val="5000"/>
                    </w14:schemeClr>
                  </w14:solidFill>
                </w14:textFill>
              </w:rPr>
              <w:t>-2023</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的要求。危险废物按照不同的类别</w:t>
            </w:r>
            <w:r>
              <w:rPr>
                <w:rFonts w:hint="eastAsia"/>
                <w:color w:val="0D0D0D" w:themeColor="text1" w:themeTint="F2"/>
                <w:kern w:val="0"/>
                <w:sz w:val="24"/>
                <w14:textFill>
                  <w14:solidFill>
                    <w14:schemeClr w14:val="tx1">
                      <w14:lumMod w14:val="95000"/>
                      <w14:lumOff w14:val="5000"/>
                    </w14:schemeClr>
                  </w14:solidFill>
                </w14:textFill>
              </w:rPr>
              <w:t>和性</w:t>
            </w:r>
            <w:r>
              <w:rPr>
                <w:rFonts w:hint="default"/>
                <w:color w:val="0D0D0D" w:themeColor="text1" w:themeTint="F2"/>
                <w:kern w:val="0"/>
                <w:sz w:val="24"/>
                <w14:textFill>
                  <w14:solidFill>
                    <w14:schemeClr w14:val="tx1">
                      <w14:lumMod w14:val="95000"/>
                      <w14:lumOff w14:val="5000"/>
                    </w14:schemeClr>
                  </w14:solidFill>
                </w14:textFill>
              </w:rPr>
              <w:t>质，分别存放于专门的容器中。</w:t>
            </w:r>
          </w:p>
          <w:p>
            <w:pPr>
              <w:keepNext w:val="0"/>
              <w:keepLines w:val="0"/>
              <w:suppressLineNumbers w:val="0"/>
              <w:spacing w:before="0" w:beforeAutospacing="0" w:after="0" w:afterAutospacing="0" w:line="360" w:lineRule="auto"/>
              <w:ind w:left="0" w:right="0" w:firstLine="48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（1）危险废物贮存环境影响分析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本项目危险废物在厂内贮存时，执行</w:t>
            </w:r>
            <w:r>
              <w:rPr>
                <w:rFonts w:hint="eastAsia"/>
                <w:color w:val="0D0D0D" w:themeColor="text1" w:themeTint="F2"/>
                <w:sz w:val="24"/>
                <w14:textFill>
                  <w14:solidFill>
                    <w14:schemeClr w14:val="tx1">
                      <w14:lumMod w14:val="95000"/>
                      <w14:lumOff w14:val="5000"/>
                    </w14:schemeClr>
                  </w14:solidFill>
                </w14:textFill>
              </w:rPr>
              <w:t>《危险废物贮存污染控制标准》（</w:t>
            </w:r>
            <w:r>
              <w:rPr>
                <w:rFonts w:hint="default"/>
                <w:color w:val="0D0D0D" w:themeColor="text1" w:themeTint="F2"/>
                <w:sz w:val="24"/>
                <w14:textFill>
                  <w14:solidFill>
                    <w14:schemeClr w14:val="tx1">
                      <w14:lumMod w14:val="95000"/>
                      <w14:lumOff w14:val="5000"/>
                    </w14:schemeClr>
                  </w14:solidFill>
                </w14:textFill>
              </w:rPr>
              <w:t>GB1859</w:t>
            </w:r>
            <w:r>
              <w:rPr>
                <w:rFonts w:hint="eastAsia"/>
                <w:color w:val="0D0D0D" w:themeColor="text1" w:themeTint="F2"/>
                <w:sz w:val="24"/>
                <w:lang w:val="en-US" w:eastAsia="zh-CN"/>
                <w14:textFill>
                  <w14:solidFill>
                    <w14:schemeClr w14:val="tx1">
                      <w14:lumMod w14:val="95000"/>
                      <w14:lumOff w14:val="5000"/>
                    </w14:schemeClr>
                  </w14:solidFill>
                </w14:textFill>
              </w:rPr>
              <w:t>7</w:t>
            </w:r>
            <w:r>
              <w:rPr>
                <w:rFonts w:hint="default"/>
                <w:color w:val="0D0D0D" w:themeColor="text1" w:themeTint="F2"/>
                <w:sz w:val="24"/>
                <w14:textFill>
                  <w14:solidFill>
                    <w14:schemeClr w14:val="tx1">
                      <w14:lumMod w14:val="95000"/>
                      <w14:lumOff w14:val="5000"/>
                    </w14:schemeClr>
                  </w14:solidFill>
                </w14:textFill>
              </w:rPr>
              <w:t>-2023</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中相关规定，规范建设危废</w:t>
            </w:r>
            <w:r>
              <w:rPr>
                <w:rFonts w:hint="eastAsia"/>
                <w:color w:val="0D0D0D" w:themeColor="text1" w:themeTint="F2"/>
                <w:sz w:val="24"/>
                <w14:textFill>
                  <w14:solidFill>
                    <w14:schemeClr w14:val="tx1">
                      <w14:lumMod w14:val="95000"/>
                      <w14:lumOff w14:val="5000"/>
                    </w14:schemeClr>
                  </w14:solidFill>
                </w14:textFill>
              </w:rPr>
              <w:t>暂存间</w:t>
            </w:r>
            <w:r>
              <w:rPr>
                <w:rFonts w:hint="default"/>
                <w:color w:val="0D0D0D" w:themeColor="text1" w:themeTint="F2"/>
                <w:sz w:val="24"/>
                <w14:textFill>
                  <w14:solidFill>
                    <w14:schemeClr w14:val="tx1">
                      <w14:lumMod w14:val="95000"/>
                      <w14:lumOff w14:val="5000"/>
                    </w14:schemeClr>
                  </w14:solidFill>
                </w14:textFill>
              </w:rPr>
              <w:t>，具体措施如下：</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1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①</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sz w:val="24"/>
                <w14:textFill>
                  <w14:solidFill>
                    <w14:schemeClr w14:val="tx1">
                      <w14:lumMod w14:val="95000"/>
                      <w14:lumOff w14:val="5000"/>
                    </w14:schemeClr>
                  </w14:solidFill>
                </w14:textFill>
              </w:rPr>
              <w:t>危废</w:t>
            </w:r>
            <w:r>
              <w:rPr>
                <w:rFonts w:hint="eastAsia"/>
                <w:color w:val="0D0D0D" w:themeColor="text1" w:themeTint="F2"/>
                <w:sz w:val="24"/>
                <w14:textFill>
                  <w14:solidFill>
                    <w14:schemeClr w14:val="tx1">
                      <w14:lumMod w14:val="95000"/>
                      <w14:lumOff w14:val="5000"/>
                    </w14:schemeClr>
                  </w14:solidFill>
                </w14:textFill>
              </w:rPr>
              <w:t>暂存间</w:t>
            </w:r>
            <w:r>
              <w:rPr>
                <w:rFonts w:hint="default"/>
                <w:color w:val="0D0D0D" w:themeColor="text1" w:themeTint="F2"/>
                <w:kern w:val="0"/>
                <w:sz w:val="24"/>
                <w14:textFill>
                  <w14:solidFill>
                    <w14:schemeClr w14:val="tx1">
                      <w14:lumMod w14:val="95000"/>
                      <w14:lumOff w14:val="5000"/>
                    </w14:schemeClr>
                  </w14:solidFill>
                </w14:textFill>
              </w:rPr>
              <w:t>应建有堵截泄漏的裙脚，地面与裙脚要用坚固、防渗材料建造，地面与裙角所围建的容积不低于总储量的1/5；应有隔离设施和防风、防晒、防雨设施；</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2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②</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kern w:val="0"/>
                <w:sz w:val="24"/>
                <w14:textFill>
                  <w14:solidFill>
                    <w14:schemeClr w14:val="tx1">
                      <w14:lumMod w14:val="95000"/>
                      <w14:lumOff w14:val="5000"/>
                    </w14:schemeClr>
                  </w14:solidFill>
                </w14:textFill>
              </w:rPr>
              <w:t>贮存设施基础必须做防渗处理，防渗层为至少1m厚粘土层（渗透系数≤10</w:t>
            </w:r>
            <w:r>
              <w:rPr>
                <w:rFonts w:hint="default"/>
                <w:color w:val="0D0D0D" w:themeColor="text1" w:themeTint="F2"/>
                <w:kern w:val="0"/>
                <w:sz w:val="24"/>
                <w:vertAlign w:val="superscript"/>
                <w14:textFill>
                  <w14:solidFill>
                    <w14:schemeClr w14:val="tx1">
                      <w14:lumMod w14:val="95000"/>
                      <w14:lumOff w14:val="5000"/>
                    </w14:schemeClr>
                  </w14:solidFill>
                </w14:textFill>
              </w:rPr>
              <w:t>-7</w:t>
            </w:r>
            <w:r>
              <w:rPr>
                <w:rFonts w:hint="default"/>
                <w:color w:val="0D0D0D" w:themeColor="text1" w:themeTint="F2"/>
                <w:kern w:val="0"/>
                <w:sz w:val="24"/>
                <w14:textFill>
                  <w14:solidFill>
                    <w14:schemeClr w14:val="tx1">
                      <w14:lumMod w14:val="95000"/>
                      <w14:lumOff w14:val="5000"/>
                    </w14:schemeClr>
                  </w14:solidFill>
                </w14:textFill>
              </w:rPr>
              <w:t>cm/s），或2mm厚高密度聚乙烯，或至少2mm厚的其它人工材料，渗透系数≤10</w:t>
            </w:r>
            <w:r>
              <w:rPr>
                <w:rFonts w:hint="default"/>
                <w:color w:val="0D0D0D" w:themeColor="text1" w:themeTint="F2"/>
                <w:kern w:val="0"/>
                <w:sz w:val="24"/>
                <w:vertAlign w:val="superscript"/>
                <w14:textFill>
                  <w14:solidFill>
                    <w14:schemeClr w14:val="tx1">
                      <w14:lumMod w14:val="95000"/>
                      <w14:lumOff w14:val="5000"/>
                    </w14:schemeClr>
                  </w14:solidFill>
                </w14:textFill>
              </w:rPr>
              <w:t>-10</w:t>
            </w:r>
            <w:r>
              <w:rPr>
                <w:rFonts w:hint="default"/>
                <w:color w:val="0D0D0D" w:themeColor="text1" w:themeTint="F2"/>
                <w:kern w:val="0"/>
                <w:sz w:val="24"/>
                <w14:textFill>
                  <w14:solidFill>
                    <w14:schemeClr w14:val="tx1">
                      <w14:lumMod w14:val="95000"/>
                      <w14:lumOff w14:val="5000"/>
                    </w14:schemeClr>
                  </w14:solidFill>
                </w14:textFill>
              </w:rPr>
              <w:t xml:space="preserve"> cm/s。</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3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③</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sz w:val="24"/>
                <w14:textFill>
                  <w14:solidFill>
                    <w14:schemeClr w14:val="tx1">
                      <w14:lumMod w14:val="95000"/>
                      <w14:lumOff w14:val="5000"/>
                    </w14:schemeClr>
                  </w14:solidFill>
                </w14:textFill>
              </w:rPr>
              <w:t>盛装危险废物的容器应根据危险废物的不同特性而设计，采用不易破损、变形、老化且能有效地防止渗漏、扩散的装置，危险废物包装执行《危险货物运输包装通用技术条件》（GB12463-2009）、《危险货物运输包装标志》（GB190-2009）</w:t>
            </w:r>
            <w:r>
              <w:rPr>
                <w:rFonts w:hint="default"/>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4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④</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kern w:val="0"/>
                <w:sz w:val="24"/>
                <w14:textFill>
                  <w14:solidFill>
                    <w14:schemeClr w14:val="tx1">
                      <w14:lumMod w14:val="95000"/>
                      <w14:lumOff w14:val="5000"/>
                    </w14:schemeClr>
                  </w14:solidFill>
                </w14:textFill>
              </w:rPr>
              <w:t>存放危废为液体的仓库内必须有泄漏液体收集装置（例如托盘、导流沟、收集池，导流沟、收集池四周壁及底部同样要求防腐防渗），存放危废为具有挥发性气体的仓库内必须有导出口及气体净化装置；</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5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⑤</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kern w:val="0"/>
                <w:sz w:val="24"/>
                <w14:textFill>
                  <w14:solidFill>
                    <w14:schemeClr w14:val="tx1">
                      <w14:lumMod w14:val="95000"/>
                      <w14:lumOff w14:val="5000"/>
                    </w14:schemeClr>
                  </w14:solidFill>
                </w14:textFill>
              </w:rPr>
              <w:t>装载液体、半固体危险废物的容器内须留足够空间，容器顶部与液体表面之间保留100毫米以上的空间。用以存放装载液体、半固体危险废物容器的地方，必须有耐腐蚀的硬化地面，且表面无裂隙。</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6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⑥</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kern w:val="0"/>
                <w:sz w:val="24"/>
                <w14:textFill>
                  <w14:solidFill>
                    <w14:schemeClr w14:val="tx1">
                      <w14:lumMod w14:val="95000"/>
                      <w14:lumOff w14:val="5000"/>
                    </w14:schemeClr>
                  </w14:solidFill>
                </w14:textFill>
              </w:rPr>
              <w:t>危险废物要注重“四防”，即防风、防雨、防晒、防渗漏，危废库建设时应采用混凝土、砖或经防腐处理的钢材等作为建材材料建成的相对封闭式场所，并设通风口；外部配套建设雨水导排系统，防止雨水进入危废暂存库内。</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7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⑦</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sz w:val="24"/>
                <w14:textFill>
                  <w14:solidFill>
                    <w14:schemeClr w14:val="tx1">
                      <w14:lumMod w14:val="95000"/>
                      <w14:lumOff w14:val="5000"/>
                    </w14:schemeClr>
                  </w14:solidFill>
                </w14:textFill>
              </w:rPr>
              <w:t>危废</w:t>
            </w:r>
            <w:r>
              <w:rPr>
                <w:rFonts w:hint="eastAsia"/>
                <w:color w:val="0D0D0D" w:themeColor="text1" w:themeTint="F2"/>
                <w:sz w:val="24"/>
                <w14:textFill>
                  <w14:solidFill>
                    <w14:schemeClr w14:val="tx1">
                      <w14:lumMod w14:val="95000"/>
                      <w14:lumOff w14:val="5000"/>
                    </w14:schemeClr>
                  </w14:solidFill>
                </w14:textFill>
              </w:rPr>
              <w:t>暂存间</w:t>
            </w:r>
            <w:r>
              <w:rPr>
                <w:rFonts w:hint="default"/>
                <w:color w:val="0D0D0D" w:themeColor="text1" w:themeTint="F2"/>
                <w:kern w:val="0"/>
                <w:sz w:val="24"/>
                <w14:textFill>
                  <w14:solidFill>
                    <w14:schemeClr w14:val="tx1">
                      <w14:lumMod w14:val="95000"/>
                      <w14:lumOff w14:val="5000"/>
                    </w14:schemeClr>
                  </w14:solidFill>
                </w14:textFill>
              </w:rPr>
              <w:t>门上要张贴包含所有危废的标识、标牌，仓库内对应墙上有标志标识，无法装入常用容器的危险废物可用防漏胶袋等盛装，包装桶、袋上有标签，危废仓库管理责任制要上墙。</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fldChar w:fldCharType="begin"/>
            </w:r>
            <w:r>
              <w:rPr>
                <w:rFonts w:hint="default"/>
                <w:color w:val="0D0D0D" w:themeColor="text1" w:themeTint="F2"/>
                <w:sz w:val="24"/>
                <w14:textFill>
                  <w14:solidFill>
                    <w14:schemeClr w14:val="tx1">
                      <w14:lumMod w14:val="95000"/>
                      <w14:lumOff w14:val="5000"/>
                    </w14:schemeClr>
                  </w14:solidFill>
                </w14:textFill>
              </w:rPr>
              <w:instrText xml:space="preserve"> = 8 \* GB3 </w:instrText>
            </w:r>
            <w:r>
              <w:rPr>
                <w:rFonts w:hint="default"/>
                <w:color w:val="0D0D0D" w:themeColor="text1" w:themeTint="F2"/>
                <w:sz w:val="24"/>
                <w14:textFill>
                  <w14:solidFill>
                    <w14:schemeClr w14:val="tx1">
                      <w14:lumMod w14:val="95000"/>
                      <w14:lumOff w14:val="5000"/>
                    </w14:schemeClr>
                  </w14:solidFill>
                </w14:textFill>
              </w:rPr>
              <w:fldChar w:fldCharType="separate"/>
            </w:r>
            <w:r>
              <w:rPr>
                <w:rFonts w:hint="eastAsia" w:cs="宋体"/>
                <w:color w:val="0D0D0D" w:themeColor="text1" w:themeTint="F2"/>
                <w:sz w:val="24"/>
                <w14:textFill>
                  <w14:solidFill>
                    <w14:schemeClr w14:val="tx1">
                      <w14:lumMod w14:val="95000"/>
                      <w14:lumOff w14:val="5000"/>
                    </w14:schemeClr>
                  </w14:solidFill>
                </w14:textFill>
              </w:rPr>
              <w:t>⑧</w:t>
            </w:r>
            <w:r>
              <w:rPr>
                <w:rFonts w:hint="default"/>
                <w:color w:val="0D0D0D" w:themeColor="text1" w:themeTint="F2"/>
                <w:sz w:val="24"/>
                <w14:textFill>
                  <w14:solidFill>
                    <w14:schemeClr w14:val="tx1">
                      <w14:lumMod w14:val="95000"/>
                      <w14:lumOff w14:val="5000"/>
                    </w14:schemeClr>
                  </w14:solidFill>
                </w14:textFill>
              </w:rPr>
              <w:fldChar w:fldCharType="end"/>
            </w:r>
            <w:r>
              <w:rPr>
                <w:rFonts w:hint="default"/>
                <w:color w:val="0D0D0D" w:themeColor="text1" w:themeTint="F2"/>
                <w:sz w:val="24"/>
                <w14:textFill>
                  <w14:solidFill>
                    <w14:schemeClr w14:val="tx1">
                      <w14:lumMod w14:val="95000"/>
                      <w14:lumOff w14:val="5000"/>
                    </w14:schemeClr>
                  </w14:solidFill>
                </w14:textFill>
              </w:rPr>
              <w:t>危废</w:t>
            </w:r>
            <w:r>
              <w:rPr>
                <w:rFonts w:hint="eastAsia"/>
                <w:color w:val="0D0D0D" w:themeColor="text1" w:themeTint="F2"/>
                <w:sz w:val="24"/>
                <w14:textFill>
                  <w14:solidFill>
                    <w14:schemeClr w14:val="tx1">
                      <w14:lumMod w14:val="95000"/>
                      <w14:lumOff w14:val="5000"/>
                    </w14:schemeClr>
                  </w14:solidFill>
                </w14:textFill>
              </w:rPr>
              <w:t>暂存间</w:t>
            </w:r>
            <w:r>
              <w:rPr>
                <w:rFonts w:hint="default"/>
                <w:color w:val="0D0D0D" w:themeColor="text1" w:themeTint="F2"/>
                <w:sz w:val="24"/>
                <w14:textFill>
                  <w14:solidFill>
                    <w14:schemeClr w14:val="tx1">
                      <w14:lumMod w14:val="95000"/>
                      <w14:lumOff w14:val="5000"/>
                    </w14:schemeClr>
                  </w14:solidFill>
                </w14:textFill>
              </w:rPr>
              <w:t>需上锁防盗，制定严格的暂存保管措施，专人负责。</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fldChar w:fldCharType="begin"/>
            </w:r>
            <w:r>
              <w:rPr>
                <w:rFonts w:hint="default"/>
                <w:color w:val="0D0D0D" w:themeColor="text1" w:themeTint="F2"/>
                <w:kern w:val="0"/>
                <w:sz w:val="24"/>
                <w14:textFill>
                  <w14:solidFill>
                    <w14:schemeClr w14:val="tx1">
                      <w14:lumMod w14:val="95000"/>
                      <w14:lumOff w14:val="5000"/>
                    </w14:schemeClr>
                  </w14:solidFill>
                </w14:textFill>
              </w:rPr>
              <w:instrText xml:space="preserve"> = 9 \* GB3 </w:instrText>
            </w:r>
            <w:r>
              <w:rPr>
                <w:rFonts w:hint="default"/>
                <w:color w:val="0D0D0D" w:themeColor="text1" w:themeTint="F2"/>
                <w:kern w:val="0"/>
                <w:sz w:val="24"/>
                <w14:textFill>
                  <w14:solidFill>
                    <w14:schemeClr w14:val="tx1">
                      <w14:lumMod w14:val="95000"/>
                      <w14:lumOff w14:val="5000"/>
                    </w14:schemeClr>
                  </w14:solidFill>
                </w14:textFill>
              </w:rPr>
              <w:fldChar w:fldCharType="separate"/>
            </w:r>
            <w:r>
              <w:rPr>
                <w:rFonts w:hint="eastAsia" w:cs="宋体"/>
                <w:color w:val="0D0D0D" w:themeColor="text1" w:themeTint="F2"/>
                <w:kern w:val="0"/>
                <w:sz w:val="24"/>
                <w14:textFill>
                  <w14:solidFill>
                    <w14:schemeClr w14:val="tx1">
                      <w14:lumMod w14:val="95000"/>
                      <w14:lumOff w14:val="5000"/>
                    </w14:schemeClr>
                  </w14:solidFill>
                </w14:textFill>
              </w:rPr>
              <w:t>⑨</w:t>
            </w:r>
            <w:r>
              <w:rPr>
                <w:rFonts w:hint="default"/>
                <w:color w:val="0D0D0D" w:themeColor="text1" w:themeTint="F2"/>
                <w:kern w:val="0"/>
                <w:sz w:val="24"/>
                <w14:textFill>
                  <w14:solidFill>
                    <w14:schemeClr w14:val="tx1">
                      <w14:lumMod w14:val="95000"/>
                      <w14:lumOff w14:val="5000"/>
                    </w14:schemeClr>
                  </w14:solidFill>
                </w14:textFill>
              </w:rPr>
              <w:fldChar w:fldCharType="end"/>
            </w:r>
            <w:r>
              <w:rPr>
                <w:rFonts w:hint="default"/>
                <w:color w:val="0D0D0D" w:themeColor="text1" w:themeTint="F2"/>
                <w:kern w:val="0"/>
                <w:sz w:val="24"/>
                <w14:textFill>
                  <w14:solidFill>
                    <w14:schemeClr w14:val="tx1">
                      <w14:lumMod w14:val="95000"/>
                      <w14:lumOff w14:val="5000"/>
                    </w14:schemeClr>
                  </w14:solidFill>
                </w14:textFill>
              </w:rPr>
              <w:t>危险废物定期交由有资质的处置单位接收处理，转运过程严格按照有关规定，实行联单制度。</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采取上述措施后，能够确保本项目危险废物在厂内贮存时得到有效的处置，对环境影响较小。</w:t>
            </w:r>
          </w:p>
          <w:p>
            <w:pPr>
              <w:keepNext w:val="0"/>
              <w:keepLines w:val="0"/>
              <w:suppressLineNumbers w:val="0"/>
              <w:spacing w:before="0" w:beforeAutospacing="0" w:after="0" w:afterAutospacing="0" w:line="360" w:lineRule="auto"/>
              <w:ind w:left="0" w:right="0" w:firstLine="48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w:t>
            </w:r>
            <w:r>
              <w:rPr>
                <w:rFonts w:hint="default"/>
                <w:color w:val="0D0D0D" w:themeColor="text1" w:themeTint="F2"/>
                <w:kern w:val="0"/>
                <w:sz w:val="24"/>
                <w14:textFill>
                  <w14:solidFill>
                    <w14:schemeClr w14:val="tx1">
                      <w14:lumMod w14:val="95000"/>
                      <w14:lumOff w14:val="5000"/>
                    </w14:schemeClr>
                  </w14:solidFill>
                </w14:textFill>
              </w:rPr>
              <w:t>2</w:t>
            </w:r>
            <w:r>
              <w:rPr>
                <w:rFonts w:hint="eastAsia"/>
                <w:color w:val="0D0D0D" w:themeColor="text1" w:themeTint="F2"/>
                <w:kern w:val="0"/>
                <w:sz w:val="24"/>
                <w14:textFill>
                  <w14:solidFill>
                    <w14:schemeClr w14:val="tx1">
                      <w14:lumMod w14:val="95000"/>
                      <w14:lumOff w14:val="5000"/>
                    </w14:schemeClr>
                  </w14:solidFill>
                </w14:textFill>
              </w:rPr>
              <w:t>）危险废物运输及转移过程环境影响分析</w:t>
            </w:r>
          </w:p>
          <w:p>
            <w:pPr>
              <w:keepNext w:val="0"/>
              <w:keepLines w:val="0"/>
              <w:suppressLineNumbers w:val="0"/>
              <w:spacing w:before="0" w:beforeAutospacing="0" w:after="0" w:afterAutospacing="0" w:line="360" w:lineRule="auto"/>
              <w:ind w:left="0" w:right="0" w:firstLine="48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危险废物外运时严格按照《危险废物转移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keepNext w:val="0"/>
              <w:keepLines w:val="0"/>
              <w:suppressLineNumbers w:val="0"/>
              <w:spacing w:before="0" w:beforeAutospacing="0" w:after="0" w:afterAutospacing="0" w:line="360" w:lineRule="auto"/>
              <w:ind w:left="0" w:right="0" w:firstLine="48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综上所述，项目运输过程做好相关工作对外环境的影响是可以控制的。</w:t>
            </w:r>
          </w:p>
          <w:p>
            <w:pPr>
              <w:keepNext w:val="0"/>
              <w:keepLines w:val="0"/>
              <w:suppressLineNumbers w:val="0"/>
              <w:spacing w:before="0" w:beforeAutospacing="0" w:after="0" w:afterAutospacing="0" w:line="360" w:lineRule="auto"/>
              <w:ind w:left="0" w:right="0" w:firstLine="480"/>
              <w:jc w:val="left"/>
              <w:rPr>
                <w:rFonts w:hint="default"/>
                <w:color w:val="0D0D0D" w:themeColor="text1" w:themeTint="F2"/>
                <w:kern w:val="0"/>
                <w:sz w:val="24"/>
                <w14:textFill>
                  <w14:solidFill>
                    <w14:schemeClr w14:val="tx1">
                      <w14:lumMod w14:val="95000"/>
                      <w14:lumOff w14:val="5000"/>
                    </w14:schemeClr>
                  </w14:solidFill>
                </w14:textFill>
              </w:rPr>
            </w:pPr>
            <w:r>
              <w:rPr>
                <w:rFonts w:hint="default"/>
                <w:color w:val="0D0D0D" w:themeColor="text1" w:themeTint="F2"/>
                <w:kern w:val="0"/>
                <w:sz w:val="24"/>
                <w14:textFill>
                  <w14:solidFill>
                    <w14:schemeClr w14:val="tx1">
                      <w14:lumMod w14:val="95000"/>
                      <w14:lumOff w14:val="5000"/>
                    </w14:schemeClr>
                  </w14:solidFill>
                </w14:textFill>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0D0D0D" w:themeColor="text1" w:themeTint="F2"/>
                <w:kern w:val="0"/>
                <w:sz w:val="24"/>
                <w14:textFill>
                  <w14:solidFill>
                    <w14:schemeClr w14:val="tx1">
                      <w14:lumMod w14:val="95000"/>
                      <w14:lumOff w14:val="5000"/>
                    </w14:schemeClr>
                  </w14:solidFill>
                </w14:textFill>
              </w:rPr>
              <w:t>。</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（3）委托利用或者处置的环境影响分析</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根据安徽省环境保护厅公布的《安徽省危险废物经营许可证汇总统计表》，本次评价分析项目产生的危险废物有资质单位有能力接纳并利用、处置的部分单位如下：</w:t>
            </w:r>
          </w:p>
          <w:p>
            <w:pPr>
              <w:keepNext w:val="0"/>
              <w:keepLines w:val="0"/>
              <w:suppressLineNumbers w:val="0"/>
              <w:spacing w:before="0" w:beforeAutospacing="0" w:after="0" w:afterAutospacing="0"/>
              <w:ind w:left="0" w:right="0"/>
              <w:jc w:val="center"/>
              <w:rPr>
                <w:rFonts w:hint="default"/>
                <w:b/>
                <w:color w:val="0D0D0D" w:themeColor="text1" w:themeTint="F2"/>
                <w:sz w:val="24"/>
                <w14:textFill>
                  <w14:solidFill>
                    <w14:schemeClr w14:val="tx1">
                      <w14:lumMod w14:val="95000"/>
                      <w14:lumOff w14:val="5000"/>
                    </w14:schemeClr>
                  </w14:solidFill>
                </w14:textFill>
              </w:rPr>
            </w:pPr>
            <w:r>
              <w:rPr>
                <w:rFonts w:hint="eastAsia"/>
                <w:b/>
                <w:color w:val="0D0D0D" w:themeColor="text1" w:themeTint="F2"/>
                <w:sz w:val="24"/>
                <w14:textFill>
                  <w14:solidFill>
                    <w14:schemeClr w14:val="tx1">
                      <w14:lumMod w14:val="95000"/>
                      <w14:lumOff w14:val="5000"/>
                    </w14:schemeClr>
                  </w14:solidFill>
                </w14:textFill>
              </w:rPr>
              <w:t>表4-</w:t>
            </w:r>
            <w:r>
              <w:rPr>
                <w:rFonts w:hint="default"/>
                <w:b/>
                <w:color w:val="0D0D0D" w:themeColor="text1" w:themeTint="F2"/>
                <w:sz w:val="24"/>
                <w14:textFill>
                  <w14:solidFill>
                    <w14:schemeClr w14:val="tx1">
                      <w14:lumMod w14:val="95000"/>
                      <w14:lumOff w14:val="5000"/>
                    </w14:schemeClr>
                  </w14:solidFill>
                </w14:textFill>
              </w:rPr>
              <w:t>1</w:t>
            </w:r>
            <w:r>
              <w:rPr>
                <w:rFonts w:hint="eastAsia"/>
                <w:b/>
                <w:color w:val="0D0D0D" w:themeColor="text1" w:themeTint="F2"/>
                <w:sz w:val="24"/>
                <w:lang w:val="en-US" w:eastAsia="zh-CN"/>
                <w14:textFill>
                  <w14:solidFill>
                    <w14:schemeClr w14:val="tx1">
                      <w14:lumMod w14:val="95000"/>
                      <w14:lumOff w14:val="5000"/>
                    </w14:schemeClr>
                  </w14:solidFill>
                </w14:textFill>
              </w:rPr>
              <w:t>4</w:t>
            </w:r>
            <w:r>
              <w:rPr>
                <w:rFonts w:hint="default"/>
                <w:b/>
                <w:color w:val="0D0D0D" w:themeColor="text1" w:themeTint="F2"/>
                <w:sz w:val="24"/>
                <w14:textFill>
                  <w14:solidFill>
                    <w14:schemeClr w14:val="tx1">
                      <w14:lumMod w14:val="95000"/>
                      <w14:lumOff w14:val="5000"/>
                    </w14:schemeClr>
                  </w14:solidFill>
                </w14:textFill>
              </w:rPr>
              <w:t xml:space="preserve"> </w:t>
            </w:r>
            <w:r>
              <w:rPr>
                <w:rFonts w:hint="eastAsia"/>
                <w:b/>
                <w:color w:val="0D0D0D" w:themeColor="text1" w:themeTint="F2"/>
                <w:sz w:val="24"/>
                <w14:textFill>
                  <w14:solidFill>
                    <w14:schemeClr w14:val="tx1">
                      <w14:lumMod w14:val="95000"/>
                      <w14:lumOff w14:val="5000"/>
                    </w14:schemeClr>
                  </w14:solidFill>
                </w14:textFill>
              </w:rPr>
              <w:t xml:space="preserve"> 危险废物处置单位一览表</w:t>
            </w:r>
          </w:p>
          <w:tbl>
            <w:tblPr>
              <w:tblStyle w:val="59"/>
              <w:tblW w:w="83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95"/>
              <w:gridCol w:w="1128"/>
              <w:gridCol w:w="50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7"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b/>
                      <w:bCs/>
                      <w:color w:val="0D0D0D" w:themeColor="text1" w:themeTint="F2"/>
                      <w:sz w:val="21"/>
                      <w:szCs w:val="21"/>
                      <w14:textFill>
                        <w14:solidFill>
                          <w14:schemeClr w14:val="tx1">
                            <w14:lumMod w14:val="95000"/>
                            <w14:lumOff w14:val="5000"/>
                          </w14:schemeClr>
                        </w14:solidFill>
                      </w14:textFill>
                    </w:rPr>
                  </w:pPr>
                  <w:r>
                    <w:rPr>
                      <w:rFonts w:hint="eastAsia"/>
                      <w:b/>
                      <w:bCs/>
                      <w:color w:val="0D0D0D" w:themeColor="text1" w:themeTint="F2"/>
                      <w:sz w:val="21"/>
                      <w:szCs w:val="21"/>
                      <w14:textFill>
                        <w14:solidFill>
                          <w14:schemeClr w14:val="tx1">
                            <w14:lumMod w14:val="95000"/>
                            <w14:lumOff w14:val="5000"/>
                          </w14:schemeClr>
                        </w14:solidFill>
                      </w14:textFill>
                    </w:rPr>
                    <w:t>市县</w:t>
                  </w:r>
                </w:p>
              </w:tc>
              <w:tc>
                <w:tcPr>
                  <w:tcW w:w="1495"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b/>
                      <w:bCs/>
                      <w:color w:val="0D0D0D" w:themeColor="text1" w:themeTint="F2"/>
                      <w:sz w:val="21"/>
                      <w:szCs w:val="21"/>
                      <w14:textFill>
                        <w14:solidFill>
                          <w14:schemeClr w14:val="tx1">
                            <w14:lumMod w14:val="95000"/>
                            <w14:lumOff w14:val="5000"/>
                          </w14:schemeClr>
                        </w14:solidFill>
                      </w14:textFill>
                    </w:rPr>
                  </w:pPr>
                  <w:r>
                    <w:rPr>
                      <w:rFonts w:hint="eastAsia"/>
                      <w:b/>
                      <w:bCs/>
                      <w:color w:val="0D0D0D" w:themeColor="text1" w:themeTint="F2"/>
                      <w:sz w:val="21"/>
                      <w:szCs w:val="21"/>
                      <w14:textFill>
                        <w14:solidFill>
                          <w14:schemeClr w14:val="tx1">
                            <w14:lumMod w14:val="95000"/>
                            <w14:lumOff w14:val="5000"/>
                          </w14:schemeClr>
                        </w14:solidFill>
                      </w14:textFill>
                    </w:rPr>
                    <w:t>企业名称</w:t>
                  </w:r>
                </w:p>
              </w:tc>
              <w:tc>
                <w:tcPr>
                  <w:tcW w:w="1128"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b/>
                      <w:bCs/>
                      <w:color w:val="0D0D0D" w:themeColor="text1" w:themeTint="F2"/>
                      <w:sz w:val="21"/>
                      <w:szCs w:val="21"/>
                      <w14:textFill>
                        <w14:solidFill>
                          <w14:schemeClr w14:val="tx1">
                            <w14:lumMod w14:val="95000"/>
                            <w14:lumOff w14:val="5000"/>
                          </w14:schemeClr>
                        </w14:solidFill>
                      </w14:textFill>
                    </w:rPr>
                  </w:pPr>
                  <w:r>
                    <w:rPr>
                      <w:rFonts w:hint="eastAsia"/>
                      <w:b/>
                      <w:bCs/>
                      <w:color w:val="0D0D0D" w:themeColor="text1" w:themeTint="F2"/>
                      <w:sz w:val="21"/>
                      <w:szCs w:val="21"/>
                      <w14:textFill>
                        <w14:solidFill>
                          <w14:schemeClr w14:val="tx1">
                            <w14:lumMod w14:val="95000"/>
                            <w14:lumOff w14:val="5000"/>
                          </w14:schemeClr>
                        </w14:solidFill>
                      </w14:textFill>
                    </w:rPr>
                    <w:t>许可证编号</w:t>
                  </w:r>
                </w:p>
              </w:tc>
              <w:tc>
                <w:tcPr>
                  <w:tcW w:w="5080"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b/>
                      <w:bCs/>
                      <w:color w:val="0D0D0D" w:themeColor="text1" w:themeTint="F2"/>
                      <w:sz w:val="21"/>
                      <w:szCs w:val="21"/>
                      <w14:textFill>
                        <w14:solidFill>
                          <w14:schemeClr w14:val="tx1">
                            <w14:lumMod w14:val="95000"/>
                            <w14:lumOff w14:val="5000"/>
                          </w14:schemeClr>
                        </w14:solidFill>
                      </w14:textFill>
                    </w:rPr>
                  </w:pPr>
                  <w:r>
                    <w:rPr>
                      <w:rFonts w:hint="eastAsia"/>
                      <w:b/>
                      <w:bCs/>
                      <w:color w:val="0D0D0D" w:themeColor="text1" w:themeTint="F2"/>
                      <w:sz w:val="21"/>
                      <w:szCs w:val="21"/>
                      <w14:textFill>
                        <w14:solidFill>
                          <w14:schemeClr w14:val="tx1">
                            <w14:lumMod w14:val="95000"/>
                            <w14:lumOff w14:val="5000"/>
                          </w14:schemeClr>
                        </w14:solidFill>
                      </w14:textFill>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7"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芜湖市</w:t>
                  </w:r>
                </w:p>
              </w:tc>
              <w:tc>
                <w:tcPr>
                  <w:tcW w:w="1495"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芜湖致源环保科技有限公司</w:t>
                  </w:r>
                </w:p>
              </w:tc>
              <w:tc>
                <w:tcPr>
                  <w:tcW w:w="1128"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default"/>
                      <w:color w:val="0D0D0D" w:themeColor="text1" w:themeTint="F2"/>
                      <w:sz w:val="21"/>
                      <w:szCs w:val="21"/>
                      <w14:textFill>
                        <w14:solidFill>
                          <w14:schemeClr w14:val="tx1">
                            <w14:lumMod w14:val="95000"/>
                            <w14:lumOff w14:val="5000"/>
                          </w14:schemeClr>
                        </w14:solidFill>
                      </w14:textFill>
                    </w:rPr>
                    <w:t>340203002</w:t>
                  </w:r>
                </w:p>
              </w:tc>
              <w:tc>
                <w:tcPr>
                  <w:tcW w:w="5080"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7"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芜湖市</w:t>
                  </w:r>
                </w:p>
              </w:tc>
              <w:tc>
                <w:tcPr>
                  <w:tcW w:w="1495"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芜湖海创环保科技有限责任公司</w:t>
                  </w:r>
                </w:p>
              </w:tc>
              <w:tc>
                <w:tcPr>
                  <w:tcW w:w="1128"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default"/>
                      <w:color w:val="0D0D0D" w:themeColor="text1" w:themeTint="F2"/>
                      <w:sz w:val="21"/>
                      <w:szCs w:val="21"/>
                      <w14:textFill>
                        <w14:solidFill>
                          <w14:schemeClr w14:val="tx1">
                            <w14:lumMod w14:val="95000"/>
                            <w14:lumOff w14:val="5000"/>
                          </w14:schemeClr>
                        </w14:solidFill>
                      </w14:textFill>
                    </w:rPr>
                    <w:t>340222002</w:t>
                  </w:r>
                </w:p>
              </w:tc>
              <w:tc>
                <w:tcPr>
                  <w:tcW w:w="5080"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7"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马鞍山市</w:t>
                  </w:r>
                </w:p>
              </w:tc>
              <w:tc>
                <w:tcPr>
                  <w:tcW w:w="1495"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马鞍山澳新环保科技有限公司</w:t>
                  </w:r>
                </w:p>
              </w:tc>
              <w:tc>
                <w:tcPr>
                  <w:tcW w:w="1128"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0" w:firstLineChars="0"/>
                    <w:jc w:val="center"/>
                    <w:rPr>
                      <w:rFonts w:hint="default"/>
                      <w:color w:val="0D0D0D" w:themeColor="text1" w:themeTint="F2"/>
                      <w:sz w:val="21"/>
                      <w:szCs w:val="21"/>
                      <w14:textFill>
                        <w14:solidFill>
                          <w14:schemeClr w14:val="tx1">
                            <w14:lumMod w14:val="95000"/>
                            <w14:lumOff w14:val="5000"/>
                          </w14:schemeClr>
                        </w14:solidFill>
                      </w14:textFill>
                    </w:rPr>
                  </w:pPr>
                  <w:r>
                    <w:rPr>
                      <w:rFonts w:hint="default"/>
                      <w:color w:val="0D0D0D" w:themeColor="text1" w:themeTint="F2"/>
                      <w:sz w:val="21"/>
                      <w:szCs w:val="21"/>
                      <w14:textFill>
                        <w14:solidFill>
                          <w14:schemeClr w14:val="tx1">
                            <w14:lumMod w14:val="95000"/>
                            <w14:lumOff w14:val="5000"/>
                          </w14:schemeClr>
                        </w14:solidFill>
                      </w14:textFill>
                    </w:rPr>
                    <w:t>340504001</w:t>
                  </w:r>
                </w:p>
              </w:tc>
              <w:tc>
                <w:tcPr>
                  <w:tcW w:w="5080" w:type="dxa"/>
                  <w:shd w:val="clear" w:color="auto" w:fill="auto"/>
                  <w:vAlign w:val="center"/>
                </w:tcPr>
                <w:p>
                  <w:pPr>
                    <w:pStyle w:val="1050"/>
                    <w:keepNext w:val="0"/>
                    <w:keepLines w:val="0"/>
                    <w:widowControl w:val="0"/>
                    <w:suppressLineNumbers w:val="0"/>
                    <w:adjustRightInd w:val="0"/>
                    <w:snapToGrid w:val="0"/>
                    <w:spacing w:before="0" w:beforeAutospacing="0" w:after="0" w:afterAutospacing="0"/>
                    <w:ind w:left="-63" w:leftChars="-30" w:right="-63" w:rightChars="-30" w:firstLine="412"/>
                    <w:jc w:val="center"/>
                    <w:rPr>
                      <w:rFonts w:hint="default"/>
                      <w:color w:val="0D0D0D" w:themeColor="text1" w:themeTint="F2"/>
                      <w:sz w:val="21"/>
                      <w:szCs w:val="21"/>
                      <w14:textFill>
                        <w14:solidFill>
                          <w14:schemeClr w14:val="tx1">
                            <w14:lumMod w14:val="95000"/>
                            <w14:lumOff w14:val="5000"/>
                          </w14:schemeClr>
                        </w14:solidFill>
                      </w14:textFill>
                    </w:rPr>
                  </w:pPr>
                  <w:r>
                    <w:rPr>
                      <w:rFonts w:hint="eastAsia"/>
                      <w:color w:val="0D0D0D" w:themeColor="text1" w:themeTint="F2"/>
                      <w:sz w:val="21"/>
                      <w:szCs w:val="21"/>
                      <w14:textFill>
                        <w14:solidFill>
                          <w14:schemeClr w14:val="tx1">
                            <w14:lumMod w14:val="95000"/>
                            <w14:lumOff w14:val="5000"/>
                          </w14:schemeClr>
                        </w14:solidFill>
                      </w14:textFill>
                    </w:rPr>
                    <w:t>HW01-HW06、HW08、HW09、HW11-HW14、HW16-HW18、HW21-HW23、HW29、 HW31-HW40、HW45、HW46、HW48-HW50焚烧10000吨/年（含医疗废物1000吨）、物化处理13000吨/年、固化、稳定化及安全填埋10100吨/年。</w:t>
                  </w:r>
                </w:p>
              </w:tc>
            </w:tr>
          </w:tbl>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从上表可以看出，本项目产生的危险固体废物在安徽省内有多家适合的资质单位进行处理处置。</w:t>
            </w:r>
          </w:p>
          <w:p>
            <w:pPr>
              <w:keepNext/>
              <w:keepLines/>
              <w:suppressLineNumbers w:val="0"/>
              <w:spacing w:before="0" w:beforeAutospacing="0" w:after="0" w:afterAutospacing="0" w:line="360" w:lineRule="auto"/>
              <w:ind w:left="0" w:right="0" w:firstLine="470" w:firstLineChars="196"/>
              <w:outlineLvl w:val="2"/>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综上所述，本评价认为，在落实上述危险废物管理要求后，项目各类危废从收集、转运、运输、处理处置环节均可以得到有效的控制，能够确保妥善处置，不会对区域环境造成较大不利影响</w:t>
            </w:r>
            <w:r>
              <w:rPr>
                <w:rFonts w:hint="default"/>
                <w:color w:val="0D0D0D" w:themeColor="text1" w:themeTint="F2"/>
                <w:kern w:val="0"/>
                <w:sz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tc>
        <w:tc>
          <w:tcPr>
            <w:tcW w:w="8293" w:type="dxa"/>
          </w:tcPr>
          <w:p>
            <w:pPr>
              <w:keepNext w:val="0"/>
              <w:keepLines w:val="0"/>
              <w:suppressLineNumbers w:val="0"/>
              <w:autoSpaceDE w:val="0"/>
              <w:autoSpaceDN w:val="0"/>
              <w:adjustRightInd w:val="0"/>
              <w:spacing w:before="120" w:beforeLines="50" w:beforeAutospacing="0" w:after="0" w:afterAutospacing="0" w:line="360" w:lineRule="auto"/>
              <w:ind w:left="0" w:right="0" w:firstLine="482" w:firstLineChars="200"/>
              <w:jc w:val="left"/>
              <w:rPr>
                <w:rFonts w:hint="default"/>
                <w:b/>
                <w:bCs/>
                <w:color w:val="0D0D0D" w:themeColor="text1" w:themeTint="F2"/>
                <w:sz w:val="24"/>
                <w:szCs w:val="32"/>
                <w14:textFill>
                  <w14:solidFill>
                    <w14:schemeClr w14:val="tx1">
                      <w14:lumMod w14:val="95000"/>
                      <w14:lumOff w14:val="5000"/>
                    </w14:schemeClr>
                  </w14:solidFill>
                </w14:textFill>
              </w:rPr>
            </w:pPr>
            <w:bookmarkStart w:id="6" w:name="_Toc364165777"/>
            <w:bookmarkStart w:id="7" w:name="_Toc350338948"/>
            <w:bookmarkStart w:id="8" w:name="_Toc355948545"/>
            <w:r>
              <w:rPr>
                <w:rFonts w:hint="eastAsia" w:cs="宋体"/>
                <w:b/>
                <w:bCs/>
                <w:color w:val="0D0D0D" w:themeColor="text1" w:themeTint="F2"/>
                <w:sz w:val="24"/>
                <w14:textFill>
                  <w14:solidFill>
                    <w14:schemeClr w14:val="tx1">
                      <w14:lumMod w14:val="95000"/>
                      <w14:lumOff w14:val="5000"/>
                    </w14:schemeClr>
                  </w14:solidFill>
                </w14:textFill>
              </w:rPr>
              <w:t>五、地下水、土壤</w:t>
            </w:r>
            <w:r>
              <w:rPr>
                <w:rFonts w:hint="eastAsia"/>
                <w:b/>
                <w:bCs/>
                <w:color w:val="0D0D0D" w:themeColor="text1" w:themeTint="F2"/>
                <w:sz w:val="24"/>
                <w:szCs w:val="32"/>
                <w14:textFill>
                  <w14:solidFill>
                    <w14:schemeClr w14:val="tx1">
                      <w14:lumMod w14:val="95000"/>
                      <w14:lumOff w14:val="5000"/>
                    </w14:schemeClr>
                  </w14:solidFill>
                </w14:textFill>
              </w:rPr>
              <w:t>环境影响和保护措施</w:t>
            </w:r>
          </w:p>
          <w:p>
            <w:pPr>
              <w:keepNext w:val="0"/>
              <w:keepLines w:val="0"/>
              <w:suppressLineNumbers w:val="0"/>
              <w:spacing w:before="0" w:beforeAutospacing="0" w:after="0" w:afterAutospacing="0" w:line="360" w:lineRule="auto"/>
              <w:ind w:left="0" w:right="0" w:firstLine="482" w:firstLineChars="200"/>
              <w:rPr>
                <w:rFonts w:hint="default"/>
                <w:b/>
                <w:sz w:val="24"/>
              </w:rPr>
            </w:pPr>
            <w:r>
              <w:rPr>
                <w:rFonts w:hint="default"/>
                <w:b/>
                <w:sz w:val="24"/>
              </w:rPr>
              <w:t>1、污染源及污染途径</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本项目建设完整的</w:t>
            </w:r>
            <w:r>
              <w:rPr>
                <w:rFonts w:hint="eastAsia"/>
                <w:sz w:val="24"/>
              </w:rPr>
              <w:t>“</w:t>
            </w:r>
            <w:r>
              <w:rPr>
                <w:rFonts w:hint="default"/>
                <w:sz w:val="24"/>
              </w:rPr>
              <w:t>雨污分流、清污分流、污污分流</w:t>
            </w:r>
            <w:r>
              <w:rPr>
                <w:rFonts w:hint="eastAsia"/>
                <w:sz w:val="24"/>
              </w:rPr>
              <w:t>”</w:t>
            </w:r>
            <w:r>
              <w:rPr>
                <w:rFonts w:hint="default"/>
                <w:sz w:val="24"/>
              </w:rPr>
              <w:t>排水系统，雨水排入雨水管网。项目对地下水、土壤的影响主要为非正常工况下的污水垂直入渗影响，正常情况下，不会形成地表漫流。</w:t>
            </w:r>
          </w:p>
          <w:p>
            <w:pPr>
              <w:keepNext w:val="0"/>
              <w:keepLines w:val="0"/>
              <w:suppressLineNumbers w:val="0"/>
              <w:spacing w:before="0" w:beforeAutospacing="0" w:after="0" w:afterAutospacing="0" w:line="360" w:lineRule="auto"/>
              <w:ind w:left="0" w:right="0" w:firstLine="480"/>
              <w:jc w:val="left"/>
              <w:rPr>
                <w:rFonts w:hint="default"/>
                <w:sz w:val="24"/>
              </w:rPr>
            </w:pPr>
            <w:r>
              <w:rPr>
                <w:rFonts w:hint="default"/>
                <w:sz w:val="24"/>
              </w:rPr>
              <w:t>本项目运营期对土壤环境影响途径为主要受大气沉降影响、垂直入渗影响，拟建项目不会造成土壤酸化、碱化、盐化，该项目涉及的大气污染物因子非甲烷总烃</w:t>
            </w:r>
            <w:r>
              <w:rPr>
                <w:rFonts w:hint="eastAsia"/>
                <w:sz w:val="24"/>
              </w:rPr>
              <w:t>、</w:t>
            </w:r>
            <w:r>
              <w:rPr>
                <w:rFonts w:hint="eastAsia"/>
                <w:sz w:val="24"/>
                <w:lang w:val="en-US" w:eastAsia="zh-CN"/>
              </w:rPr>
              <w:t>颗粒物</w:t>
            </w:r>
            <w:r>
              <w:rPr>
                <w:rFonts w:hint="default"/>
                <w:sz w:val="24"/>
              </w:rPr>
              <w:t>均达标排放，大气排放量小，最大落地点浓度值较低。因此基本不会对土壤产生明显的污染，改变土壤的环境质量，在采取保护措施后环境影响可行。</w:t>
            </w:r>
          </w:p>
          <w:p>
            <w:pPr>
              <w:keepNext w:val="0"/>
              <w:keepLines w:val="0"/>
              <w:suppressLineNumbers w:val="0"/>
              <w:spacing w:before="0" w:beforeAutospacing="0" w:after="0" w:afterAutospacing="0" w:line="360" w:lineRule="auto"/>
              <w:ind w:left="0" w:right="0" w:firstLine="480"/>
              <w:jc w:val="left"/>
              <w:rPr>
                <w:rFonts w:hint="default"/>
                <w:b/>
                <w:sz w:val="24"/>
              </w:rPr>
            </w:pPr>
            <w:r>
              <w:rPr>
                <w:rFonts w:hint="default"/>
                <w:b/>
                <w:sz w:val="24"/>
              </w:rPr>
              <w:t>2、污染防治措施</w:t>
            </w:r>
          </w:p>
          <w:p>
            <w:pPr>
              <w:keepNext/>
              <w:keepLines/>
              <w:suppressLineNumbers w:val="0"/>
              <w:spacing w:before="0" w:beforeAutospacing="0" w:after="0" w:afterAutospacing="0" w:line="360" w:lineRule="auto"/>
              <w:ind w:left="0" w:right="0" w:firstLine="352" w:firstLineChars="147"/>
              <w:outlineLvl w:val="2"/>
              <w:rPr>
                <w:rFonts w:hint="default"/>
                <w:sz w:val="24"/>
              </w:rPr>
            </w:pPr>
            <w:r>
              <w:rPr>
                <w:rFonts w:hint="default"/>
                <w:sz w:val="24"/>
              </w:rPr>
              <w:t>（1）源头控制措施</w:t>
            </w:r>
          </w:p>
          <w:p>
            <w:pPr>
              <w:keepNext w:val="0"/>
              <w:keepLines w:val="0"/>
              <w:suppressLineNumbers w:val="0"/>
              <w:spacing w:before="0" w:beforeAutospacing="0" w:after="0" w:afterAutospacing="0" w:line="360" w:lineRule="auto"/>
              <w:ind w:left="0" w:right="0" w:firstLine="480"/>
              <w:jc w:val="left"/>
              <w:rPr>
                <w:rFonts w:hint="default"/>
                <w:sz w:val="24"/>
              </w:rPr>
            </w:pPr>
            <w:r>
              <w:rPr>
                <w:rFonts w:hint="eastAsia" w:ascii="宋体" w:hAnsi="宋体"/>
                <w:sz w:val="24"/>
                <w:lang w:val="en-US" w:eastAsia="zh-CN"/>
              </w:rPr>
              <w:t>①</w:t>
            </w:r>
            <w:r>
              <w:rPr>
                <w:rFonts w:hint="default"/>
                <w:sz w:val="24"/>
              </w:rPr>
              <w:t>设备和管线尽量采用</w:t>
            </w:r>
            <w:r>
              <w:rPr>
                <w:rFonts w:hint="eastAsia"/>
                <w:sz w:val="24"/>
              </w:rPr>
              <w:t>“</w:t>
            </w:r>
            <w:r>
              <w:rPr>
                <w:rFonts w:hint="default"/>
                <w:sz w:val="24"/>
              </w:rPr>
              <w:t>可视化</w:t>
            </w:r>
            <w:r>
              <w:rPr>
                <w:rFonts w:hint="eastAsia"/>
                <w:sz w:val="24"/>
              </w:rPr>
              <w:t>”</w:t>
            </w:r>
            <w:r>
              <w:rPr>
                <w:rFonts w:hint="default"/>
                <w:sz w:val="24"/>
              </w:rPr>
              <w:t>原则，即尽可能地上敷设和放置，做到污染物</w:t>
            </w:r>
            <w:r>
              <w:rPr>
                <w:rFonts w:hint="eastAsia"/>
                <w:sz w:val="24"/>
              </w:rPr>
              <w:t>“</w:t>
            </w:r>
            <w:r>
              <w:rPr>
                <w:rFonts w:hint="default"/>
                <w:sz w:val="24"/>
              </w:rPr>
              <w:t>早发现、早处理</w:t>
            </w:r>
            <w:r>
              <w:rPr>
                <w:rFonts w:hint="eastAsia"/>
                <w:sz w:val="24"/>
              </w:rPr>
              <w:t>”</w:t>
            </w:r>
            <w:r>
              <w:rPr>
                <w:rFonts w:hint="default"/>
                <w:sz w:val="24"/>
              </w:rPr>
              <w:t>，以减少由于埋地泄漏而可能造成的地下水污染。对地下管道、管道内外均采用防腐处理，定期对管道进行检漏，对出现泄漏处的土壤进行换土。</w:t>
            </w:r>
          </w:p>
          <w:p>
            <w:pPr>
              <w:keepNext w:val="0"/>
              <w:keepLines w:val="0"/>
              <w:suppressLineNumbers w:val="0"/>
              <w:spacing w:before="0" w:beforeAutospacing="0" w:after="0" w:afterAutospacing="0" w:line="360" w:lineRule="auto"/>
              <w:ind w:left="0" w:right="0" w:firstLine="480"/>
              <w:jc w:val="left"/>
              <w:rPr>
                <w:rFonts w:hint="default"/>
                <w:sz w:val="24"/>
              </w:rPr>
            </w:pPr>
            <w:r>
              <w:rPr>
                <w:rFonts w:hint="eastAsia" w:ascii="宋体" w:hAnsi="宋体"/>
                <w:sz w:val="24"/>
              </w:rPr>
              <w:t>②</w:t>
            </w:r>
            <w:r>
              <w:rPr>
                <w:rFonts w:hint="default"/>
                <w:sz w:val="24"/>
              </w:rPr>
              <w:t>严格固体废物管理，不接触外界降水，使其不产生淋滤液，严防污染物泄漏到地下水中。</w:t>
            </w:r>
          </w:p>
          <w:p>
            <w:pPr>
              <w:keepNext/>
              <w:keepLines/>
              <w:suppressLineNumbers w:val="0"/>
              <w:spacing w:before="0" w:beforeAutospacing="0" w:after="0" w:afterAutospacing="0" w:line="360" w:lineRule="auto"/>
              <w:ind w:left="0" w:right="0" w:firstLine="352" w:firstLineChars="147"/>
              <w:outlineLvl w:val="2"/>
              <w:rPr>
                <w:rFonts w:hint="default"/>
                <w:sz w:val="24"/>
              </w:rPr>
            </w:pPr>
            <w:r>
              <w:rPr>
                <w:rFonts w:hint="default"/>
                <w:sz w:val="24"/>
              </w:rPr>
              <w:t>（</w:t>
            </w:r>
            <w:r>
              <w:rPr>
                <w:rFonts w:hint="eastAsia"/>
                <w:sz w:val="24"/>
              </w:rPr>
              <w:t>2</w:t>
            </w:r>
            <w:r>
              <w:rPr>
                <w:rFonts w:hint="default"/>
                <w:sz w:val="24"/>
              </w:rPr>
              <w:t>）分区防渗措施</w:t>
            </w:r>
          </w:p>
          <w:p>
            <w:pPr>
              <w:keepNext w:val="0"/>
              <w:keepLines w:val="0"/>
              <w:suppressLineNumbers w:val="0"/>
              <w:spacing w:before="0" w:beforeAutospacing="0" w:after="0" w:afterAutospacing="0" w:line="360" w:lineRule="auto"/>
              <w:ind w:left="0" w:right="0" w:firstLine="480" w:firstLineChars="200"/>
              <w:rPr>
                <w:rFonts w:hint="default"/>
                <w:kern w:val="0"/>
                <w:sz w:val="24"/>
              </w:rPr>
            </w:pPr>
            <w:r>
              <w:rPr>
                <w:rFonts w:hint="default"/>
                <w:sz w:val="24"/>
              </w:rPr>
              <w:t>针对可能对地下水造成影响的各环节，按照</w:t>
            </w:r>
            <w:r>
              <w:rPr>
                <w:rFonts w:hint="eastAsia"/>
                <w:sz w:val="24"/>
              </w:rPr>
              <w:t>“</w:t>
            </w:r>
            <w:r>
              <w:rPr>
                <w:rFonts w:hint="default"/>
                <w:sz w:val="24"/>
              </w:rPr>
              <w:t>考虑重点，辐射全面</w:t>
            </w:r>
            <w:r>
              <w:rPr>
                <w:rFonts w:hint="eastAsia"/>
                <w:sz w:val="24"/>
              </w:rPr>
              <w:t>”</w:t>
            </w:r>
            <w:r>
              <w:rPr>
                <w:rFonts w:hint="default"/>
                <w:sz w:val="24"/>
              </w:rPr>
              <w:t>的防腐防渗原则，按照《危险废物贮存污染控制标准》（GB18597-20</w:t>
            </w:r>
            <w:r>
              <w:rPr>
                <w:rFonts w:hint="eastAsia"/>
                <w:sz w:val="24"/>
                <w:lang w:val="en-US" w:eastAsia="zh-CN"/>
              </w:rPr>
              <w:t>23</w:t>
            </w:r>
            <w:r>
              <w:rPr>
                <w:rFonts w:hint="default"/>
                <w:sz w:val="24"/>
              </w:rPr>
              <w:t>）。项目厂内不同区域实施分区防治，污染区划分为一般防渗区、重点防渗区，</w:t>
            </w:r>
            <w:r>
              <w:rPr>
                <w:rFonts w:hint="default"/>
                <w:kern w:val="0"/>
                <w:sz w:val="24"/>
              </w:rPr>
              <w:t>对项目</w:t>
            </w:r>
            <w:r>
              <w:rPr>
                <w:rFonts w:hint="eastAsia"/>
                <w:kern w:val="0"/>
                <w:sz w:val="24"/>
              </w:rPr>
              <w:t>厂房</w:t>
            </w:r>
            <w:r>
              <w:rPr>
                <w:rFonts w:hint="default"/>
                <w:kern w:val="0"/>
                <w:sz w:val="24"/>
              </w:rPr>
              <w:t>防渗分区情况进行统计，见下表。</w:t>
            </w:r>
          </w:p>
          <w:p>
            <w:pPr>
              <w:pStyle w:val="76"/>
              <w:keepNext w:val="0"/>
              <w:keepLines w:val="0"/>
              <w:suppressLineNumbers w:val="0"/>
              <w:spacing w:before="0" w:beforeAutospacing="0" w:after="0" w:afterAutospacing="0"/>
              <w:ind w:left="0" w:right="0"/>
              <w:jc w:val="center"/>
              <w:rPr>
                <w:rFonts w:hint="default"/>
                <w:b/>
                <w:bCs/>
              </w:rPr>
            </w:pPr>
            <w:r>
              <w:rPr>
                <w:rFonts w:hint="default"/>
                <w:b/>
                <w:bCs/>
              </w:rPr>
              <w:t>表4-1</w:t>
            </w:r>
            <w:r>
              <w:rPr>
                <w:rFonts w:hint="eastAsia"/>
                <w:b/>
                <w:bCs/>
                <w:lang w:val="en-US" w:eastAsia="zh-CN"/>
              </w:rPr>
              <w:t>5</w:t>
            </w:r>
            <w:r>
              <w:rPr>
                <w:rFonts w:hint="default"/>
                <w:b/>
                <w:bCs/>
              </w:rPr>
              <w:t xml:space="preserve">  地下水污染防治分区</w:t>
            </w:r>
          </w:p>
          <w:tbl>
            <w:tblPr>
              <w:tblStyle w:val="59"/>
              <w:tblpPr w:leftFromText="180" w:rightFromText="180" w:vertAnchor="text" w:horzAnchor="page" w:tblpX="86" w:tblpY="303"/>
              <w:tblOverlap w:val="never"/>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340"/>
              <w:gridCol w:w="1308"/>
              <w:gridCol w:w="2087"/>
              <w:gridCol w:w="13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5" w:type="pc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b/>
                      <w:color w:val="000000" w:themeColor="text1"/>
                      <w:kern w:val="0"/>
                      <w:szCs w:val="21"/>
                      <w14:textFill>
                        <w14:solidFill>
                          <w14:schemeClr w14:val="tx1"/>
                        </w14:solidFill>
                      </w14:textFill>
                    </w:rPr>
                  </w:pPr>
                  <w:r>
                    <w:rPr>
                      <w:rFonts w:hint="default"/>
                      <w:b/>
                      <w:color w:val="000000" w:themeColor="text1"/>
                      <w:kern w:val="0"/>
                      <w:szCs w:val="21"/>
                      <w14:textFill>
                        <w14:solidFill>
                          <w14:schemeClr w14:val="tx1"/>
                        </w14:solidFill>
                      </w14:textFill>
                    </w:rPr>
                    <w:t>场区内建构筑物</w:t>
                  </w:r>
                </w:p>
              </w:tc>
              <w:tc>
                <w:tcPr>
                  <w:tcW w:w="829" w:type="pc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b/>
                      <w:color w:val="000000" w:themeColor="text1"/>
                      <w:kern w:val="0"/>
                      <w:szCs w:val="21"/>
                      <w14:textFill>
                        <w14:solidFill>
                          <w14:schemeClr w14:val="tx1"/>
                        </w14:solidFill>
                      </w14:textFill>
                    </w:rPr>
                  </w:pPr>
                  <w:r>
                    <w:rPr>
                      <w:rFonts w:hint="default"/>
                      <w:b/>
                      <w:color w:val="000000" w:themeColor="text1"/>
                      <w:kern w:val="0"/>
                      <w:szCs w:val="21"/>
                      <w14:textFill>
                        <w14:solidFill>
                          <w14:schemeClr w14:val="tx1"/>
                        </w14:solidFill>
                      </w14:textFill>
                    </w:rPr>
                    <w:t>包气带防污性能</w:t>
                  </w:r>
                </w:p>
              </w:tc>
              <w:tc>
                <w:tcPr>
                  <w:tcW w:w="809" w:type="pc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b/>
                      <w:color w:val="000000" w:themeColor="text1"/>
                      <w:kern w:val="0"/>
                      <w:szCs w:val="21"/>
                      <w14:textFill>
                        <w14:solidFill>
                          <w14:schemeClr w14:val="tx1"/>
                        </w14:solidFill>
                      </w14:textFill>
                    </w:rPr>
                  </w:pPr>
                  <w:r>
                    <w:rPr>
                      <w:rFonts w:hint="default"/>
                      <w:b/>
                      <w:color w:val="000000" w:themeColor="text1"/>
                      <w:kern w:val="0"/>
                      <w:szCs w:val="21"/>
                      <w14:textFill>
                        <w14:solidFill>
                          <w14:schemeClr w14:val="tx1"/>
                        </w14:solidFill>
                      </w14:textFill>
                    </w:rPr>
                    <w:t>污染控制难易程度</w:t>
                  </w:r>
                </w:p>
              </w:tc>
              <w:tc>
                <w:tcPr>
                  <w:tcW w:w="1292" w:type="pct"/>
                  <w:tcBorders>
                    <w:top w:val="single" w:color="auto" w:sz="12"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b/>
                      <w:color w:val="000000" w:themeColor="text1"/>
                      <w:kern w:val="0"/>
                      <w:szCs w:val="21"/>
                      <w14:textFill>
                        <w14:solidFill>
                          <w14:schemeClr w14:val="tx1"/>
                        </w14:solidFill>
                      </w14:textFill>
                    </w:rPr>
                  </w:pPr>
                  <w:r>
                    <w:rPr>
                      <w:rFonts w:hint="default"/>
                      <w:b/>
                      <w:color w:val="000000" w:themeColor="text1"/>
                      <w:kern w:val="0"/>
                      <w:szCs w:val="21"/>
                      <w14:textFill>
                        <w14:solidFill>
                          <w14:schemeClr w14:val="tx1"/>
                        </w14:solidFill>
                      </w14:textFill>
                    </w:rPr>
                    <w:t>污染物类型</w:t>
                  </w:r>
                </w:p>
              </w:tc>
              <w:tc>
                <w:tcPr>
                  <w:tcW w:w="822" w:type="pct"/>
                  <w:tcBorders>
                    <w:top w:val="single" w:color="auto" w:sz="12" w:space="0"/>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b/>
                      <w:color w:val="000000" w:themeColor="text1"/>
                      <w:kern w:val="0"/>
                      <w:szCs w:val="21"/>
                      <w14:textFill>
                        <w14:solidFill>
                          <w14:schemeClr w14:val="tx1"/>
                        </w14:solidFill>
                      </w14:textFill>
                    </w:rPr>
                  </w:pPr>
                  <w:r>
                    <w:rPr>
                      <w:rFonts w:hint="default"/>
                      <w:b/>
                      <w:color w:val="000000" w:themeColor="text1"/>
                      <w:kern w:val="0"/>
                      <w:szCs w:val="21"/>
                      <w14:textFill>
                        <w14:solidFill>
                          <w14:schemeClr w14:val="tx1"/>
                        </w14:solidFill>
                      </w14:textFill>
                    </w:rPr>
                    <w:t>防渗分区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5" w:type="pc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化学品存放处</w:t>
                  </w:r>
                  <w:r>
                    <w:rPr>
                      <w:rFonts w:hint="eastAsia"/>
                      <w:color w:val="000000" w:themeColor="text1"/>
                      <w:kern w:val="0"/>
                      <w:szCs w:val="21"/>
                      <w14:textFill>
                        <w14:solidFill>
                          <w14:schemeClr w14:val="tx1"/>
                        </w14:solidFill>
                      </w14:textFill>
                    </w:rPr>
                    <w:t>、危废暂存间、</w:t>
                  </w:r>
                  <w:r>
                    <w:rPr>
                      <w:rFonts w:hint="eastAsia"/>
                      <w:color w:val="000000" w:themeColor="text1"/>
                      <w:kern w:val="0"/>
                      <w:szCs w:val="21"/>
                      <w:lang w:val="en-US" w:eastAsia="zh-CN"/>
                      <w14:textFill>
                        <w14:solidFill>
                          <w14:schemeClr w14:val="tx1"/>
                        </w14:solidFill>
                      </w14:textFill>
                    </w:rPr>
                    <w:t>冷却循环水池、沉淀池</w:t>
                  </w:r>
                </w:p>
              </w:tc>
              <w:tc>
                <w:tcPr>
                  <w:tcW w:w="829"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中</w:t>
                  </w:r>
                </w:p>
              </w:tc>
              <w:tc>
                <w:tcPr>
                  <w:tcW w:w="809"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难</w:t>
                  </w:r>
                </w:p>
              </w:tc>
              <w:tc>
                <w:tcPr>
                  <w:tcW w:w="1292" w:type="pc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持久性有机污染物</w:t>
                  </w:r>
                </w:p>
              </w:tc>
              <w:tc>
                <w:tcPr>
                  <w:tcW w:w="822" w:type="pct"/>
                  <w:tcBorders>
                    <w:top w:val="nil"/>
                    <w:left w:val="nil"/>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重点防渗区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45"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厂房其他区域</w:t>
                  </w:r>
                </w:p>
              </w:tc>
              <w:tc>
                <w:tcPr>
                  <w:tcW w:w="829"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中</w:t>
                  </w:r>
                </w:p>
              </w:tc>
              <w:tc>
                <w:tcPr>
                  <w:tcW w:w="809"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易</w:t>
                  </w:r>
                </w:p>
              </w:tc>
              <w:tc>
                <w:tcPr>
                  <w:tcW w:w="1292" w:type="pct"/>
                  <w:tcBorders>
                    <w:top w:val="single" w:color="auto" w:sz="4" w:space="0"/>
                    <w:left w:val="nil"/>
                    <w:bottom w:val="single" w:color="auto" w:sz="12"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其他类型</w:t>
                  </w:r>
                </w:p>
              </w:tc>
              <w:tc>
                <w:tcPr>
                  <w:tcW w:w="822" w:type="pct"/>
                  <w:tcBorders>
                    <w:top w:val="single" w:color="auto" w:sz="4" w:space="0"/>
                    <w:left w:val="nil"/>
                    <w:bottom w:val="single" w:color="auto" w:sz="12" w:space="0"/>
                    <w:right w:val="nil"/>
                  </w:tcBorders>
                  <w:vAlign w:val="center"/>
                </w:tcPr>
                <w:p>
                  <w:pPr>
                    <w:keepNext w:val="0"/>
                    <w:keepLines w:val="0"/>
                    <w:suppressLineNumbers w:val="0"/>
                    <w:spacing w:before="0" w:beforeAutospacing="0" w:after="0" w:afterAutospacing="0"/>
                    <w:ind w:left="0" w:right="0"/>
                    <w:jc w:val="center"/>
                    <w:rPr>
                      <w:rFonts w:hint="default"/>
                      <w:color w:val="000000" w:themeColor="text1"/>
                      <w:kern w:val="0"/>
                      <w:szCs w:val="21"/>
                      <w14:textFill>
                        <w14:solidFill>
                          <w14:schemeClr w14:val="tx1"/>
                        </w14:solidFill>
                      </w14:textFill>
                    </w:rPr>
                  </w:pPr>
                  <w:r>
                    <w:rPr>
                      <w:rFonts w:hint="default"/>
                      <w:color w:val="000000" w:themeColor="text1"/>
                      <w:kern w:val="0"/>
                      <w:szCs w:val="21"/>
                      <w14:textFill>
                        <w14:solidFill>
                          <w14:schemeClr w14:val="tx1"/>
                        </w14:solidFill>
                      </w14:textFill>
                    </w:rPr>
                    <w:t>一般防渗区</w:t>
                  </w:r>
                </w:p>
              </w:tc>
            </w:tr>
          </w:tbl>
          <w:p>
            <w:pPr>
              <w:keepNext w:val="0"/>
              <w:keepLines w:val="0"/>
              <w:suppressLineNumbers w:val="0"/>
              <w:spacing w:before="0" w:beforeAutospacing="0" w:after="0" w:afterAutospacing="0"/>
              <w:ind w:left="0" w:right="0"/>
              <w:jc w:val="center"/>
              <w:rPr>
                <w:rFonts w:hint="default"/>
                <w:b/>
                <w:kern w:val="0"/>
                <w:sz w:val="24"/>
              </w:rPr>
            </w:pPr>
          </w:p>
          <w:p>
            <w:pPr>
              <w:keepNext w:val="0"/>
              <w:keepLines w:val="0"/>
              <w:suppressLineNumbers w:val="0"/>
              <w:spacing w:before="0" w:beforeAutospacing="0" w:after="0" w:afterAutospacing="0" w:line="360" w:lineRule="auto"/>
              <w:ind w:left="0" w:right="0" w:firstLine="480" w:firstLineChars="200"/>
              <w:rPr>
                <w:rFonts w:hint="default"/>
                <w:kern w:val="0"/>
                <w:sz w:val="24"/>
              </w:rPr>
            </w:pPr>
            <w:r>
              <w:rPr>
                <w:rFonts w:hint="default"/>
                <w:kern w:val="0"/>
                <w:sz w:val="24"/>
              </w:rPr>
              <w:t>本项目针对可能对地下水造成影响的各环节，按照</w:t>
            </w:r>
            <w:r>
              <w:rPr>
                <w:rFonts w:hint="default"/>
                <w:sz w:val="24"/>
              </w:rPr>
              <w:t>《一般工业固体废物贮存和填埋污染控制标准》（GB18599-2020）</w:t>
            </w:r>
            <w:r>
              <w:rPr>
                <w:rFonts w:hint="default"/>
                <w:kern w:val="0"/>
                <w:sz w:val="24"/>
              </w:rPr>
              <w:t>、</w:t>
            </w:r>
            <w:r>
              <w:rPr>
                <w:rFonts w:hint="eastAsia"/>
                <w:color w:val="0D0D0D" w:themeColor="text1" w:themeTint="F2"/>
                <w:sz w:val="24"/>
                <w14:textFill>
                  <w14:solidFill>
                    <w14:schemeClr w14:val="tx1">
                      <w14:lumMod w14:val="95000"/>
                      <w14:lumOff w14:val="5000"/>
                    </w14:schemeClr>
                  </w14:solidFill>
                </w14:textFill>
              </w:rPr>
              <w:t>《危险废物贮存污染控制标准》（</w:t>
            </w:r>
            <w:r>
              <w:rPr>
                <w:rFonts w:hint="default"/>
                <w:color w:val="0D0D0D" w:themeColor="text1" w:themeTint="F2"/>
                <w:sz w:val="24"/>
                <w14:textFill>
                  <w14:solidFill>
                    <w14:schemeClr w14:val="tx1">
                      <w14:lumMod w14:val="95000"/>
                      <w14:lumOff w14:val="5000"/>
                    </w14:schemeClr>
                  </w14:solidFill>
                </w14:textFill>
              </w:rPr>
              <w:t>GB1859</w:t>
            </w:r>
            <w:r>
              <w:rPr>
                <w:rFonts w:hint="eastAsia"/>
                <w:color w:val="0D0D0D" w:themeColor="text1" w:themeTint="F2"/>
                <w:sz w:val="24"/>
                <w:lang w:val="en-US" w:eastAsia="zh-CN"/>
                <w14:textFill>
                  <w14:solidFill>
                    <w14:schemeClr w14:val="tx1">
                      <w14:lumMod w14:val="95000"/>
                      <w14:lumOff w14:val="5000"/>
                    </w14:schemeClr>
                  </w14:solidFill>
                </w14:textFill>
              </w:rPr>
              <w:t>7</w:t>
            </w:r>
            <w:r>
              <w:rPr>
                <w:rFonts w:hint="default"/>
                <w:color w:val="0D0D0D" w:themeColor="text1" w:themeTint="F2"/>
                <w:sz w:val="24"/>
                <w14:textFill>
                  <w14:solidFill>
                    <w14:schemeClr w14:val="tx1">
                      <w14:lumMod w14:val="95000"/>
                      <w14:lumOff w14:val="5000"/>
                    </w14:schemeClr>
                  </w14:solidFill>
                </w14:textFill>
              </w:rPr>
              <w:t>-2023</w:t>
            </w:r>
            <w:r>
              <w:rPr>
                <w:rFonts w:hint="eastAsia"/>
                <w:color w:val="0D0D0D" w:themeColor="text1" w:themeTint="F2"/>
                <w:sz w:val="24"/>
                <w14:textFill>
                  <w14:solidFill>
                    <w14:schemeClr w14:val="tx1">
                      <w14:lumMod w14:val="95000"/>
                      <w14:lumOff w14:val="5000"/>
                    </w14:schemeClr>
                  </w14:solidFill>
                </w14:textFill>
              </w:rPr>
              <w:t>）</w:t>
            </w:r>
            <w:r>
              <w:rPr>
                <w:rFonts w:hint="default"/>
                <w:kern w:val="0"/>
                <w:sz w:val="24"/>
              </w:rPr>
              <w:t>和《危险废物填埋污染控制标准》（GB18598-2019）等标准，将本项目区划分为重点防渗区和一般防渗区。</w:t>
            </w:r>
          </w:p>
          <w:p>
            <w:pPr>
              <w:keepNext w:val="0"/>
              <w:keepLines w:val="0"/>
              <w:numPr>
                <w:ilvl w:val="0"/>
                <w:numId w:val="4"/>
              </w:numPr>
              <w:suppressLineNumbers w:val="0"/>
              <w:spacing w:before="0" w:beforeAutospacing="0" w:after="0" w:afterAutospacing="0" w:line="360" w:lineRule="auto"/>
              <w:ind w:right="0"/>
              <w:rPr>
                <w:rFonts w:hint="default"/>
                <w:sz w:val="24"/>
              </w:rPr>
            </w:pPr>
            <w:r>
              <w:rPr>
                <w:rFonts w:hint="default"/>
                <w:sz w:val="24"/>
              </w:rPr>
              <w:t>重点防渗区</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lang w:val="en-US" w:eastAsia="zh-CN"/>
              </w:rPr>
              <w:t>化学品存放处、危废暂存间、冷却循环水池、沉淀池</w:t>
            </w:r>
            <w:r>
              <w:rPr>
                <w:rFonts w:hint="eastAsia"/>
                <w:sz w:val="24"/>
                <w:lang w:val="en-US" w:eastAsia="zh-CN"/>
              </w:rPr>
              <w:t>，</w:t>
            </w:r>
            <w:r>
              <w:rPr>
                <w:rFonts w:hint="default"/>
                <w:sz w:val="24"/>
              </w:rPr>
              <w:t>防渗措施：底部采用10cm厚三合土处理，上层再用10-15cm水泥硬化，表层涂环氧树脂，以达到防腐、防渗漏目的，等效黏土防渗层Mb≥6.0m，渗透系数≤1.0×10-7cm/s。</w:t>
            </w:r>
          </w:p>
          <w:p>
            <w:pPr>
              <w:pStyle w:val="227"/>
              <w:keepNext w:val="0"/>
              <w:keepLines w:val="0"/>
              <w:numPr>
                <w:ilvl w:val="0"/>
                <w:numId w:val="4"/>
              </w:numPr>
              <w:suppressLineNumbers w:val="0"/>
              <w:spacing w:before="0" w:beforeAutospacing="0" w:after="0" w:afterAutospacing="0" w:line="360" w:lineRule="auto"/>
              <w:ind w:right="0" w:firstLineChars="0"/>
              <w:rPr>
                <w:rFonts w:hint="default"/>
                <w:sz w:val="24"/>
              </w:rPr>
            </w:pPr>
            <w:r>
              <w:rPr>
                <w:rFonts w:hint="default"/>
                <w:sz w:val="24"/>
              </w:rPr>
              <w:t>一般防渗区</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厂房</w:t>
            </w:r>
            <w:r>
              <w:rPr>
                <w:rFonts w:hint="default"/>
                <w:sz w:val="24"/>
              </w:rPr>
              <w:t>其他区域，防渗措施：水泥硬化处理，等效黏土防渗层Mb≥1.5 m，K≤10</w:t>
            </w:r>
            <w:r>
              <w:rPr>
                <w:rFonts w:hint="default"/>
                <w:sz w:val="24"/>
                <w:vertAlign w:val="superscript"/>
              </w:rPr>
              <w:t xml:space="preserve">-7 </w:t>
            </w:r>
            <w:r>
              <w:rPr>
                <w:rFonts w:hint="default"/>
                <w:sz w:val="24"/>
              </w:rPr>
              <w:t>cm/s</w:t>
            </w:r>
            <w:r>
              <w:rPr>
                <w:rFonts w:hint="eastAsia"/>
                <w:sz w:val="24"/>
              </w:rPr>
              <w:t>。</w:t>
            </w:r>
            <w:r>
              <w:rPr>
                <w:rFonts w:hint="default"/>
                <w:bCs/>
                <w:sz w:val="24"/>
              </w:rPr>
              <w:t>为防止失误操作造成污染。</w:t>
            </w:r>
          </w:p>
          <w:p>
            <w:pPr>
              <w:keepNext w:val="0"/>
              <w:keepLines w:val="0"/>
              <w:suppressLineNumbers w:val="0"/>
              <w:spacing w:before="0" w:beforeAutospacing="0" w:after="0" w:afterAutospacing="0" w:line="360" w:lineRule="auto"/>
              <w:ind w:left="420" w:leftChars="200" w:right="0"/>
              <w:rPr>
                <w:rFonts w:hint="default"/>
                <w:sz w:val="24"/>
              </w:rPr>
            </w:pPr>
            <w:r>
              <w:rPr>
                <w:rFonts w:hint="default"/>
                <w:sz w:val="24"/>
              </w:rPr>
              <w:t>本项目地下水分区防渗措施见下表。</w:t>
            </w:r>
          </w:p>
          <w:p>
            <w:pPr>
              <w:keepNext w:val="0"/>
              <w:keepLines w:val="0"/>
              <w:suppressLineNumbers w:val="0"/>
              <w:spacing w:before="0" w:beforeAutospacing="0" w:after="0" w:afterAutospacing="0"/>
              <w:ind w:left="0" w:right="0"/>
              <w:jc w:val="center"/>
              <w:rPr>
                <w:rFonts w:hint="default"/>
                <w:b/>
                <w:kern w:val="0"/>
                <w:sz w:val="24"/>
              </w:rPr>
            </w:pPr>
            <w:r>
              <w:rPr>
                <w:rFonts w:hint="default"/>
                <w:b/>
                <w:kern w:val="0"/>
                <w:sz w:val="24"/>
              </w:rPr>
              <w:t>表4-1</w:t>
            </w:r>
            <w:r>
              <w:rPr>
                <w:rFonts w:hint="eastAsia"/>
                <w:b/>
                <w:kern w:val="0"/>
                <w:sz w:val="24"/>
                <w:lang w:val="en-US" w:eastAsia="zh-CN"/>
              </w:rPr>
              <w:t>6</w:t>
            </w:r>
            <w:r>
              <w:rPr>
                <w:rFonts w:hint="default"/>
                <w:b/>
                <w:kern w:val="0"/>
                <w:sz w:val="24"/>
              </w:rPr>
              <w:t xml:space="preserve">  地下水分区防渗措施一览表</w:t>
            </w:r>
          </w:p>
          <w:tbl>
            <w:tblPr>
              <w:tblStyle w:val="5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2789"/>
              <w:gridCol w:w="38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8" w:type="pct"/>
                  <w:tcBorders>
                    <w:top w:val="single" w:color="auto" w:sz="12"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b/>
                      <w:kern w:val="0"/>
                      <w:szCs w:val="21"/>
                    </w:rPr>
                  </w:pPr>
                  <w:r>
                    <w:rPr>
                      <w:rFonts w:hint="default"/>
                      <w:b/>
                      <w:kern w:val="0"/>
                      <w:szCs w:val="21"/>
                    </w:rPr>
                    <w:t>污染区</w:t>
                  </w:r>
                </w:p>
              </w:tc>
              <w:tc>
                <w:tcPr>
                  <w:tcW w:w="1727" w:type="pct"/>
                  <w:tcBorders>
                    <w:top w:val="single" w:color="auto" w:sz="12"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b/>
                      <w:kern w:val="0"/>
                      <w:szCs w:val="21"/>
                    </w:rPr>
                  </w:pPr>
                  <w:r>
                    <w:rPr>
                      <w:rFonts w:hint="default"/>
                      <w:b/>
                      <w:kern w:val="0"/>
                      <w:szCs w:val="21"/>
                    </w:rPr>
                    <w:t>构筑物名称</w:t>
                  </w:r>
                </w:p>
              </w:tc>
              <w:tc>
                <w:tcPr>
                  <w:tcW w:w="2375" w:type="pct"/>
                  <w:tcBorders>
                    <w:top w:val="single" w:color="auto" w:sz="12" w:space="0"/>
                    <w:left w:val="single" w:color="auto" w:sz="4" w:space="0"/>
                    <w:bottom w:val="single" w:color="auto" w:sz="4" w:space="0"/>
                    <w:right w:val="nil"/>
                  </w:tcBorders>
                  <w:vAlign w:val="center"/>
                </w:tcPr>
                <w:p>
                  <w:pPr>
                    <w:keepNext w:val="0"/>
                    <w:keepLines w:val="0"/>
                    <w:widowControl/>
                    <w:suppressLineNumbers w:val="0"/>
                    <w:spacing w:before="0" w:beforeAutospacing="0" w:after="0" w:afterAutospacing="0"/>
                    <w:ind w:left="0" w:right="0"/>
                    <w:jc w:val="center"/>
                    <w:rPr>
                      <w:rFonts w:hint="default"/>
                      <w:b/>
                      <w:kern w:val="0"/>
                      <w:szCs w:val="21"/>
                    </w:rPr>
                  </w:pPr>
                  <w:r>
                    <w:rPr>
                      <w:rFonts w:hint="default"/>
                      <w:b/>
                      <w:kern w:val="0"/>
                      <w:szCs w:val="21"/>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8" w:type="pct"/>
                  <w:tcBorders>
                    <w:top w:val="single" w:color="auto" w:sz="4" w:space="0"/>
                    <w:left w:val="nil"/>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kern w:val="0"/>
                      <w:szCs w:val="21"/>
                    </w:rPr>
                  </w:pPr>
                  <w:r>
                    <w:rPr>
                      <w:rFonts w:hint="default"/>
                      <w:szCs w:val="21"/>
                    </w:rPr>
                    <w:t>重点防渗区</w:t>
                  </w:r>
                </w:p>
              </w:tc>
              <w:tc>
                <w:tcPr>
                  <w:tcW w:w="1727" w:type="pct"/>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eastAsia" w:eastAsia="宋体"/>
                      <w:szCs w:val="21"/>
                      <w:lang w:eastAsia="zh-CN"/>
                    </w:rPr>
                  </w:pPr>
                  <w:r>
                    <w:rPr>
                      <w:rFonts w:hint="eastAsia"/>
                      <w:kern w:val="0"/>
                      <w:szCs w:val="21"/>
                      <w:lang w:val="en-US" w:eastAsia="zh-CN"/>
                    </w:rPr>
                    <w:t>化学品存放处、危废暂存间、冷却循环水池、沉淀池</w:t>
                  </w:r>
                </w:p>
              </w:tc>
              <w:tc>
                <w:tcPr>
                  <w:tcW w:w="2375" w:type="pct"/>
                  <w:tcBorders>
                    <w:top w:val="single" w:color="auto" w:sz="4" w:space="0"/>
                    <w:left w:val="single" w:color="auto" w:sz="4" w:space="0"/>
                    <w:bottom w:val="single" w:color="auto" w:sz="4" w:space="0"/>
                    <w:right w:val="nil"/>
                  </w:tcBorders>
                  <w:vAlign w:val="center"/>
                </w:tcPr>
                <w:p>
                  <w:pPr>
                    <w:keepNext w:val="0"/>
                    <w:keepLines w:val="0"/>
                    <w:suppressLineNumbers w:val="0"/>
                    <w:spacing w:before="0" w:beforeAutospacing="0" w:after="0" w:afterAutospacing="0"/>
                    <w:ind w:left="0" w:right="0"/>
                    <w:jc w:val="center"/>
                    <w:rPr>
                      <w:rFonts w:hint="default"/>
                      <w:kern w:val="0"/>
                      <w:szCs w:val="21"/>
                    </w:rPr>
                  </w:pPr>
                  <w:r>
                    <w:rPr>
                      <w:rFonts w:hint="default"/>
                      <w:kern w:val="0"/>
                      <w:szCs w:val="21"/>
                    </w:rPr>
                    <w:t>等效黏土防渗层Mb≥6.0m，K≤10</w:t>
                  </w:r>
                  <w:r>
                    <w:rPr>
                      <w:rFonts w:hint="default"/>
                      <w:kern w:val="0"/>
                      <w:szCs w:val="21"/>
                      <w:vertAlign w:val="superscript"/>
                    </w:rPr>
                    <w:t>-7</w:t>
                  </w:r>
                  <w:r>
                    <w:rPr>
                      <w:rFonts w:hint="default"/>
                      <w:kern w:val="0"/>
                      <w:szCs w:val="21"/>
                    </w:rPr>
                    <w:t>cm/s；或参照GB18598执</w:t>
                  </w:r>
                  <w:r>
                    <w:rPr>
                      <w:rFonts w:hint="eastAsia"/>
                      <w:kern w:val="0"/>
                      <w:szCs w:val="21"/>
                    </w:rPr>
                    <w:t>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8" w:type="pct"/>
                  <w:tcBorders>
                    <w:top w:val="single" w:color="auto" w:sz="4" w:space="0"/>
                    <w:left w:val="nil"/>
                    <w:bottom w:val="single" w:color="auto" w:sz="12"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szCs w:val="21"/>
                    </w:rPr>
                  </w:pPr>
                  <w:r>
                    <w:rPr>
                      <w:rFonts w:hint="default"/>
                      <w:kern w:val="0"/>
                      <w:szCs w:val="21"/>
                    </w:rPr>
                    <w:t>一般防渗区</w:t>
                  </w:r>
                </w:p>
              </w:tc>
              <w:tc>
                <w:tcPr>
                  <w:tcW w:w="1727" w:type="pct"/>
                  <w:tcBorders>
                    <w:top w:val="single" w:color="auto" w:sz="4" w:space="0"/>
                    <w:left w:val="single" w:color="auto" w:sz="4" w:space="0"/>
                    <w:bottom w:val="single" w:color="auto" w:sz="12"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szCs w:val="21"/>
                    </w:rPr>
                  </w:pPr>
                  <w:r>
                    <w:rPr>
                      <w:rFonts w:hint="eastAsia"/>
                      <w:bCs/>
                      <w:szCs w:val="21"/>
                    </w:rPr>
                    <w:t>厂房其他区域</w:t>
                  </w:r>
                </w:p>
              </w:tc>
              <w:tc>
                <w:tcPr>
                  <w:tcW w:w="2375" w:type="pct"/>
                  <w:tcBorders>
                    <w:top w:val="single" w:color="auto" w:sz="4" w:space="0"/>
                    <w:left w:val="single" w:color="auto" w:sz="4" w:space="0"/>
                    <w:bottom w:val="single" w:color="auto" w:sz="12" w:space="0"/>
                    <w:right w:val="nil"/>
                  </w:tcBorders>
                  <w:vAlign w:val="center"/>
                </w:tcPr>
                <w:p>
                  <w:pPr>
                    <w:keepNext w:val="0"/>
                    <w:keepLines w:val="0"/>
                    <w:suppressLineNumbers w:val="0"/>
                    <w:spacing w:before="0" w:beforeAutospacing="0" w:after="0" w:afterAutospacing="0"/>
                    <w:ind w:left="0" w:right="0" w:firstLine="210" w:firstLineChars="100"/>
                    <w:jc w:val="center"/>
                    <w:rPr>
                      <w:rFonts w:hint="default"/>
                      <w:kern w:val="0"/>
                      <w:szCs w:val="21"/>
                    </w:rPr>
                  </w:pPr>
                  <w:r>
                    <w:rPr>
                      <w:rFonts w:hint="default"/>
                      <w:bCs/>
                      <w:szCs w:val="21"/>
                    </w:rPr>
                    <w:t>等效黏土防渗层Mb≥1.5m，K≤10</w:t>
                  </w:r>
                  <w:r>
                    <w:rPr>
                      <w:rFonts w:hint="default"/>
                      <w:bCs/>
                      <w:szCs w:val="21"/>
                      <w:vertAlign w:val="superscript"/>
                    </w:rPr>
                    <w:t>-7</w:t>
                  </w:r>
                  <w:r>
                    <w:rPr>
                      <w:rFonts w:hint="default"/>
                      <w:bCs/>
                      <w:szCs w:val="21"/>
                    </w:rPr>
                    <w:t>cm/s；或参照GB16889执行</w:t>
                  </w:r>
                </w:p>
              </w:tc>
            </w:tr>
          </w:tbl>
          <w:p>
            <w:pPr>
              <w:keepNext/>
              <w:keepLines/>
              <w:suppressLineNumbers w:val="0"/>
              <w:spacing w:before="120" w:beforeLines="50" w:beforeAutospacing="0" w:after="0" w:afterAutospacing="0" w:line="360" w:lineRule="auto"/>
              <w:ind w:left="0" w:right="0" w:firstLine="480"/>
              <w:outlineLvl w:val="2"/>
              <w:rPr>
                <w:rFonts w:hint="default"/>
                <w:color w:val="0D0D0D" w:themeColor="text1" w:themeTint="F2"/>
                <w:sz w:val="24"/>
                <w14:textFill>
                  <w14:solidFill>
                    <w14:schemeClr w14:val="tx1">
                      <w14:lumMod w14:val="95000"/>
                      <w14:lumOff w14:val="5000"/>
                    </w14:schemeClr>
                  </w14:solidFill>
                </w14:textFill>
              </w:rPr>
            </w:pPr>
            <w:r>
              <w:rPr>
                <w:rFonts w:hint="default"/>
                <w:sz w:val="24"/>
              </w:rPr>
              <w:t>在采取以上分区防渗措施后，可有效预防项目对地下水和土壤污染的发生</w:t>
            </w:r>
            <w:r>
              <w:rPr>
                <w:rFonts w:hint="eastAsia"/>
                <w:color w:val="0D0D0D" w:themeColor="text1" w:themeTint="F2"/>
                <w:sz w:val="24"/>
                <w14:textFill>
                  <w14:solidFill>
                    <w14:schemeClr w14:val="tx1">
                      <w14:lumMod w14:val="95000"/>
                      <w14:lumOff w14:val="5000"/>
                    </w14:schemeClr>
                  </w14:solidFill>
                </w14:textFill>
              </w:rPr>
              <w:t>。</w:t>
            </w:r>
            <w:bookmarkEnd w:id="6"/>
            <w:bookmarkEnd w:id="7"/>
            <w:bookmarkEnd w:id="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tc>
        <w:tc>
          <w:tcPr>
            <w:tcW w:w="8293" w:type="dxa"/>
          </w:tcPr>
          <w:p>
            <w:pPr>
              <w:keepNext w:val="0"/>
              <w:keepLines w:val="0"/>
              <w:widowControl/>
              <w:suppressLineNumbers w:val="0"/>
              <w:spacing w:before="120" w:beforeLines="50" w:beforeAutospacing="0" w:after="0" w:afterAutospacing="0" w:line="360" w:lineRule="auto"/>
              <w:ind w:left="0" w:right="0" w:firstLine="482" w:firstLineChars="200"/>
              <w:rPr>
                <w:rFonts w:hint="default"/>
                <w:b/>
                <w:color w:val="0D0D0D" w:themeColor="text1" w:themeTint="F2"/>
                <w:kern w:val="0"/>
                <w:sz w:val="24"/>
                <w14:textFill>
                  <w14:solidFill>
                    <w14:schemeClr w14:val="tx1">
                      <w14:lumMod w14:val="95000"/>
                      <w14:lumOff w14:val="5000"/>
                    </w14:schemeClr>
                  </w14:solidFill>
                </w14:textFill>
              </w:rPr>
            </w:pPr>
            <w:r>
              <w:rPr>
                <w:rFonts w:hint="eastAsia" w:cs="宋体"/>
                <w:b/>
                <w:bCs/>
                <w:color w:val="0D0D0D" w:themeColor="text1" w:themeTint="F2"/>
                <w:sz w:val="24"/>
                <w14:textFill>
                  <w14:solidFill>
                    <w14:schemeClr w14:val="tx1">
                      <w14:lumMod w14:val="95000"/>
                      <w14:lumOff w14:val="5000"/>
                    </w14:schemeClr>
                  </w14:solidFill>
                </w14:textFill>
              </w:rPr>
              <w:t>六、</w:t>
            </w:r>
            <w:r>
              <w:rPr>
                <w:rFonts w:hint="eastAsia"/>
                <w:b/>
                <w:color w:val="0D0D0D" w:themeColor="text1" w:themeTint="F2"/>
                <w:kern w:val="0"/>
                <w:sz w:val="24"/>
                <w14:textFill>
                  <w14:solidFill>
                    <w14:schemeClr w14:val="tx1">
                      <w14:lumMod w14:val="95000"/>
                      <w14:lumOff w14:val="5000"/>
                    </w14:schemeClr>
                  </w14:solidFill>
                </w14:textFill>
              </w:rPr>
              <w:t>环境风险分析</w:t>
            </w:r>
          </w:p>
          <w:p>
            <w:pPr>
              <w:keepNext w:val="0"/>
              <w:keepLines w:val="0"/>
              <w:suppressLineNumbers w:val="0"/>
              <w:autoSpaceDE w:val="0"/>
              <w:autoSpaceDN w:val="0"/>
              <w:spacing w:before="0" w:beforeAutospacing="0" w:after="0" w:afterAutospacing="0" w:line="360" w:lineRule="auto"/>
              <w:ind w:left="0" w:right="0" w:firstLine="482" w:firstLineChars="200"/>
              <w:jc w:val="left"/>
              <w:rPr>
                <w:rFonts w:hint="default"/>
                <w:b/>
                <w:sz w:val="24"/>
              </w:rPr>
            </w:pPr>
            <w:bookmarkStart w:id="9" w:name="_Toc63415121"/>
            <w:bookmarkStart w:id="10" w:name="_Toc60652801"/>
            <w:r>
              <w:rPr>
                <w:rFonts w:hint="eastAsia"/>
                <w:b/>
                <w:sz w:val="24"/>
              </w:rPr>
              <w:t>1、环境风险源调查</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本次评价将针对本项目涉及的原辅材料、三废、产品等进行物质危险性识别，根据《建设项目环境风险评价技术导则》（HJ/T169-2018）附录B，本项目存在危险性的主要物质</w:t>
            </w:r>
            <w:r>
              <w:rPr>
                <w:rFonts w:hint="eastAsia"/>
                <w:sz w:val="24"/>
              </w:rPr>
              <w:t>有润滑</w:t>
            </w:r>
            <w:r>
              <w:rPr>
                <w:rFonts w:hint="eastAsia"/>
                <w:sz w:val="24"/>
                <w:lang w:val="en-US" w:eastAsia="zh-CN"/>
              </w:rPr>
              <w:t>油</w:t>
            </w:r>
            <w:r>
              <w:rPr>
                <w:rFonts w:hint="eastAsia"/>
                <w:sz w:val="24"/>
              </w:rPr>
              <w:t>、</w:t>
            </w:r>
            <w:r>
              <w:rPr>
                <w:rFonts w:hint="eastAsia"/>
                <w:sz w:val="24"/>
                <w:lang w:val="en-US" w:eastAsia="zh-CN"/>
              </w:rPr>
              <w:t>废润滑油</w:t>
            </w:r>
            <w:r>
              <w:rPr>
                <w:rFonts w:hint="eastAsia"/>
                <w:sz w:val="24"/>
                <w:lang w:eastAsia="zh-CN"/>
              </w:rPr>
              <w:t>、</w:t>
            </w:r>
            <w:r>
              <w:rPr>
                <w:rFonts w:hint="eastAsia"/>
                <w:sz w:val="24"/>
              </w:rPr>
              <w:t>废液压油等</w:t>
            </w:r>
            <w:r>
              <w:rPr>
                <w:rFonts w:hint="default"/>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根据建设项目涉及的物质和工艺系统的危险性及其所在地的环境敏感程度，综合事故情形下影响途径，对建设项目潜在环境危害程度进行概化分析，按下表</w:t>
            </w:r>
            <w:r>
              <w:rPr>
                <w:rFonts w:hint="default"/>
                <w:sz w:val="24"/>
              </w:rPr>
              <w:t xml:space="preserve"> </w:t>
            </w:r>
            <w:r>
              <w:rPr>
                <w:rFonts w:hint="eastAsia"/>
                <w:sz w:val="24"/>
              </w:rPr>
              <w:t>确定该环境风险潜势。</w:t>
            </w:r>
          </w:p>
          <w:p>
            <w:pPr>
              <w:keepNext w:val="0"/>
              <w:keepLines w:val="0"/>
              <w:suppressLineNumbers w:val="0"/>
              <w:spacing w:before="0" w:beforeAutospacing="0" w:after="0" w:afterAutospacing="0"/>
              <w:ind w:left="0" w:right="0"/>
              <w:jc w:val="center"/>
              <w:rPr>
                <w:rFonts w:hint="default"/>
                <w:b/>
                <w:kern w:val="0"/>
                <w:sz w:val="24"/>
              </w:rPr>
            </w:pPr>
            <w:r>
              <w:rPr>
                <w:rFonts w:hint="default"/>
                <w:b/>
                <w:kern w:val="0"/>
                <w:sz w:val="24"/>
              </w:rPr>
              <w:t>表</w:t>
            </w:r>
            <w:r>
              <w:rPr>
                <w:rFonts w:hint="eastAsia"/>
                <w:b/>
                <w:kern w:val="0"/>
                <w:sz w:val="24"/>
              </w:rPr>
              <w:t>4</w:t>
            </w:r>
            <w:r>
              <w:rPr>
                <w:rFonts w:hint="default"/>
                <w:b/>
                <w:kern w:val="0"/>
                <w:sz w:val="24"/>
              </w:rPr>
              <w:t>-</w:t>
            </w:r>
            <w:r>
              <w:rPr>
                <w:rFonts w:hint="eastAsia"/>
                <w:b/>
                <w:kern w:val="0"/>
                <w:sz w:val="24"/>
              </w:rPr>
              <w:t>1</w:t>
            </w:r>
            <w:r>
              <w:rPr>
                <w:rFonts w:hint="eastAsia"/>
                <w:b/>
                <w:kern w:val="0"/>
                <w:sz w:val="24"/>
                <w:lang w:val="en-US" w:eastAsia="zh-CN"/>
              </w:rPr>
              <w:t>7</w:t>
            </w:r>
            <w:r>
              <w:rPr>
                <w:rFonts w:hint="eastAsia"/>
                <w:b/>
                <w:kern w:val="0"/>
                <w:sz w:val="24"/>
              </w:rPr>
              <w:t xml:space="preserve"> </w:t>
            </w:r>
            <w:r>
              <w:rPr>
                <w:rFonts w:hint="default"/>
                <w:b/>
                <w:kern w:val="0"/>
                <w:sz w:val="24"/>
              </w:rPr>
              <w:t xml:space="preserve"> </w:t>
            </w:r>
            <w:r>
              <w:rPr>
                <w:rFonts w:hint="eastAsia"/>
                <w:b/>
                <w:kern w:val="0"/>
                <w:sz w:val="24"/>
              </w:rPr>
              <w:t>建设</w:t>
            </w:r>
            <w:r>
              <w:rPr>
                <w:rFonts w:hint="default"/>
                <w:b/>
                <w:kern w:val="0"/>
                <w:sz w:val="24"/>
              </w:rPr>
              <w:t>项目环境风险潜势划分</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870"/>
              <w:gridCol w:w="1511"/>
              <w:gridCol w:w="1490"/>
              <w:gridCol w:w="1629"/>
              <w:gridCol w:w="1577"/>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913" w:type="dxa"/>
                  <w:vMerge w:val="restart"/>
                  <w:vAlign w:val="center"/>
                </w:tcPr>
                <w:p>
                  <w:pPr>
                    <w:keepNext w:val="0"/>
                    <w:keepLines w:val="0"/>
                    <w:suppressLineNumbers w:val="0"/>
                    <w:adjustRightInd w:val="0"/>
                    <w:snapToGrid w:val="0"/>
                    <w:spacing w:before="0" w:beforeAutospacing="0" w:after="0" w:afterAutospacing="0"/>
                    <w:ind w:left="0" w:right="0"/>
                    <w:jc w:val="center"/>
                    <w:rPr>
                      <w:rFonts w:hint="default"/>
                      <w:b/>
                      <w:szCs w:val="21"/>
                      <w:lang w:val="zh-CN"/>
                    </w:rPr>
                  </w:pPr>
                  <w:r>
                    <w:rPr>
                      <w:rFonts w:hint="eastAsia"/>
                      <w:b/>
                      <w:szCs w:val="21"/>
                      <w:lang w:val="zh-CN"/>
                    </w:rPr>
                    <w:t>环境</w:t>
                  </w:r>
                  <w:r>
                    <w:rPr>
                      <w:rFonts w:hint="default"/>
                      <w:b/>
                      <w:szCs w:val="21"/>
                      <w:lang w:val="zh-CN"/>
                    </w:rPr>
                    <w:t>敏感程度</w:t>
                  </w:r>
                  <w:r>
                    <w:rPr>
                      <w:rFonts w:hint="eastAsia"/>
                      <w:b/>
                      <w:szCs w:val="21"/>
                      <w:lang w:val="zh-CN"/>
                    </w:rPr>
                    <w:t>（E）</w:t>
                  </w:r>
                </w:p>
              </w:tc>
              <w:tc>
                <w:tcPr>
                  <w:tcW w:w="6347" w:type="dxa"/>
                  <w:gridSpan w:val="4"/>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r>
                    <w:rPr>
                      <w:rFonts w:hint="default"/>
                      <w:b/>
                      <w:szCs w:val="21"/>
                      <w:lang w:val="zh-CN"/>
                    </w:rPr>
                    <w:t>危险物质及工艺系统危险性</w:t>
                  </w:r>
                  <w:r>
                    <w:rPr>
                      <w:rFonts w:hint="eastAsia"/>
                      <w:b/>
                      <w:szCs w:val="21"/>
                      <w:lang w:val="zh-CN"/>
                    </w:rPr>
                    <w:t>（P）</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913" w:type="dxa"/>
                  <w:vMerge w:val="continue"/>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p>
              </w:tc>
              <w:tc>
                <w:tcPr>
                  <w:tcW w:w="154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r>
                    <w:rPr>
                      <w:rFonts w:hint="eastAsia"/>
                      <w:b/>
                      <w:szCs w:val="21"/>
                      <w:lang w:val="zh-CN"/>
                    </w:rPr>
                    <w:t>极高</w:t>
                  </w:r>
                  <w:r>
                    <w:rPr>
                      <w:rFonts w:hint="default"/>
                      <w:b/>
                      <w:szCs w:val="21"/>
                      <w:lang w:val="zh-CN"/>
                    </w:rPr>
                    <w:t>危害</w:t>
                  </w:r>
                  <w:r>
                    <w:rPr>
                      <w:rFonts w:hint="eastAsia"/>
                      <w:b/>
                      <w:szCs w:val="21"/>
                      <w:lang w:val="zh-CN"/>
                    </w:rPr>
                    <w:t>（P1）</w:t>
                  </w:r>
                </w:p>
              </w:tc>
              <w:tc>
                <w:tcPr>
                  <w:tcW w:w="152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r>
                    <w:rPr>
                      <w:rFonts w:hint="default"/>
                      <w:b/>
                      <w:szCs w:val="21"/>
                      <w:lang w:val="zh-CN"/>
                    </w:rPr>
                    <w:t>高度危害</w:t>
                  </w:r>
                  <w:r>
                    <w:rPr>
                      <w:rFonts w:hint="eastAsia"/>
                      <w:b/>
                      <w:szCs w:val="21"/>
                      <w:lang w:val="zh-CN"/>
                    </w:rPr>
                    <w:t>（P2）</w:t>
                  </w:r>
                </w:p>
              </w:tc>
              <w:tc>
                <w:tcPr>
                  <w:tcW w:w="1666"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r>
                    <w:rPr>
                      <w:rFonts w:hint="default"/>
                      <w:b/>
                      <w:szCs w:val="21"/>
                      <w:lang w:val="zh-CN"/>
                    </w:rPr>
                    <w:t>中度危害</w:t>
                  </w:r>
                  <w:r>
                    <w:rPr>
                      <w:rFonts w:hint="eastAsia"/>
                      <w:b/>
                      <w:szCs w:val="21"/>
                      <w:lang w:val="zh-CN"/>
                    </w:rPr>
                    <w:t>（P3）</w:t>
                  </w:r>
                </w:p>
              </w:tc>
              <w:tc>
                <w:tcPr>
                  <w:tcW w:w="16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b/>
                      <w:szCs w:val="21"/>
                      <w:lang w:val="zh-CN"/>
                    </w:rPr>
                  </w:pPr>
                  <w:r>
                    <w:rPr>
                      <w:rFonts w:hint="default"/>
                      <w:b/>
                      <w:szCs w:val="21"/>
                      <w:lang w:val="zh-CN"/>
                    </w:rPr>
                    <w:t>轻度危害</w:t>
                  </w:r>
                  <w:r>
                    <w:rPr>
                      <w:rFonts w:hint="eastAsia"/>
                      <w:b/>
                      <w:szCs w:val="21"/>
                      <w:lang w:val="zh-CN"/>
                    </w:rPr>
                    <w:t>（P4）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9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环境高度敏感区</w:t>
                  </w:r>
                  <w:r>
                    <w:rPr>
                      <w:rFonts w:hint="eastAsia"/>
                      <w:szCs w:val="21"/>
                      <w:lang w:val="zh-CN"/>
                    </w:rPr>
                    <w:t>（E1）</w:t>
                  </w:r>
                </w:p>
              </w:tc>
              <w:tc>
                <w:tcPr>
                  <w:tcW w:w="154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Ⅳ</w:t>
                  </w:r>
                  <w:r>
                    <w:rPr>
                      <w:rFonts w:hint="default"/>
                      <w:szCs w:val="21"/>
                      <w:vertAlign w:val="superscript"/>
                      <w:lang w:val="zh-CN"/>
                    </w:rPr>
                    <w:t>+</w:t>
                  </w:r>
                </w:p>
              </w:tc>
              <w:tc>
                <w:tcPr>
                  <w:tcW w:w="152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Ⅳ</w:t>
                  </w:r>
                </w:p>
              </w:tc>
              <w:tc>
                <w:tcPr>
                  <w:tcW w:w="1666"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c>
                <w:tcPr>
                  <w:tcW w:w="16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9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环境</w:t>
                  </w:r>
                  <w:r>
                    <w:rPr>
                      <w:rFonts w:hint="eastAsia"/>
                      <w:szCs w:val="21"/>
                      <w:lang w:val="zh-CN"/>
                    </w:rPr>
                    <w:t>中</w:t>
                  </w:r>
                  <w:r>
                    <w:rPr>
                      <w:rFonts w:hint="default"/>
                      <w:szCs w:val="21"/>
                      <w:lang w:val="zh-CN"/>
                    </w:rPr>
                    <w:t>度敏感区</w:t>
                  </w:r>
                  <w:r>
                    <w:rPr>
                      <w:rFonts w:hint="eastAsia"/>
                      <w:szCs w:val="21"/>
                      <w:lang w:val="zh-CN"/>
                    </w:rPr>
                    <w:t>（E2）</w:t>
                  </w:r>
                </w:p>
              </w:tc>
              <w:tc>
                <w:tcPr>
                  <w:tcW w:w="154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Ⅳ</w:t>
                  </w:r>
                </w:p>
              </w:tc>
              <w:tc>
                <w:tcPr>
                  <w:tcW w:w="152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c>
                <w:tcPr>
                  <w:tcW w:w="1666"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c>
                <w:tcPr>
                  <w:tcW w:w="16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Ⅱ</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19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环境低度敏感区</w:t>
                  </w:r>
                  <w:r>
                    <w:rPr>
                      <w:rFonts w:hint="eastAsia"/>
                      <w:szCs w:val="21"/>
                      <w:lang w:val="zh-CN"/>
                    </w:rPr>
                    <w:t>（E3）</w:t>
                  </w:r>
                </w:p>
              </w:tc>
              <w:tc>
                <w:tcPr>
                  <w:tcW w:w="154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c>
                <w:tcPr>
                  <w:tcW w:w="152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Ⅲ</w:t>
                  </w:r>
                </w:p>
              </w:tc>
              <w:tc>
                <w:tcPr>
                  <w:tcW w:w="1666"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Ⅱ</w:t>
                  </w:r>
                </w:p>
              </w:tc>
              <w:tc>
                <w:tcPr>
                  <w:tcW w:w="1613"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lang w:val="zh-CN"/>
                    </w:rPr>
                  </w:pPr>
                  <w:r>
                    <w:rPr>
                      <w:rFonts w:hint="default"/>
                      <w:szCs w:val="21"/>
                      <w:lang w:val="zh-CN"/>
                    </w:rPr>
                    <w:t>Ⅰ</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8260" w:type="dxa"/>
                  <w:gridSpan w:val="5"/>
                  <w:vAlign w:val="center"/>
                </w:tcPr>
                <w:p>
                  <w:pPr>
                    <w:keepNext w:val="0"/>
                    <w:keepLines w:val="0"/>
                    <w:widowControl/>
                    <w:suppressLineNumbers w:val="0"/>
                    <w:adjustRightInd w:val="0"/>
                    <w:snapToGrid w:val="0"/>
                    <w:spacing w:before="0" w:beforeAutospacing="0" w:after="0" w:afterAutospacing="0"/>
                    <w:ind w:left="0" w:right="0"/>
                    <w:jc w:val="left"/>
                    <w:rPr>
                      <w:rFonts w:hint="default"/>
                      <w:szCs w:val="21"/>
                      <w:lang w:val="zh-CN"/>
                    </w:rPr>
                  </w:pPr>
                  <w:r>
                    <w:rPr>
                      <w:rFonts w:hint="default"/>
                      <w:szCs w:val="21"/>
                      <w:lang w:val="zh-CN"/>
                    </w:rPr>
                    <w:t>注：Ⅳ</w:t>
                  </w:r>
                  <w:r>
                    <w:rPr>
                      <w:rFonts w:hint="default"/>
                      <w:szCs w:val="21"/>
                      <w:vertAlign w:val="superscript"/>
                      <w:lang w:val="zh-CN"/>
                    </w:rPr>
                    <w:t>+</w:t>
                  </w:r>
                  <w:r>
                    <w:rPr>
                      <w:rFonts w:hint="default"/>
                      <w:szCs w:val="21"/>
                      <w:lang w:val="zh-CN"/>
                    </w:rPr>
                    <w:t>为极高环境风险</w:t>
                  </w:r>
                </w:p>
              </w:tc>
            </w:tr>
          </w:tbl>
          <w:p>
            <w:pPr>
              <w:keepNext w:val="0"/>
              <w:keepLines w:val="0"/>
              <w:suppressLineNumbers w:val="0"/>
              <w:spacing w:before="120" w:beforeLines="50" w:beforeAutospacing="0" w:after="0" w:afterAutospacing="0" w:line="360" w:lineRule="auto"/>
              <w:ind w:left="0" w:right="0" w:firstLine="480" w:firstLineChars="200"/>
              <w:rPr>
                <w:rFonts w:hint="default"/>
                <w:sz w:val="24"/>
              </w:rPr>
            </w:pPr>
            <w:r>
              <w:rPr>
                <w:rFonts w:hint="eastAsia"/>
                <w:sz w:val="24"/>
              </w:rPr>
              <w:t>危险物质和工艺系统危险性（</w:t>
            </w:r>
            <w:r>
              <w:rPr>
                <w:rFonts w:hint="default"/>
                <w:bCs/>
                <w:sz w:val="24"/>
              </w:rPr>
              <w:t>P</w:t>
            </w:r>
            <w:r>
              <w:rPr>
                <w:rFonts w:hint="eastAsia"/>
                <w:sz w:val="24"/>
              </w:rPr>
              <w:t>）分级：</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根据危险物质数量与临界量比值（</w:t>
            </w:r>
            <w:r>
              <w:rPr>
                <w:rFonts w:hint="default"/>
                <w:sz w:val="24"/>
              </w:rPr>
              <w:t>Q</w:t>
            </w:r>
            <w:r>
              <w:rPr>
                <w:rFonts w:hint="eastAsia"/>
                <w:sz w:val="24"/>
              </w:rPr>
              <w:t>）和行业及生产工艺（</w:t>
            </w:r>
            <w:r>
              <w:rPr>
                <w:rFonts w:hint="default"/>
                <w:sz w:val="24"/>
              </w:rPr>
              <w:t>M</w:t>
            </w:r>
            <w:r>
              <w:rPr>
                <w:rFonts w:hint="eastAsia"/>
                <w:sz w:val="24"/>
              </w:rPr>
              <w:t>），按照下表确定危险物质及工艺系统危害性（</w:t>
            </w:r>
            <w:r>
              <w:rPr>
                <w:rFonts w:hint="default"/>
                <w:sz w:val="24"/>
              </w:rPr>
              <w:t>P</w:t>
            </w:r>
            <w:r>
              <w:rPr>
                <w:rFonts w:hint="eastAsia"/>
                <w:sz w:val="24"/>
              </w:rPr>
              <w:t>）表示：</w:t>
            </w:r>
          </w:p>
          <w:p>
            <w:pPr>
              <w:keepNext w:val="0"/>
              <w:keepLines w:val="0"/>
              <w:suppressLineNumbers w:val="0"/>
              <w:spacing w:before="0" w:beforeAutospacing="0" w:after="0" w:afterAutospacing="0"/>
              <w:ind w:left="0" w:right="0"/>
              <w:jc w:val="center"/>
              <w:rPr>
                <w:rFonts w:hint="default"/>
                <w:b/>
                <w:kern w:val="0"/>
                <w:sz w:val="24"/>
              </w:rPr>
            </w:pPr>
            <w:r>
              <w:rPr>
                <w:rFonts w:hint="eastAsia"/>
                <w:b/>
                <w:kern w:val="0"/>
                <w:sz w:val="24"/>
              </w:rPr>
              <w:t>表4-1</w:t>
            </w:r>
            <w:r>
              <w:rPr>
                <w:rFonts w:hint="eastAsia"/>
                <w:b/>
                <w:kern w:val="0"/>
                <w:sz w:val="24"/>
                <w:lang w:val="en-US" w:eastAsia="zh-CN"/>
              </w:rPr>
              <w:t>8</w:t>
            </w:r>
            <w:r>
              <w:rPr>
                <w:rFonts w:hint="default"/>
                <w:b/>
                <w:kern w:val="0"/>
                <w:sz w:val="24"/>
              </w:rPr>
              <w:t xml:space="preserve"> </w:t>
            </w:r>
            <w:r>
              <w:rPr>
                <w:rFonts w:hint="eastAsia"/>
                <w:b/>
                <w:kern w:val="0"/>
                <w:sz w:val="24"/>
              </w:rPr>
              <w:t xml:space="preserve"> 危险物质及工艺系统危险性等级判断（P）一览表</w:t>
            </w:r>
          </w:p>
          <w:tbl>
            <w:tblPr>
              <w:tblStyle w:val="5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59"/>
              <w:gridCol w:w="1638"/>
              <w:gridCol w:w="1042"/>
              <w:gridCol w:w="893"/>
              <w:gridCol w:w="11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9" w:type="pct"/>
                  <w:vMerge w:val="restart"/>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s="宋体"/>
                      <w:b/>
                      <w:kern w:val="0"/>
                      <w:szCs w:val="21"/>
                    </w:rPr>
                  </w:pPr>
                  <w:r>
                    <w:rPr>
                      <w:rFonts w:hint="eastAsia" w:cs="宋体"/>
                      <w:b/>
                      <w:kern w:val="0"/>
                      <w:szCs w:val="21"/>
                    </w:rPr>
                    <w:t>危险物质数量与临界量比值（Q）</w:t>
                  </w:r>
                </w:p>
              </w:tc>
              <w:tc>
                <w:tcPr>
                  <w:tcW w:w="2921" w:type="pct"/>
                  <w:gridSpan w:val="4"/>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s="宋体"/>
                      <w:b/>
                      <w:kern w:val="0"/>
                      <w:szCs w:val="21"/>
                    </w:rPr>
                  </w:pPr>
                  <w:r>
                    <w:rPr>
                      <w:rFonts w:hint="default" w:cs="宋体"/>
                      <w:b/>
                      <w:kern w:val="0"/>
                      <w:szCs w:val="21"/>
                    </w:rPr>
                    <w:t>行业及生产工艺</w:t>
                  </w:r>
                  <w:r>
                    <w:rPr>
                      <w:rFonts w:hint="eastAsia" w:cs="宋体"/>
                      <w:b/>
                      <w:kern w:val="0"/>
                      <w:szCs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9"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s="宋体"/>
                      <w:b/>
                      <w:kern w:val="0"/>
                      <w:szCs w:val="21"/>
                    </w:rPr>
                  </w:pPr>
                </w:p>
              </w:tc>
              <w:tc>
                <w:tcPr>
                  <w:tcW w:w="1014" w:type="pct"/>
                  <w:vAlign w:val="center"/>
                </w:tcPr>
                <w:p>
                  <w:pPr>
                    <w:keepNext w:val="0"/>
                    <w:keepLines w:val="0"/>
                    <w:widowControl/>
                    <w:suppressLineNumbers w:val="0"/>
                    <w:spacing w:before="0" w:beforeAutospacing="0" w:after="0" w:afterAutospacing="0"/>
                    <w:ind w:left="0" w:right="0"/>
                    <w:jc w:val="center"/>
                    <w:rPr>
                      <w:rFonts w:hint="default"/>
                      <w:b/>
                      <w:kern w:val="0"/>
                      <w:szCs w:val="21"/>
                    </w:rPr>
                  </w:pPr>
                  <w:r>
                    <w:rPr>
                      <w:rFonts w:hint="eastAsia"/>
                      <w:b/>
                      <w:kern w:val="0"/>
                      <w:szCs w:val="21"/>
                    </w:rPr>
                    <w:t>M1</w:t>
                  </w:r>
                </w:p>
              </w:tc>
              <w:tc>
                <w:tcPr>
                  <w:tcW w:w="645"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s="宋体"/>
                      <w:b/>
                      <w:kern w:val="0"/>
                      <w:szCs w:val="21"/>
                    </w:rPr>
                  </w:pPr>
                  <w:r>
                    <w:rPr>
                      <w:rFonts w:hint="eastAsia" w:cs="宋体"/>
                      <w:b/>
                      <w:kern w:val="0"/>
                      <w:szCs w:val="21"/>
                    </w:rPr>
                    <w:t>M2</w:t>
                  </w:r>
                </w:p>
              </w:tc>
              <w:tc>
                <w:tcPr>
                  <w:tcW w:w="553" w:type="pct"/>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s="宋体"/>
                      <w:b/>
                      <w:kern w:val="0"/>
                      <w:szCs w:val="21"/>
                    </w:rPr>
                  </w:pPr>
                  <w:r>
                    <w:rPr>
                      <w:rFonts w:hint="eastAsia" w:cs="宋体"/>
                      <w:b/>
                      <w:kern w:val="0"/>
                      <w:szCs w:val="21"/>
                    </w:rPr>
                    <w:t>M3</w:t>
                  </w:r>
                </w:p>
              </w:tc>
              <w:tc>
                <w:tcPr>
                  <w:tcW w:w="709" w:type="pct"/>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s="宋体"/>
                      <w:b/>
                      <w:kern w:val="0"/>
                      <w:szCs w:val="21"/>
                    </w:rPr>
                  </w:pPr>
                  <w:r>
                    <w:rPr>
                      <w:rFonts w:hint="eastAsia" w:cs="宋体"/>
                      <w:b/>
                      <w:kern w:val="0"/>
                      <w:szCs w:val="21"/>
                    </w:rPr>
                    <w:t>M4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default"/>
                      <w:kern w:val="0"/>
                      <w:szCs w:val="21"/>
                    </w:rPr>
                    <w:t>Q</w:t>
                  </w:r>
                  <w:r>
                    <w:rPr>
                      <w:rFonts w:hint="eastAsia"/>
                      <w:kern w:val="0"/>
                      <w:szCs w:val="21"/>
                    </w:rPr>
                    <w:t>≥</w:t>
                  </w:r>
                  <w:r>
                    <w:rPr>
                      <w:rFonts w:hint="default"/>
                      <w:kern w:val="0"/>
                      <w:szCs w:val="21"/>
                    </w:rPr>
                    <w:t>100</w:t>
                  </w:r>
                </w:p>
              </w:tc>
              <w:tc>
                <w:tcPr>
                  <w:tcW w:w="1014" w:type="pct"/>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P1</w:t>
                  </w:r>
                </w:p>
              </w:tc>
              <w:tc>
                <w:tcPr>
                  <w:tcW w:w="645"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P1</w:t>
                  </w:r>
                </w:p>
              </w:tc>
              <w:tc>
                <w:tcPr>
                  <w:tcW w:w="553"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P2</w:t>
                  </w:r>
                </w:p>
              </w:tc>
              <w:tc>
                <w:tcPr>
                  <w:tcW w:w="70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default"/>
                      <w:kern w:val="0"/>
                      <w:szCs w:val="21"/>
                    </w:rPr>
                    <w:t>10</w:t>
                  </w:r>
                  <w:r>
                    <w:rPr>
                      <w:rFonts w:hint="eastAsia"/>
                      <w:kern w:val="0"/>
                      <w:szCs w:val="21"/>
                    </w:rPr>
                    <w:t>≤</w:t>
                  </w:r>
                  <w:r>
                    <w:rPr>
                      <w:rFonts w:hint="default"/>
                      <w:kern w:val="0"/>
                      <w:szCs w:val="21"/>
                    </w:rPr>
                    <w:t>Q</w:t>
                  </w:r>
                  <w:r>
                    <w:rPr>
                      <w:rFonts w:hint="eastAsia"/>
                      <w:kern w:val="0"/>
                      <w:szCs w:val="21"/>
                    </w:rPr>
                    <w:t>＜</w:t>
                  </w:r>
                  <w:r>
                    <w:rPr>
                      <w:rFonts w:hint="default"/>
                      <w:kern w:val="0"/>
                      <w:szCs w:val="21"/>
                    </w:rPr>
                    <w:t>100</w:t>
                  </w:r>
                </w:p>
              </w:tc>
              <w:tc>
                <w:tcPr>
                  <w:tcW w:w="1014" w:type="pct"/>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P1</w:t>
                  </w:r>
                </w:p>
              </w:tc>
              <w:tc>
                <w:tcPr>
                  <w:tcW w:w="645"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P2</w:t>
                  </w:r>
                </w:p>
              </w:tc>
              <w:tc>
                <w:tcPr>
                  <w:tcW w:w="553"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P3</w:t>
                  </w:r>
                </w:p>
              </w:tc>
              <w:tc>
                <w:tcPr>
                  <w:tcW w:w="70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7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default"/>
                      <w:kern w:val="0"/>
                      <w:szCs w:val="21"/>
                    </w:rPr>
                    <w:t>1</w:t>
                  </w:r>
                  <w:r>
                    <w:rPr>
                      <w:rFonts w:hint="eastAsia"/>
                      <w:kern w:val="0"/>
                      <w:szCs w:val="21"/>
                    </w:rPr>
                    <w:t>≤</w:t>
                  </w:r>
                  <w:r>
                    <w:rPr>
                      <w:rFonts w:hint="default"/>
                      <w:kern w:val="0"/>
                      <w:szCs w:val="21"/>
                    </w:rPr>
                    <w:t>Q</w:t>
                  </w:r>
                  <w:r>
                    <w:rPr>
                      <w:rFonts w:hint="eastAsia"/>
                      <w:kern w:val="0"/>
                      <w:szCs w:val="21"/>
                    </w:rPr>
                    <w:t>＜</w:t>
                  </w:r>
                  <w:r>
                    <w:rPr>
                      <w:rFonts w:hint="default"/>
                      <w:kern w:val="0"/>
                      <w:szCs w:val="21"/>
                    </w:rPr>
                    <w:t>10</w:t>
                  </w:r>
                </w:p>
              </w:tc>
              <w:tc>
                <w:tcPr>
                  <w:tcW w:w="1014" w:type="pct"/>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P2</w:t>
                  </w:r>
                </w:p>
              </w:tc>
              <w:tc>
                <w:tcPr>
                  <w:tcW w:w="645"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P3</w:t>
                  </w:r>
                </w:p>
              </w:tc>
              <w:tc>
                <w:tcPr>
                  <w:tcW w:w="553"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P4</w:t>
                  </w:r>
                </w:p>
              </w:tc>
              <w:tc>
                <w:tcPr>
                  <w:tcW w:w="70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kern w:val="0"/>
                      <w:szCs w:val="21"/>
                    </w:rPr>
                  </w:pPr>
                  <w:r>
                    <w:rPr>
                      <w:rFonts w:hint="eastAsia"/>
                      <w:kern w:val="0"/>
                      <w:szCs w:val="21"/>
                    </w:rPr>
                    <w:t>P4</w:t>
                  </w:r>
                </w:p>
              </w:tc>
            </w:tr>
          </w:tbl>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根据《建设项目环境风险评价技术导则》（HJ 169-2018），计算所涉及的每种危险物质在厂界内的最大存在总量与其在附录B中对应临界量的比值Q。</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当只涉及一种危险物质时，计算该物质的总量与其临界量比值，即为Q；</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当存在多种危险物质时，则按下式计算物质总量与其临界量比值(Q)：</w:t>
            </w:r>
          </w:p>
          <w:p>
            <w:pPr>
              <w:keepNext w:val="0"/>
              <w:keepLines w:val="0"/>
              <w:suppressLineNumbers w:val="0"/>
              <w:spacing w:before="0" w:beforeAutospacing="0" w:after="0" w:afterAutospacing="0"/>
              <w:ind w:left="0" w:right="0"/>
              <w:jc w:val="center"/>
              <w:rPr>
                <w:rFonts w:hint="default"/>
                <w:sz w:val="24"/>
              </w:rPr>
            </w:pPr>
            <m:oMathPara>
              <m:oMath>
                <m:r>
                  <m:rPr>
                    <m:sty m:val="p"/>
                  </m:rPr>
                  <w:rPr>
                    <w:rFonts w:hint="default" w:ascii="Cambria Math" w:hAnsi="Cambria Math"/>
                    <w:sz w:val="24"/>
                  </w:rPr>
                  <m:t>Q=</m:t>
                </m:r>
                <m:f>
                  <m:fPr>
                    <m:ctrlPr>
                      <w:rPr>
                        <w:rFonts w:hint="default" w:ascii="Cambria Math" w:hAnsi="Cambria Math"/>
                        <w:sz w:val="24"/>
                      </w:rPr>
                    </m:ctrlPr>
                  </m:fPr>
                  <m:num>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1</m:t>
                        </m:r>
                        <m:ctrlPr>
                          <w:rPr>
                            <w:rFonts w:hint="default" w:ascii="Cambria Math" w:hAnsi="Cambria Math"/>
                            <w:i/>
                            <w:sz w:val="24"/>
                          </w:rPr>
                        </m:ctrlPr>
                      </m:sub>
                    </m:sSub>
                    <m:ctrlPr>
                      <w:rPr>
                        <w:rFonts w:hint="default" w:ascii="Cambria Math" w:hAnsi="Cambria Math"/>
                        <w:sz w:val="24"/>
                      </w:rPr>
                    </m:ctrlPr>
                  </m:num>
                  <m:den>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1</m:t>
                        </m:r>
                        <m:ctrlPr>
                          <w:rPr>
                            <w:rFonts w:hint="default" w:ascii="Cambria Math" w:hAnsi="Cambria Math"/>
                            <w:i/>
                            <w:sz w:val="24"/>
                          </w:rPr>
                        </m:ctrlPr>
                      </m:sub>
                    </m:sSub>
                    <m:ctrlPr>
                      <w:rPr>
                        <w:rFonts w:hint="default" w:ascii="Cambria Math" w:hAnsi="Cambria Math"/>
                        <w:sz w:val="24"/>
                      </w:rPr>
                    </m:ctrlPr>
                  </m:den>
                </m:f>
                <m:r>
                  <m:rPr/>
                  <w:rPr>
                    <w:rFonts w:hint="default" w:ascii="Cambria Math" w:hAnsi="Cambria Math"/>
                    <w:sz w:val="24"/>
                  </w:rPr>
                  <m:t>+</m:t>
                </m:r>
                <m:f>
                  <m:fPr>
                    <m:ctrlPr>
                      <w:rPr>
                        <w:rFonts w:hint="default" w:ascii="Cambria Math" w:hAnsi="Cambria Math"/>
                        <w:sz w:val="24"/>
                      </w:rPr>
                    </m:ctrlPr>
                  </m:fPr>
                  <m:num>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2</m:t>
                        </m:r>
                        <m:ctrlPr>
                          <w:rPr>
                            <w:rFonts w:hint="default" w:ascii="Cambria Math" w:hAnsi="Cambria Math"/>
                            <w:i/>
                            <w:sz w:val="24"/>
                          </w:rPr>
                        </m:ctrlPr>
                      </m:sub>
                    </m:sSub>
                    <m:ctrlPr>
                      <w:rPr>
                        <w:rFonts w:hint="default" w:ascii="Cambria Math" w:hAnsi="Cambria Math"/>
                        <w:sz w:val="24"/>
                      </w:rPr>
                    </m:ctrlPr>
                  </m:num>
                  <m:den>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2</m:t>
                        </m:r>
                        <m:ctrlPr>
                          <w:rPr>
                            <w:rFonts w:hint="default" w:ascii="Cambria Math" w:hAnsi="Cambria Math"/>
                            <w:i/>
                            <w:sz w:val="24"/>
                          </w:rPr>
                        </m:ctrlPr>
                      </m:sub>
                    </m:sSub>
                    <m:ctrlPr>
                      <w:rPr>
                        <w:rFonts w:hint="default" w:ascii="Cambria Math" w:hAnsi="Cambria Math"/>
                        <w:sz w:val="24"/>
                      </w:rPr>
                    </m:ctrlPr>
                  </m:den>
                </m:f>
                <m:r>
                  <m:rPr/>
                  <w:rPr>
                    <w:rFonts w:hint="default" w:ascii="Cambria Math" w:hAnsi="Cambria Math"/>
                    <w:sz w:val="24"/>
                  </w:rPr>
                  <m:t>+⋯+</m:t>
                </m:r>
                <m:f>
                  <m:fPr>
                    <m:ctrlPr>
                      <w:rPr>
                        <w:rFonts w:hint="default" w:ascii="Cambria Math" w:hAnsi="Cambria Math"/>
                        <w:sz w:val="24"/>
                      </w:rPr>
                    </m:ctrlPr>
                  </m:fPr>
                  <m:num>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n</m:t>
                        </m:r>
                        <m:ctrlPr>
                          <w:rPr>
                            <w:rFonts w:hint="default" w:ascii="Cambria Math" w:hAnsi="Cambria Math"/>
                            <w:i/>
                            <w:sz w:val="24"/>
                          </w:rPr>
                        </m:ctrlPr>
                      </m:sub>
                    </m:sSub>
                    <m:ctrlPr>
                      <w:rPr>
                        <w:rFonts w:hint="default" w:ascii="Cambria Math" w:hAnsi="Cambria Math"/>
                        <w:sz w:val="24"/>
                      </w:rPr>
                    </m:ctrlPr>
                  </m:num>
                  <m:den>
                    <m:sSub>
                      <m:sSubPr>
                        <m:ctrlPr>
                          <w:rPr>
                            <w:rFonts w:hint="default" w:ascii="Cambria Math" w:hAnsi="Cambria Math"/>
                            <w:i/>
                            <w:sz w:val="24"/>
                          </w:rPr>
                        </m:ctrlPr>
                      </m:sSubPr>
                      <m:e>
                        <m:r>
                          <m:rPr/>
                          <w:rPr>
                            <w:rFonts w:hint="default" w:ascii="Cambria Math" w:hAnsi="Cambria Math"/>
                            <w:sz w:val="24"/>
                          </w:rPr>
                          <m:t>Q</m:t>
                        </m:r>
                        <m:ctrlPr>
                          <w:rPr>
                            <w:rFonts w:hint="default" w:ascii="Cambria Math" w:hAnsi="Cambria Math"/>
                            <w:i/>
                            <w:sz w:val="24"/>
                          </w:rPr>
                        </m:ctrlPr>
                      </m:e>
                      <m:sub>
                        <m:r>
                          <m:rPr/>
                          <w:rPr>
                            <w:rFonts w:hint="default" w:ascii="Cambria Math" w:hAnsi="Cambria Math"/>
                            <w:sz w:val="24"/>
                          </w:rPr>
                          <m:t>n</m:t>
                        </m:r>
                        <m:ctrlPr>
                          <w:rPr>
                            <w:rFonts w:hint="default" w:ascii="Cambria Math" w:hAnsi="Cambria Math"/>
                            <w:i/>
                            <w:sz w:val="24"/>
                          </w:rPr>
                        </m:ctrlPr>
                      </m:sub>
                    </m:sSub>
                    <m:ctrlPr>
                      <w:rPr>
                        <w:rFonts w:hint="default" w:ascii="Cambria Math" w:hAnsi="Cambria Math"/>
                        <w:sz w:val="24"/>
                      </w:rPr>
                    </m:ctrlPr>
                  </m:den>
                </m:f>
              </m:oMath>
            </m:oMathPara>
          </w:p>
          <w:p>
            <w:pPr>
              <w:keepNext w:val="0"/>
              <w:keepLines w:val="0"/>
              <w:suppressLineNumbers w:val="0"/>
              <w:spacing w:before="0" w:beforeAutospacing="0" w:after="0" w:afterAutospacing="0" w:line="360" w:lineRule="auto"/>
              <w:ind w:left="0" w:right="0" w:firstLine="482"/>
              <w:rPr>
                <w:rFonts w:hint="default"/>
                <w:sz w:val="24"/>
                <w:szCs w:val="18"/>
              </w:rPr>
            </w:pPr>
            <w:r>
              <w:rPr>
                <w:rFonts w:hint="default"/>
                <w:sz w:val="24"/>
                <w:szCs w:val="18"/>
              </w:rPr>
              <w:t>式中，q</w:t>
            </w:r>
            <w:r>
              <w:rPr>
                <w:rFonts w:hint="default"/>
                <w:sz w:val="24"/>
                <w:szCs w:val="18"/>
                <w:vertAlign w:val="subscript"/>
              </w:rPr>
              <w:t>1</w:t>
            </w:r>
            <w:r>
              <w:rPr>
                <w:rFonts w:hint="default"/>
                <w:sz w:val="24"/>
                <w:szCs w:val="18"/>
              </w:rPr>
              <w:t>，q</w:t>
            </w:r>
            <w:r>
              <w:rPr>
                <w:rFonts w:hint="default"/>
                <w:sz w:val="24"/>
                <w:szCs w:val="18"/>
                <w:vertAlign w:val="subscript"/>
              </w:rPr>
              <w:t>2</w:t>
            </w:r>
            <w:r>
              <w:rPr>
                <w:rFonts w:hint="default"/>
                <w:sz w:val="24"/>
                <w:szCs w:val="18"/>
              </w:rPr>
              <w:t>…q</w:t>
            </w:r>
            <w:r>
              <w:rPr>
                <w:rFonts w:hint="default"/>
                <w:sz w:val="24"/>
                <w:szCs w:val="18"/>
                <w:vertAlign w:val="subscript"/>
              </w:rPr>
              <w:t>n</w:t>
            </w:r>
            <w:r>
              <w:rPr>
                <w:rFonts w:hint="default"/>
                <w:sz w:val="24"/>
                <w:szCs w:val="18"/>
              </w:rPr>
              <w:t>——每种危险物质的最大存在总量，t。</w:t>
            </w:r>
          </w:p>
          <w:p>
            <w:pPr>
              <w:keepNext w:val="0"/>
              <w:keepLines w:val="0"/>
              <w:suppressLineNumbers w:val="0"/>
              <w:spacing w:before="0" w:beforeAutospacing="0" w:after="0" w:afterAutospacing="0" w:line="360" w:lineRule="auto"/>
              <w:ind w:left="0" w:right="0" w:firstLine="1200" w:firstLineChars="500"/>
              <w:rPr>
                <w:rFonts w:hint="default"/>
                <w:sz w:val="24"/>
                <w:szCs w:val="18"/>
              </w:rPr>
            </w:pPr>
            <w:r>
              <w:rPr>
                <w:rFonts w:hint="default"/>
                <w:sz w:val="24"/>
                <w:szCs w:val="18"/>
              </w:rPr>
              <w:t>Q</w:t>
            </w:r>
            <w:r>
              <w:rPr>
                <w:rFonts w:hint="default"/>
                <w:sz w:val="24"/>
                <w:szCs w:val="18"/>
                <w:vertAlign w:val="subscript"/>
              </w:rPr>
              <w:t>1</w:t>
            </w:r>
            <w:r>
              <w:rPr>
                <w:rFonts w:hint="default"/>
                <w:sz w:val="24"/>
                <w:szCs w:val="18"/>
              </w:rPr>
              <w:t>，Q</w:t>
            </w:r>
            <w:r>
              <w:rPr>
                <w:rFonts w:hint="default"/>
                <w:sz w:val="24"/>
                <w:szCs w:val="18"/>
                <w:vertAlign w:val="subscript"/>
              </w:rPr>
              <w:t>2</w:t>
            </w:r>
            <w:r>
              <w:rPr>
                <w:rFonts w:hint="default"/>
                <w:sz w:val="24"/>
                <w:szCs w:val="18"/>
              </w:rPr>
              <w:t>…Q</w:t>
            </w:r>
            <w:r>
              <w:rPr>
                <w:rFonts w:hint="default"/>
                <w:sz w:val="24"/>
                <w:szCs w:val="18"/>
                <w:vertAlign w:val="subscript"/>
              </w:rPr>
              <w:t>n</w:t>
            </w:r>
            <w:r>
              <w:rPr>
                <w:rFonts w:hint="default"/>
                <w:sz w:val="24"/>
                <w:szCs w:val="18"/>
              </w:rPr>
              <w:t>——每种危险物质的临界量，t。</w:t>
            </w:r>
          </w:p>
          <w:p>
            <w:pPr>
              <w:keepNext w:val="0"/>
              <w:keepLines w:val="0"/>
              <w:suppressLineNumbers w:val="0"/>
              <w:spacing w:before="0" w:beforeAutospacing="0" w:after="0" w:afterAutospacing="0" w:line="360" w:lineRule="auto"/>
              <w:ind w:left="0" w:right="0" w:firstLine="482"/>
              <w:rPr>
                <w:rFonts w:hint="default"/>
                <w:sz w:val="24"/>
                <w:szCs w:val="18"/>
              </w:rPr>
            </w:pPr>
            <w:r>
              <w:rPr>
                <w:rFonts w:hint="default"/>
                <w:sz w:val="24"/>
                <w:szCs w:val="18"/>
              </w:rPr>
              <w:t>当Q＜1时，该项目环境风险潜势为</w:t>
            </w:r>
            <w:r>
              <w:rPr>
                <w:rFonts w:hint="eastAsia" w:ascii="宋体" w:hAnsi="宋体" w:cs="宋体"/>
                <w:sz w:val="24"/>
                <w:szCs w:val="18"/>
              </w:rPr>
              <w:t>Ⅰ</w:t>
            </w:r>
            <w:r>
              <w:rPr>
                <w:rFonts w:hint="default"/>
                <w:sz w:val="24"/>
                <w:szCs w:val="18"/>
              </w:rPr>
              <w:t>。</w:t>
            </w:r>
          </w:p>
          <w:p>
            <w:pPr>
              <w:keepNext w:val="0"/>
              <w:keepLines w:val="0"/>
              <w:suppressLineNumbers w:val="0"/>
              <w:spacing w:before="0" w:beforeAutospacing="0" w:after="0" w:afterAutospacing="0" w:line="360" w:lineRule="auto"/>
              <w:ind w:left="0" w:right="0" w:firstLine="482"/>
              <w:rPr>
                <w:rFonts w:hint="default"/>
                <w:sz w:val="24"/>
                <w:szCs w:val="18"/>
              </w:rPr>
            </w:pPr>
            <w:r>
              <w:rPr>
                <w:rFonts w:hint="default"/>
                <w:sz w:val="24"/>
                <w:szCs w:val="18"/>
              </w:rPr>
              <w:t>当Q≥1时，将Q值划分为：（1）1≤Q＜10；（2）10≤Q＜100；（3）Q≥100。</w:t>
            </w:r>
          </w:p>
          <w:p>
            <w:pPr>
              <w:keepNext w:val="0"/>
              <w:keepLines w:val="0"/>
              <w:suppressLineNumbers w:val="0"/>
              <w:spacing w:before="0" w:beforeAutospacing="0" w:after="0" w:afterAutospacing="0" w:line="360" w:lineRule="auto"/>
              <w:ind w:left="0" w:right="0" w:firstLine="480" w:firstLineChars="200"/>
              <w:rPr>
                <w:rFonts w:hint="default" w:ascii="ﾋﾎﾌ・" w:eastAsia="等线" w:cs="ﾋﾎﾌ・"/>
                <w:sz w:val="24"/>
              </w:rPr>
            </w:pPr>
            <w:r>
              <w:rPr>
                <w:rFonts w:hint="eastAsia" w:hAnsi="宋体"/>
                <w:sz w:val="24"/>
                <w:shd w:val="clear" w:color="auto" w:fill="FFFFFF"/>
              </w:rPr>
              <w:t>汇总统计出建设项目环境风险物质临界量、储存及分布情况</w:t>
            </w:r>
            <w:r>
              <w:rPr>
                <w:rFonts w:hint="eastAsia" w:ascii="ﾋﾎﾌ・" w:eastAsia="ﾋﾎﾌ・" w:cs="ﾋﾎﾌ・"/>
                <w:sz w:val="24"/>
              </w:rPr>
              <w:t>。</w:t>
            </w:r>
          </w:p>
          <w:p>
            <w:pPr>
              <w:keepNext w:val="0"/>
              <w:keepLines w:val="0"/>
              <w:suppressLineNumbers w:val="0"/>
              <w:spacing w:before="0" w:beforeAutospacing="0" w:after="0" w:afterAutospacing="0"/>
              <w:ind w:left="0" w:right="0"/>
              <w:jc w:val="center"/>
              <w:rPr>
                <w:rFonts w:hint="default"/>
                <w:b/>
                <w:kern w:val="0"/>
                <w:sz w:val="24"/>
              </w:rPr>
            </w:pPr>
            <w:r>
              <w:rPr>
                <w:rFonts w:hint="eastAsia"/>
                <w:b/>
                <w:kern w:val="0"/>
                <w:sz w:val="24"/>
              </w:rPr>
              <w:t>表4-1</w:t>
            </w:r>
            <w:r>
              <w:rPr>
                <w:rFonts w:hint="eastAsia"/>
                <w:b/>
                <w:kern w:val="0"/>
                <w:sz w:val="24"/>
                <w:lang w:val="en-US" w:eastAsia="zh-CN"/>
              </w:rPr>
              <w:t>9</w:t>
            </w:r>
            <w:r>
              <w:rPr>
                <w:rFonts w:hint="eastAsia"/>
                <w:b/>
                <w:kern w:val="0"/>
                <w:sz w:val="24"/>
              </w:rPr>
              <w:t xml:space="preserve"> </w:t>
            </w:r>
            <w:r>
              <w:rPr>
                <w:rFonts w:hint="default"/>
                <w:b/>
                <w:kern w:val="0"/>
                <w:sz w:val="24"/>
              </w:rPr>
              <w:t xml:space="preserve"> </w:t>
            </w:r>
            <w:r>
              <w:rPr>
                <w:rFonts w:hint="eastAsia"/>
                <w:b/>
                <w:kern w:val="0"/>
                <w:sz w:val="24"/>
              </w:rPr>
              <w:t>项目主要物质风险识别结果一览表</w:t>
            </w:r>
          </w:p>
          <w:tbl>
            <w:tblPr>
              <w:tblStyle w:val="59"/>
              <w:tblpPr w:leftFromText="180" w:rightFromText="180" w:vertAnchor="text" w:tblpXSpec="center"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356"/>
              <w:gridCol w:w="1320"/>
              <w:gridCol w:w="893"/>
              <w:gridCol w:w="1843"/>
              <w:gridCol w:w="15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9"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类别</w:t>
                  </w:r>
                </w:p>
              </w:tc>
              <w:tc>
                <w:tcPr>
                  <w:tcW w:w="135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事故类型</w:t>
                  </w:r>
                </w:p>
              </w:tc>
              <w:tc>
                <w:tcPr>
                  <w:tcW w:w="1320"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风险</w:t>
                  </w:r>
                  <w:r>
                    <w:rPr>
                      <w:rFonts w:hint="default"/>
                      <w:b/>
                      <w:color w:val="0D0D0D" w:themeColor="text1" w:themeTint="F2"/>
                      <w:szCs w:val="21"/>
                      <w14:textFill>
                        <w14:solidFill>
                          <w14:schemeClr w14:val="tx1">
                            <w14:lumMod w14:val="95000"/>
                            <w14:lumOff w14:val="5000"/>
                          </w14:schemeClr>
                        </w14:solidFill>
                      </w14:textFill>
                    </w:rPr>
                    <w:t>物质</w:t>
                  </w:r>
                </w:p>
              </w:tc>
              <w:tc>
                <w:tcPr>
                  <w:tcW w:w="893"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分布</w:t>
                  </w:r>
                </w:p>
              </w:tc>
              <w:tc>
                <w:tcPr>
                  <w:tcW w:w="1843"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最大储存量（t）</w:t>
                  </w:r>
                </w:p>
              </w:tc>
              <w:tc>
                <w:tcPr>
                  <w:tcW w:w="1556"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临界量（t）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9"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辅料</w:t>
                  </w:r>
                </w:p>
              </w:tc>
              <w:tc>
                <w:tcPr>
                  <w:tcW w:w="1356"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泄露、</w:t>
                  </w:r>
                  <w:r>
                    <w:rPr>
                      <w:rFonts w:hint="eastAsia"/>
                      <w:color w:val="0D0D0D" w:themeColor="text1" w:themeTint="F2"/>
                      <w14:textFill>
                        <w14:solidFill>
                          <w14:schemeClr w14:val="tx1">
                            <w14:lumMod w14:val="95000"/>
                            <w14:lumOff w14:val="5000"/>
                          </w14:schemeClr>
                        </w14:solidFill>
                      </w14:textFill>
                    </w:rPr>
                    <w:t>火灾</w:t>
                  </w:r>
                </w:p>
              </w:tc>
              <w:tc>
                <w:tcPr>
                  <w:tcW w:w="1320" w:type="dxa"/>
                  <w:vAlign w:val="center"/>
                </w:tcPr>
                <w:p>
                  <w:pPr>
                    <w:keepNext w:val="0"/>
                    <w:keepLines w:val="0"/>
                    <w:suppressLineNumbers w:val="0"/>
                    <w:spacing w:before="0" w:beforeAutospacing="0" w:after="0" w:afterAutospacing="0"/>
                    <w:ind w:left="0" w:right="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润滑</w:t>
                  </w:r>
                  <w:r>
                    <w:rPr>
                      <w:rFonts w:hint="eastAsia"/>
                      <w:color w:val="0D0D0D" w:themeColor="text1" w:themeTint="F2"/>
                      <w:szCs w:val="21"/>
                      <w:lang w:val="en-US" w:eastAsia="zh-CN"/>
                      <w14:textFill>
                        <w14:solidFill>
                          <w14:schemeClr w14:val="tx1">
                            <w14:lumMod w14:val="95000"/>
                            <w14:lumOff w14:val="5000"/>
                          </w14:schemeClr>
                        </w14:solidFill>
                      </w14:textFill>
                    </w:rPr>
                    <w:t>油</w:t>
                  </w:r>
                </w:p>
              </w:tc>
              <w:tc>
                <w:tcPr>
                  <w:tcW w:w="893" w:type="dxa"/>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化学品存放区 </w:t>
                  </w:r>
                </w:p>
              </w:tc>
              <w:tc>
                <w:tcPr>
                  <w:tcW w:w="1843" w:type="dxa"/>
                  <w:vAlign w:val="center"/>
                </w:tcPr>
                <w:p>
                  <w:pPr>
                    <w:keepNext w:val="0"/>
                    <w:keepLines w:val="0"/>
                    <w:suppressLineNumbers w:val="0"/>
                    <w:spacing w:before="0" w:beforeAutospacing="0" w:after="0" w:afterAutospacing="0"/>
                    <w:ind w:left="0" w:right="0"/>
                    <w:jc w:val="center"/>
                    <w:rPr>
                      <w:rFonts w:hint="default" w:hAnsi="宋体" w:eastAsia="宋体"/>
                      <w:color w:val="0D0D0D" w:themeColor="text1" w:themeTint="F2"/>
                      <w:kern w:val="24"/>
                      <w:szCs w:val="21"/>
                      <w:lang w:val="en-US" w:eastAsia="zh-CN"/>
                      <w14:textFill>
                        <w14:solidFill>
                          <w14:schemeClr w14:val="tx1">
                            <w14:lumMod w14:val="95000"/>
                            <w14:lumOff w14:val="5000"/>
                          </w14:schemeClr>
                        </w14:solidFill>
                      </w14:textFill>
                    </w:rPr>
                  </w:pPr>
                  <w:r>
                    <w:rPr>
                      <w:rFonts w:hint="eastAsia" w:hAnsi="宋体"/>
                      <w:color w:val="0D0D0D" w:themeColor="text1" w:themeTint="F2"/>
                      <w:kern w:val="24"/>
                      <w:szCs w:val="21"/>
                      <w:lang w:val="en-US" w:eastAsia="zh-CN"/>
                      <w14:textFill>
                        <w14:solidFill>
                          <w14:schemeClr w14:val="tx1">
                            <w14:lumMod w14:val="95000"/>
                            <w14:lumOff w14:val="5000"/>
                          </w14:schemeClr>
                        </w14:solidFill>
                      </w14:textFill>
                    </w:rPr>
                    <w:t>0.2</w:t>
                  </w:r>
                </w:p>
              </w:tc>
              <w:tc>
                <w:tcPr>
                  <w:tcW w:w="1556"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w:t>
                  </w:r>
                  <w:r>
                    <w:rPr>
                      <w:rFonts w:hint="default"/>
                      <w:color w:val="0D0D0D" w:themeColor="text1" w:themeTint="F2"/>
                      <w:szCs w:val="21"/>
                      <w14:textFill>
                        <w14:solidFill>
                          <w14:schemeClr w14:val="tx1">
                            <w14:lumMod w14:val="95000"/>
                            <w14:lumOff w14:val="5000"/>
                          </w14:schemeClr>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9" w:type="dxa"/>
                  <w:vMerge w:val="restart"/>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危险废物</w:t>
                  </w:r>
                </w:p>
              </w:tc>
              <w:tc>
                <w:tcPr>
                  <w:tcW w:w="1356"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泄露、</w:t>
                  </w:r>
                  <w:r>
                    <w:rPr>
                      <w:rFonts w:hint="eastAsia"/>
                      <w:color w:val="0D0D0D" w:themeColor="text1" w:themeTint="F2"/>
                      <w14:textFill>
                        <w14:solidFill>
                          <w14:schemeClr w14:val="tx1">
                            <w14:lumMod w14:val="95000"/>
                            <w14:lumOff w14:val="5000"/>
                          </w14:schemeClr>
                        </w14:solidFill>
                      </w14:textFill>
                    </w:rPr>
                    <w:t>火灾</w:t>
                  </w:r>
                </w:p>
              </w:tc>
              <w:tc>
                <w:tcPr>
                  <w:tcW w:w="1320"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废液压油</w:t>
                  </w:r>
                </w:p>
              </w:tc>
              <w:tc>
                <w:tcPr>
                  <w:tcW w:w="893" w:type="dxa"/>
                  <w:vMerge w:val="restart"/>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危废暂存间</w:t>
                  </w:r>
                </w:p>
              </w:tc>
              <w:tc>
                <w:tcPr>
                  <w:tcW w:w="1843" w:type="dxa"/>
                  <w:vAlign w:val="center"/>
                </w:tcPr>
                <w:p>
                  <w:pPr>
                    <w:keepNext w:val="0"/>
                    <w:keepLines w:val="0"/>
                    <w:suppressLineNumbers w:val="0"/>
                    <w:spacing w:before="0" w:beforeAutospacing="0" w:after="0" w:afterAutospacing="0"/>
                    <w:ind w:left="0" w:right="0"/>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0.8</w:t>
                  </w:r>
                </w:p>
              </w:tc>
              <w:tc>
                <w:tcPr>
                  <w:tcW w:w="1556" w:type="dxa"/>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2</w:t>
                  </w:r>
                  <w:r>
                    <w:rPr>
                      <w:rFonts w:hint="default"/>
                      <w:color w:val="0D0D0D" w:themeColor="text1" w:themeTint="F2"/>
                      <w:szCs w:val="21"/>
                      <w14:textFill>
                        <w14:solidFill>
                          <w14:schemeClr w14:val="tx1">
                            <w14:lumMod w14:val="95000"/>
                            <w14:lumOff w14:val="5000"/>
                          </w14:schemeClr>
                        </w14:solidFill>
                      </w14:textFill>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9" w:type="dxa"/>
                  <w:vMerge w:val="continue"/>
                  <w:vAlign w:val="center"/>
                </w:tcPr>
                <w:p>
                  <w:pPr>
                    <w:keepNext w:val="0"/>
                    <w:keepLines w:val="0"/>
                    <w:suppressLineNumbers w:val="0"/>
                    <w:autoSpaceDE w:val="0"/>
                    <w:autoSpaceDN w:val="0"/>
                    <w:adjustRightInd w:val="0"/>
                    <w:spacing w:before="0" w:beforeAutospacing="0" w:after="0" w:afterAutospacing="0"/>
                    <w:ind w:left="0" w:right="0"/>
                    <w:jc w:val="center"/>
                    <w:rPr>
                      <w:rFonts w:hint="eastAsia"/>
                      <w:color w:val="0D0D0D" w:themeColor="text1" w:themeTint="F2"/>
                      <w:szCs w:val="21"/>
                      <w14:textFill>
                        <w14:solidFill>
                          <w14:schemeClr w14:val="tx1">
                            <w14:lumMod w14:val="95000"/>
                            <w14:lumOff w14:val="5000"/>
                          </w14:schemeClr>
                        </w14:solidFill>
                      </w14:textFill>
                    </w:rPr>
                  </w:pPr>
                </w:p>
              </w:tc>
              <w:tc>
                <w:tcPr>
                  <w:tcW w:w="1356"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泄露、</w:t>
                  </w:r>
                  <w:r>
                    <w:rPr>
                      <w:rFonts w:hint="eastAsia"/>
                      <w:color w:val="0D0D0D" w:themeColor="text1" w:themeTint="F2"/>
                      <w14:textFill>
                        <w14:solidFill>
                          <w14:schemeClr w14:val="tx1">
                            <w14:lumMod w14:val="95000"/>
                            <w14:lumOff w14:val="5000"/>
                          </w14:schemeClr>
                        </w14:solidFill>
                      </w14:textFill>
                    </w:rPr>
                    <w:t>火灾</w:t>
                  </w:r>
                </w:p>
              </w:tc>
              <w:tc>
                <w:tcPr>
                  <w:tcW w:w="1320" w:type="dxa"/>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废</w:t>
                  </w:r>
                  <w:r>
                    <w:rPr>
                      <w:rFonts w:hint="eastAsia"/>
                      <w:color w:val="0D0D0D" w:themeColor="text1" w:themeTint="F2"/>
                      <w:szCs w:val="21"/>
                      <w:lang w:val="en-US" w:eastAsia="zh-CN"/>
                      <w14:textFill>
                        <w14:solidFill>
                          <w14:schemeClr w14:val="tx1">
                            <w14:lumMod w14:val="95000"/>
                            <w14:lumOff w14:val="5000"/>
                          </w14:schemeClr>
                        </w14:solidFill>
                      </w14:textFill>
                    </w:rPr>
                    <w:t>润滑</w:t>
                  </w:r>
                  <w:r>
                    <w:rPr>
                      <w:rFonts w:hint="eastAsia"/>
                      <w:color w:val="0D0D0D" w:themeColor="text1" w:themeTint="F2"/>
                      <w:szCs w:val="21"/>
                      <w14:textFill>
                        <w14:solidFill>
                          <w14:schemeClr w14:val="tx1">
                            <w14:lumMod w14:val="95000"/>
                            <w14:lumOff w14:val="5000"/>
                          </w14:schemeClr>
                        </w14:solidFill>
                      </w14:textFill>
                    </w:rPr>
                    <w:t>油</w:t>
                  </w:r>
                </w:p>
              </w:tc>
              <w:tc>
                <w:tcPr>
                  <w:tcW w:w="893" w:type="dxa"/>
                  <w:vMerge w:val="continue"/>
                  <w:vAlign w:val="center"/>
                </w:tcPr>
                <w:p>
                  <w:pPr>
                    <w:keepNext w:val="0"/>
                    <w:keepLines w:val="0"/>
                    <w:suppressLineNumbers w:val="0"/>
                    <w:spacing w:before="0" w:beforeAutospacing="0" w:after="0" w:afterAutospacing="0"/>
                    <w:ind w:left="0" w:right="0"/>
                    <w:jc w:val="center"/>
                    <w:rPr>
                      <w:rFonts w:hint="eastAsia"/>
                      <w:color w:val="0D0D0D" w:themeColor="text1" w:themeTint="F2"/>
                      <w:szCs w:val="21"/>
                      <w14:textFill>
                        <w14:solidFill>
                          <w14:schemeClr w14:val="tx1">
                            <w14:lumMod w14:val="95000"/>
                            <w14:lumOff w14:val="5000"/>
                          </w14:schemeClr>
                        </w14:solidFill>
                      </w14:textFill>
                    </w:rPr>
                  </w:pPr>
                </w:p>
              </w:tc>
              <w:tc>
                <w:tcPr>
                  <w:tcW w:w="1843" w:type="dxa"/>
                  <w:vAlign w:val="center"/>
                </w:tcPr>
                <w:p>
                  <w:pPr>
                    <w:keepNext w:val="0"/>
                    <w:keepLines w:val="0"/>
                    <w:suppressLineNumbers w:val="0"/>
                    <w:spacing w:before="0" w:beforeAutospacing="0" w:after="0" w:afterAutospacing="0"/>
                    <w:ind w:left="0" w:right="0"/>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0.05</w:t>
                  </w:r>
                </w:p>
              </w:tc>
              <w:tc>
                <w:tcPr>
                  <w:tcW w:w="1556" w:type="dxa"/>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2500</w:t>
                  </w:r>
                </w:p>
              </w:tc>
            </w:tr>
          </w:tbl>
          <w:p>
            <w:pPr>
              <w:keepNext w:val="0"/>
              <w:keepLines w:val="0"/>
              <w:suppressLineNumbers w:val="0"/>
              <w:autoSpaceDE w:val="0"/>
              <w:autoSpaceDN w:val="0"/>
              <w:adjustRightInd w:val="0"/>
              <w:spacing w:before="0" w:beforeAutospacing="0" w:after="0" w:afterAutospacing="0" w:line="360" w:lineRule="auto"/>
              <w:ind w:left="0" w:right="0" w:firstLine="475" w:firstLineChars="198"/>
              <w:rPr>
                <w:rFonts w:hint="default"/>
                <w:sz w:val="24"/>
              </w:rPr>
            </w:pPr>
            <w:r>
              <w:rPr>
                <w:rFonts w:hint="eastAsia" w:hAnsi="宋体"/>
                <w:sz w:val="24"/>
              </w:rPr>
              <w:t>根据</w:t>
            </w:r>
            <w:r>
              <w:rPr>
                <w:rFonts w:hint="eastAsia"/>
                <w:sz w:val="24"/>
              </w:rPr>
              <w:t>导则计算</w:t>
            </w:r>
            <w:r>
              <w:rPr>
                <w:rFonts w:hint="eastAsia" w:hAnsi="宋体"/>
                <w:sz w:val="24"/>
              </w:rPr>
              <w:t>危险物质数量与临界量比值：</w:t>
            </w:r>
            <w:r>
              <w:rPr>
                <w:rFonts w:hint="default" w:hAnsi="宋体"/>
                <w:sz w:val="24"/>
              </w:rPr>
              <w:t>Q</w:t>
            </w:r>
            <w:r>
              <w:rPr>
                <w:rFonts w:hint="eastAsia"/>
                <w:sz w:val="24"/>
              </w:rPr>
              <w:t>=0.00</w:t>
            </w:r>
            <w:r>
              <w:rPr>
                <w:rFonts w:hint="eastAsia"/>
                <w:sz w:val="24"/>
                <w:lang w:val="en-US" w:eastAsia="zh-CN"/>
              </w:rPr>
              <w:t>042</w:t>
            </w:r>
            <w:r>
              <w:rPr>
                <w:rFonts w:hint="eastAsia"/>
                <w:sz w:val="24"/>
              </w:rPr>
              <w:t>＜1，</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sz w:val="24"/>
              </w:rPr>
              <w:t>环境风险评价工作等级划分为一级、二级、三级。根据建设项目涉及的物质及工艺系统危险性和所在地的环境敏感性确定环境风险潜势，按照下表确定评价工作等级。风险潜势为Ⅳ及以上，进行一级评价；风险潜势为Ⅲ，进行二级评价；风险潜势为Ⅱ，进行三级评价；风险潜势为Ⅰ，可开展简单分析。</w:t>
            </w:r>
          </w:p>
          <w:p>
            <w:pPr>
              <w:keepNext w:val="0"/>
              <w:keepLines w:val="0"/>
              <w:suppressLineNumbers w:val="0"/>
              <w:spacing w:before="0" w:beforeAutospacing="0" w:after="0" w:afterAutospacing="0"/>
              <w:ind w:left="0" w:right="0"/>
              <w:jc w:val="center"/>
              <w:rPr>
                <w:rFonts w:hint="default"/>
                <w:b/>
                <w:kern w:val="0"/>
                <w:sz w:val="24"/>
              </w:rPr>
            </w:pPr>
            <w:r>
              <w:rPr>
                <w:rFonts w:hint="default"/>
                <w:b/>
                <w:kern w:val="0"/>
                <w:sz w:val="24"/>
              </w:rPr>
              <w:t>表</w:t>
            </w:r>
            <w:r>
              <w:rPr>
                <w:rFonts w:hint="eastAsia"/>
                <w:b/>
                <w:kern w:val="0"/>
                <w:sz w:val="24"/>
              </w:rPr>
              <w:t>4-</w:t>
            </w:r>
            <w:r>
              <w:rPr>
                <w:rFonts w:hint="eastAsia"/>
                <w:b/>
                <w:kern w:val="0"/>
                <w:sz w:val="24"/>
                <w:lang w:val="en-US" w:eastAsia="zh-CN"/>
              </w:rPr>
              <w:t>20</w:t>
            </w:r>
            <w:r>
              <w:rPr>
                <w:rFonts w:hint="default"/>
                <w:b/>
                <w:kern w:val="0"/>
                <w:sz w:val="24"/>
              </w:rPr>
              <w:t xml:space="preserve">  环境风险评价工作等级</w:t>
            </w:r>
          </w:p>
          <w:tbl>
            <w:tblPr>
              <w:tblStyle w:val="59"/>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57" w:type="dxa"/>
                <w:left w:w="108" w:type="dxa"/>
                <w:bottom w:w="57" w:type="dxa"/>
                <w:right w:w="108" w:type="dxa"/>
              </w:tblCellMar>
            </w:tblPr>
            <w:tblGrid>
              <w:gridCol w:w="1991"/>
              <w:gridCol w:w="1412"/>
              <w:gridCol w:w="1644"/>
              <w:gridCol w:w="1526"/>
              <w:gridCol w:w="1504"/>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57" w:type="dxa"/>
                  <w:left w:w="108" w:type="dxa"/>
                  <w:bottom w:w="57" w:type="dxa"/>
                  <w:right w:w="108" w:type="dxa"/>
                </w:tblCellMar>
              </w:tblPrEx>
              <w:trPr>
                <w:trHeight w:val="397" w:hRule="atLeast"/>
                <w:tblHeader/>
                <w:jc w:val="center"/>
              </w:trPr>
              <w:tc>
                <w:tcPr>
                  <w:tcW w:w="2243"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环境风险潜势</w:t>
                  </w:r>
                </w:p>
              </w:tc>
              <w:tc>
                <w:tcPr>
                  <w:tcW w:w="158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IV、IV</w:t>
                  </w:r>
                  <w:r>
                    <w:rPr>
                      <w:rFonts w:hint="default"/>
                      <w:szCs w:val="21"/>
                      <w:vertAlign w:val="superscript"/>
                    </w:rPr>
                    <w:t>+</w:t>
                  </w:r>
                </w:p>
              </w:tc>
              <w:tc>
                <w:tcPr>
                  <w:tcW w:w="184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III</w:t>
                  </w:r>
                </w:p>
              </w:tc>
              <w:tc>
                <w:tcPr>
                  <w:tcW w:w="171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II</w:t>
                  </w:r>
                </w:p>
              </w:tc>
              <w:tc>
                <w:tcPr>
                  <w:tcW w:w="168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I</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57" w:type="dxa"/>
                  <w:left w:w="108" w:type="dxa"/>
                  <w:bottom w:w="57" w:type="dxa"/>
                  <w:right w:w="108" w:type="dxa"/>
                </w:tblCellMar>
              </w:tblPrEx>
              <w:trPr>
                <w:trHeight w:val="397" w:hRule="atLeast"/>
                <w:jc w:val="center"/>
              </w:trPr>
              <w:tc>
                <w:tcPr>
                  <w:tcW w:w="2243"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评价工作等级</w:t>
                  </w:r>
                </w:p>
              </w:tc>
              <w:tc>
                <w:tcPr>
                  <w:tcW w:w="158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一</w:t>
                  </w:r>
                </w:p>
              </w:tc>
              <w:tc>
                <w:tcPr>
                  <w:tcW w:w="184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二</w:t>
                  </w:r>
                </w:p>
              </w:tc>
              <w:tc>
                <w:tcPr>
                  <w:tcW w:w="1712"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三</w:t>
                  </w:r>
                </w:p>
              </w:tc>
              <w:tc>
                <w:tcPr>
                  <w:tcW w:w="1687" w:type="dxa"/>
                  <w:shd w:val="clear" w:color="auto" w:fill="auto"/>
                  <w:vAlign w:val="center"/>
                </w:tcPr>
                <w:p>
                  <w:pPr>
                    <w:keepNext w:val="0"/>
                    <w:keepLines w:val="0"/>
                    <w:widowControl/>
                    <w:suppressLineNumbers w:val="0"/>
                    <w:adjustRightInd w:val="0"/>
                    <w:snapToGrid w:val="0"/>
                    <w:spacing w:before="0" w:beforeAutospacing="0" w:after="0" w:afterAutospacing="0"/>
                    <w:ind w:left="0" w:right="0"/>
                    <w:jc w:val="center"/>
                    <w:rPr>
                      <w:rFonts w:hint="default"/>
                      <w:szCs w:val="21"/>
                    </w:rPr>
                  </w:pPr>
                  <w:r>
                    <w:rPr>
                      <w:rFonts w:hint="default"/>
                      <w:szCs w:val="21"/>
                    </w:rPr>
                    <w:t>简单分析</w:t>
                  </w:r>
                </w:p>
              </w:tc>
            </w:tr>
          </w:tbl>
          <w:p>
            <w:pPr>
              <w:keepNext w:val="0"/>
              <w:keepLines w:val="0"/>
              <w:suppressLineNumbers w:val="0"/>
              <w:autoSpaceDE w:val="0"/>
              <w:autoSpaceDN w:val="0"/>
              <w:spacing w:before="0" w:beforeAutospacing="0" w:after="0" w:afterAutospacing="0" w:line="360" w:lineRule="auto"/>
              <w:ind w:left="0" w:right="0" w:firstLine="482" w:firstLineChars="200"/>
              <w:jc w:val="left"/>
              <w:rPr>
                <w:rFonts w:hint="default"/>
                <w:b/>
                <w:sz w:val="24"/>
              </w:rPr>
            </w:pPr>
            <w:r>
              <w:rPr>
                <w:rFonts w:hint="eastAsia"/>
                <w:b/>
                <w:sz w:val="24"/>
              </w:rPr>
              <w:t>2、</w:t>
            </w:r>
            <w:r>
              <w:rPr>
                <w:rFonts w:hint="default"/>
                <w:b/>
                <w:sz w:val="24"/>
              </w:rPr>
              <w:t>环境风险类型及危害分析</w:t>
            </w:r>
          </w:p>
          <w:p>
            <w:pPr>
              <w:keepNext w:val="0"/>
              <w:keepLines w:val="0"/>
              <w:suppressLineNumbers w:val="0"/>
              <w:spacing w:before="0" w:beforeAutospacing="0" w:after="0" w:afterAutospacing="0" w:line="360" w:lineRule="auto"/>
              <w:ind w:left="0" w:right="0" w:firstLine="480" w:firstLineChars="200"/>
              <w:rPr>
                <w:rFonts w:hint="default"/>
                <w:kern w:val="0"/>
                <w:sz w:val="24"/>
                <w:szCs w:val="20"/>
              </w:rPr>
            </w:pPr>
            <w:r>
              <w:rPr>
                <w:rFonts w:hint="default"/>
                <w:kern w:val="0"/>
                <w:sz w:val="24"/>
                <w:szCs w:val="20"/>
              </w:rPr>
              <w:t>本项目在生产及贮运过程中存在发生泄漏、火灾、爆炸等风险事故的可能性，主要环境风险事故类型及可能产生的后果见下表。</w:t>
            </w:r>
          </w:p>
          <w:p>
            <w:pPr>
              <w:keepNext w:val="0"/>
              <w:keepLines w:val="0"/>
              <w:suppressLineNumbers w:val="0"/>
              <w:spacing w:before="0" w:beforeAutospacing="0" w:after="0" w:afterAutospacing="0"/>
              <w:ind w:left="0" w:right="0"/>
              <w:jc w:val="center"/>
              <w:rPr>
                <w:rFonts w:hint="default"/>
                <w:b/>
                <w:kern w:val="0"/>
                <w:sz w:val="24"/>
              </w:rPr>
            </w:pPr>
            <w:r>
              <w:rPr>
                <w:rFonts w:hint="default"/>
                <w:b/>
                <w:kern w:val="0"/>
                <w:sz w:val="24"/>
              </w:rPr>
              <w:t>表</w:t>
            </w:r>
            <w:r>
              <w:rPr>
                <w:rFonts w:hint="eastAsia"/>
                <w:b/>
                <w:kern w:val="0"/>
                <w:sz w:val="24"/>
              </w:rPr>
              <w:t>4</w:t>
            </w:r>
            <w:r>
              <w:rPr>
                <w:rFonts w:hint="default"/>
                <w:b/>
                <w:kern w:val="0"/>
                <w:sz w:val="24"/>
              </w:rPr>
              <w:t>-</w:t>
            </w:r>
            <w:r>
              <w:rPr>
                <w:rFonts w:hint="eastAsia"/>
                <w:b/>
                <w:kern w:val="0"/>
                <w:sz w:val="24"/>
                <w:lang w:val="en-US" w:eastAsia="zh-CN"/>
              </w:rPr>
              <w:t>21</w:t>
            </w:r>
            <w:r>
              <w:rPr>
                <w:rFonts w:hint="default"/>
                <w:b/>
                <w:kern w:val="0"/>
                <w:sz w:val="24"/>
              </w:rPr>
              <w:t xml:space="preserve">  本项目环境风险类型及危害分析一览表</w:t>
            </w:r>
          </w:p>
          <w:tbl>
            <w:tblPr>
              <w:tblStyle w:val="5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2085"/>
              <w:gridCol w:w="47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13"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kern w:val="0"/>
                      <w:szCs w:val="21"/>
                    </w:rPr>
                  </w:pPr>
                  <w:r>
                    <w:rPr>
                      <w:rFonts w:hint="default"/>
                      <w:b/>
                      <w:kern w:val="0"/>
                      <w:szCs w:val="21"/>
                    </w:rPr>
                    <w:t>风险类型</w:t>
                  </w:r>
                </w:p>
              </w:tc>
              <w:tc>
                <w:tcPr>
                  <w:tcW w:w="1985"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kern w:val="0"/>
                      <w:szCs w:val="21"/>
                    </w:rPr>
                  </w:pPr>
                  <w:r>
                    <w:rPr>
                      <w:rFonts w:hint="default"/>
                      <w:b/>
                      <w:kern w:val="0"/>
                      <w:szCs w:val="21"/>
                    </w:rPr>
                    <w:t>产生原因</w:t>
                  </w:r>
                </w:p>
              </w:tc>
              <w:tc>
                <w:tcPr>
                  <w:tcW w:w="4492"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b/>
                      <w:kern w:val="0"/>
                      <w:szCs w:val="21"/>
                    </w:rPr>
                  </w:pPr>
                  <w:r>
                    <w:rPr>
                      <w:rFonts w:hint="default"/>
                      <w:b/>
                      <w:kern w:val="0"/>
                      <w:szCs w:val="21"/>
                    </w:rPr>
                    <w:t>可能产生的后果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13"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危险物质泄漏</w:t>
                  </w:r>
                </w:p>
              </w:tc>
              <w:tc>
                <w:tcPr>
                  <w:tcW w:w="1985"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人为操作不当；设备缺陷或故障；系统故障等</w:t>
                  </w:r>
                </w:p>
              </w:tc>
              <w:tc>
                <w:tcPr>
                  <w:tcW w:w="4492"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泄露出来的</w:t>
                  </w:r>
                  <w:r>
                    <w:rPr>
                      <w:rFonts w:hint="eastAsia"/>
                      <w:kern w:val="0"/>
                      <w:szCs w:val="21"/>
                      <w:lang w:val="en-US" w:eastAsia="zh-CN"/>
                    </w:rPr>
                    <w:t>润滑油</w:t>
                  </w:r>
                  <w:r>
                    <w:rPr>
                      <w:rFonts w:hint="default"/>
                      <w:kern w:val="0"/>
                      <w:szCs w:val="21"/>
                    </w:rPr>
                    <w:t>等污染物以及环保设施故障导致废气事故性排放，对空气环境不利影响将增加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13"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火灾、爆炸等引发的伴生/次生污染物排放</w:t>
                  </w:r>
                </w:p>
              </w:tc>
              <w:tc>
                <w:tcPr>
                  <w:tcW w:w="1985"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遇高温或明火</w:t>
                  </w:r>
                </w:p>
              </w:tc>
              <w:tc>
                <w:tcPr>
                  <w:tcW w:w="4492" w:type="dxa"/>
                  <w:vAlign w:val="center"/>
                </w:tcPr>
                <w:p>
                  <w:pPr>
                    <w:keepNext w:val="0"/>
                    <w:keepLines w:val="0"/>
                    <w:suppressLineNumbers w:val="0"/>
                    <w:autoSpaceDE w:val="0"/>
                    <w:autoSpaceDN w:val="0"/>
                    <w:adjustRightInd w:val="0"/>
                    <w:spacing w:before="0" w:beforeAutospacing="0" w:after="0" w:afterAutospacing="0"/>
                    <w:ind w:left="0" w:right="0"/>
                    <w:jc w:val="center"/>
                    <w:rPr>
                      <w:rFonts w:hint="default"/>
                      <w:kern w:val="0"/>
                      <w:szCs w:val="21"/>
                    </w:rPr>
                  </w:pPr>
                  <w:r>
                    <w:rPr>
                      <w:rFonts w:hint="default"/>
                      <w:kern w:val="0"/>
                      <w:szCs w:val="21"/>
                    </w:rPr>
                    <w:t>易燃物料引起火灾事故的发生，燃烧产生的废气等将对空气环境造成影响；火灾会产生大量的消防废水，泄漏液体、消防废水不能及时处理或应急措施不当时，事故废水或泄漏物料如不及时进行收集，可能通过雨水管网，进入厂界外环境，将对周边水体造成影响</w:t>
                  </w:r>
                </w:p>
              </w:tc>
            </w:tr>
            <w:bookmarkEnd w:id="9"/>
            <w:bookmarkEnd w:id="10"/>
          </w:tbl>
          <w:p>
            <w:pPr>
              <w:keepNext w:val="0"/>
              <w:keepLines w:val="0"/>
              <w:suppressLineNumbers w:val="0"/>
              <w:autoSpaceDE w:val="0"/>
              <w:autoSpaceDN w:val="0"/>
              <w:spacing w:before="0" w:beforeAutospacing="0" w:after="0" w:afterAutospacing="0" w:line="360" w:lineRule="auto"/>
              <w:ind w:left="0" w:right="0" w:firstLine="482" w:firstLineChars="200"/>
              <w:jc w:val="left"/>
              <w:rPr>
                <w:rFonts w:hint="default"/>
                <w:b/>
                <w:sz w:val="24"/>
              </w:rPr>
            </w:pPr>
            <w:r>
              <w:rPr>
                <w:rFonts w:hint="eastAsia"/>
                <w:b/>
                <w:sz w:val="24"/>
              </w:rPr>
              <w:t>3、</w:t>
            </w:r>
            <w:r>
              <w:rPr>
                <w:rFonts w:hint="default"/>
                <w:b/>
                <w:sz w:val="24"/>
              </w:rPr>
              <w:t>环境风险防范</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（1）</w:t>
            </w:r>
            <w:r>
              <w:rPr>
                <w:rFonts w:hint="default"/>
                <w:color w:val="0D0D0D" w:themeColor="text1" w:themeTint="F2"/>
                <w:kern w:val="24"/>
                <w:sz w:val="24"/>
                <w14:textFill>
                  <w14:solidFill>
                    <w14:schemeClr w14:val="tx1">
                      <w14:lumMod w14:val="95000"/>
                      <w14:lumOff w14:val="5000"/>
                    </w14:schemeClr>
                  </w14:solidFill>
                </w14:textFill>
              </w:rPr>
              <w:t>危险品贮存要求</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由于本项目危险废物暂存有一定的贮存量，为避免在贮存环节发生风险事故，应根据相关规范，满足以下要求：</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a.危废暂存</w:t>
            </w:r>
            <w:r>
              <w:rPr>
                <w:rFonts w:hint="eastAsia"/>
                <w:color w:val="0D0D0D" w:themeColor="text1" w:themeTint="F2"/>
                <w:kern w:val="0"/>
                <w:sz w:val="24"/>
                <w:szCs w:val="20"/>
                <w:lang w:val="zh-CN"/>
                <w14:textFill>
                  <w14:solidFill>
                    <w14:schemeClr w14:val="tx1">
                      <w14:lumMod w14:val="95000"/>
                      <w14:lumOff w14:val="5000"/>
                    </w14:schemeClr>
                  </w14:solidFill>
                </w14:textFill>
              </w:rPr>
              <w:t>间</w:t>
            </w:r>
            <w:r>
              <w:rPr>
                <w:rFonts w:hint="default"/>
                <w:color w:val="0D0D0D" w:themeColor="text1" w:themeTint="F2"/>
                <w:kern w:val="0"/>
                <w:sz w:val="24"/>
                <w:szCs w:val="20"/>
                <w:lang w:val="zh-CN"/>
                <w14:textFill>
                  <w14:solidFill>
                    <w14:schemeClr w14:val="tx1">
                      <w14:lumMod w14:val="95000"/>
                      <w14:lumOff w14:val="5000"/>
                    </w14:schemeClr>
                  </w14:solidFill>
                </w14:textFill>
              </w:rPr>
              <w:t>应根据分区防渗要求，做好相应的防渗工作。</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b.危废暂存</w:t>
            </w:r>
            <w:r>
              <w:rPr>
                <w:rFonts w:hint="eastAsia"/>
                <w:color w:val="0D0D0D" w:themeColor="text1" w:themeTint="F2"/>
                <w:kern w:val="0"/>
                <w:sz w:val="24"/>
                <w:szCs w:val="20"/>
                <w:lang w:val="zh-CN"/>
                <w14:textFill>
                  <w14:solidFill>
                    <w14:schemeClr w14:val="tx1">
                      <w14:lumMod w14:val="95000"/>
                      <w14:lumOff w14:val="5000"/>
                    </w14:schemeClr>
                  </w14:solidFill>
                </w14:textFill>
              </w:rPr>
              <w:t>间及原料仓库</w:t>
            </w:r>
            <w:r>
              <w:rPr>
                <w:rFonts w:hint="default"/>
                <w:color w:val="0D0D0D" w:themeColor="text1" w:themeTint="F2"/>
                <w:kern w:val="0"/>
                <w:sz w:val="24"/>
                <w:szCs w:val="20"/>
                <w:lang w:val="zh-CN"/>
                <w14:textFill>
                  <w14:solidFill>
                    <w14:schemeClr w14:val="tx1">
                      <w14:lumMod w14:val="95000"/>
                      <w14:lumOff w14:val="5000"/>
                    </w14:schemeClr>
                  </w14:solidFill>
                </w14:textFill>
              </w:rPr>
              <w:t>禁火，避免阳光直射、暴晒，远离热源、电源和火源，库房建筑及各种设备均应符合《建筑设计防火规范》中的规定。按化学品不同类别、性质、危险程度</w:t>
            </w:r>
            <w:r>
              <w:rPr>
                <w:rFonts w:hint="default"/>
                <w:color w:val="0D0D0D" w:themeColor="text1" w:themeTint="F2"/>
                <w:kern w:val="0"/>
                <w:sz w:val="24"/>
                <w:lang w:val="zh-CN"/>
                <w14:textFill>
                  <w14:solidFill>
                    <w14:schemeClr w14:val="tx1">
                      <w14:lumMod w14:val="95000"/>
                      <w14:lumOff w14:val="5000"/>
                    </w14:schemeClr>
                  </w14:solidFill>
                </w14:textFill>
              </w:rPr>
              <w:t>、灭火方法等分区分类贮存，并附上明显标示。性质相抵的禁止同库储存。分类存放废电子电器产品的储存场所，禁止无关人员进入。</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lang w:val="zh-CN"/>
                <w14:textFill>
                  <w14:solidFill>
                    <w14:schemeClr w14:val="tx1">
                      <w14:lumMod w14:val="95000"/>
                      <w14:lumOff w14:val="5000"/>
                    </w14:schemeClr>
                  </w14:solidFill>
                </w14:textFill>
              </w:rPr>
            </w:pPr>
            <w:r>
              <w:rPr>
                <w:rFonts w:hint="default"/>
                <w:color w:val="0D0D0D" w:themeColor="text1" w:themeTint="F2"/>
                <w:kern w:val="0"/>
                <w:sz w:val="24"/>
                <w:lang w:val="zh-CN"/>
                <w14:textFill>
                  <w14:solidFill>
                    <w14:schemeClr w14:val="tx1">
                      <w14:lumMod w14:val="95000"/>
                      <w14:lumOff w14:val="5000"/>
                    </w14:schemeClr>
                  </w14:solidFill>
                </w14:textFill>
              </w:rPr>
              <w:t>c.存放</w:t>
            </w:r>
            <w:r>
              <w:rPr>
                <w:rFonts w:hint="eastAsia"/>
                <w:kern w:val="0"/>
                <w:sz w:val="24"/>
                <w:lang w:val="en-US" w:eastAsia="zh-CN"/>
              </w:rPr>
              <w:t>润滑油</w:t>
            </w:r>
            <w:r>
              <w:rPr>
                <w:rFonts w:hint="default"/>
                <w:color w:val="0D0D0D" w:themeColor="text1" w:themeTint="F2"/>
                <w:kern w:val="0"/>
                <w:sz w:val="24"/>
                <w:lang w:val="zh-CN"/>
                <w14:textFill>
                  <w14:solidFill>
                    <w14:schemeClr w14:val="tx1">
                      <w14:lumMod w14:val="95000"/>
                      <w14:lumOff w14:val="5000"/>
                    </w14:schemeClr>
                  </w14:solidFill>
                </w14:textFill>
              </w:rPr>
              <w:t>的四周应设置导流沟及收集池，在发生事故时可及时将污染物收集。</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eastAsia"/>
                <w:color w:val="0D0D0D" w:themeColor="text1" w:themeTint="F2"/>
                <w:kern w:val="0"/>
                <w:sz w:val="24"/>
                <w:lang w:val="zh-CN"/>
                <w14:textFill>
                  <w14:solidFill>
                    <w14:schemeClr w14:val="tx1">
                      <w14:lumMod w14:val="95000"/>
                      <w14:lumOff w14:val="5000"/>
                    </w14:schemeClr>
                  </w14:solidFill>
                </w14:textFill>
              </w:rPr>
              <w:t>（2）</w:t>
            </w:r>
            <w:r>
              <w:rPr>
                <w:rFonts w:hint="default"/>
                <w:color w:val="0D0D0D" w:themeColor="text1" w:themeTint="F2"/>
                <w:kern w:val="0"/>
                <w:sz w:val="24"/>
                <w:lang w:val="zh-CN"/>
                <w14:textFill>
                  <w14:solidFill>
                    <w14:schemeClr w14:val="tx1">
                      <w14:lumMod w14:val="95000"/>
                      <w14:lumOff w14:val="5000"/>
                    </w14:schemeClr>
                  </w14:solidFill>
                </w14:textFill>
              </w:rPr>
              <w:t>易燃易爆品贮存区事故风险防</w:t>
            </w:r>
            <w:r>
              <w:rPr>
                <w:rFonts w:hint="default"/>
                <w:color w:val="0D0D0D" w:themeColor="text1" w:themeTint="F2"/>
                <w:kern w:val="0"/>
                <w:sz w:val="24"/>
                <w:szCs w:val="20"/>
                <w:lang w:val="zh-CN"/>
                <w14:textFill>
                  <w14:solidFill>
                    <w14:schemeClr w14:val="tx1">
                      <w14:lumMod w14:val="95000"/>
                      <w14:lumOff w14:val="5000"/>
                    </w14:schemeClr>
                  </w14:solidFill>
                </w14:textFill>
              </w:rPr>
              <w:t>范措施</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a.在总平面图布置上，各建筑单体之间要按有关设计规范要求，留有足够的防火间距。特别是</w:t>
            </w:r>
            <w:r>
              <w:rPr>
                <w:rFonts w:hint="eastAsia"/>
                <w:color w:val="0D0D0D" w:themeColor="text1" w:themeTint="F2"/>
                <w:kern w:val="0"/>
                <w:sz w:val="24"/>
                <w:szCs w:val="20"/>
                <w:lang w:val="en-US" w:eastAsia="zh-CN"/>
                <w14:textFill>
                  <w14:solidFill>
                    <w14:schemeClr w14:val="tx1">
                      <w14:lumMod w14:val="95000"/>
                      <w14:lumOff w14:val="5000"/>
                    </w14:schemeClr>
                  </w14:solidFill>
                </w14:textFill>
              </w:rPr>
              <w:t>化学品仓库</w:t>
            </w:r>
            <w:r>
              <w:rPr>
                <w:rFonts w:hint="default"/>
                <w:color w:val="0D0D0D" w:themeColor="text1" w:themeTint="F2"/>
                <w:kern w:val="0"/>
                <w:sz w:val="24"/>
                <w:szCs w:val="20"/>
                <w:lang w:val="zh-CN"/>
                <w14:textFill>
                  <w14:solidFill>
                    <w14:schemeClr w14:val="tx1">
                      <w14:lumMod w14:val="95000"/>
                      <w14:lumOff w14:val="5000"/>
                    </w14:schemeClr>
                  </w14:solidFill>
                </w14:textFill>
              </w:rPr>
              <w:t>，在该区域设置可燃气体报警系统对可燃气体的泄漏和浓度超限进行报警，使用防爆开关电器等以防止火灾事故的发生。虽然本工程生产中使用和储存的危险物不构成重大危险源，其储存地仍应远离水源、居住区等。在设计压力容器设备时，严格执行钢制压力容器设计规范。</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b.贮存区周围设环形消防通道，合理进行竖向布置、排雨水、排洪设计。</w:t>
            </w:r>
          </w:p>
          <w:p>
            <w:pPr>
              <w:keepNext w:val="0"/>
              <w:keepLines w:val="0"/>
              <w:suppressLineNumbers w:val="0"/>
              <w:adjustRightInd w:val="0"/>
              <w:snapToGrid w:val="0"/>
              <w:spacing w:before="0" w:beforeAutospacing="0" w:after="0" w:afterAutospacing="0" w:line="360" w:lineRule="auto"/>
              <w:ind w:left="0" w:right="0" w:firstLine="482"/>
              <w:rPr>
                <w:rFonts w:hint="default"/>
                <w:color w:val="0D0D0D" w:themeColor="text1" w:themeTint="F2"/>
                <w:kern w:val="24"/>
                <w:sz w:val="24"/>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c.做好储存瓶防雷、防静电、保护和工作接地设计，满足有关规范要求。</w:t>
            </w:r>
          </w:p>
          <w:p>
            <w:pPr>
              <w:keepNext w:val="0"/>
              <w:keepLines w:val="0"/>
              <w:suppressLineNumbers w:val="0"/>
              <w:adjustRightInd w:val="0"/>
              <w:snapToGrid w:val="0"/>
              <w:spacing w:before="0" w:beforeAutospacing="0" w:after="0" w:afterAutospacing="0" w:line="360" w:lineRule="auto"/>
              <w:ind w:left="0" w:right="0" w:firstLine="482"/>
              <w:rPr>
                <w:rFonts w:hint="default"/>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（3）</w:t>
            </w:r>
            <w:r>
              <w:rPr>
                <w:rFonts w:hint="default"/>
                <w:color w:val="0D0D0D" w:themeColor="text1" w:themeTint="F2"/>
                <w:kern w:val="24"/>
                <w:sz w:val="24"/>
                <w14:textFill>
                  <w14:solidFill>
                    <w14:schemeClr w14:val="tx1">
                      <w14:lumMod w14:val="95000"/>
                      <w14:lumOff w14:val="5000"/>
                    </w14:schemeClr>
                  </w14:solidFill>
                </w14:textFill>
              </w:rPr>
              <w:t>物质泄露防范措施</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物质泄漏事故的防治是生产和储运过程中最重要的环节，发生泄漏事故可能引起火灾和爆炸等一系列重大事故。经验表明：设备失灵和人为的操作失误是引发泄漏的主要原因。因此选用良好的设备、精心设计和制造、认真的管理和操作人员的责任心是减少泄漏事故的关键。</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a.装卸料时要严格按照规章操作，避免泄漏事故的发生；</w:t>
            </w:r>
          </w:p>
          <w:p>
            <w:pPr>
              <w:keepNext w:val="0"/>
              <w:keepLines w:val="0"/>
              <w:suppressLineNumbers w:val="0"/>
              <w:autoSpaceDE w:val="0"/>
              <w:autoSpaceDN w:val="0"/>
              <w:adjustRightInd w:val="0"/>
              <w:spacing w:before="0" w:beforeAutospacing="0" w:after="0" w:afterAutospacing="0" w:line="360" w:lineRule="auto"/>
              <w:ind w:left="0" w:right="0" w:firstLine="482"/>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b.加强人员巡查及日常的维护，争取在第一时间发现泄漏事故并将其影响降至最低。</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（4）</w:t>
            </w:r>
            <w:r>
              <w:rPr>
                <w:rFonts w:hint="default"/>
                <w:color w:val="0D0D0D" w:themeColor="text1" w:themeTint="F2"/>
                <w:kern w:val="24"/>
                <w:sz w:val="24"/>
                <w14:textFill>
                  <w14:solidFill>
                    <w14:schemeClr w14:val="tx1">
                      <w14:lumMod w14:val="95000"/>
                      <w14:lumOff w14:val="5000"/>
                    </w14:schemeClr>
                  </w14:solidFill>
                </w14:textFill>
              </w:rPr>
              <w:t>事故火灾风险防范措施</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a.定期对设备、存储仓库进行安全检测，检测内容、时间、人员应有记录保存。安全检测应根据安全性、危险性设定检测频次。</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kern w:val="24"/>
                <w:sz w:val="24"/>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b.火源的管理严禁火源进入原料区，对明火严格控制，明火发生源为火柴、打火机等，维修用火控制，对设备维修检查，需进行维修焊接，应经安全部门确认、准许，并有记录在案。机动车在厂内行驶，须安装阻火器，必要设备安装防火、防爆装置。</w:t>
            </w:r>
          </w:p>
          <w:p>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kern w:val="24"/>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5</w:t>
            </w:r>
            <w:r>
              <w:rPr>
                <w:rFonts w:hint="eastAsia"/>
                <w:color w:val="0D0D0D" w:themeColor="text1" w:themeTint="F2"/>
                <w:kern w:val="24"/>
                <w:sz w:val="24"/>
                <w14:textFill>
                  <w14:solidFill>
                    <w14:schemeClr w14:val="tx1">
                      <w14:lumMod w14:val="95000"/>
                      <w14:lumOff w14:val="5000"/>
                    </w14:schemeClr>
                  </w14:solidFill>
                </w14:textFill>
              </w:rPr>
              <w:t>）</w:t>
            </w:r>
            <w:r>
              <w:rPr>
                <w:rFonts w:hint="default"/>
                <w:color w:val="0D0D0D" w:themeColor="text1" w:themeTint="F2"/>
                <w:kern w:val="24"/>
                <w:sz w:val="24"/>
                <w14:textFill>
                  <w14:solidFill>
                    <w14:schemeClr w14:val="tx1">
                      <w14:lumMod w14:val="95000"/>
                      <w14:lumOff w14:val="5000"/>
                    </w14:schemeClr>
                  </w14:solidFill>
                </w14:textFill>
              </w:rPr>
              <w:t>危险物品运输风险事故防范措施</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a.对危险物品的装卸、转移应由专业人员或经过严格培训的员工来操作建立一套完整的作业操作技术规划，严格遵守操作规定。其中，应专门定制专用的运输箱，所有涉及危险物质运输的车辆必须经过专门的防渗漏、密封处理，严控设计危险物质的各个回收、贮存、运输过程的安全；</w:t>
            </w:r>
          </w:p>
          <w:p>
            <w:pPr>
              <w:keepNext w:val="0"/>
              <w:keepLines w:val="0"/>
              <w:suppressLineNumbers w:val="0"/>
              <w:autoSpaceDE w:val="0"/>
              <w:autoSpaceDN w:val="0"/>
              <w:adjustRightInd w:val="0"/>
              <w:spacing w:before="0" w:beforeAutospacing="0" w:after="0" w:afterAutospacing="0" w:line="360" w:lineRule="auto"/>
              <w:ind w:left="0" w:right="0" w:firstLine="480"/>
              <w:jc w:val="left"/>
              <w:rPr>
                <w:rFonts w:hint="default"/>
                <w:color w:val="0D0D0D" w:themeColor="text1" w:themeTint="F2"/>
                <w:kern w:val="0"/>
                <w:sz w:val="24"/>
                <w:szCs w:val="20"/>
                <w:lang w:val="zh-CN"/>
                <w14:textFill>
                  <w14:solidFill>
                    <w14:schemeClr w14:val="tx1">
                      <w14:lumMod w14:val="95000"/>
                      <w14:lumOff w14:val="5000"/>
                    </w14:schemeClr>
                  </w14:solidFill>
                </w14:textFill>
              </w:rPr>
            </w:pPr>
            <w:r>
              <w:rPr>
                <w:rFonts w:hint="default"/>
                <w:color w:val="0D0D0D" w:themeColor="text1" w:themeTint="F2"/>
                <w:kern w:val="0"/>
                <w:sz w:val="24"/>
                <w:szCs w:val="20"/>
                <w:lang w:val="zh-CN"/>
                <w14:textFill>
                  <w14:solidFill>
                    <w14:schemeClr w14:val="tx1">
                      <w14:lumMod w14:val="95000"/>
                      <w14:lumOff w14:val="5000"/>
                    </w14:schemeClr>
                  </w14:solidFill>
                </w14:textFill>
              </w:rPr>
              <w:t>b.厂区内危险物品运输主要采用叉车，装卸站进、出口，宜分开设置，当进、出口合用时，站内应设回车场；</w:t>
            </w:r>
          </w:p>
          <w:p>
            <w:pPr>
              <w:keepNext w:val="0"/>
              <w:keepLines w:val="0"/>
              <w:suppressLineNumbers w:val="0"/>
              <w:spacing w:before="0" w:beforeAutospacing="0" w:after="0" w:afterAutospacing="0" w:line="360" w:lineRule="auto"/>
              <w:ind w:left="0" w:right="0" w:firstLine="480" w:firstLineChars="200"/>
              <w:jc w:val="left"/>
              <w:rPr>
                <w:rFonts w:hint="default"/>
                <w:sz w:val="24"/>
              </w:rPr>
            </w:pPr>
            <w:r>
              <w:rPr>
                <w:rFonts w:hint="default"/>
                <w:color w:val="0D0D0D" w:themeColor="text1" w:themeTint="F2"/>
                <w:kern w:val="0"/>
                <w:sz w:val="24"/>
                <w:szCs w:val="20"/>
                <w:lang w:val="zh-CN"/>
                <w14:textFill>
                  <w14:solidFill>
                    <w14:schemeClr w14:val="tx1">
                      <w14:lumMod w14:val="95000"/>
                      <w14:lumOff w14:val="5000"/>
                    </w14:schemeClr>
                  </w14:solidFill>
                </w14:textFill>
              </w:rPr>
              <w:t>c.装卸站车场应采用现浇混凝土地面，装车时应小心轻放</w:t>
            </w:r>
            <w:r>
              <w:rPr>
                <w:rFonts w:hint="default"/>
                <w:sz w:val="24"/>
              </w:rPr>
              <w:t>。</w:t>
            </w:r>
          </w:p>
          <w:p>
            <w:pPr>
              <w:keepNext w:val="0"/>
              <w:keepLines w:val="0"/>
              <w:suppressLineNumbers w:val="0"/>
              <w:spacing w:before="0" w:beforeAutospacing="0" w:after="0" w:afterAutospacing="0" w:line="360" w:lineRule="auto"/>
              <w:ind w:left="0" w:right="0" w:firstLine="482" w:firstLineChars="200"/>
              <w:rPr>
                <w:rFonts w:hint="default"/>
                <w:b/>
                <w:bCs/>
                <w:color w:val="0D0D0D" w:themeColor="text1" w:themeTint="F2"/>
                <w:sz w:val="24"/>
                <w14:textFill>
                  <w14:solidFill>
                    <w14:schemeClr w14:val="tx1">
                      <w14:lumMod w14:val="95000"/>
                      <w14:lumOff w14:val="5000"/>
                    </w14:schemeClr>
                  </w14:solidFill>
                </w14:textFill>
              </w:rPr>
            </w:pPr>
            <w:r>
              <w:rPr>
                <w:rFonts w:hint="default"/>
                <w:b/>
                <w:bCs/>
                <w:color w:val="0D0D0D" w:themeColor="text1" w:themeTint="F2"/>
                <w:sz w:val="24"/>
                <w14:textFill>
                  <w14:solidFill>
                    <w14:schemeClr w14:val="tx1">
                      <w14:lumMod w14:val="95000"/>
                      <w14:lumOff w14:val="5000"/>
                    </w14:schemeClr>
                  </w14:solidFill>
                </w14:textFill>
              </w:rPr>
              <w:t>4</w:t>
            </w:r>
            <w:r>
              <w:rPr>
                <w:rFonts w:hint="eastAsia"/>
                <w:b/>
                <w:bCs/>
                <w:color w:val="0D0D0D" w:themeColor="text1" w:themeTint="F2"/>
                <w:sz w:val="24"/>
                <w14:textFill>
                  <w14:solidFill>
                    <w14:schemeClr w14:val="tx1">
                      <w14:lumMod w14:val="95000"/>
                      <w14:lumOff w14:val="5000"/>
                    </w14:schemeClr>
                  </w14:solidFill>
                </w14:textFill>
              </w:rPr>
              <w:t>、风险事故应急预案</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1</w:t>
            </w:r>
            <w:r>
              <w:rPr>
                <w:rFonts w:hint="eastAsia"/>
                <w:color w:val="0D0D0D" w:themeColor="text1" w:themeTint="F2"/>
                <w:sz w:val="24"/>
                <w14:textFill>
                  <w14:solidFill>
                    <w14:schemeClr w14:val="tx1">
                      <w14:lumMod w14:val="95000"/>
                      <w14:lumOff w14:val="5000"/>
                    </w14:schemeClr>
                  </w14:solidFill>
                </w14:textFill>
              </w:rPr>
              <w:t>）应急救援及响应组织机构</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企业应设立安全科，负责日常安全生产环境管理，安全环保科的主要职责包括：负责应急事故处理预案的制定，落实事故处理岗位责任制，供岗位人员及救险人员应急学习；负责事故现场抢险指挥；负责与环保部门联系，进行应急监测：负责事故后果评价，并报告有关管理部门；协调与上下层次应急预案的衔接关系。</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2</w:t>
            </w:r>
            <w:r>
              <w:rPr>
                <w:rFonts w:hint="eastAsia"/>
                <w:color w:val="0D0D0D" w:themeColor="text1" w:themeTint="F2"/>
                <w:sz w:val="24"/>
                <w14:textFill>
                  <w14:solidFill>
                    <w14:schemeClr w14:val="tx1">
                      <w14:lumMod w14:val="95000"/>
                      <w14:lumOff w14:val="5000"/>
                    </w14:schemeClr>
                  </w14:solidFill>
                </w14:textFill>
              </w:rPr>
              <w:t>）事故风险及保护目标识别</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应急预案应包括识别事故风险、可能的影响后果分析、事故发展趋势分析、优先保护的敏感目标与资源等内容，并绘制详细的控制与保护范围图。</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3</w:t>
            </w:r>
            <w:r>
              <w:rPr>
                <w:rFonts w:hint="eastAsia"/>
                <w:color w:val="0D0D0D" w:themeColor="text1" w:themeTint="F2"/>
                <w:sz w:val="24"/>
                <w14:textFill>
                  <w14:solidFill>
                    <w14:schemeClr w14:val="tx1">
                      <w14:lumMod w14:val="95000"/>
                      <w14:lumOff w14:val="5000"/>
                    </w14:schemeClr>
                  </w14:solidFill>
                </w14:textFill>
              </w:rPr>
              <w:t>）事故现场应急措施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企业应配备通讯设备、照明设施、安全防护服装及工具，并设有应急防护设施。根据事故性质，配备现场应急抢救设施。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对易燃品装卸配备足够的消防栓、干粉灭火器、泡沫灭火器、砂土覆盖物等，一旦着火，进行现场扑救。</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液体泄漏事故现场立即隔离泄漏污染区，限制出入，应急处理人员戴自给式呼吸器，穿防酸防碱工作服，不要直接接触泄漏物。</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清理泄漏时避免扬尘，用洁净铲子收集于洁净、干燥、有盖的容器中。</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危险废物收集、暂存过程中一旦发生意外事故，收集、暂存、运输单位及相关部门应根据风险程度采取如下揩施：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①设立事故警戒线，启动应急预案，并按《环境保护行政主管部门突发环境事件信息报告办法</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试行</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换发</w:t>
            </w:r>
            <w:r>
              <w:rPr>
                <w:rFonts w:hint="default"/>
                <w:color w:val="0D0D0D" w:themeColor="text1" w:themeTint="F2"/>
                <w:sz w:val="24"/>
                <w14:textFill>
                  <w14:solidFill>
                    <w14:schemeClr w14:val="tx1">
                      <w14:lumMod w14:val="95000"/>
                      <w14:lumOff w14:val="5000"/>
                    </w14:schemeClr>
                  </w14:solidFill>
                </w14:textFill>
              </w:rPr>
              <w:t xml:space="preserve">[2006]50 </w:t>
            </w:r>
            <w:r>
              <w:rPr>
                <w:rFonts w:hint="eastAsia"/>
                <w:color w:val="0D0D0D" w:themeColor="text1" w:themeTint="F2"/>
                <w:sz w:val="24"/>
                <w14:textFill>
                  <w14:solidFill>
                    <w14:schemeClr w14:val="tx1">
                      <w14:lumMod w14:val="95000"/>
                      <w14:lumOff w14:val="5000"/>
                    </w14:schemeClr>
                  </w14:solidFill>
                </w14:textFill>
              </w:rPr>
              <w:t>号</w:t>
            </w:r>
            <w:r>
              <w:rPr>
                <w:rFonts w:hint="default"/>
                <w:color w:val="0D0D0D" w:themeColor="text1" w:themeTint="F2"/>
                <w:sz w:val="24"/>
                <w14:textFill>
                  <w14:solidFill>
                    <w14:schemeClr w14:val="tx1">
                      <w14:lumMod w14:val="95000"/>
                      <w14:lumOff w14:val="5000"/>
                    </w14:schemeClr>
                  </w14:solidFill>
                </w14:textFill>
              </w:rPr>
              <w:t>)</w:t>
            </w:r>
            <w:r>
              <w:rPr>
                <w:rFonts w:hint="eastAsia"/>
                <w:color w:val="0D0D0D" w:themeColor="text1" w:themeTint="F2"/>
                <w:sz w:val="24"/>
                <w14:textFill>
                  <w14:solidFill>
                    <w14:schemeClr w14:val="tx1">
                      <w14:lumMod w14:val="95000"/>
                      <w14:lumOff w14:val="5000"/>
                    </w14:schemeClr>
                  </w14:solidFill>
                </w14:textFill>
              </w:rPr>
              <w:t>要求进行报告。</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②进入现场清理和包装危险废物的人员应受过专业培训，穿着防护服，并佩戴相应的防护用具。</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③若造成事故的危险废物具有剧毒性、易燃性、爆炸性或高传染性，应立即疏散人群，并请求环境保护、消防、医疗、公安等相关部门支援。</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④对事故现场受污染的土壤和水体等环境介质应进行相应的清理和修复。</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⑤清理过程中产生的所有废物均应按危险废物进行管理和处置。</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4</w:t>
            </w:r>
            <w:r>
              <w:rPr>
                <w:rFonts w:hint="eastAsia"/>
                <w:color w:val="0D0D0D" w:themeColor="text1" w:themeTint="F2"/>
                <w:sz w:val="24"/>
                <w14:textFill>
                  <w14:solidFill>
                    <w14:schemeClr w14:val="tx1">
                      <w14:lumMod w14:val="95000"/>
                      <w14:lumOff w14:val="5000"/>
                    </w14:schemeClr>
                  </w14:solidFill>
                </w14:textFill>
              </w:rPr>
              <w:t>）应急通讯联络</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事故发生后，现场人员根据应急处理程序，一面进行现场抢救，一面拨打联动报警电话，然后向上级报告，同时指挥现场抢险，上级部门根据事故情况通知相关部门采取措施。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5</w:t>
            </w:r>
            <w:r>
              <w:rPr>
                <w:rFonts w:hint="eastAsia"/>
                <w:color w:val="0D0D0D" w:themeColor="text1" w:themeTint="F2"/>
                <w:sz w:val="24"/>
                <w14:textFill>
                  <w14:solidFill>
                    <w14:schemeClr w14:val="tx1">
                      <w14:lumMod w14:val="95000"/>
                      <w14:lumOff w14:val="5000"/>
                    </w14:schemeClr>
                  </w14:solidFill>
                </w14:textFill>
              </w:rPr>
              <w:t>）应急安全保卫措施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安全保卫部门接到事故报告后，立即组织人员封锁事故现场，并根据需要组织现场及周围人员紧急疏散撤离。</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6</w:t>
            </w:r>
            <w:r>
              <w:rPr>
                <w:rFonts w:hint="eastAsia"/>
                <w:color w:val="0D0D0D" w:themeColor="text1" w:themeTint="F2"/>
                <w:sz w:val="24"/>
                <w14:textFill>
                  <w14:solidFill>
                    <w14:schemeClr w14:val="tx1">
                      <w14:lumMod w14:val="95000"/>
                      <w14:lumOff w14:val="5000"/>
                    </w14:schemeClr>
                  </w14:solidFill>
                </w14:textFill>
              </w:rPr>
              <w:t>）应急监测</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由专业队伍负责对事故现场进行侦察监测，对事故性质、参数与后果进行评估，为指挥部门提供决策依据。</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7</w:t>
            </w:r>
            <w:r>
              <w:rPr>
                <w:rFonts w:hint="eastAsia"/>
                <w:color w:val="0D0D0D" w:themeColor="text1" w:themeTint="F2"/>
                <w:sz w:val="24"/>
                <w14:textFill>
                  <w14:solidFill>
                    <w14:schemeClr w14:val="tx1">
                      <w14:lumMod w14:val="95000"/>
                      <w14:lumOff w14:val="5000"/>
                    </w14:schemeClr>
                  </w14:solidFill>
                </w14:textFill>
              </w:rPr>
              <w:t>）应急状态的终止与恢复措施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应根据各种储存物质的危险特性，规定应急状态终止程序；事故现场善后处理工作及恢复措施；还应负责邻近区域解除事故警戒和恢复措施。</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8</w:t>
            </w:r>
            <w:r>
              <w:rPr>
                <w:rFonts w:hint="eastAsia"/>
                <w:color w:val="0D0D0D" w:themeColor="text1" w:themeTint="F2"/>
                <w:sz w:val="24"/>
                <w14:textFill>
                  <w14:solidFill>
                    <w14:schemeClr w14:val="tx1">
                      <w14:lumMod w14:val="95000"/>
                      <w14:lumOff w14:val="5000"/>
                    </w14:schemeClr>
                  </w14:solidFill>
                </w14:textFill>
              </w:rPr>
              <w:t>）应急预案的对接与联动</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企业的应急预案应当符合“企业自救、属地为主，分类管理，分级响应，区域联动”的原则，与所在地地方人民政府突发环境事件应急预案和开发区相衔接。</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9</w:t>
            </w:r>
            <w:r>
              <w:rPr>
                <w:rFonts w:hint="eastAsia"/>
                <w:color w:val="0D0D0D" w:themeColor="text1" w:themeTint="F2"/>
                <w:sz w:val="24"/>
                <w14:textFill>
                  <w14:solidFill>
                    <w14:schemeClr w14:val="tx1">
                      <w14:lumMod w14:val="95000"/>
                      <w14:lumOff w14:val="5000"/>
                    </w14:schemeClr>
                  </w14:solidFill>
                </w14:textFill>
              </w:rPr>
              <w:t>）应急预案的演习</w:t>
            </w:r>
          </w:p>
          <w:p>
            <w:pPr>
              <w:keepNext w:val="0"/>
              <w:keepLines w:val="0"/>
              <w:suppressLineNumbers w:val="0"/>
              <w:spacing w:before="0" w:beforeAutospacing="0" w:after="0" w:afterAutospacing="0" w:line="360" w:lineRule="auto"/>
              <w:ind w:left="0" w:right="0" w:firstLine="480" w:firstLineChars="200"/>
              <w:rPr>
                <w:rFonts w:hint="default"/>
                <w:color w:val="0D0D0D" w:themeColor="text1" w:themeTint="F2"/>
                <w:kern w:val="24"/>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一旦应急计划被确定，应确保所有工人以及外部应急服务机构都了解，并针对危险废物收集、暂存中的易发环节应定期组织应急演练，厂外应急计划与现场应急计划的演练相结合，适当测试其实用性。每次演练之后，负责准备计划的组织或人员应彻底复查此次演以改正应急计划中的缺点和不足</w:t>
            </w:r>
            <w:r>
              <w:rPr>
                <w:rFonts w:hint="eastAsia"/>
                <w:color w:val="0D0D0D" w:themeColor="text1" w:themeTint="F2"/>
                <w:kern w:val="24"/>
                <w:sz w:val="24"/>
                <w14:textFill>
                  <w14:solidFill>
                    <w14:schemeClr w14:val="tx1">
                      <w14:lumMod w14:val="95000"/>
                      <w14:lumOff w14:val="5000"/>
                    </w14:schemeClr>
                  </w14:solidFill>
                </w14:textFill>
              </w:rPr>
              <w:t>。</w:t>
            </w:r>
          </w:p>
          <w:p>
            <w:pPr>
              <w:keepNext w:val="0"/>
              <w:keepLines w:val="0"/>
              <w:suppressLineNumbers w:val="0"/>
              <w:autoSpaceDE w:val="0"/>
              <w:autoSpaceDN w:val="0"/>
              <w:adjustRightInd w:val="0"/>
              <w:spacing w:before="0" w:beforeAutospacing="0" w:after="0" w:afterAutospacing="0" w:line="360" w:lineRule="auto"/>
              <w:ind w:left="0" w:right="0" w:firstLine="482" w:firstLineChars="200"/>
              <w:rPr>
                <w:rFonts w:hint="default" w:hAnsi="宋体"/>
                <w:b/>
                <w:bCs/>
                <w:color w:val="0D0D0D" w:themeColor="text1" w:themeTint="F2"/>
                <w:sz w:val="24"/>
                <w14:textFill>
                  <w14:solidFill>
                    <w14:schemeClr w14:val="tx1">
                      <w14:lumMod w14:val="95000"/>
                      <w14:lumOff w14:val="5000"/>
                    </w14:schemeClr>
                  </w14:solidFill>
                </w14:textFill>
              </w:rPr>
            </w:pPr>
            <w:r>
              <w:rPr>
                <w:rFonts w:hint="eastAsia" w:hAnsi="宋体"/>
                <w:b/>
                <w:bCs/>
                <w:color w:val="0D0D0D" w:themeColor="text1" w:themeTint="F2"/>
                <w:sz w:val="24"/>
                <w14:textFill>
                  <w14:solidFill>
                    <w14:schemeClr w14:val="tx1">
                      <w14:lumMod w14:val="95000"/>
                      <w14:lumOff w14:val="5000"/>
                    </w14:schemeClr>
                  </w14:solidFill>
                </w14:textFill>
              </w:rPr>
              <w:t>5、</w:t>
            </w:r>
            <w:r>
              <w:rPr>
                <w:rFonts w:hint="default" w:hAnsi="宋体"/>
                <w:b/>
                <w:bCs/>
                <w:color w:val="0D0D0D" w:themeColor="text1" w:themeTint="F2"/>
                <w:sz w:val="24"/>
                <w14:textFill>
                  <w14:solidFill>
                    <w14:schemeClr w14:val="tx1">
                      <w14:lumMod w14:val="95000"/>
                      <w14:lumOff w14:val="5000"/>
                    </w14:schemeClr>
                  </w14:solidFill>
                </w14:textFill>
              </w:rPr>
              <w:t>建设项目环境风险简单分析内容表</w:t>
            </w:r>
          </w:p>
          <w:p>
            <w:pPr>
              <w:keepNext w:val="0"/>
              <w:keepLines w:val="0"/>
              <w:suppressLineNumbers w:val="0"/>
              <w:spacing w:before="0" w:beforeAutospacing="0" w:after="0" w:afterAutospacing="0"/>
              <w:ind w:left="0" w:right="0"/>
              <w:jc w:val="center"/>
              <w:rPr>
                <w:rFonts w:hint="default" w:hAnsi="宋体"/>
                <w:b/>
                <w:color w:val="0D0D0D" w:themeColor="text1" w:themeTint="F2"/>
                <w:sz w:val="24"/>
                <w14:textFill>
                  <w14:solidFill>
                    <w14:schemeClr w14:val="tx1">
                      <w14:lumMod w14:val="95000"/>
                      <w14:lumOff w14:val="5000"/>
                    </w14:schemeClr>
                  </w14:solidFill>
                </w14:textFill>
              </w:rPr>
            </w:pPr>
            <w:r>
              <w:rPr>
                <w:rFonts w:hint="eastAsia" w:hAnsi="宋体"/>
                <w:b/>
                <w:color w:val="0D0D0D" w:themeColor="text1" w:themeTint="F2"/>
                <w:sz w:val="24"/>
                <w14:textFill>
                  <w14:solidFill>
                    <w14:schemeClr w14:val="tx1">
                      <w14:lumMod w14:val="95000"/>
                      <w14:lumOff w14:val="5000"/>
                    </w14:schemeClr>
                  </w14:solidFill>
                </w14:textFill>
              </w:rPr>
              <w:t>表4-</w:t>
            </w:r>
            <w:r>
              <w:rPr>
                <w:rFonts w:hint="default" w:hAnsi="宋体"/>
                <w:b/>
                <w:color w:val="0D0D0D" w:themeColor="text1" w:themeTint="F2"/>
                <w:sz w:val="24"/>
                <w14:textFill>
                  <w14:solidFill>
                    <w14:schemeClr w14:val="tx1">
                      <w14:lumMod w14:val="95000"/>
                      <w14:lumOff w14:val="5000"/>
                    </w14:schemeClr>
                  </w14:solidFill>
                </w14:textFill>
              </w:rPr>
              <w:t>2</w:t>
            </w:r>
            <w:r>
              <w:rPr>
                <w:rFonts w:hint="eastAsia" w:hAnsi="宋体"/>
                <w:b/>
                <w:color w:val="0D0D0D" w:themeColor="text1" w:themeTint="F2"/>
                <w:sz w:val="24"/>
                <w:lang w:val="en-US" w:eastAsia="zh-CN"/>
                <w14:textFill>
                  <w14:solidFill>
                    <w14:schemeClr w14:val="tx1">
                      <w14:lumMod w14:val="95000"/>
                      <w14:lumOff w14:val="5000"/>
                    </w14:schemeClr>
                  </w14:solidFill>
                </w14:textFill>
              </w:rPr>
              <w:t>2</w:t>
            </w:r>
            <w:r>
              <w:rPr>
                <w:rFonts w:hint="default" w:hAnsi="宋体"/>
                <w:b/>
                <w:color w:val="0D0D0D" w:themeColor="text1" w:themeTint="F2"/>
                <w:sz w:val="24"/>
                <w14:textFill>
                  <w14:solidFill>
                    <w14:schemeClr w14:val="tx1">
                      <w14:lumMod w14:val="95000"/>
                      <w14:lumOff w14:val="5000"/>
                    </w14:schemeClr>
                  </w14:solidFill>
                </w14:textFill>
              </w:rPr>
              <w:t xml:space="preserve">  </w:t>
            </w:r>
            <w:r>
              <w:rPr>
                <w:rFonts w:hint="eastAsia" w:hAnsi="宋体"/>
                <w:b/>
                <w:color w:val="0D0D0D" w:themeColor="text1" w:themeTint="F2"/>
                <w:sz w:val="24"/>
                <w14:textFill>
                  <w14:solidFill>
                    <w14:schemeClr w14:val="tx1">
                      <w14:lumMod w14:val="95000"/>
                      <w14:lumOff w14:val="5000"/>
                    </w14:schemeClr>
                  </w14:solidFill>
                </w14:textFill>
              </w:rPr>
              <w:t>建设环境风险简单分析内容一览表</w:t>
            </w:r>
          </w:p>
          <w:tbl>
            <w:tblPr>
              <w:tblStyle w:val="59"/>
              <w:tblpPr w:leftFromText="180" w:rightFromText="180" w:vertAnchor="text" w:tblpXSpec="center"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050"/>
              <w:gridCol w:w="1065"/>
              <w:gridCol w:w="639"/>
              <w:gridCol w:w="1086"/>
              <w:gridCol w:w="25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建设项目名称</w:t>
                  </w:r>
                </w:p>
              </w:tc>
              <w:tc>
                <w:tcPr>
                  <w:tcW w:w="6376" w:type="dxa"/>
                  <w:gridSpan w:val="5"/>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年产20万件汽车铝合金零部件项目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建设地点</w:t>
                  </w:r>
                </w:p>
              </w:tc>
              <w:tc>
                <w:tcPr>
                  <w:tcW w:w="1050"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安徽省</w:t>
                  </w:r>
                </w:p>
              </w:tc>
              <w:tc>
                <w:tcPr>
                  <w:tcW w:w="1065"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芜湖市</w:t>
                  </w:r>
                </w:p>
              </w:tc>
              <w:tc>
                <w:tcPr>
                  <w:tcW w:w="1725" w:type="dxa"/>
                  <w:gridSpan w:val="2"/>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三山经济开发区</w:t>
                  </w:r>
                </w:p>
              </w:tc>
              <w:tc>
                <w:tcPr>
                  <w:tcW w:w="2536" w:type="dxa"/>
                  <w:shd w:val="clear" w:color="auto" w:fill="auto"/>
                  <w:vAlign w:val="center"/>
                </w:tcPr>
                <w:p>
                  <w:pPr>
                    <w:keepNext w:val="0"/>
                    <w:keepLines w:val="0"/>
                    <w:suppressLineNumbers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创业路8号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地理坐标</w:t>
                  </w:r>
                </w:p>
              </w:tc>
              <w:tc>
                <w:tcPr>
                  <w:tcW w:w="2754" w:type="dxa"/>
                  <w:gridSpan w:val="3"/>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东经E118°</w:t>
                  </w:r>
                  <w:r>
                    <w:rPr>
                      <w:rFonts w:hint="eastAsia"/>
                      <w:color w:val="0D0D0D" w:themeColor="text1" w:themeTint="F2"/>
                      <w:szCs w:val="21"/>
                      <w:lang w:val="en-US" w:eastAsia="zh-CN"/>
                      <w14:textFill>
                        <w14:solidFill>
                          <w14:schemeClr w14:val="tx1">
                            <w14:lumMod w14:val="95000"/>
                            <w14:lumOff w14:val="5000"/>
                          </w14:schemeClr>
                        </w14:solidFill>
                      </w14:textFill>
                    </w:rPr>
                    <w:t>13</w:t>
                  </w:r>
                  <w:r>
                    <w:rPr>
                      <w:rFonts w:hint="eastAsia"/>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37.76</w:t>
                  </w:r>
                  <w:r>
                    <w:rPr>
                      <w:rFonts w:hint="eastAsia"/>
                      <w:color w:val="0D0D0D" w:themeColor="text1" w:themeTint="F2"/>
                      <w:szCs w:val="21"/>
                      <w14:textFill>
                        <w14:solidFill>
                          <w14:schemeClr w14:val="tx1">
                            <w14:lumMod w14:val="95000"/>
                            <w14:lumOff w14:val="5000"/>
                          </w14:schemeClr>
                        </w14:solidFill>
                      </w14:textFill>
                    </w:rPr>
                    <w:t>″</w:t>
                  </w:r>
                </w:p>
              </w:tc>
              <w:tc>
                <w:tcPr>
                  <w:tcW w:w="3622" w:type="dxa"/>
                  <w:gridSpan w:val="2"/>
                  <w:shd w:val="clear" w:color="auto" w:fill="auto"/>
                  <w:vAlign w:val="center"/>
                </w:tcPr>
                <w:p>
                  <w:pPr>
                    <w:keepNext w:val="0"/>
                    <w:keepLines w:val="0"/>
                    <w:suppressLineNumbers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北纬N31°</w:t>
                  </w:r>
                  <w:r>
                    <w:rPr>
                      <w:rFonts w:hint="eastAsia"/>
                      <w:color w:val="0D0D0D" w:themeColor="text1" w:themeTint="F2"/>
                      <w:szCs w:val="21"/>
                      <w:lang w:val="en-US" w:eastAsia="zh-CN"/>
                      <w14:textFill>
                        <w14:solidFill>
                          <w14:schemeClr w14:val="tx1">
                            <w14:lumMod w14:val="95000"/>
                            <w14:lumOff w14:val="5000"/>
                          </w14:schemeClr>
                        </w14:solidFill>
                      </w14:textFill>
                    </w:rPr>
                    <w:t>13</w:t>
                  </w:r>
                  <w:r>
                    <w:rPr>
                      <w:rFonts w:hint="eastAsia"/>
                      <w:color w:val="0D0D0D" w:themeColor="text1" w:themeTint="F2"/>
                      <w:szCs w:val="21"/>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0.123</w:t>
                  </w: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105" w:leftChars="-50" w:right="-105" w:rightChars="-5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主要危险物质及分布</w:t>
                  </w:r>
                </w:p>
              </w:tc>
              <w:tc>
                <w:tcPr>
                  <w:tcW w:w="6376" w:type="dxa"/>
                  <w:gridSpan w:val="5"/>
                  <w:shd w:val="clear" w:color="auto" w:fill="auto"/>
                  <w:vAlign w:val="center"/>
                </w:tcPr>
                <w:p>
                  <w:pPr>
                    <w:keepNext w:val="0"/>
                    <w:keepLines w:val="0"/>
                    <w:suppressLineNumbers w:val="0"/>
                    <w:snapToGrid w:val="0"/>
                    <w:spacing w:before="0" w:beforeAutospacing="0" w:after="0" w:afterAutospacing="0" w:line="320" w:lineRule="atLeast"/>
                    <w:ind w:left="0" w:right="0"/>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润滑油、</w:t>
                  </w:r>
                  <w:r>
                    <w:rPr>
                      <w:rFonts w:hint="eastAsia"/>
                      <w:szCs w:val="21"/>
                    </w:rPr>
                    <w:t>废液压油</w:t>
                  </w:r>
                  <w:r>
                    <w:rPr>
                      <w:rFonts w:hint="eastAsia"/>
                      <w:szCs w:val="21"/>
                      <w:lang w:eastAsia="zh-CN"/>
                    </w:rPr>
                    <w:t>、</w:t>
                  </w:r>
                  <w:r>
                    <w:rPr>
                      <w:rFonts w:hint="eastAsia"/>
                      <w:szCs w:val="21"/>
                      <w:lang w:val="en-US" w:eastAsia="zh-CN"/>
                    </w:rPr>
                    <w:t>废润滑</w:t>
                  </w:r>
                  <w:r>
                    <w:rPr>
                      <w:rFonts w:hint="eastAsia"/>
                      <w:szCs w:val="21"/>
                    </w:rPr>
                    <w:t>油、</w:t>
                  </w:r>
                  <w:r>
                    <w:rPr>
                      <w:rFonts w:hint="eastAsia"/>
                      <w:color w:val="0D0D0D" w:themeColor="text1" w:themeTint="F2"/>
                      <w:szCs w:val="21"/>
                      <w14:textFill>
                        <w14:solidFill>
                          <w14:schemeClr w14:val="tx1">
                            <w14:lumMod w14:val="95000"/>
                            <w14:lumOff w14:val="5000"/>
                          </w14:schemeClr>
                        </w14:solidFill>
                      </w14:textFill>
                    </w:rPr>
                    <w:t>最大储存量分别为</w:t>
                  </w:r>
                  <w:r>
                    <w:rPr>
                      <w:rFonts w:hint="eastAsia"/>
                      <w:color w:val="0D0D0D" w:themeColor="text1" w:themeTint="F2"/>
                      <w:szCs w:val="21"/>
                      <w:lang w:val="en-US" w:eastAsia="zh-CN"/>
                      <w14:textFill>
                        <w14:solidFill>
                          <w14:schemeClr w14:val="tx1">
                            <w14:lumMod w14:val="95000"/>
                            <w14:lumOff w14:val="5000"/>
                          </w14:schemeClr>
                        </w14:solidFill>
                      </w14:textFill>
                    </w:rPr>
                    <w:t>0.2</w:t>
                  </w:r>
                  <w:r>
                    <w:rPr>
                      <w:rFonts w:hint="eastAsia"/>
                      <w:color w:val="0D0D0D" w:themeColor="text1" w:themeTint="F2"/>
                      <w:szCs w:val="21"/>
                      <w14:textFill>
                        <w14:solidFill>
                          <w14:schemeClr w14:val="tx1">
                            <w14:lumMod w14:val="95000"/>
                            <w14:lumOff w14:val="5000"/>
                          </w14:schemeClr>
                        </w14:solidFill>
                      </w14:textFill>
                    </w:rPr>
                    <w:t>t、</w:t>
                  </w:r>
                  <w:r>
                    <w:rPr>
                      <w:rFonts w:hint="eastAsia"/>
                      <w:color w:val="0D0D0D" w:themeColor="text1" w:themeTint="F2"/>
                      <w:szCs w:val="21"/>
                      <w:lang w:val="en-US" w:eastAsia="zh-CN"/>
                      <w14:textFill>
                        <w14:solidFill>
                          <w14:schemeClr w14:val="tx1">
                            <w14:lumMod w14:val="95000"/>
                            <w14:lumOff w14:val="5000"/>
                          </w14:schemeClr>
                        </w14:solidFill>
                      </w14:textFill>
                    </w:rPr>
                    <w:t>0.8</w:t>
                  </w:r>
                  <w:r>
                    <w:rPr>
                      <w:rFonts w:hint="default"/>
                      <w:color w:val="0D0D0D" w:themeColor="text1" w:themeTint="F2"/>
                      <w:szCs w:val="21"/>
                      <w14:textFill>
                        <w14:solidFill>
                          <w14:schemeClr w14:val="tx1">
                            <w14:lumMod w14:val="95000"/>
                            <w14:lumOff w14:val="5000"/>
                          </w14:schemeClr>
                        </w14:solidFill>
                      </w14:textFill>
                    </w:rPr>
                    <w:t xml:space="preserve"> </w:t>
                  </w:r>
                  <w:r>
                    <w:rPr>
                      <w:rFonts w:hint="eastAsia"/>
                      <w:color w:val="0D0D0D" w:themeColor="text1" w:themeTint="F2"/>
                      <w:szCs w:val="21"/>
                      <w14:textFill>
                        <w14:solidFill>
                          <w14:schemeClr w14:val="tx1">
                            <w14:lumMod w14:val="95000"/>
                            <w14:lumOff w14:val="5000"/>
                          </w14:schemeClr>
                        </w14:solidFill>
                      </w14:textFill>
                    </w:rPr>
                    <w:t>t、</w:t>
                  </w: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05</w:t>
                  </w:r>
                  <w:r>
                    <w:rPr>
                      <w:rFonts w:hint="eastAsia"/>
                      <w:color w:val="0D0D0D" w:themeColor="text1" w:themeTint="F2"/>
                      <w:szCs w:val="21"/>
                      <w14:textFill>
                        <w14:solidFill>
                          <w14:schemeClr w14:val="tx1">
                            <w14:lumMod w14:val="95000"/>
                            <w14:lumOff w14:val="5000"/>
                          </w14:schemeClr>
                        </w14:solidFill>
                      </w14:textFill>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环境影响途径及危害后果（大气、地表水、地下水等）</w:t>
                  </w:r>
                </w:p>
              </w:tc>
              <w:tc>
                <w:tcPr>
                  <w:tcW w:w="6376" w:type="dxa"/>
                  <w:gridSpan w:val="5"/>
                  <w:shd w:val="clear" w:color="auto" w:fill="auto"/>
                  <w:vAlign w:val="center"/>
                </w:tcPr>
                <w:p>
                  <w:pPr>
                    <w:keepNext w:val="0"/>
                    <w:keepLines w:val="0"/>
                    <w:suppressLineNumbers w:val="0"/>
                    <w:autoSpaceDE w:val="0"/>
                    <w:autoSpaceDN w:val="0"/>
                    <w:snapToGrid w:val="0"/>
                    <w:spacing w:before="0" w:beforeAutospacing="0" w:after="0" w:afterAutospacing="0"/>
                    <w:ind w:left="0" w:right="0" w:firstLine="420" w:firstLineChars="200"/>
                    <w:jc w:val="left"/>
                    <w:rPr>
                      <w:rFonts w:hint="default"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污染大气环境：车间发生火灾、爆炸事故时，燃烧产生的</w:t>
                  </w:r>
                  <w:r>
                    <w:rPr>
                      <w:rFonts w:hint="default" w:hAnsi="宋体"/>
                      <w:color w:val="0D0D0D" w:themeColor="text1" w:themeTint="F2"/>
                      <w:szCs w:val="21"/>
                      <w14:textFill>
                        <w14:solidFill>
                          <w14:schemeClr w14:val="tx1">
                            <w14:lumMod w14:val="95000"/>
                            <w14:lumOff w14:val="5000"/>
                          </w14:schemeClr>
                        </w14:solidFill>
                      </w14:textFill>
                    </w:rPr>
                    <w:t>CO</w:t>
                  </w:r>
                  <w:r>
                    <w:rPr>
                      <w:rFonts w:hint="eastAsia" w:hAnsi="宋体"/>
                      <w:color w:val="0D0D0D" w:themeColor="text1" w:themeTint="F2"/>
                      <w:szCs w:val="21"/>
                      <w14:textFill>
                        <w14:solidFill>
                          <w14:schemeClr w14:val="tx1">
                            <w14:lumMod w14:val="95000"/>
                            <w14:lumOff w14:val="5000"/>
                          </w14:schemeClr>
                        </w14:solidFill>
                      </w14:textFill>
                    </w:rPr>
                    <w:t>、烟尘产物等进入大气，将对空气环境造成影响。</w:t>
                  </w:r>
                </w:p>
                <w:p>
                  <w:pPr>
                    <w:keepNext w:val="0"/>
                    <w:keepLines w:val="0"/>
                    <w:suppressLineNumbers w:val="0"/>
                    <w:autoSpaceDE w:val="0"/>
                    <w:autoSpaceDN w:val="0"/>
                    <w:snapToGrid w:val="0"/>
                    <w:spacing w:before="0" w:beforeAutospacing="0" w:after="0" w:afterAutospacing="0"/>
                    <w:ind w:left="0" w:right="0" w:firstLine="420" w:firstLineChars="200"/>
                    <w:jc w:val="left"/>
                    <w:rPr>
                      <w:rFonts w:hint="default" w:hAnsi="宋体"/>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污染地表水环境：</w:t>
                  </w:r>
                  <w:r>
                    <w:rPr>
                      <w:rFonts w:hint="eastAsia" w:ascii="宋体" w:cs="宋体"/>
                      <w:color w:val="0D0D0D" w:themeColor="text1" w:themeTint="F2"/>
                      <w:szCs w:val="21"/>
                      <w14:textFill>
                        <w14:solidFill>
                          <w14:schemeClr w14:val="tx1">
                            <w14:lumMod w14:val="95000"/>
                            <w14:lumOff w14:val="5000"/>
                          </w14:schemeClr>
                        </w14:solidFill>
                      </w14:textFill>
                    </w:rPr>
                    <w:t>车间发生火灾会产生大量的消防废水，消防废水或泄漏物料如不及时进行收集，可能通过雨水管网，进入厂界外环境，</w:t>
                  </w:r>
                  <w:r>
                    <w:rPr>
                      <w:rFonts w:hint="eastAsia" w:hAnsi="宋体"/>
                      <w:color w:val="0D0D0D" w:themeColor="text1" w:themeTint="F2"/>
                      <w:szCs w:val="21"/>
                      <w14:textFill>
                        <w14:solidFill>
                          <w14:schemeClr w14:val="tx1">
                            <w14:lumMod w14:val="95000"/>
                            <w14:lumOff w14:val="5000"/>
                          </w14:schemeClr>
                        </w14:solidFill>
                      </w14:textFill>
                    </w:rPr>
                    <w:t>将对周边水体造成影响。</w:t>
                  </w:r>
                </w:p>
                <w:p>
                  <w:pPr>
                    <w:keepNext w:val="0"/>
                    <w:keepLines w:val="0"/>
                    <w:suppressLineNumbers w:val="0"/>
                    <w:snapToGrid w:val="0"/>
                    <w:spacing w:before="0" w:beforeAutospacing="0" w:after="0" w:afterAutospacing="0" w:line="300" w:lineRule="atLeast"/>
                    <w:ind w:left="0" w:right="0" w:firstLine="420" w:firstLineChars="200"/>
                    <w:jc w:val="left"/>
                    <w:rPr>
                      <w:rFonts w:hint="default"/>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szCs w:val="21"/>
                      <w14:textFill>
                        <w14:solidFill>
                          <w14:schemeClr w14:val="tx1">
                            <w14:lumMod w14:val="95000"/>
                            <w14:lumOff w14:val="5000"/>
                          </w14:schemeClr>
                        </w14:solidFill>
                      </w14:textFill>
                    </w:rPr>
                    <w:t>污染地下水环境：有毒有害物质在储存或厂内转移过程中由于操作不当、防渗材料破裂等原因将对地下水环境造成影响。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auto"/>
                  <w:vAlign w:val="center"/>
                </w:tcPr>
                <w:p>
                  <w:pPr>
                    <w:keepNext w:val="0"/>
                    <w:keepLines w:val="0"/>
                    <w:suppressLineNumbers w:val="0"/>
                    <w:snapToGrid w:val="0"/>
                    <w:spacing w:before="0" w:beforeAutospacing="0" w:after="0" w:afterAutospacing="0"/>
                    <w:ind w:left="0" w:right="0"/>
                    <w:jc w:val="center"/>
                    <w:rPr>
                      <w:rFonts w:hint="default"/>
                      <w:b/>
                      <w:color w:val="0D0D0D" w:themeColor="text1" w:themeTint="F2"/>
                      <w:szCs w:val="21"/>
                      <w14:textFill>
                        <w14:solidFill>
                          <w14:schemeClr w14:val="tx1">
                            <w14:lumMod w14:val="95000"/>
                            <w14:lumOff w14:val="5000"/>
                          </w14:schemeClr>
                        </w14:solidFill>
                      </w14:textFill>
                    </w:rPr>
                  </w:pPr>
                  <w:r>
                    <w:rPr>
                      <w:rFonts w:hint="default"/>
                      <w:b/>
                      <w:color w:val="0D0D0D" w:themeColor="text1" w:themeTint="F2"/>
                      <w:szCs w:val="21"/>
                      <w14:textFill>
                        <w14:solidFill>
                          <w14:schemeClr w14:val="tx1">
                            <w14:lumMod w14:val="95000"/>
                            <w14:lumOff w14:val="5000"/>
                          </w14:schemeClr>
                        </w14:solidFill>
                      </w14:textFill>
                    </w:rPr>
                    <w:t>风险防范</w:t>
                  </w:r>
                  <w:r>
                    <w:rPr>
                      <w:rFonts w:hint="eastAsia"/>
                      <w:b/>
                      <w:color w:val="0D0D0D" w:themeColor="text1" w:themeTint="F2"/>
                      <w:szCs w:val="21"/>
                      <w14:textFill>
                        <w14:solidFill>
                          <w14:schemeClr w14:val="tx1">
                            <w14:lumMod w14:val="95000"/>
                            <w14:lumOff w14:val="5000"/>
                          </w14:schemeClr>
                        </w14:solidFill>
                      </w14:textFill>
                    </w:rPr>
                    <w:t>要求</w:t>
                  </w:r>
                </w:p>
              </w:tc>
              <w:tc>
                <w:tcPr>
                  <w:tcW w:w="6376" w:type="dxa"/>
                  <w:gridSpan w:val="5"/>
                  <w:shd w:val="clear" w:color="auto" w:fill="auto"/>
                  <w:vAlign w:val="center"/>
                </w:tcPr>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（1）加强职工的安全教育，提高安全防范风险的意识；</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（2）针对运营中可能发生的异常现象和存在的安全隐患，设置合理可行的技术措施，制定严格的操作规程；</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（3）对易发生火灾事故的单元实行定期的巡检制度，及时发现问题，尽快解决；</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（4）严格执行防火、防爆、防雷击、防毒害等各项要求；</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（5）建立健全安全、环境管理体系及高效的安全生产机构，一旦发生事故，要 做到快速、高效、安全处置；</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（6）厂区内的电气设备严格按照防爆区划分配置；</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（7）在仓库和成品仓库等易发生火灾的设施处设立警告牌(严禁烟火)；</w:t>
                  </w:r>
                </w:p>
                <w:p>
                  <w:pPr>
                    <w:keepNext w:val="0"/>
                    <w:keepLines w:val="0"/>
                    <w:suppressLineNumbers w:val="0"/>
                    <w:snapToGrid w:val="0"/>
                    <w:spacing w:before="0" w:beforeAutospacing="0" w:after="0" w:afterAutospacing="0" w:line="320" w:lineRule="atLeast"/>
                    <w:ind w:left="0" w:right="0"/>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（8）按照设计图的要求，注意避雷针的安全防护措施</w:t>
                  </w:r>
                </w:p>
              </w:tc>
            </w:tr>
          </w:tbl>
          <w:p>
            <w:pPr>
              <w:keepNext w:val="0"/>
              <w:keepLines w:val="0"/>
              <w:suppressLineNumbers w:val="0"/>
              <w:autoSpaceDE w:val="0"/>
              <w:autoSpaceDN w:val="0"/>
              <w:adjustRightInd w:val="0"/>
              <w:spacing w:before="0" w:beforeAutospacing="0" w:after="0" w:afterAutospacing="0" w:line="360" w:lineRule="auto"/>
              <w:ind w:left="0" w:right="0" w:firstLine="482" w:firstLineChars="200"/>
              <w:rPr>
                <w:rFonts w:hint="default" w:hAnsi="宋体"/>
                <w:b/>
                <w:bCs/>
                <w:color w:val="0D0D0D" w:themeColor="text1" w:themeTint="F2"/>
                <w:sz w:val="24"/>
                <w14:textFill>
                  <w14:solidFill>
                    <w14:schemeClr w14:val="tx1">
                      <w14:lumMod w14:val="95000"/>
                      <w14:lumOff w14:val="5000"/>
                    </w14:schemeClr>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tc>
        <w:tc>
          <w:tcPr>
            <w:tcW w:w="8293" w:type="dxa"/>
          </w:tcPr>
          <w:p>
            <w:pPr>
              <w:keepNext w:val="0"/>
              <w:keepLines w:val="0"/>
              <w:suppressLineNumbers w:val="0"/>
              <w:spacing w:before="120" w:beforeLines="50" w:beforeAutospacing="0" w:after="0" w:afterAutospacing="0" w:line="360" w:lineRule="auto"/>
              <w:ind w:left="0" w:right="0" w:firstLine="482" w:firstLineChars="200"/>
              <w:rPr>
                <w:rFonts w:hint="default"/>
                <w:b/>
                <w:color w:val="0D0D0D" w:themeColor="text1" w:themeTint="F2"/>
                <w:sz w:val="24"/>
                <w:szCs w:val="20"/>
                <w14:textFill>
                  <w14:solidFill>
                    <w14:schemeClr w14:val="tx1">
                      <w14:lumMod w14:val="95000"/>
                      <w14:lumOff w14:val="5000"/>
                    </w14:schemeClr>
                  </w14:solidFill>
                </w14:textFill>
              </w:rPr>
            </w:pPr>
            <w:r>
              <w:rPr>
                <w:rFonts w:hint="eastAsia"/>
                <w:b/>
                <w:color w:val="0D0D0D" w:themeColor="text1" w:themeTint="F2"/>
                <w:sz w:val="24"/>
                <w:szCs w:val="20"/>
                <w14:textFill>
                  <w14:solidFill>
                    <w14:schemeClr w14:val="tx1">
                      <w14:lumMod w14:val="95000"/>
                      <w14:lumOff w14:val="5000"/>
                    </w14:schemeClr>
                  </w14:solidFill>
                </w14:textFill>
              </w:rPr>
              <w:t>七、</w:t>
            </w:r>
            <w:r>
              <w:rPr>
                <w:rFonts w:hint="default"/>
                <w:b/>
                <w:color w:val="0D0D0D" w:themeColor="text1" w:themeTint="F2"/>
                <w:sz w:val="24"/>
                <w:szCs w:val="20"/>
                <w14:textFill>
                  <w14:solidFill>
                    <w14:schemeClr w14:val="tx1">
                      <w14:lumMod w14:val="95000"/>
                      <w14:lumOff w14:val="5000"/>
                    </w14:schemeClr>
                  </w14:solidFill>
                </w14:textFill>
              </w:rPr>
              <w:t>环境</w:t>
            </w:r>
            <w:r>
              <w:rPr>
                <w:rFonts w:hint="eastAsia"/>
                <w:b/>
                <w:color w:val="0D0D0D" w:themeColor="text1" w:themeTint="F2"/>
                <w:sz w:val="24"/>
                <w:szCs w:val="20"/>
                <w14:textFill>
                  <w14:solidFill>
                    <w14:schemeClr w14:val="tx1">
                      <w14:lumMod w14:val="95000"/>
                      <w14:lumOff w14:val="5000"/>
                    </w14:schemeClr>
                  </w14:solidFill>
                </w14:textFill>
              </w:rPr>
              <w:t>管理</w:t>
            </w:r>
          </w:p>
          <w:p>
            <w:pPr>
              <w:keepNext w:val="0"/>
              <w:keepLines w:val="0"/>
              <w:widowControl/>
              <w:suppressLineNumbers w:val="0"/>
              <w:spacing w:before="0" w:beforeAutospacing="0" w:after="0" w:afterAutospacing="0" w:line="360" w:lineRule="auto"/>
              <w:ind w:left="0" w:right="0" w:firstLine="482" w:firstLineChars="200"/>
              <w:jc w:val="left"/>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1、环境管理监测计划</w:t>
            </w:r>
          </w:p>
          <w:p>
            <w:pPr>
              <w:keepNext w:val="0"/>
              <w:keepLines w:val="0"/>
              <w:suppressLineNumbers w:val="0"/>
              <w:spacing w:before="0" w:beforeAutospacing="0" w:after="0" w:afterAutospacing="0" w:line="360" w:lineRule="auto"/>
              <w:ind w:left="0" w:right="0" w:firstLine="450"/>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厂内应定期进行环境监测，</w:t>
            </w:r>
            <w:r>
              <w:rPr>
                <w:rFonts w:hint="default"/>
                <w:color w:val="0D0D0D" w:themeColor="text1" w:themeTint="F2"/>
                <w:sz w:val="24"/>
                <w14:textFill>
                  <w14:solidFill>
                    <w14:schemeClr w14:val="tx1">
                      <w14:lumMod w14:val="95000"/>
                      <w14:lumOff w14:val="5000"/>
                    </w14:schemeClr>
                  </w14:solidFill>
                </w14:textFill>
              </w:rPr>
              <w:t>参照</w:t>
            </w:r>
            <w:r>
              <w:rPr>
                <w:rFonts w:hint="eastAsia"/>
                <w:color w:val="0D0D0D" w:themeColor="text1" w:themeTint="F2"/>
                <w:sz w:val="24"/>
                <w:lang w:eastAsia="zh-CN"/>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排污单位自行监测技术指南 总则》（HJ819-2017）</w:t>
            </w:r>
            <w:r>
              <w:rPr>
                <w:rFonts w:hint="eastAsia"/>
                <w:color w:val="0D0D0D" w:themeColor="text1" w:themeTint="F2"/>
                <w:sz w:val="24"/>
                <w14:textFill>
                  <w14:solidFill>
                    <w14:schemeClr w14:val="tx1">
                      <w14:lumMod w14:val="95000"/>
                      <w14:lumOff w14:val="5000"/>
                    </w14:schemeClr>
                  </w14:solidFill>
                </w14:textFill>
              </w:rPr>
              <w:t>及</w:t>
            </w:r>
            <w:r>
              <w:rPr>
                <w:rFonts w:hint="default"/>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lang w:val="en-US" w:eastAsia="zh-CN"/>
                <w14:textFill>
                  <w14:solidFill>
                    <w14:schemeClr w14:val="tx1">
                      <w14:lumMod w14:val="95000"/>
                      <w14:lumOff w14:val="5000"/>
                    </w14:schemeClr>
                  </w14:solidFill>
                </w14:textFill>
              </w:rPr>
              <w:t>排污许可证申请与核发技术规范 金属铸造工业》（HJ1115-2020）</w:t>
            </w:r>
            <w:r>
              <w:rPr>
                <w:rFonts w:hint="default"/>
                <w:color w:val="0D0D0D" w:themeColor="text1" w:themeTint="F2"/>
                <w:sz w:val="24"/>
                <w14:textFill>
                  <w14:solidFill>
                    <w14:schemeClr w14:val="tx1">
                      <w14:lumMod w14:val="95000"/>
                      <w14:lumOff w14:val="5000"/>
                    </w14:schemeClr>
                  </w14:solidFill>
                </w14:textFill>
              </w:rPr>
              <w:t>的相关要求，排污单位可自行或委托第三方监测机构开展监测工作，并安排专人专职对监测数据进行记录、整理、统计和分析。排污单位对监测结果的真实性、准确性、完整性负责。</w:t>
            </w:r>
          </w:p>
          <w:p>
            <w:pPr>
              <w:keepNext w:val="0"/>
              <w:keepLines w:val="0"/>
              <w:suppressLineNumbers w:val="0"/>
              <w:spacing w:before="0" w:beforeAutospacing="0" w:after="0" w:afterAutospacing="0" w:line="360" w:lineRule="auto"/>
              <w:ind w:left="0" w:right="0" w:firstLine="450"/>
              <w:rPr>
                <w:rFonts w:hint="default"/>
                <w:color w:val="0D0D0D" w:themeColor="text1" w:themeTint="F2"/>
                <w:sz w:val="24"/>
                <w:szCs w:val="20"/>
                <w14:textFill>
                  <w14:solidFill>
                    <w14:schemeClr w14:val="tx1">
                      <w14:lumMod w14:val="95000"/>
                      <w14:lumOff w14:val="5000"/>
                    </w14:schemeClr>
                  </w14:solidFill>
                </w14:textFill>
              </w:rPr>
            </w:pPr>
            <w:r>
              <w:rPr>
                <w:rFonts w:hint="default"/>
                <w:color w:val="0D0D0D" w:themeColor="text1" w:themeTint="F2"/>
                <w:sz w:val="24"/>
                <w:szCs w:val="20"/>
                <w14:textFill>
                  <w14:solidFill>
                    <w14:schemeClr w14:val="tx1">
                      <w14:lumMod w14:val="95000"/>
                      <w14:lumOff w14:val="5000"/>
                    </w14:schemeClr>
                  </w14:solidFill>
                </w14:textFill>
              </w:rPr>
              <w:t>本项目运营期环境监测计划见下表。</w:t>
            </w:r>
            <w:bookmarkStart w:id="11" w:name="_Ref368512661"/>
          </w:p>
          <w:p>
            <w:pPr>
              <w:keepNext w:val="0"/>
              <w:keepLines w:val="0"/>
              <w:widowControl/>
              <w:suppressLineNumbers w:val="0"/>
              <w:adjustRightInd w:val="0"/>
              <w:snapToGrid w:val="0"/>
              <w:spacing w:before="0" w:beforeAutospacing="0" w:after="0" w:afterAutospacing="0"/>
              <w:ind w:left="0" w:right="0"/>
              <w:jc w:val="center"/>
              <w:textAlignment w:val="baseline"/>
              <w:rPr>
                <w:rFonts w:hint="default"/>
                <w:b/>
                <w:color w:val="0D0D0D" w:themeColor="text1" w:themeTint="F2"/>
                <w:kern w:val="0"/>
                <w:sz w:val="24"/>
                <w14:textFill>
                  <w14:solidFill>
                    <w14:schemeClr w14:val="tx1">
                      <w14:lumMod w14:val="95000"/>
                      <w14:lumOff w14:val="5000"/>
                    </w14:schemeClr>
                  </w14:solidFill>
                </w14:textFill>
              </w:rPr>
            </w:pPr>
            <w:r>
              <w:rPr>
                <w:rFonts w:hint="default"/>
                <w:b/>
                <w:color w:val="0D0D0D" w:themeColor="text1" w:themeTint="F2"/>
                <w:kern w:val="0"/>
                <w:sz w:val="24"/>
                <w14:textFill>
                  <w14:solidFill>
                    <w14:schemeClr w14:val="tx1">
                      <w14:lumMod w14:val="95000"/>
                      <w14:lumOff w14:val="5000"/>
                    </w14:schemeClr>
                  </w14:solidFill>
                </w14:textFill>
              </w:rPr>
              <w:t>表</w:t>
            </w:r>
            <w:r>
              <w:rPr>
                <w:rFonts w:hint="eastAsia"/>
                <w:b/>
                <w:color w:val="0D0D0D" w:themeColor="text1" w:themeTint="F2"/>
                <w:kern w:val="0"/>
                <w:sz w:val="24"/>
                <w14:textFill>
                  <w14:solidFill>
                    <w14:schemeClr w14:val="tx1">
                      <w14:lumMod w14:val="95000"/>
                      <w14:lumOff w14:val="5000"/>
                    </w14:schemeClr>
                  </w14:solidFill>
                </w14:textFill>
              </w:rPr>
              <w:t>4-</w:t>
            </w:r>
            <w:r>
              <w:rPr>
                <w:rFonts w:hint="default"/>
                <w:b/>
                <w:color w:val="0D0D0D" w:themeColor="text1" w:themeTint="F2"/>
                <w:kern w:val="0"/>
                <w:sz w:val="24"/>
                <w14:textFill>
                  <w14:solidFill>
                    <w14:schemeClr w14:val="tx1">
                      <w14:lumMod w14:val="95000"/>
                      <w14:lumOff w14:val="5000"/>
                    </w14:schemeClr>
                  </w14:solidFill>
                </w14:textFill>
              </w:rPr>
              <w:t>2</w:t>
            </w:r>
            <w:r>
              <w:rPr>
                <w:rFonts w:hint="eastAsia"/>
                <w:b/>
                <w:color w:val="0D0D0D" w:themeColor="text1" w:themeTint="F2"/>
                <w:kern w:val="0"/>
                <w:sz w:val="24"/>
                <w:lang w:val="en-US" w:eastAsia="zh-CN"/>
                <w14:textFill>
                  <w14:solidFill>
                    <w14:schemeClr w14:val="tx1">
                      <w14:lumMod w14:val="95000"/>
                      <w14:lumOff w14:val="5000"/>
                    </w14:schemeClr>
                  </w14:solidFill>
                </w14:textFill>
              </w:rPr>
              <w:t>3</w:t>
            </w:r>
            <w:r>
              <w:rPr>
                <w:rFonts w:hint="default"/>
                <w:b/>
                <w:color w:val="0D0D0D" w:themeColor="text1" w:themeTint="F2"/>
                <w:kern w:val="0"/>
                <w:sz w:val="24"/>
                <w14:textFill>
                  <w14:solidFill>
                    <w14:schemeClr w14:val="tx1">
                      <w14:lumMod w14:val="95000"/>
                      <w14:lumOff w14:val="5000"/>
                    </w14:schemeClr>
                  </w14:solidFill>
                </w14:textFill>
              </w:rPr>
              <w:t xml:space="preserve"> 项目运营期环境监控计划一览表</w:t>
            </w:r>
          </w:p>
          <w:tbl>
            <w:tblPr>
              <w:tblStyle w:val="59"/>
              <w:tblpPr w:leftFromText="180" w:rightFromText="180" w:vertAnchor="text" w:tblpY="1"/>
              <w:tblOverlap w:val="never"/>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417"/>
              <w:gridCol w:w="2859"/>
              <w:gridCol w:w="1837"/>
              <w:gridCol w:w="12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类别</w:t>
                  </w:r>
                </w:p>
              </w:tc>
              <w:tc>
                <w:tcPr>
                  <w:tcW w:w="877" w:type="pct"/>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排放口类型</w:t>
                  </w:r>
                </w:p>
              </w:tc>
              <w:tc>
                <w:tcPr>
                  <w:tcW w:w="176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监测点位</w:t>
                  </w: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监测项目</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最低</w:t>
                  </w:r>
                </w:p>
                <w:p>
                  <w:pPr>
                    <w:keepNext w:val="0"/>
                    <w:keepLines w:val="0"/>
                    <w:widowControl/>
                    <w:suppressLineNumbers w:val="0"/>
                    <w:spacing w:before="0" w:beforeAutospacing="0" w:after="0" w:afterAutospacing="0"/>
                    <w:ind w:left="0" w:right="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restart"/>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废气</w:t>
                  </w:r>
                </w:p>
              </w:tc>
              <w:tc>
                <w:tcPr>
                  <w:tcW w:w="877" w:type="pct"/>
                  <w:vMerge w:val="restar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一般排放口</w:t>
                  </w:r>
                </w:p>
              </w:tc>
              <w:tc>
                <w:tcPr>
                  <w:tcW w:w="1769" w:type="pct"/>
                  <w:vMerge w:val="restar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熔化、天然气燃烧废气</w:t>
                  </w:r>
                  <w:r>
                    <w:rPr>
                      <w:rFonts w:hint="eastAsia"/>
                      <w:color w:val="0D0D0D" w:themeColor="text1" w:themeTint="F2"/>
                      <w14:textFill>
                        <w14:solidFill>
                          <w14:schemeClr w14:val="tx1">
                            <w14:lumMod w14:val="95000"/>
                            <w14:lumOff w14:val="5000"/>
                          </w14:schemeClr>
                        </w14:solidFill>
                      </w14:textFill>
                    </w:rPr>
                    <w:t>排口</w:t>
                  </w:r>
                  <w:r>
                    <w:rPr>
                      <w:rFonts w:hint="default"/>
                      <w:color w:val="0D0D0D" w:themeColor="text1" w:themeTint="F2"/>
                      <w:kern w:val="0"/>
                      <w:szCs w:val="21"/>
                      <w14:textFill>
                        <w14:solidFill>
                          <w14:schemeClr w14:val="tx1">
                            <w14:lumMod w14:val="95000"/>
                            <w14:lumOff w14:val="5000"/>
                          </w14:schemeClr>
                        </w14:solidFill>
                      </w14:textFill>
                    </w:rPr>
                    <w:t>（DA001）</w:t>
                  </w:r>
                </w:p>
              </w:tc>
              <w:tc>
                <w:tcPr>
                  <w:tcW w:w="1137" w:type="pct"/>
                  <w:shd w:val="clear" w:color="auto" w:fill="auto"/>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Merge w:val="continue"/>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769" w:type="pct"/>
                  <w:vMerge w:val="continue"/>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1137" w:type="pct"/>
                  <w:shd w:val="clear" w:color="auto" w:fill="auto"/>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二氧化硫</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eastAsia"/>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Merge w:val="continue"/>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769" w:type="pct"/>
                  <w:vMerge w:val="continue"/>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p>
              </w:tc>
              <w:tc>
                <w:tcPr>
                  <w:tcW w:w="1137" w:type="pct"/>
                  <w:shd w:val="clear" w:color="auto" w:fill="auto"/>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氮氧化物</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eastAsia"/>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一般排放口</w:t>
                  </w:r>
                </w:p>
              </w:tc>
              <w:tc>
                <w:tcPr>
                  <w:tcW w:w="1769" w:type="pct"/>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4"/>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压铸脱模废气</w:t>
                  </w:r>
                  <w:r>
                    <w:rPr>
                      <w:rFonts w:hint="eastAsia"/>
                      <w:color w:val="0D0D0D" w:themeColor="text1" w:themeTint="F2"/>
                      <w14:textFill>
                        <w14:solidFill>
                          <w14:schemeClr w14:val="tx1">
                            <w14:lumMod w14:val="95000"/>
                            <w14:lumOff w14:val="5000"/>
                          </w14:schemeClr>
                        </w14:solidFill>
                      </w14:textFill>
                    </w:rPr>
                    <w:t>排口</w:t>
                  </w:r>
                  <w:r>
                    <w:rPr>
                      <w:rFonts w:hint="default"/>
                      <w:color w:val="0D0D0D" w:themeColor="text1" w:themeTint="F2"/>
                      <w:kern w:val="0"/>
                      <w:szCs w:val="21"/>
                      <w14:textFill>
                        <w14:solidFill>
                          <w14:schemeClr w14:val="tx1">
                            <w14:lumMod w14:val="95000"/>
                            <w14:lumOff w14:val="5000"/>
                          </w14:schemeClr>
                        </w14:solidFill>
                      </w14:textFill>
                    </w:rPr>
                    <w:t>（DA002）</w:t>
                  </w:r>
                </w:p>
              </w:tc>
              <w:tc>
                <w:tcPr>
                  <w:tcW w:w="1137" w:type="pct"/>
                  <w:shd w:val="clear" w:color="auto" w:fill="auto"/>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非甲烷总烃</w:t>
                  </w:r>
                </w:p>
              </w:tc>
              <w:tc>
                <w:tcPr>
                  <w:tcW w:w="791" w:type="pct"/>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0"/>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一般排放口</w:t>
                  </w:r>
                </w:p>
              </w:tc>
              <w:tc>
                <w:tcPr>
                  <w:tcW w:w="176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抛丸粉尘</w:t>
                  </w:r>
                  <w:r>
                    <w:rPr>
                      <w:rFonts w:hint="eastAsia"/>
                      <w:color w:val="0D0D0D" w:themeColor="text1" w:themeTint="F2"/>
                      <w14:textFill>
                        <w14:solidFill>
                          <w14:schemeClr w14:val="tx1">
                            <w14:lumMod w14:val="95000"/>
                            <w14:lumOff w14:val="5000"/>
                          </w14:schemeClr>
                        </w14:solidFill>
                      </w14:textFill>
                    </w:rPr>
                    <w:t>排口</w:t>
                  </w:r>
                  <w:r>
                    <w:rPr>
                      <w:rFonts w:hint="default"/>
                      <w:color w:val="0D0D0D" w:themeColor="text1" w:themeTint="F2"/>
                      <w:kern w:val="0"/>
                      <w:szCs w:val="21"/>
                      <w14:textFill>
                        <w14:solidFill>
                          <w14:schemeClr w14:val="tx1">
                            <w14:lumMod w14:val="95000"/>
                            <w14:lumOff w14:val="5000"/>
                          </w14:schemeClr>
                        </w14:solidFill>
                      </w14:textFill>
                    </w:rPr>
                    <w:t>（DA00</w:t>
                  </w:r>
                  <w:r>
                    <w:rPr>
                      <w:rFonts w:hint="eastAsia"/>
                      <w:color w:val="0D0D0D" w:themeColor="text1" w:themeTint="F2"/>
                      <w:kern w:val="0"/>
                      <w:szCs w:val="21"/>
                      <w:lang w:val="en-US" w:eastAsia="zh-CN"/>
                      <w14:textFill>
                        <w14:solidFill>
                          <w14:schemeClr w14:val="tx1">
                            <w14:lumMod w14:val="95000"/>
                            <w14:lumOff w14:val="5000"/>
                          </w14:schemeClr>
                        </w14:solidFill>
                      </w14:textFill>
                    </w:rPr>
                    <w:t>3</w:t>
                  </w:r>
                  <w:r>
                    <w:rPr>
                      <w:rFonts w:hint="default"/>
                      <w:color w:val="0D0D0D" w:themeColor="text1" w:themeTint="F2"/>
                      <w:kern w:val="0"/>
                      <w:szCs w:val="21"/>
                      <w14:textFill>
                        <w14:solidFill>
                          <w14:schemeClr w14:val="tx1">
                            <w14:lumMod w14:val="95000"/>
                            <w14:lumOff w14:val="5000"/>
                          </w14:schemeClr>
                        </w14:solidFill>
                      </w14:textFill>
                    </w:rPr>
                    <w:t>）</w:t>
                  </w: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颗粒物</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Merge w:val="restar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无组织废气</w:t>
                  </w:r>
                </w:p>
              </w:tc>
              <w:tc>
                <w:tcPr>
                  <w:tcW w:w="1769" w:type="pct"/>
                  <w:vMerge w:val="restar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厂界无组织监控点</w:t>
                  </w: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非甲烷总烃</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vMerge w:val="continue"/>
                  <w:shd w:val="clear" w:color="auto" w:fill="auto"/>
                  <w:vAlign w:val="center"/>
                </w:tcPr>
                <w:p>
                  <w:pPr>
                    <w:keepNext w:val="0"/>
                    <w:keepLines w:val="0"/>
                    <w:widowControl/>
                    <w:suppressLineNumbers w:val="0"/>
                    <w:autoSpaceDE w:val="0"/>
                    <w:autoSpaceDN w:val="0"/>
                    <w:adjustRightInd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877" w:type="pct"/>
                  <w:vMerge w:val="continue"/>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769" w:type="pct"/>
                  <w:vMerge w:val="continue"/>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颗粒物</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shd w:val="clear" w:color="auto" w:fill="auto"/>
                  <w:vAlign w:val="center"/>
                </w:tcPr>
                <w:p>
                  <w:pPr>
                    <w:keepNext w:val="0"/>
                    <w:keepLines w:val="0"/>
                    <w:widowControl/>
                    <w:suppressLineNumbers w:val="0"/>
                    <w:spacing w:before="0" w:beforeAutospacing="0" w:after="0" w:afterAutospacing="0"/>
                    <w:ind w:left="0" w:right="0"/>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废水</w:t>
                  </w:r>
                </w:p>
              </w:tc>
              <w:tc>
                <w:tcPr>
                  <w:tcW w:w="877"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一般排放口</w:t>
                  </w:r>
                </w:p>
              </w:tc>
              <w:tc>
                <w:tcPr>
                  <w:tcW w:w="176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生活污水排口</w:t>
                  </w: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pH、COD、BOD5、SS、氨氮</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每年一次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24"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噪声</w:t>
                  </w:r>
                </w:p>
              </w:tc>
              <w:tc>
                <w:tcPr>
                  <w:tcW w:w="877" w:type="pct"/>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w:t>
                  </w:r>
                </w:p>
              </w:tc>
              <w:tc>
                <w:tcPr>
                  <w:tcW w:w="1769"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项目四周厂界</w:t>
                  </w:r>
                </w:p>
              </w:tc>
              <w:tc>
                <w:tcPr>
                  <w:tcW w:w="1137"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连续等效A声级</w:t>
                  </w:r>
                </w:p>
              </w:tc>
              <w:tc>
                <w:tcPr>
                  <w:tcW w:w="791" w:type="pct"/>
                  <w:shd w:val="clear" w:color="auto" w:fill="auto"/>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每季度一次</w:t>
                  </w:r>
                </w:p>
              </w:tc>
            </w:tr>
          </w:tbl>
          <w:p>
            <w:pPr>
              <w:keepNext w:val="0"/>
              <w:keepLines w:val="0"/>
              <w:suppressLineNumbers w:val="0"/>
              <w:spacing w:before="120" w:beforeLines="50" w:beforeAutospacing="0" w:after="0" w:afterAutospacing="0" w:line="360" w:lineRule="auto"/>
              <w:ind w:left="0" w:right="0" w:firstLine="482"/>
              <w:jc w:val="left"/>
              <w:rPr>
                <w:rFonts w:hint="default"/>
                <w:b/>
                <w:bCs/>
                <w:color w:val="0D0D0D" w:themeColor="text1" w:themeTint="F2"/>
                <w:sz w:val="24"/>
                <w14:textFill>
                  <w14:solidFill>
                    <w14:schemeClr w14:val="tx1">
                      <w14:lumMod w14:val="95000"/>
                      <w14:lumOff w14:val="5000"/>
                    </w14:schemeClr>
                  </w14:solidFill>
                </w14:textFill>
              </w:rPr>
            </w:pPr>
            <w:r>
              <w:rPr>
                <w:rFonts w:hint="eastAsia"/>
                <w:b/>
                <w:bCs/>
                <w:color w:val="0D0D0D" w:themeColor="text1" w:themeTint="F2"/>
                <w:sz w:val="24"/>
                <w14:textFill>
                  <w14:solidFill>
                    <w14:schemeClr w14:val="tx1">
                      <w14:lumMod w14:val="95000"/>
                      <w14:lumOff w14:val="5000"/>
                    </w14:schemeClr>
                  </w14:solidFill>
                </w14:textFill>
              </w:rPr>
              <w:t>2、排污口规范化设置</w:t>
            </w:r>
          </w:p>
          <w:p>
            <w:pPr>
              <w:keepNext w:val="0"/>
              <w:keepLines w:val="0"/>
              <w:suppressLineNumbers w:val="0"/>
              <w:spacing w:before="0" w:beforeAutospacing="0" w:after="0" w:afterAutospacing="0" w:line="360" w:lineRule="auto"/>
              <w:ind w:left="0" w:right="0" w:firstLine="482"/>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（1）废水排放口</w:t>
            </w:r>
          </w:p>
          <w:p>
            <w:pPr>
              <w:keepNext w:val="0"/>
              <w:keepLines w:val="0"/>
              <w:suppressLineNumbers w:val="0"/>
              <w:spacing w:before="0" w:beforeAutospacing="0" w:after="0" w:afterAutospacing="0" w:line="360" w:lineRule="auto"/>
              <w:ind w:left="0" w:right="0" w:firstLine="482"/>
              <w:rPr>
                <w:rFonts w:hint="default"/>
                <w:color w:val="0D0D0D" w:themeColor="text1" w:themeTint="F2"/>
                <w:sz w:val="24"/>
                <w14:textFill>
                  <w14:solidFill>
                    <w14:schemeClr w14:val="tx1">
                      <w14:lumMod w14:val="95000"/>
                      <w14:lumOff w14:val="5000"/>
                    </w14:schemeClr>
                  </w14:solidFill>
                </w14:textFill>
              </w:rPr>
            </w:pPr>
            <w:r>
              <w:rPr>
                <w:rFonts w:hint="default"/>
                <w:color w:val="0D0D0D" w:themeColor="text1" w:themeTint="F2"/>
                <w:sz w:val="24"/>
                <w14:textFill>
                  <w14:solidFill>
                    <w14:schemeClr w14:val="tx1">
                      <w14:lumMod w14:val="95000"/>
                      <w14:lumOff w14:val="5000"/>
                    </w14:schemeClr>
                  </w14:solidFill>
                </w14:textFill>
              </w:rPr>
              <w:t>建设项目厂区的排水体制必须实施“清污分流、雨污分流”制，设雨水排放口1个，污水接管口</w:t>
            </w:r>
            <w:r>
              <w:rPr>
                <w:rFonts w:hint="eastAsia"/>
                <w:color w:val="0D0D0D" w:themeColor="text1" w:themeTint="F2"/>
                <w:sz w:val="24"/>
                <w14:textFill>
                  <w14:solidFill>
                    <w14:schemeClr w14:val="tx1">
                      <w14:lumMod w14:val="95000"/>
                      <w14:lumOff w14:val="5000"/>
                    </w14:schemeClr>
                  </w14:solidFill>
                </w14:textFill>
              </w:rPr>
              <w:t>1</w:t>
            </w:r>
            <w:r>
              <w:rPr>
                <w:rFonts w:hint="default"/>
                <w:color w:val="0D0D0D" w:themeColor="text1" w:themeTint="F2"/>
                <w:sz w:val="24"/>
                <w14:textFill>
                  <w14:solidFill>
                    <w14:schemeClr w14:val="tx1">
                      <w14:lumMod w14:val="95000"/>
                      <w14:lumOff w14:val="5000"/>
                    </w14:schemeClr>
                  </w14:solidFill>
                </w14:textFill>
              </w:rPr>
              <w:t>个</w:t>
            </w:r>
            <w:r>
              <w:rPr>
                <w:rFonts w:hint="eastAsia"/>
                <w:color w:val="0D0D0D" w:themeColor="text1" w:themeTint="F2"/>
                <w:sz w:val="24"/>
                <w14:textFill>
                  <w14:solidFill>
                    <w14:schemeClr w14:val="tx1">
                      <w14:lumMod w14:val="95000"/>
                      <w14:lumOff w14:val="5000"/>
                    </w14:schemeClr>
                  </w14:solidFill>
                </w14:textFill>
              </w:rPr>
              <w:t>。</w:t>
            </w:r>
          </w:p>
          <w:p>
            <w:pPr>
              <w:keepNext w:val="0"/>
              <w:keepLines w:val="0"/>
              <w:suppressLineNumbers w:val="0"/>
              <w:spacing w:before="0" w:beforeAutospacing="0" w:after="0" w:afterAutospacing="0" w:line="360" w:lineRule="auto"/>
              <w:ind w:left="0" w:right="0" w:firstLine="482"/>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（2）废气排放口</w:t>
            </w:r>
          </w:p>
          <w:p>
            <w:pPr>
              <w:keepNext w:val="0"/>
              <w:keepLines w:val="0"/>
              <w:suppressLineNumbers w:val="0"/>
              <w:spacing w:before="0" w:beforeAutospacing="0" w:after="0" w:afterAutospacing="0" w:line="360" w:lineRule="auto"/>
              <w:ind w:left="0" w:right="0" w:firstLine="482"/>
              <w:jc w:val="left"/>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①厂区</w:t>
            </w:r>
            <w:r>
              <w:rPr>
                <w:rFonts w:hint="default"/>
                <w:color w:val="0D0D0D" w:themeColor="text1" w:themeTint="F2"/>
                <w:sz w:val="24"/>
                <w14:textFill>
                  <w14:solidFill>
                    <w14:schemeClr w14:val="tx1">
                      <w14:lumMod w14:val="95000"/>
                      <w14:lumOff w14:val="5000"/>
                    </w14:schemeClr>
                  </w14:solidFill>
                </w14:textFill>
              </w:rPr>
              <w:t>共</w:t>
            </w:r>
            <w:r>
              <w:rPr>
                <w:rFonts w:hint="eastAsia"/>
                <w:color w:val="0D0D0D" w:themeColor="text1" w:themeTint="F2"/>
                <w:sz w:val="24"/>
                <w14:textFill>
                  <w14:solidFill>
                    <w14:schemeClr w14:val="tx1">
                      <w14:lumMod w14:val="95000"/>
                      <w14:lumOff w14:val="5000"/>
                    </w14:schemeClr>
                  </w14:solidFill>
                </w14:textFill>
              </w:rPr>
              <w:t>设置有组织</w:t>
            </w:r>
            <w:r>
              <w:rPr>
                <w:rFonts w:hint="default"/>
                <w:color w:val="0D0D0D" w:themeColor="text1" w:themeTint="F2"/>
                <w:sz w:val="24"/>
                <w14:textFill>
                  <w14:solidFill>
                    <w14:schemeClr w14:val="tx1">
                      <w14:lumMod w14:val="95000"/>
                      <w14:lumOff w14:val="5000"/>
                    </w14:schemeClr>
                  </w14:solidFill>
                </w14:textFill>
              </w:rPr>
              <w:t>排气筒</w:t>
            </w:r>
            <w:r>
              <w:rPr>
                <w:rFonts w:hint="eastAsia"/>
                <w:color w:val="0D0D0D" w:themeColor="text1" w:themeTint="F2"/>
                <w:sz w:val="24"/>
                <w:lang w:val="en-US" w:eastAsia="zh-CN"/>
                <w14:textFill>
                  <w14:solidFill>
                    <w14:schemeClr w14:val="tx1">
                      <w14:lumMod w14:val="95000"/>
                      <w14:lumOff w14:val="5000"/>
                    </w14:schemeClr>
                  </w14:solidFill>
                </w14:textFill>
              </w:rPr>
              <w:t>2</w:t>
            </w:r>
            <w:r>
              <w:rPr>
                <w:rFonts w:hint="default"/>
                <w:color w:val="0D0D0D" w:themeColor="text1" w:themeTint="F2"/>
                <w:sz w:val="24"/>
                <w14:textFill>
                  <w14:solidFill>
                    <w14:schemeClr w14:val="tx1">
                      <w14:lumMod w14:val="95000"/>
                      <w14:lumOff w14:val="5000"/>
                    </w14:schemeClr>
                  </w14:solidFill>
                </w14:textFill>
              </w:rPr>
              <w:t>个</w:t>
            </w:r>
            <w:r>
              <w:rPr>
                <w:rFonts w:hint="eastAsia"/>
                <w:color w:val="0D0D0D" w:themeColor="text1" w:themeTint="F2"/>
                <w:sz w:val="24"/>
                <w14:textFill>
                  <w14:solidFill>
                    <w14:schemeClr w14:val="tx1">
                      <w14:lumMod w14:val="95000"/>
                      <w14:lumOff w14:val="5000"/>
                    </w14:schemeClr>
                  </w14:solidFill>
                </w14:textFill>
              </w:rPr>
              <w:t>，</w:t>
            </w:r>
            <w:r>
              <w:rPr>
                <w:rFonts w:hint="default"/>
                <w:color w:val="0D0D0D" w:themeColor="text1" w:themeTint="F2"/>
                <w:sz w:val="24"/>
                <w14:textFill>
                  <w14:solidFill>
                    <w14:schemeClr w14:val="tx1">
                      <w14:lumMod w14:val="95000"/>
                      <w14:lumOff w14:val="5000"/>
                    </w14:schemeClr>
                  </w14:solidFill>
                </w14:textFill>
              </w:rPr>
              <w:t>在排气筒附近醒目位置设置环保图形标志牌，标明排气筒高度、出口内径、排放污染物种类等；</w:t>
            </w:r>
          </w:p>
          <w:p>
            <w:pPr>
              <w:keepNext w:val="0"/>
              <w:keepLines w:val="0"/>
              <w:suppressLineNumbers w:val="0"/>
              <w:spacing w:before="0" w:beforeAutospacing="0" w:after="0" w:afterAutospacing="0" w:line="360" w:lineRule="auto"/>
              <w:ind w:left="0" w:right="0" w:firstLine="482"/>
              <w:jc w:val="left"/>
              <w:rPr>
                <w:rFonts w:hint="default" w:hAnsi="宋体"/>
                <w:color w:val="0D0D0D" w:themeColor="text1" w:themeTint="F2"/>
                <w:kern w:val="0"/>
                <w:sz w:val="24"/>
                <w14:textFill>
                  <w14:solidFill>
                    <w14:schemeClr w14:val="tx1">
                      <w14:lumMod w14:val="95000"/>
                      <w14:lumOff w14:val="5000"/>
                    </w14:schemeClr>
                  </w14:solidFill>
                </w14:textFill>
              </w:rPr>
            </w:pPr>
            <w:r>
              <w:rPr>
                <w:rFonts w:hint="eastAsia" w:ascii="宋体" w:hAnsi="宋体"/>
                <w:color w:val="0D0D0D" w:themeColor="text1" w:themeTint="F2"/>
                <w:kern w:val="0"/>
                <w:sz w:val="24"/>
                <w14:textFill>
                  <w14:solidFill>
                    <w14:schemeClr w14:val="tx1">
                      <w14:lumMod w14:val="95000"/>
                      <w14:lumOff w14:val="5000"/>
                    </w14:schemeClr>
                  </w14:solidFill>
                </w14:textFill>
              </w:rPr>
              <w:t>②</w:t>
            </w:r>
            <w:r>
              <w:rPr>
                <w:rFonts w:hint="default" w:hAnsi="宋体"/>
                <w:color w:val="0D0D0D" w:themeColor="text1" w:themeTint="F2"/>
                <w:kern w:val="0"/>
                <w:sz w:val="24"/>
                <w14:textFill>
                  <w14:solidFill>
                    <w14:schemeClr w14:val="tx1">
                      <w14:lumMod w14:val="95000"/>
                      <w14:lumOff w14:val="5000"/>
                    </w14:schemeClr>
                  </w14:solidFill>
                </w14:textFill>
              </w:rPr>
              <w:t>企业应在排气筒预留采样位置，采样位置优先选择在垂直管段，避开弯头、阀门、变径管等部件下游方向不小于6倍直径，上游方向不小于3倍直径，采样位置应避开对测试人员操作有危险的场所；</w:t>
            </w:r>
          </w:p>
          <w:p>
            <w:pPr>
              <w:keepNext w:val="0"/>
              <w:keepLines w:val="0"/>
              <w:suppressLineNumbers w:val="0"/>
              <w:spacing w:before="0" w:beforeAutospacing="0" w:after="0" w:afterAutospacing="0" w:line="360" w:lineRule="auto"/>
              <w:ind w:left="0" w:right="0" w:firstLine="482"/>
              <w:jc w:val="left"/>
              <w:rPr>
                <w:rFonts w:hint="default" w:hAnsi="宋体"/>
                <w:color w:val="0D0D0D" w:themeColor="text1" w:themeTint="F2"/>
                <w:kern w:val="0"/>
                <w:sz w:val="24"/>
                <w14:textFill>
                  <w14:solidFill>
                    <w14:schemeClr w14:val="tx1">
                      <w14:lumMod w14:val="95000"/>
                      <w14:lumOff w14:val="5000"/>
                    </w14:schemeClr>
                  </w14:solidFill>
                </w14:textFill>
              </w:rPr>
            </w:pPr>
            <w:r>
              <w:rPr>
                <w:rFonts w:hint="eastAsia" w:hAnsi="宋体"/>
                <w:color w:val="0D0D0D" w:themeColor="text1" w:themeTint="F2"/>
                <w:kern w:val="0"/>
                <w:sz w:val="24"/>
                <w14:textFill>
                  <w14:solidFill>
                    <w14:schemeClr w14:val="tx1">
                      <w14:lumMod w14:val="95000"/>
                      <w14:lumOff w14:val="5000"/>
                    </w14:schemeClr>
                  </w14:solidFill>
                </w14:textFill>
              </w:rPr>
              <w:t>（3）工业固体废弃物厂内暂贮处</w:t>
            </w:r>
          </w:p>
          <w:p>
            <w:pPr>
              <w:keepNext w:val="0"/>
              <w:keepLines w:val="0"/>
              <w:suppressLineNumbers w:val="0"/>
              <w:spacing w:before="0" w:beforeAutospacing="0" w:after="0" w:afterAutospacing="0" w:line="360" w:lineRule="auto"/>
              <w:ind w:left="0" w:right="0" w:firstLine="482"/>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本项目设置固废临时暂贮场及危险固废暂贮库。</w:t>
            </w:r>
            <w:r>
              <w:rPr>
                <w:rFonts w:hint="default"/>
                <w:color w:val="0D0D0D" w:themeColor="text1" w:themeTint="F2"/>
                <w:sz w:val="24"/>
                <w14:textFill>
                  <w14:solidFill>
                    <w14:schemeClr w14:val="tx1">
                      <w14:lumMod w14:val="95000"/>
                      <w14:lumOff w14:val="5000"/>
                    </w14:schemeClr>
                  </w14:solidFill>
                </w14:textFill>
              </w:rPr>
              <w:t>固体废物堆放场所必须有防火、防</w:t>
            </w:r>
            <w:r>
              <w:rPr>
                <w:rFonts w:hint="eastAsia"/>
                <w:color w:val="0D0D0D" w:themeColor="text1" w:themeTint="F2"/>
                <w:sz w:val="24"/>
                <w14:textFill>
                  <w14:solidFill>
                    <w14:schemeClr w14:val="tx1">
                      <w14:lumMod w14:val="95000"/>
                      <w14:lumOff w14:val="5000"/>
                    </w14:schemeClr>
                  </w14:solidFill>
                </w14:textFill>
              </w:rPr>
              <w:t>腐蚀、防流失等措施，并应设置标志牌。</w:t>
            </w:r>
          </w:p>
          <w:p>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0D0D0D" w:themeColor="text1" w:themeTint="F2"/>
                <w:sz w:val="24"/>
                <w14:textFill>
                  <w14:solidFill>
                    <w14:schemeClr w14:val="tx1">
                      <w14:lumMod w14:val="95000"/>
                      <w14:lumOff w14:val="5000"/>
                    </w14:schemeClr>
                  </w14:solidFill>
                </w14:textFill>
              </w:rPr>
            </w:pPr>
            <w:r>
              <w:rPr>
                <w:rFonts w:hint="eastAsia"/>
                <w:color w:val="0D0D0D" w:themeColor="text1" w:themeTint="F2"/>
                <w:sz w:val="24"/>
                <w14:textFill>
                  <w14:solidFill>
                    <w14:schemeClr w14:val="tx1">
                      <w14:lumMod w14:val="95000"/>
                      <w14:lumOff w14:val="5000"/>
                    </w14:schemeClr>
                  </w14:solidFill>
                </w14:textFill>
              </w:rPr>
              <w:t>项目建设完成后，应对所有污染排放口的名称、位置、数量，以及排放污染物名称、数量等内容进行统计，并登记上报当地环保部门，以便进行验收和排放口的规范化管理。</w:t>
            </w:r>
            <w:bookmarkEnd w:id="1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1" w:type="dxa"/>
            <w:vMerge w:val="continue"/>
            <w:vAlign w:val="center"/>
          </w:tcPr>
          <w:p>
            <w:pPr>
              <w:keepNext w:val="0"/>
              <w:keepLines w:val="0"/>
              <w:suppressLineNumbers w:val="0"/>
              <w:autoSpaceDE w:val="0"/>
              <w:autoSpaceDN w:val="0"/>
              <w:adjustRightInd w:val="0"/>
              <w:snapToGrid w:val="0"/>
              <w:spacing w:before="0" w:beforeAutospacing="0" w:after="0" w:afterAutospacing="0"/>
              <w:ind w:left="0" w:right="0"/>
              <w:jc w:val="center"/>
              <w:rPr>
                <w:rFonts w:hint="default" w:cs="宋体"/>
                <w:color w:val="0D0D0D" w:themeColor="text1" w:themeTint="F2"/>
                <w:kern w:val="0"/>
                <w:sz w:val="24"/>
                <w14:textFill>
                  <w14:solidFill>
                    <w14:schemeClr w14:val="tx1">
                      <w14:lumMod w14:val="95000"/>
                      <w14:lumOff w14:val="5000"/>
                    </w14:schemeClr>
                  </w14:solidFill>
                </w14:textFill>
              </w:rPr>
            </w:pPr>
          </w:p>
        </w:tc>
        <w:tc>
          <w:tcPr>
            <w:tcW w:w="8293" w:type="dxa"/>
          </w:tcPr>
          <w:p>
            <w:pPr>
              <w:keepNext w:val="0"/>
              <w:keepLines w:val="0"/>
              <w:widowControl/>
              <w:suppressLineNumbers w:val="0"/>
              <w:spacing w:before="120" w:beforeLines="50" w:beforeAutospacing="0" w:after="0" w:afterAutospacing="0" w:line="360" w:lineRule="auto"/>
              <w:ind w:left="0" w:right="0" w:firstLine="482" w:firstLineChars="200"/>
              <w:jc w:val="left"/>
              <w:rPr>
                <w:rFonts w:hint="default"/>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八、环保投资估算</w:t>
            </w:r>
          </w:p>
          <w:p>
            <w:pPr>
              <w:keepNext w:val="0"/>
              <w:keepLines w:val="0"/>
              <w:widowControl/>
              <w:suppressLineNumbers w:val="0"/>
              <w:spacing w:before="0" w:beforeAutospacing="0" w:after="0" w:afterAutospacing="0" w:line="360" w:lineRule="auto"/>
              <w:ind w:left="0" w:right="0" w:firstLine="480" w:firstLineChars="200"/>
              <w:jc w:val="left"/>
              <w:rPr>
                <w:rFonts w:hint="default"/>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本项目环保投资约</w:t>
            </w:r>
            <w:r>
              <w:rPr>
                <w:rFonts w:hint="eastAsia"/>
                <w:color w:val="0D0D0D" w:themeColor="text1" w:themeTint="F2"/>
                <w:kern w:val="0"/>
                <w:sz w:val="24"/>
                <w:lang w:val="en-US" w:eastAsia="zh-CN"/>
                <w14:textFill>
                  <w14:solidFill>
                    <w14:schemeClr w14:val="tx1">
                      <w14:lumMod w14:val="95000"/>
                      <w14:lumOff w14:val="5000"/>
                    </w14:schemeClr>
                  </w14:solidFill>
                </w14:textFill>
              </w:rPr>
              <w:t>81</w:t>
            </w:r>
            <w:r>
              <w:rPr>
                <w:rFonts w:hint="eastAsia"/>
                <w:color w:val="0D0D0D" w:themeColor="text1" w:themeTint="F2"/>
                <w:kern w:val="0"/>
                <w:sz w:val="24"/>
                <w14:textFill>
                  <w14:solidFill>
                    <w14:schemeClr w14:val="tx1">
                      <w14:lumMod w14:val="95000"/>
                      <w14:lumOff w14:val="5000"/>
                    </w14:schemeClr>
                  </w14:solidFill>
                </w14:textFill>
              </w:rPr>
              <w:t>万元，环境保护投资估算详见表4-</w:t>
            </w:r>
            <w:r>
              <w:rPr>
                <w:rFonts w:hint="eastAsia"/>
                <w:color w:val="0D0D0D" w:themeColor="text1" w:themeTint="F2"/>
                <w:kern w:val="0"/>
                <w:sz w:val="24"/>
                <w:lang w:val="en-US" w:eastAsia="zh-CN"/>
                <w14:textFill>
                  <w14:solidFill>
                    <w14:schemeClr w14:val="tx1">
                      <w14:lumMod w14:val="95000"/>
                      <w14:lumOff w14:val="5000"/>
                    </w14:schemeClr>
                  </w14:solidFill>
                </w14:textFill>
              </w:rPr>
              <w:t>24</w:t>
            </w:r>
            <w:r>
              <w:rPr>
                <w:rFonts w:hint="eastAsia"/>
                <w:color w:val="0D0D0D" w:themeColor="text1" w:themeTint="F2"/>
                <w:kern w:val="0"/>
                <w:sz w:val="24"/>
                <w14:textFill>
                  <w14:solidFill>
                    <w14:schemeClr w14:val="tx1">
                      <w14:lumMod w14:val="95000"/>
                      <w14:lumOff w14:val="5000"/>
                    </w14:schemeClr>
                  </w14:solidFill>
                </w14:textFill>
              </w:rPr>
              <w:t>。</w:t>
            </w: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r>
              <w:rPr>
                <w:rFonts w:hint="default"/>
                <w:b/>
                <w:color w:val="0D0D0D" w:themeColor="text1" w:themeTint="F2"/>
                <w:kern w:val="0"/>
                <w:sz w:val="24"/>
                <w:szCs w:val="20"/>
                <w14:textFill>
                  <w14:solidFill>
                    <w14:schemeClr w14:val="tx1">
                      <w14:lumMod w14:val="95000"/>
                      <w14:lumOff w14:val="5000"/>
                    </w14:schemeClr>
                  </w14:solidFill>
                </w14:textFill>
              </w:rPr>
              <w:t>表</w:t>
            </w:r>
            <w:r>
              <w:rPr>
                <w:rFonts w:hint="eastAsia"/>
                <w:b/>
                <w:color w:val="0D0D0D" w:themeColor="text1" w:themeTint="F2"/>
                <w:kern w:val="0"/>
                <w:sz w:val="24"/>
                <w:szCs w:val="20"/>
                <w14:textFill>
                  <w14:solidFill>
                    <w14:schemeClr w14:val="tx1">
                      <w14:lumMod w14:val="95000"/>
                      <w14:lumOff w14:val="5000"/>
                    </w14:schemeClr>
                  </w14:solidFill>
                </w14:textFill>
              </w:rPr>
              <w:t>4</w:t>
            </w:r>
            <w:r>
              <w:rPr>
                <w:rFonts w:hint="default"/>
                <w:b/>
                <w:color w:val="0D0D0D" w:themeColor="text1" w:themeTint="F2"/>
                <w:kern w:val="0"/>
                <w:sz w:val="24"/>
                <w:szCs w:val="20"/>
                <w14:textFill>
                  <w14:solidFill>
                    <w14:schemeClr w14:val="tx1">
                      <w14:lumMod w14:val="95000"/>
                      <w14:lumOff w14:val="5000"/>
                    </w14:schemeClr>
                  </w14:solidFill>
                </w14:textFill>
              </w:rPr>
              <w:t>-2</w:t>
            </w:r>
            <w:r>
              <w:rPr>
                <w:rFonts w:hint="eastAsia"/>
                <w:b/>
                <w:color w:val="0D0D0D" w:themeColor="text1" w:themeTint="F2"/>
                <w:kern w:val="0"/>
                <w:sz w:val="24"/>
                <w:szCs w:val="20"/>
                <w:lang w:val="en-US" w:eastAsia="zh-CN"/>
                <w14:textFill>
                  <w14:solidFill>
                    <w14:schemeClr w14:val="tx1">
                      <w14:lumMod w14:val="95000"/>
                      <w14:lumOff w14:val="5000"/>
                    </w14:schemeClr>
                  </w14:solidFill>
                </w14:textFill>
              </w:rPr>
              <w:t>4</w:t>
            </w:r>
            <w:r>
              <w:rPr>
                <w:rFonts w:hint="default"/>
                <w:b/>
                <w:color w:val="0D0D0D" w:themeColor="text1" w:themeTint="F2"/>
                <w:kern w:val="0"/>
                <w:sz w:val="24"/>
                <w:szCs w:val="20"/>
                <w14:textFill>
                  <w14:solidFill>
                    <w14:schemeClr w14:val="tx1">
                      <w14:lumMod w14:val="95000"/>
                      <w14:lumOff w14:val="5000"/>
                    </w14:schemeClr>
                  </w14:solidFill>
                </w14:textFill>
              </w:rPr>
              <w:t xml:space="preserve">  本项目污染防治措施及投资估算一览表</w:t>
            </w:r>
            <w:r>
              <w:rPr>
                <w:rFonts w:hint="eastAsia"/>
                <w:b/>
                <w:color w:val="0D0D0D" w:themeColor="text1" w:themeTint="F2"/>
                <w:kern w:val="0"/>
                <w:sz w:val="24"/>
                <w:szCs w:val="20"/>
                <w14:textFill>
                  <w14:solidFill>
                    <w14:schemeClr w14:val="tx1">
                      <w14:lumMod w14:val="95000"/>
                      <w14:lumOff w14:val="5000"/>
                    </w14:schemeClr>
                  </w14:solidFill>
                </w14:textFill>
              </w:rPr>
              <w:t xml:space="preserve">  </w:t>
            </w:r>
            <w:r>
              <w:rPr>
                <w:rFonts w:hint="eastAsia"/>
                <w:b/>
                <w:color w:val="0D0D0D" w:themeColor="text1" w:themeTint="F2"/>
                <w:kern w:val="0"/>
                <w:sz w:val="20"/>
                <w:szCs w:val="21"/>
                <w14:textFill>
                  <w14:solidFill>
                    <w14:schemeClr w14:val="tx1">
                      <w14:lumMod w14:val="95000"/>
                      <w14:lumOff w14:val="5000"/>
                    </w14:schemeClr>
                  </w14:solidFill>
                </w14:textFill>
              </w:rPr>
              <w:t>单位：</w:t>
            </w:r>
            <w:r>
              <w:rPr>
                <w:rFonts w:hint="default"/>
                <w:b/>
                <w:color w:val="0D0D0D" w:themeColor="text1" w:themeTint="F2"/>
                <w:kern w:val="0"/>
                <w:sz w:val="20"/>
                <w:szCs w:val="21"/>
                <w14:textFill>
                  <w14:solidFill>
                    <w14:schemeClr w14:val="tx1">
                      <w14:lumMod w14:val="95000"/>
                      <w14:lumOff w14:val="5000"/>
                    </w14:schemeClr>
                  </w14:solidFill>
                </w14:textFill>
              </w:rPr>
              <w:t>万元</w:t>
            </w:r>
          </w:p>
          <w:tbl>
            <w:tblPr>
              <w:tblStyle w:val="59"/>
              <w:tblpPr w:leftFromText="180" w:rightFromText="180" w:vertAnchor="text" w:tblpXSpec="center" w:tblpY="1"/>
              <w:tblOverlap w:val="never"/>
              <w:tblW w:w="4886"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526"/>
              <w:gridCol w:w="1743"/>
              <w:gridCol w:w="1987"/>
              <w:gridCol w:w="707"/>
              <w:gridCol w:w="2125"/>
              <w:gridCol w:w="80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333"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分类</w:t>
                  </w:r>
                </w:p>
              </w:tc>
              <w:tc>
                <w:tcPr>
                  <w:tcW w:w="1104" w:type="pct"/>
                  <w:vAlign w:val="center"/>
                </w:tcPr>
                <w:p>
                  <w:pPr>
                    <w:keepNext w:val="0"/>
                    <w:keepLines w:val="0"/>
                    <w:widowControl/>
                    <w:suppressLineNumbers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治理对象</w:t>
                  </w:r>
                </w:p>
              </w:tc>
              <w:tc>
                <w:tcPr>
                  <w:tcW w:w="1258"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污染防治措施</w:t>
                  </w:r>
                </w:p>
              </w:tc>
              <w:tc>
                <w:tcPr>
                  <w:tcW w:w="447"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数量</w:t>
                  </w:r>
                </w:p>
              </w:tc>
              <w:tc>
                <w:tcPr>
                  <w:tcW w:w="1346"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预期治理效果</w:t>
                  </w:r>
                </w:p>
              </w:tc>
              <w:tc>
                <w:tcPr>
                  <w:tcW w:w="509"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b/>
                      <w:color w:val="0D0D0D" w:themeColor="text1" w:themeTint="F2"/>
                      <w:kern w:val="0"/>
                      <w:szCs w:val="21"/>
                      <w14:textFill>
                        <w14:solidFill>
                          <w14:schemeClr w14:val="tx1">
                            <w14:lumMod w14:val="95000"/>
                            <w14:lumOff w14:val="5000"/>
                          </w14:schemeClr>
                        </w14:solidFill>
                      </w14:textFill>
                    </w:rPr>
                  </w:pPr>
                  <w:r>
                    <w:rPr>
                      <w:rFonts w:hint="default"/>
                      <w:b/>
                      <w:color w:val="0D0D0D" w:themeColor="text1" w:themeTint="F2"/>
                      <w:kern w:val="0"/>
                      <w:szCs w:val="21"/>
                      <w14:textFill>
                        <w14:solidFill>
                          <w14:schemeClr w14:val="tx1">
                            <w14:lumMod w14:val="95000"/>
                            <w14:lumOff w14:val="5000"/>
                          </w14:schemeClr>
                        </w14:solidFill>
                      </w14:textFill>
                    </w:rPr>
                    <w:t>投资</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restart"/>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废水</w:t>
                  </w:r>
                </w:p>
              </w:tc>
              <w:tc>
                <w:tcPr>
                  <w:tcW w:w="1104" w:type="pct"/>
                  <w:vAlign w:val="center"/>
                </w:tcPr>
                <w:p>
                  <w:pPr>
                    <w:keepNext w:val="0"/>
                    <w:keepLines w:val="0"/>
                    <w:suppressLineNumbers w:val="0"/>
                    <w:adjustRightInd w:val="0"/>
                    <w:snapToGrid w:val="0"/>
                    <w:spacing w:before="0" w:beforeAutospacing="0" w:after="0" w:afterAutospacing="0"/>
                    <w:ind w:left="-50" w:right="-50"/>
                    <w:jc w:val="center"/>
                    <w:rPr>
                      <w:rFonts w:hint="default"/>
                      <w:snapToGrid w:val="0"/>
                      <w:color w:val="0D0D0D" w:themeColor="text1" w:themeTint="F2"/>
                      <w:spacing w:val="6"/>
                      <w:kern w:val="0"/>
                      <w:szCs w:val="21"/>
                      <w14:textFill>
                        <w14:solidFill>
                          <w14:schemeClr w14:val="tx1">
                            <w14:lumMod w14:val="95000"/>
                            <w14:lumOff w14:val="5000"/>
                          </w14:schemeClr>
                        </w14:solidFill>
                      </w14:textFill>
                    </w:rPr>
                  </w:pPr>
                  <w:r>
                    <w:rPr>
                      <w:rFonts w:hint="eastAsia"/>
                      <w:snapToGrid w:val="0"/>
                      <w:color w:val="0D0D0D" w:themeColor="text1" w:themeTint="F2"/>
                      <w:spacing w:val="6"/>
                      <w:kern w:val="0"/>
                      <w:szCs w:val="21"/>
                      <w14:textFill>
                        <w14:solidFill>
                          <w14:schemeClr w14:val="tx1">
                            <w14:lumMod w14:val="95000"/>
                            <w14:lumOff w14:val="5000"/>
                          </w14:schemeClr>
                        </w14:solidFill>
                      </w14:textFill>
                    </w:rPr>
                    <w:t>生活废水</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隔油池+</w:t>
                  </w:r>
                  <w:r>
                    <w:rPr>
                      <w:rFonts w:hint="eastAsia"/>
                      <w:color w:val="0D0D0D" w:themeColor="text1" w:themeTint="F2"/>
                      <w:szCs w:val="21"/>
                      <w14:textFill>
                        <w14:solidFill>
                          <w14:schemeClr w14:val="tx1">
                            <w14:lumMod w14:val="95000"/>
                            <w14:lumOff w14:val="5000"/>
                          </w14:schemeClr>
                        </w14:solidFill>
                      </w14:textFill>
                    </w:rPr>
                    <w:t>化粪池</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eastAsia" w:hAnsi="宋体"/>
                      <w:color w:val="0D0D0D" w:themeColor="text1" w:themeTint="F2"/>
                      <w:kern w:val="24"/>
                      <w:szCs w:val="21"/>
                      <w14:textFill>
                        <w14:solidFill>
                          <w14:schemeClr w14:val="tx1">
                            <w14:lumMod w14:val="95000"/>
                            <w14:lumOff w14:val="5000"/>
                          </w14:schemeClr>
                        </w14:solidFill>
                      </w14:textFill>
                    </w:rPr>
                    <w:t>《污水综合排放标准》（</w:t>
                  </w:r>
                  <w:r>
                    <w:rPr>
                      <w:rFonts w:hint="default" w:hAnsi="宋体"/>
                      <w:color w:val="0D0D0D" w:themeColor="text1" w:themeTint="F2"/>
                      <w:kern w:val="24"/>
                      <w:szCs w:val="21"/>
                      <w14:textFill>
                        <w14:solidFill>
                          <w14:schemeClr w14:val="tx1">
                            <w14:lumMod w14:val="95000"/>
                            <w14:lumOff w14:val="5000"/>
                          </w14:schemeClr>
                        </w14:solidFill>
                      </w14:textFill>
                    </w:rPr>
                    <w:t>GB8978-1996</w:t>
                  </w:r>
                  <w:r>
                    <w:rPr>
                      <w:rFonts w:hint="eastAsia" w:hAnsi="宋体"/>
                      <w:color w:val="0D0D0D" w:themeColor="text1" w:themeTint="F2"/>
                      <w:kern w:val="24"/>
                      <w:szCs w:val="21"/>
                      <w14:textFill>
                        <w14:solidFill>
                          <w14:schemeClr w14:val="tx1">
                            <w14:lumMod w14:val="95000"/>
                            <w14:lumOff w14:val="5000"/>
                          </w14:schemeClr>
                        </w14:solidFill>
                      </w14:textFill>
                    </w:rPr>
                    <w:t>）表</w:t>
                  </w:r>
                  <w:r>
                    <w:rPr>
                      <w:rFonts w:hint="default" w:hAnsi="宋体"/>
                      <w:color w:val="0D0D0D" w:themeColor="text1" w:themeTint="F2"/>
                      <w:kern w:val="24"/>
                      <w:szCs w:val="21"/>
                      <w14:textFill>
                        <w14:solidFill>
                          <w14:schemeClr w14:val="tx1">
                            <w14:lumMod w14:val="95000"/>
                            <w14:lumOff w14:val="5000"/>
                          </w14:schemeClr>
                        </w14:solidFill>
                      </w14:textFill>
                    </w:rPr>
                    <w:t>4</w:t>
                  </w:r>
                  <w:r>
                    <w:rPr>
                      <w:rFonts w:hint="eastAsia" w:hAnsi="宋体"/>
                      <w:color w:val="0D0D0D" w:themeColor="text1" w:themeTint="F2"/>
                      <w:kern w:val="24"/>
                      <w:szCs w:val="21"/>
                      <w14:textFill>
                        <w14:solidFill>
                          <w14:schemeClr w14:val="tx1">
                            <w14:lumMod w14:val="95000"/>
                            <w14:lumOff w14:val="5000"/>
                          </w14:schemeClr>
                        </w14:solidFill>
                      </w14:textFill>
                    </w:rPr>
                    <w:t>中三级标准及</w:t>
                  </w:r>
                  <w:r>
                    <w:rPr>
                      <w:rFonts w:hint="eastAsia"/>
                      <w:color w:val="0D0D0D" w:themeColor="text1" w:themeTint="F2"/>
                      <w:szCs w:val="21"/>
                      <w:lang w:val="en-US" w:eastAsia="zh-CN"/>
                      <w14:textFill>
                        <w14:solidFill>
                          <w14:schemeClr w14:val="tx1">
                            <w14:lumMod w14:val="95000"/>
                            <w14:lumOff w14:val="5000"/>
                          </w14:schemeClr>
                        </w14:solidFill>
                      </w14:textFill>
                    </w:rPr>
                    <w:t>滨江</w:t>
                  </w:r>
                  <w:r>
                    <w:rPr>
                      <w:rFonts w:hint="eastAsia"/>
                      <w:color w:val="0D0D0D" w:themeColor="text1" w:themeTint="F2"/>
                      <w:szCs w:val="21"/>
                      <w14:textFill>
                        <w14:solidFill>
                          <w14:schemeClr w14:val="tx1">
                            <w14:lumMod w14:val="95000"/>
                            <w14:lumOff w14:val="5000"/>
                          </w14:schemeClr>
                        </w14:solidFill>
                      </w14:textFill>
                    </w:rPr>
                    <w:t>污水处理厂纳管标准</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suppressLineNumbers w:val="0"/>
                    <w:adjustRightInd w:val="0"/>
                    <w:snapToGrid w:val="0"/>
                    <w:spacing w:before="0" w:beforeAutospacing="0" w:after="0" w:afterAutospacing="0"/>
                    <w:ind w:left="-50" w:right="-50"/>
                    <w:jc w:val="center"/>
                    <w:rPr>
                      <w:rFonts w:hint="default"/>
                      <w:snapToGrid w:val="0"/>
                      <w:color w:val="0D0D0D" w:themeColor="text1" w:themeTint="F2"/>
                      <w:spacing w:val="6"/>
                      <w:kern w:val="0"/>
                      <w:szCs w:val="21"/>
                      <w14:textFill>
                        <w14:solidFill>
                          <w14:schemeClr w14:val="tx1">
                            <w14:lumMod w14:val="95000"/>
                            <w14:lumOff w14:val="5000"/>
                          </w14:schemeClr>
                        </w14:solidFill>
                      </w14:textFill>
                    </w:rPr>
                  </w:pPr>
                  <w:r>
                    <w:rPr>
                      <w:rFonts w:hint="eastAsia"/>
                      <w:snapToGrid w:val="0"/>
                      <w:color w:val="0D0D0D" w:themeColor="text1" w:themeTint="F2"/>
                      <w:spacing w:val="6"/>
                      <w:kern w:val="0"/>
                      <w:szCs w:val="21"/>
                      <w14:textFill>
                        <w14:solidFill>
                          <w14:schemeClr w14:val="tx1">
                            <w14:lumMod w14:val="95000"/>
                            <w14:lumOff w14:val="5000"/>
                          </w14:schemeClr>
                        </w14:solidFill>
                      </w14:textFill>
                    </w:rPr>
                    <w:t>生产废水</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沉淀池、冷却池</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eastAsia="宋体"/>
                      <w:color w:val="0D0D0D" w:themeColor="text1" w:themeTint="F2"/>
                      <w:szCs w:val="21"/>
                      <w:lang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2</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不外排</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restart"/>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废气</w:t>
                  </w:r>
                </w:p>
              </w:tc>
              <w:tc>
                <w:tcPr>
                  <w:tcW w:w="1104" w:type="pct"/>
                  <w:vAlign w:val="center"/>
                </w:tcPr>
                <w:p>
                  <w:pPr>
                    <w:keepNext w:val="0"/>
                    <w:keepLines w:val="0"/>
                    <w:widowControl/>
                    <w:suppressLineNumbers w:val="0"/>
                    <w:autoSpaceDE w:val="0"/>
                    <w:autoSpaceDN w:val="0"/>
                    <w:spacing w:before="0" w:beforeAutospacing="0" w:after="0" w:afterAutospacing="0"/>
                    <w:ind w:left="-105" w:leftChars="-50" w:right="-105" w:rightChars="-50"/>
                    <w:jc w:val="center"/>
                    <w:rPr>
                      <w:rFonts w:hint="default"/>
                      <w:color w:val="auto"/>
                      <w:szCs w:val="21"/>
                      <w:highlight w:val="none"/>
                    </w:rPr>
                  </w:pPr>
                  <w:r>
                    <w:rPr>
                      <w:rFonts w:hint="eastAsia"/>
                      <w:color w:val="auto"/>
                      <w:szCs w:val="21"/>
                      <w:highlight w:val="none"/>
                      <w:lang w:val="en-US" w:eastAsia="zh-CN"/>
                    </w:rPr>
                    <w:t>熔化、天然气燃烧废气</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highlight w:val="none"/>
                    </w:rPr>
                  </w:pPr>
                  <w:r>
                    <w:rPr>
                      <w:rFonts w:hint="eastAsia"/>
                      <w:color w:val="auto"/>
                      <w:szCs w:val="21"/>
                      <w:highlight w:val="none"/>
                      <w:lang w:val="en-US" w:eastAsia="zh-CN"/>
                    </w:rPr>
                    <w:t>布袋除尘器</w:t>
                  </w:r>
                  <w:r>
                    <w:rPr>
                      <w:rFonts w:hint="eastAsia"/>
                      <w:color w:val="auto"/>
                      <w:szCs w:val="21"/>
                      <w:highlight w:val="none"/>
                    </w:rPr>
                    <w:t>+</w:t>
                  </w:r>
                  <w:r>
                    <w:rPr>
                      <w:rFonts w:hint="default"/>
                      <w:color w:val="auto"/>
                      <w:szCs w:val="21"/>
                      <w:highlight w:val="none"/>
                    </w:rPr>
                    <w:t>15 m</w:t>
                  </w:r>
                  <w:r>
                    <w:rPr>
                      <w:rFonts w:hint="eastAsia"/>
                      <w:color w:val="auto"/>
                      <w:szCs w:val="21"/>
                      <w:highlight w:val="none"/>
                    </w:rPr>
                    <w:t>高排气筒（D</w:t>
                  </w:r>
                  <w:r>
                    <w:rPr>
                      <w:rFonts w:hint="default"/>
                      <w:color w:val="auto"/>
                      <w:szCs w:val="21"/>
                      <w:highlight w:val="none"/>
                    </w:rPr>
                    <w:t>A001</w:t>
                  </w:r>
                  <w:r>
                    <w:rPr>
                      <w:rFonts w:hint="eastAsia"/>
                      <w:color w:val="auto"/>
                      <w:szCs w:val="21"/>
                      <w:highlight w:val="none"/>
                    </w:rPr>
                    <w:t>）</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 xml:space="preserve">《铸造工业大气污 </w:t>
                  </w:r>
                </w:p>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 xml:space="preserve">染物排放标准》 </w:t>
                  </w:r>
                </w:p>
                <w:p>
                  <w:pPr>
                    <w:keepNext w:val="0"/>
                    <w:keepLines w:val="0"/>
                    <w:widowControl/>
                    <w:suppressLineNumbers w:val="0"/>
                    <w:adjustRightInd w:val="0"/>
                    <w:snapToGrid w:val="0"/>
                    <w:spacing w:before="0" w:beforeAutospacing="0" w:after="0" w:afterAutospacing="0"/>
                    <w:ind w:left="-50" w:right="-50"/>
                    <w:jc w:val="center"/>
                    <w:rPr>
                      <w:rFonts w:hint="eastAsia" w:eastAsia="宋体"/>
                      <w:color w:val="auto"/>
                      <w:szCs w:val="21"/>
                      <w:lang w:eastAsia="zh-CN"/>
                    </w:rPr>
                  </w:pPr>
                  <w:r>
                    <w:rPr>
                      <w:rFonts w:hint="default"/>
                      <w:color w:val="auto"/>
                      <w:szCs w:val="21"/>
                      <w:lang w:val="en-US" w:eastAsia="zh-CN"/>
                    </w:rPr>
                    <w:t>（GB39726-2020）表 1</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widowControl/>
                    <w:suppressLineNumbers w:val="0"/>
                    <w:autoSpaceDE w:val="0"/>
                    <w:autoSpaceDN w:val="0"/>
                    <w:spacing w:before="0" w:beforeAutospacing="0" w:after="0" w:afterAutospacing="0"/>
                    <w:ind w:left="-105" w:leftChars="-50" w:right="-105" w:rightChars="-50"/>
                    <w:jc w:val="center"/>
                    <w:rPr>
                      <w:rFonts w:hint="eastAsia"/>
                      <w:color w:val="auto"/>
                      <w:szCs w:val="21"/>
                      <w:highlight w:val="none"/>
                      <w:lang w:val="en-US" w:eastAsia="zh-CN"/>
                    </w:rPr>
                  </w:pPr>
                  <w:r>
                    <w:rPr>
                      <w:rFonts w:hint="eastAsia"/>
                      <w:color w:val="auto"/>
                      <w:szCs w:val="21"/>
                      <w:highlight w:val="none"/>
                      <w:lang w:val="en-US" w:eastAsia="zh-CN"/>
                    </w:rPr>
                    <w:t>压铸脱模废气</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color w:val="auto"/>
                      <w:szCs w:val="21"/>
                      <w:highlight w:val="none"/>
                      <w:lang w:val="en-US" w:eastAsia="zh-CN"/>
                    </w:rPr>
                  </w:pPr>
                  <w:r>
                    <w:rPr>
                      <w:rFonts w:hint="eastAsia"/>
                      <w:color w:val="auto"/>
                      <w:szCs w:val="21"/>
                      <w:highlight w:val="none"/>
                      <w:lang w:val="en-US" w:eastAsia="zh-CN"/>
                    </w:rPr>
                    <w:t>静电油雾净化+两级活性炭+15 m高排气筒（DA002）</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eastAsia="宋体"/>
                      <w:color w:val="auto"/>
                      <w:kern w:val="0"/>
                      <w:szCs w:val="21"/>
                      <w:lang w:val="en-US" w:eastAsia="zh-CN"/>
                    </w:rPr>
                  </w:pPr>
                  <w:r>
                    <w:rPr>
                      <w:rFonts w:hint="eastAsia"/>
                      <w:color w:val="auto"/>
                      <w:kern w:val="0"/>
                      <w:szCs w:val="21"/>
                      <w:lang w:val="en-US" w:eastAsia="zh-CN"/>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color w:val="auto"/>
                      <w:szCs w:val="21"/>
                      <w:lang w:val="en-US" w:eastAsia="zh-CN"/>
                    </w:rPr>
                  </w:pPr>
                  <w:r>
                    <w:rPr>
                      <w:rFonts w:hint="eastAsia"/>
                      <w:color w:val="auto"/>
                      <w:szCs w:val="21"/>
                      <w:lang w:val="en-US" w:eastAsia="zh-CN"/>
                    </w:rPr>
                    <w:t xml:space="preserve">《大气污染物综合排放标准》 </w:t>
                  </w:r>
                </w:p>
                <w:p>
                  <w:pPr>
                    <w:keepNext w:val="0"/>
                    <w:keepLines w:val="0"/>
                    <w:widowControl/>
                    <w:suppressLineNumbers w:val="0"/>
                    <w:adjustRightInd w:val="0"/>
                    <w:snapToGrid w:val="0"/>
                    <w:spacing w:before="0" w:beforeAutospacing="0" w:after="0" w:afterAutospacing="0"/>
                    <w:ind w:left="-50" w:right="-50"/>
                    <w:jc w:val="center"/>
                    <w:rPr>
                      <w:rFonts w:hint="eastAsia"/>
                      <w:color w:val="auto"/>
                      <w:szCs w:val="21"/>
                      <w:lang w:val="en-US" w:eastAsia="zh-CN"/>
                    </w:rPr>
                  </w:pPr>
                  <w:r>
                    <w:rPr>
                      <w:rFonts w:hint="eastAsia"/>
                      <w:color w:val="auto"/>
                      <w:szCs w:val="21"/>
                      <w:lang w:val="en-US" w:eastAsia="zh-CN"/>
                    </w:rPr>
                    <w:t>（GB16297-1996）中表 2</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10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widowControl/>
                    <w:suppressLineNumbers w:val="0"/>
                    <w:autoSpaceDE w:val="0"/>
                    <w:autoSpaceDN w:val="0"/>
                    <w:spacing w:before="0" w:beforeAutospacing="0" w:after="0" w:afterAutospacing="0"/>
                    <w:ind w:left="-105" w:leftChars="-50" w:right="-105" w:rightChars="-50"/>
                    <w:jc w:val="center"/>
                    <w:rPr>
                      <w:rFonts w:hint="eastAsia" w:eastAsia="宋体"/>
                      <w:color w:val="auto"/>
                      <w:szCs w:val="21"/>
                      <w:lang w:eastAsia="zh-CN"/>
                    </w:rPr>
                  </w:pPr>
                  <w:r>
                    <w:rPr>
                      <w:rFonts w:hint="eastAsia"/>
                      <w:color w:val="auto"/>
                      <w:szCs w:val="21"/>
                      <w:lang w:val="en-US" w:eastAsia="zh-CN"/>
                    </w:rPr>
                    <w:t>抛丸粉尘</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eastAsia"/>
                      <w:color w:val="auto"/>
                      <w:szCs w:val="21"/>
                      <w:lang w:val="en-US" w:eastAsia="zh-CN"/>
                    </w:rPr>
                    <w:t>设备自带除尘设备</w:t>
                  </w:r>
                  <w:r>
                    <w:rPr>
                      <w:rFonts w:hint="eastAsia"/>
                      <w:color w:val="auto"/>
                      <w:szCs w:val="21"/>
                    </w:rPr>
                    <w:t>+</w:t>
                  </w:r>
                  <w:r>
                    <w:rPr>
                      <w:rFonts w:hint="default"/>
                      <w:color w:val="auto"/>
                      <w:szCs w:val="21"/>
                    </w:rPr>
                    <w:t>15 m</w:t>
                  </w:r>
                  <w:r>
                    <w:rPr>
                      <w:rFonts w:hint="eastAsia"/>
                      <w:color w:val="auto"/>
                      <w:szCs w:val="21"/>
                    </w:rPr>
                    <w:t>高排气筒（D</w:t>
                  </w:r>
                  <w:r>
                    <w:rPr>
                      <w:rFonts w:hint="default"/>
                      <w:color w:val="auto"/>
                      <w:szCs w:val="21"/>
                    </w:rPr>
                    <w:t>A00</w:t>
                  </w:r>
                  <w:r>
                    <w:rPr>
                      <w:rFonts w:hint="eastAsia"/>
                      <w:color w:val="auto"/>
                      <w:szCs w:val="21"/>
                      <w:lang w:val="en-US" w:eastAsia="zh-CN"/>
                    </w:rPr>
                    <w:t>3</w:t>
                  </w:r>
                  <w:r>
                    <w:rPr>
                      <w:rFonts w:hint="eastAsia"/>
                      <w:color w:val="auto"/>
                      <w:szCs w:val="21"/>
                    </w:rPr>
                    <w:t>）</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 xml:space="preserve">《铸造工业大气污 </w:t>
                  </w:r>
                </w:p>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 xml:space="preserve">染物排放标准》 </w:t>
                  </w:r>
                </w:p>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（GB39726-2020）表 1</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3</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widowControl/>
                    <w:suppressLineNumbers w:val="0"/>
                    <w:autoSpaceDE w:val="0"/>
                    <w:autoSpaceDN w:val="0"/>
                    <w:spacing w:before="0" w:beforeAutospacing="0" w:after="0" w:afterAutospacing="0"/>
                    <w:ind w:left="-105" w:leftChars="-50" w:right="-105" w:rightChars="-50"/>
                    <w:jc w:val="center"/>
                    <w:rPr>
                      <w:rFonts w:hint="default"/>
                      <w:color w:val="auto"/>
                      <w:szCs w:val="21"/>
                      <w:lang w:val="en-US" w:eastAsia="zh-CN"/>
                    </w:rPr>
                  </w:pPr>
                  <w:r>
                    <w:rPr>
                      <w:rFonts w:hint="eastAsia"/>
                      <w:color w:val="auto"/>
                      <w:szCs w:val="21"/>
                      <w:lang w:val="en-US" w:eastAsia="zh-CN"/>
                    </w:rPr>
                    <w:t>打磨粉尘</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lang w:val="en-US" w:eastAsia="zh-CN"/>
                    </w:rPr>
                  </w:pPr>
                  <w:r>
                    <w:rPr>
                      <w:rFonts w:hint="eastAsia"/>
                      <w:color w:val="auto"/>
                      <w:szCs w:val="21"/>
                      <w:lang w:val="en-US" w:eastAsia="zh-CN"/>
                    </w:rPr>
                    <w:t>水帘湿式除尘</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eastAsia" w:eastAsia="宋体"/>
                      <w:color w:val="auto"/>
                      <w:kern w:val="0"/>
                      <w:szCs w:val="21"/>
                      <w:lang w:val="en-US" w:eastAsia="zh-CN"/>
                    </w:rPr>
                  </w:pPr>
                  <w:r>
                    <w:rPr>
                      <w:rFonts w:hint="eastAsia"/>
                      <w:color w:val="auto"/>
                      <w:kern w:val="0"/>
                      <w:szCs w:val="21"/>
                      <w:lang w:val="en-US" w:eastAsia="zh-CN"/>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rPr>
                    <w:t>《铸造工业大气污染物排放标准》（GB39726-2020）中 表 A.1 限值要求</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widowControl/>
                    <w:suppressLineNumbers w:val="0"/>
                    <w:autoSpaceDE w:val="0"/>
                    <w:autoSpaceDN w:val="0"/>
                    <w:spacing w:before="0" w:beforeAutospacing="0" w:after="0" w:afterAutospacing="0"/>
                    <w:ind w:left="-105" w:leftChars="-50" w:right="-105" w:rightChars="-50"/>
                    <w:jc w:val="center"/>
                    <w:rPr>
                      <w:rFonts w:hint="default"/>
                      <w:color w:val="auto"/>
                      <w:szCs w:val="21"/>
                      <w:lang w:val="en-US" w:eastAsia="zh-CN"/>
                    </w:rPr>
                  </w:pPr>
                  <w:r>
                    <w:rPr>
                      <w:rFonts w:hint="eastAsia"/>
                      <w:color w:val="auto"/>
                      <w:szCs w:val="21"/>
                      <w:lang w:val="en-US" w:eastAsia="zh-CN"/>
                    </w:rPr>
                    <w:t>食堂油烟</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lang w:val="en-US" w:eastAsia="zh-CN"/>
                    </w:rPr>
                  </w:pPr>
                  <w:r>
                    <w:rPr>
                      <w:rFonts w:hint="eastAsia"/>
                      <w:color w:val="auto"/>
                      <w:szCs w:val="21"/>
                      <w:lang w:val="en-US" w:eastAsia="zh-CN"/>
                    </w:rPr>
                    <w:t>油烟净化器</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lang w:val="en-US" w:eastAsia="zh-CN"/>
                    </w:rPr>
                  </w:pPr>
                  <w:r>
                    <w:rPr>
                      <w:rFonts w:hint="eastAsia"/>
                      <w:color w:val="auto"/>
                      <w:kern w:val="0"/>
                      <w:szCs w:val="21"/>
                      <w:lang w:val="en-US" w:eastAsia="zh-CN"/>
                    </w:rPr>
                    <w:t>1</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default"/>
                      <w:color w:val="auto"/>
                      <w:szCs w:val="21"/>
                      <w:lang w:val="en-US" w:eastAsia="zh-CN"/>
                    </w:rPr>
                    <w:t>《饮食业油烟排放标准（试行）》（GB18483-2001）中小型标准</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1</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噪声</w:t>
                  </w:r>
                </w:p>
              </w:tc>
              <w:tc>
                <w:tcPr>
                  <w:tcW w:w="1104"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设备噪声</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合理布局、隔声、减振、消声等措施</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若干</w:t>
                  </w:r>
                </w:p>
              </w:tc>
              <w:tc>
                <w:tcPr>
                  <w:tcW w:w="1346"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color w:val="auto"/>
                      <w:spacing w:val="-2"/>
                      <w:kern w:val="0"/>
                      <w:szCs w:val="21"/>
                    </w:rPr>
                  </w:pPr>
                  <w:r>
                    <w:rPr>
                      <w:rFonts w:hint="default"/>
                      <w:color w:val="auto"/>
                      <w:kern w:val="0"/>
                      <w:szCs w:val="21"/>
                    </w:rPr>
                    <w:t>满足</w:t>
                  </w:r>
                  <w:r>
                    <w:rPr>
                      <w:rFonts w:hint="default"/>
                      <w:color w:val="auto"/>
                      <w:spacing w:val="-2"/>
                      <w:kern w:val="0"/>
                      <w:szCs w:val="21"/>
                    </w:rPr>
                    <w:t>《工业企业厂界环境噪声排放标准》（GB12348-2008）</w:t>
                  </w:r>
                </w:p>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color w:val="auto"/>
                      <w:kern w:val="0"/>
                      <w:szCs w:val="21"/>
                    </w:rPr>
                  </w:pPr>
                  <w:r>
                    <w:rPr>
                      <w:rFonts w:hint="eastAsia"/>
                      <w:color w:val="auto"/>
                      <w:spacing w:val="-2"/>
                      <w:kern w:val="0"/>
                      <w:szCs w:val="21"/>
                    </w:rPr>
                    <w:t>3</w:t>
                  </w:r>
                  <w:r>
                    <w:rPr>
                      <w:rFonts w:hint="default"/>
                      <w:color w:val="auto"/>
                      <w:spacing w:val="-2"/>
                      <w:kern w:val="0"/>
                      <w:szCs w:val="21"/>
                    </w:rPr>
                    <w:t>类标准</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1</w:t>
                  </w:r>
                  <w:r>
                    <w:rPr>
                      <w:rFonts w:hint="default"/>
                      <w:color w:val="0D0D0D" w:themeColor="text1" w:themeTint="F2"/>
                      <w:kern w:val="0"/>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restar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固废</w:t>
                  </w:r>
                </w:p>
              </w:tc>
              <w:tc>
                <w:tcPr>
                  <w:tcW w:w="1104" w:type="pct"/>
                  <w:vAlign w:val="center"/>
                </w:tcPr>
                <w:p>
                  <w:pPr>
                    <w:keepNext w:val="0"/>
                    <w:keepLines w:val="0"/>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一般固废</w:t>
                  </w:r>
                </w:p>
              </w:tc>
              <w:tc>
                <w:tcPr>
                  <w:tcW w:w="1258" w:type="pct"/>
                  <w:vAlign w:val="center"/>
                </w:tcPr>
                <w:p>
                  <w:pPr>
                    <w:keepNext w:val="0"/>
                    <w:keepLines w:val="0"/>
                    <w:suppressLineNumbers w:val="0"/>
                    <w:autoSpaceDE w:val="0"/>
                    <w:autoSpaceDN w:val="0"/>
                    <w:adjustRightInd w:val="0"/>
                    <w:spacing w:before="0" w:beforeAutospacing="0" w:after="0" w:afterAutospacing="0"/>
                    <w:ind w:left="-50" w:right="-50"/>
                    <w:jc w:val="center"/>
                    <w:rPr>
                      <w:rFonts w:hint="default"/>
                      <w:color w:val="auto"/>
                      <w:kern w:val="0"/>
                      <w:szCs w:val="21"/>
                    </w:rPr>
                  </w:pPr>
                  <w:r>
                    <w:rPr>
                      <w:rFonts w:hint="default"/>
                      <w:color w:val="auto"/>
                      <w:kern w:val="0"/>
                      <w:szCs w:val="21"/>
                    </w:rPr>
                    <w:t>一般固废库收集暂存，</w:t>
                  </w:r>
                  <w:r>
                    <w:rPr>
                      <w:rFonts w:hint="eastAsia"/>
                      <w:color w:val="auto"/>
                      <w:kern w:val="0"/>
                      <w:szCs w:val="21"/>
                    </w:rPr>
                    <w:t>集中收集后外售</w:t>
                  </w:r>
                </w:p>
              </w:tc>
              <w:tc>
                <w:tcPr>
                  <w:tcW w:w="447" w:type="pct"/>
                  <w:vAlign w:val="center"/>
                </w:tcPr>
                <w:p>
                  <w:pPr>
                    <w:keepNext w:val="0"/>
                    <w:keepLines w:val="0"/>
                    <w:suppressLineNumbers w:val="0"/>
                    <w:adjustRightInd w:val="0"/>
                    <w:snapToGrid w:val="0"/>
                    <w:spacing w:before="0" w:beforeAutospacing="0" w:after="0" w:afterAutospacing="0"/>
                    <w:ind w:left="-50" w:right="-50"/>
                    <w:jc w:val="center"/>
                    <w:rPr>
                      <w:rFonts w:hint="default"/>
                      <w:color w:val="auto"/>
                      <w:kern w:val="0"/>
                      <w:szCs w:val="21"/>
                    </w:rPr>
                  </w:pPr>
                  <w:r>
                    <w:rPr>
                      <w:rFonts w:hint="eastAsia"/>
                      <w:color w:val="auto"/>
                      <w:kern w:val="0"/>
                      <w:szCs w:val="21"/>
                    </w:rPr>
                    <w:t>1</w:t>
                  </w:r>
                </w:p>
              </w:tc>
              <w:tc>
                <w:tcPr>
                  <w:tcW w:w="1346" w:type="pct"/>
                  <w:vMerge w:val="restart"/>
                  <w:vAlign w:val="center"/>
                </w:tcPr>
                <w:p>
                  <w:pPr>
                    <w:keepNext w:val="0"/>
                    <w:keepLines w:val="0"/>
                    <w:suppressLineNumbers w:val="0"/>
                    <w:adjustRightInd w:val="0"/>
                    <w:snapToGrid w:val="0"/>
                    <w:spacing w:before="0" w:beforeAutospacing="0" w:after="0" w:afterAutospacing="0"/>
                    <w:ind w:left="-50" w:right="-50"/>
                    <w:jc w:val="center"/>
                    <w:rPr>
                      <w:rFonts w:hint="default"/>
                      <w:color w:val="auto"/>
                      <w:kern w:val="0"/>
                      <w:szCs w:val="21"/>
                    </w:rPr>
                  </w:pPr>
                  <w:r>
                    <w:rPr>
                      <w:rFonts w:hint="eastAsia"/>
                      <w:color w:val="auto"/>
                      <w:kern w:val="0"/>
                      <w:szCs w:val="21"/>
                      <w:lang w:val="zh-CN"/>
                    </w:rPr>
                    <w:t>一般工业固废</w:t>
                  </w:r>
                  <w:r>
                    <w:rPr>
                      <w:rFonts w:hint="default"/>
                      <w:color w:val="auto"/>
                      <w:kern w:val="0"/>
                      <w:szCs w:val="21"/>
                      <w:lang w:val="zh-CN"/>
                    </w:rPr>
                    <w:t>分类收集，</w:t>
                  </w:r>
                  <w:r>
                    <w:rPr>
                      <w:rFonts w:hint="eastAsia"/>
                      <w:color w:val="auto"/>
                      <w:kern w:val="0"/>
                      <w:szCs w:val="21"/>
                      <w:lang w:val="zh-CN"/>
                    </w:rPr>
                    <w:t>综合</w:t>
                  </w:r>
                  <w:r>
                    <w:rPr>
                      <w:rFonts w:hint="default"/>
                      <w:color w:val="auto"/>
                      <w:kern w:val="0"/>
                      <w:szCs w:val="21"/>
                      <w:lang w:val="zh-CN"/>
                    </w:rPr>
                    <w:t>利用；</w:t>
                  </w:r>
                  <w:r>
                    <w:rPr>
                      <w:rFonts w:hint="eastAsia"/>
                      <w:color w:val="auto"/>
                      <w:kern w:val="0"/>
                      <w:szCs w:val="21"/>
                      <w:lang w:val="zh-CN"/>
                    </w:rPr>
                    <w:t>危废委托资质单位处理</w:t>
                  </w:r>
                </w:p>
              </w:tc>
              <w:tc>
                <w:tcPr>
                  <w:tcW w:w="509" w:type="pct"/>
                  <w:vAlign w:val="center"/>
                </w:tcPr>
                <w:p>
                  <w:pPr>
                    <w:keepNext w:val="0"/>
                    <w:keepLines w:val="0"/>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2</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33" w:type="pct"/>
                  <w:vMerge w:val="continue"/>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p>
              </w:tc>
              <w:tc>
                <w:tcPr>
                  <w:tcW w:w="1104" w:type="pct"/>
                  <w:vAlign w:val="center"/>
                </w:tcPr>
                <w:p>
                  <w:pPr>
                    <w:keepNext w:val="0"/>
                    <w:keepLines w:val="0"/>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危险废物</w:t>
                  </w:r>
                </w:p>
              </w:tc>
              <w:tc>
                <w:tcPr>
                  <w:tcW w:w="1258" w:type="pct"/>
                  <w:vAlign w:val="center"/>
                </w:tcPr>
                <w:p>
                  <w:pPr>
                    <w:keepNext w:val="0"/>
                    <w:keepLines w:val="0"/>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危废暂存场所，</w:t>
                  </w:r>
                  <w:r>
                    <w:rPr>
                      <w:rFonts w:hint="eastAsia"/>
                      <w:color w:val="auto"/>
                      <w:kern w:val="0"/>
                      <w:szCs w:val="21"/>
                    </w:rPr>
                    <w:t>占地</w:t>
                  </w:r>
                  <w:r>
                    <w:rPr>
                      <w:rFonts w:hint="eastAsia"/>
                      <w:color w:val="auto"/>
                      <w:kern w:val="0"/>
                      <w:szCs w:val="21"/>
                      <w:lang w:val="en-US" w:eastAsia="zh-CN"/>
                    </w:rPr>
                    <w:t>12</w:t>
                  </w:r>
                  <w:r>
                    <w:rPr>
                      <w:rFonts w:hint="default"/>
                      <w:color w:val="auto"/>
                      <w:kern w:val="0"/>
                      <w:szCs w:val="21"/>
                    </w:rPr>
                    <w:t xml:space="preserve"> m</w:t>
                  </w:r>
                  <w:r>
                    <w:rPr>
                      <w:rFonts w:hint="default"/>
                      <w:color w:val="auto"/>
                      <w:kern w:val="0"/>
                      <w:szCs w:val="21"/>
                      <w:vertAlign w:val="superscript"/>
                    </w:rPr>
                    <w:t>2</w:t>
                  </w:r>
                  <w:r>
                    <w:rPr>
                      <w:rFonts w:hint="default"/>
                      <w:color w:val="auto"/>
                      <w:kern w:val="0"/>
                      <w:szCs w:val="21"/>
                    </w:rPr>
                    <w:t>，并采取防风、防雨、防渗和防腐措施；危废收集后及时</w:t>
                  </w:r>
                  <w:r>
                    <w:rPr>
                      <w:rFonts w:hint="eastAsia"/>
                      <w:color w:val="auto"/>
                      <w:kern w:val="0"/>
                      <w:szCs w:val="21"/>
                    </w:rPr>
                    <w:t>委托资质单位处理</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1</w:t>
                  </w:r>
                </w:p>
              </w:tc>
              <w:tc>
                <w:tcPr>
                  <w:tcW w:w="1346" w:type="pct"/>
                  <w:vMerge w:val="continue"/>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437" w:type="pct"/>
                  <w:gridSpan w:val="2"/>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color w:val="auto"/>
                      <w:kern w:val="0"/>
                      <w:szCs w:val="21"/>
                    </w:rPr>
                  </w:pPr>
                  <w:r>
                    <w:rPr>
                      <w:rFonts w:hint="default"/>
                      <w:color w:val="auto"/>
                      <w:kern w:val="0"/>
                      <w:szCs w:val="21"/>
                    </w:rPr>
                    <w:t>地下水防渗措施</w:t>
                  </w:r>
                </w:p>
              </w:tc>
              <w:tc>
                <w:tcPr>
                  <w:tcW w:w="1258" w:type="pct"/>
                  <w:vAlign w:val="center"/>
                </w:tcPr>
                <w:p>
                  <w:pPr>
                    <w:keepNext w:val="0"/>
                    <w:keepLines w:val="0"/>
                    <w:widowControl/>
                    <w:suppressLineNumbers w:val="0"/>
                    <w:adjustRightInd w:val="0"/>
                    <w:snapToGrid w:val="0"/>
                    <w:spacing w:before="0" w:beforeAutospacing="0" w:after="0" w:afterAutospacing="0"/>
                    <w:ind w:left="-105" w:leftChars="-50" w:right="-105" w:rightChars="-50"/>
                    <w:jc w:val="center"/>
                    <w:rPr>
                      <w:rFonts w:hint="default"/>
                      <w:color w:val="auto"/>
                      <w:kern w:val="0"/>
                      <w:szCs w:val="21"/>
                      <w:lang w:val="en-US"/>
                    </w:rPr>
                  </w:pPr>
                  <w:r>
                    <w:rPr>
                      <w:rFonts w:hint="default"/>
                      <w:color w:val="auto"/>
                      <w:kern w:val="0"/>
                      <w:szCs w:val="21"/>
                    </w:rPr>
                    <w:t>一般防渗</w:t>
                  </w:r>
                  <w:r>
                    <w:rPr>
                      <w:rFonts w:hint="eastAsia"/>
                      <w:color w:val="auto"/>
                      <w:kern w:val="0"/>
                      <w:szCs w:val="21"/>
                      <w:lang w:eastAsia="zh-CN"/>
                    </w:rPr>
                    <w:t>、</w:t>
                  </w:r>
                  <w:r>
                    <w:rPr>
                      <w:rFonts w:hint="eastAsia"/>
                      <w:color w:val="auto"/>
                      <w:kern w:val="0"/>
                      <w:szCs w:val="21"/>
                      <w:lang w:val="en-US" w:eastAsia="zh-CN"/>
                    </w:rPr>
                    <w:t>重点防渗</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满足防渗要求</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20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437" w:type="pct"/>
                  <w:gridSpan w:val="2"/>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风险防范</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配备相应消防器材等</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满足风险防范要求</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kern w:val="0"/>
                      <w:szCs w:val="21"/>
                      <w14:textFill>
                        <w14:solidFill>
                          <w14:schemeClr w14:val="tx1">
                            <w14:lumMod w14:val="95000"/>
                            <w14:lumOff w14:val="5000"/>
                          </w14:schemeClr>
                        </w14:solidFill>
                      </w14:textFill>
                    </w:rPr>
                  </w:pPr>
                  <w:r>
                    <w:rPr>
                      <w:rFonts w:hint="default"/>
                      <w:color w:val="0D0D0D" w:themeColor="text1" w:themeTint="F2"/>
                      <w:kern w:val="0"/>
                      <w:szCs w:val="21"/>
                      <w14:textFill>
                        <w14:solidFill>
                          <w14:schemeClr w14:val="tx1">
                            <w14:lumMod w14:val="95000"/>
                            <w14:lumOff w14:val="5000"/>
                          </w14:schemeClr>
                        </w14:solidFill>
                      </w14:textFill>
                    </w:rPr>
                    <w:t>1</w:t>
                  </w:r>
                  <w:r>
                    <w:rPr>
                      <w:rFonts w:hint="eastAsia"/>
                      <w:color w:val="0D0D0D" w:themeColor="text1" w:themeTint="F2"/>
                      <w:kern w:val="0"/>
                      <w:szCs w:val="21"/>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437" w:type="pct"/>
                  <w:gridSpan w:val="2"/>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合计</w:t>
                  </w:r>
                </w:p>
              </w:tc>
              <w:tc>
                <w:tcPr>
                  <w:tcW w:w="1258"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w:t>
                  </w:r>
                </w:p>
              </w:tc>
              <w:tc>
                <w:tcPr>
                  <w:tcW w:w="447"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w:t>
                  </w:r>
                </w:p>
              </w:tc>
              <w:tc>
                <w:tcPr>
                  <w:tcW w:w="1346"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kern w:val="0"/>
                      <w:szCs w:val="21"/>
                    </w:rPr>
                  </w:pPr>
                  <w:r>
                    <w:rPr>
                      <w:rFonts w:hint="default"/>
                      <w:color w:val="auto"/>
                      <w:kern w:val="0"/>
                      <w:szCs w:val="21"/>
                    </w:rPr>
                    <w:t>/</w:t>
                  </w:r>
                </w:p>
              </w:tc>
              <w:tc>
                <w:tcPr>
                  <w:tcW w:w="509" w:type="pct"/>
                  <w:vAlign w:val="center"/>
                </w:tcPr>
                <w:p>
                  <w:pPr>
                    <w:keepNext w:val="0"/>
                    <w:keepLines w:val="0"/>
                    <w:widowControl/>
                    <w:suppressLineNumbers w:val="0"/>
                    <w:adjustRightInd w:val="0"/>
                    <w:snapToGrid w:val="0"/>
                    <w:spacing w:before="0" w:beforeAutospacing="0" w:after="0" w:afterAutospacing="0"/>
                    <w:ind w:left="-50" w:right="-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81</w:t>
                  </w:r>
                </w:p>
              </w:tc>
            </w:tr>
          </w:tbl>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widowControl/>
              <w:suppressLineNumbers w:val="0"/>
              <w:adjustRightInd w:val="0"/>
              <w:snapToGrid w:val="0"/>
              <w:spacing w:before="0" w:beforeAutospacing="0" w:after="0" w:afterAutospacing="0"/>
              <w:ind w:left="0" w:right="0"/>
              <w:jc w:val="center"/>
              <w:rPr>
                <w:rFonts w:hint="default"/>
                <w:b/>
                <w:color w:val="0D0D0D" w:themeColor="text1" w:themeTint="F2"/>
                <w:kern w:val="0"/>
                <w:sz w:val="20"/>
                <w:szCs w:val="21"/>
                <w14:textFill>
                  <w14:solidFill>
                    <w14:schemeClr w14:val="tx1">
                      <w14:lumMod w14:val="95000"/>
                      <w14:lumOff w14:val="5000"/>
                    </w14:schemeClr>
                  </w14:solidFill>
                </w14:textFill>
              </w:rPr>
            </w:pPr>
          </w:p>
          <w:p>
            <w:pPr>
              <w:keepNext w:val="0"/>
              <w:keepLines w:val="0"/>
              <w:suppressLineNumbers w:val="0"/>
              <w:spacing w:before="120" w:beforeLines="50" w:beforeAutospacing="0" w:after="0" w:afterAutospacing="0" w:line="360" w:lineRule="auto"/>
              <w:ind w:left="0" w:right="0"/>
              <w:rPr>
                <w:rFonts w:hint="default"/>
                <w:b/>
                <w:color w:val="0D0D0D" w:themeColor="text1" w:themeTint="F2"/>
                <w:sz w:val="24"/>
                <w:szCs w:val="20"/>
                <w14:textFill>
                  <w14:solidFill>
                    <w14:schemeClr w14:val="tx1">
                      <w14:lumMod w14:val="95000"/>
                      <w14:lumOff w14:val="5000"/>
                    </w14:schemeClr>
                  </w14:solidFill>
                </w14:textFill>
              </w:rPr>
            </w:pPr>
          </w:p>
        </w:tc>
      </w:tr>
    </w:tbl>
    <w:p>
      <w:pPr>
        <w:pStyle w:val="1039"/>
        <w:rPr>
          <w:rFonts w:hint="default"/>
          <w:snapToGrid w:val="0"/>
          <w:color w:val="0D0D0D" w:themeColor="text1" w:themeTint="F2"/>
          <w14:textFill>
            <w14:solidFill>
              <w14:schemeClr w14:val="tx1">
                <w14:lumMod w14:val="95000"/>
                <w14:lumOff w14:val="5000"/>
              </w14:schemeClr>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54"/>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pPr>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五、</w:t>
      </w:r>
      <w:bookmarkStart w:id="12" w:name="_Hlk54167917"/>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环境保护措施监督检查清单</w:t>
      </w:r>
      <w:bookmarkEnd w:id="12"/>
    </w:p>
    <w:tbl>
      <w:tblPr>
        <w:tblStyle w:val="5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1559"/>
        <w:gridCol w:w="1312"/>
        <w:gridCol w:w="1948"/>
        <w:gridCol w:w="2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12" w:space="0"/>
              <w:left w:val="single" w:color="auto" w:sz="12" w:space="0"/>
              <w:bottom w:val="single" w:color="auto" w:sz="4" w:space="0"/>
              <w:tl2br w:val="single" w:color="auto" w:sz="4" w:space="0"/>
            </w:tcBorders>
          </w:tcPr>
          <w:p>
            <w:pPr>
              <w:keepNext w:val="0"/>
              <w:keepLines w:val="0"/>
              <w:suppressLineNumbers w:val="0"/>
              <w:adjustRightInd w:val="0"/>
              <w:snapToGrid w:val="0"/>
              <w:spacing w:before="0" w:beforeAutospacing="0" w:after="0" w:afterAutospacing="0"/>
              <w:ind w:left="0" w:right="0" w:firstLine="422" w:firstLineChars="200"/>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内容</w:t>
            </w:r>
          </w:p>
          <w:p>
            <w:pPr>
              <w:keepNext w:val="0"/>
              <w:keepLines w:val="0"/>
              <w:suppressLineNumbers w:val="0"/>
              <w:adjustRightInd w:val="0"/>
              <w:snapToGrid w:val="0"/>
              <w:spacing w:before="0" w:beforeAutospacing="0" w:after="0" w:afterAutospacing="0"/>
              <w:ind w:left="0" w:right="0"/>
              <w:rPr>
                <w:rFonts w:hint="default" w:cs="宋体"/>
                <w:b/>
                <w:color w:val="0D0D0D" w:themeColor="text1" w:themeTint="F2"/>
                <w:szCs w:val="21"/>
                <w14:textFill>
                  <w14:solidFill>
                    <w14:schemeClr w14:val="tx1">
                      <w14:lumMod w14:val="95000"/>
                      <w14:lumOff w14:val="5000"/>
                    </w14:schemeClr>
                  </w14:solidFill>
                </w14:textFill>
              </w:rPr>
            </w:pPr>
          </w:p>
          <w:p>
            <w:pPr>
              <w:keepNext w:val="0"/>
              <w:keepLines w:val="0"/>
              <w:suppressLineNumbers w:val="0"/>
              <w:adjustRightInd w:val="0"/>
              <w:snapToGrid w:val="0"/>
              <w:spacing w:before="0" w:beforeAutospacing="0" w:after="0" w:afterAutospacing="0"/>
              <w:ind w:left="0" w:right="0"/>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要素</w:t>
            </w:r>
          </w:p>
        </w:tc>
        <w:tc>
          <w:tcPr>
            <w:tcW w:w="1559" w:type="dxa"/>
            <w:tcBorders>
              <w:top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排放口</w:t>
            </w:r>
          </w:p>
          <w:p>
            <w:pPr>
              <w:keepNext w:val="0"/>
              <w:keepLines w:val="0"/>
              <w:suppressLineNumbers w:val="0"/>
              <w:adjustRightInd w:val="0"/>
              <w:snapToGrid w:val="0"/>
              <w:spacing w:before="0" w:beforeAutospacing="0" w:after="0" w:afterAutospacing="0"/>
              <w:ind w:left="0" w:right="0"/>
              <w:jc w:val="center"/>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(编号、名称)/污染源</w:t>
            </w:r>
          </w:p>
        </w:tc>
        <w:tc>
          <w:tcPr>
            <w:tcW w:w="1312" w:type="dxa"/>
            <w:tcBorders>
              <w:top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污染物项目</w:t>
            </w:r>
          </w:p>
        </w:tc>
        <w:tc>
          <w:tcPr>
            <w:tcW w:w="1948" w:type="dxa"/>
            <w:tcBorders>
              <w:top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环境保护措施</w:t>
            </w:r>
          </w:p>
        </w:tc>
        <w:tc>
          <w:tcPr>
            <w:tcW w:w="2436" w:type="dxa"/>
            <w:tcBorders>
              <w:top w:val="single" w:color="auto" w:sz="12"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b/>
                <w:color w:val="0D0D0D" w:themeColor="text1" w:themeTint="F2"/>
                <w:szCs w:val="21"/>
                <w14:textFill>
                  <w14:solidFill>
                    <w14:schemeClr w14:val="tx1">
                      <w14:lumMod w14:val="95000"/>
                      <w14:lumOff w14:val="5000"/>
                    </w14:schemeClr>
                  </w14:solidFill>
                </w14:textFill>
              </w:rPr>
            </w:pPr>
            <w:r>
              <w:rPr>
                <w:rFonts w:hint="eastAsia" w:cs="宋体"/>
                <w:b/>
                <w:color w:val="0D0D0D" w:themeColor="text1" w:themeTint="F2"/>
                <w:szCs w:val="21"/>
                <w14:textFill>
                  <w14:solidFill>
                    <w14:schemeClr w14:val="tx1">
                      <w14:lumMod w14:val="95000"/>
                      <w14:lumOff w14:val="5000"/>
                    </w14:schemeClr>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vMerge w:val="restart"/>
            <w:tcBorders>
              <w:top w:val="single" w:color="auto" w:sz="4" w:space="0"/>
              <w:lef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大气环境</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DA001</w:t>
            </w:r>
            <w:r>
              <w:rPr>
                <w:rFonts w:hint="eastAsia"/>
                <w:color w:val="auto"/>
                <w:szCs w:val="21"/>
              </w:rPr>
              <w:t>（</w:t>
            </w:r>
            <w:r>
              <w:rPr>
                <w:rFonts w:hint="eastAsia"/>
                <w:color w:val="auto"/>
                <w:szCs w:val="21"/>
                <w:lang w:val="en-US" w:eastAsia="zh-CN"/>
              </w:rPr>
              <w:t>熔化、天然气燃烧废气</w:t>
            </w:r>
            <w:r>
              <w:rPr>
                <w:rFonts w:hint="eastAsia"/>
                <w:color w:val="auto"/>
                <w:szCs w:val="21"/>
              </w:rPr>
              <w:t>）</w:t>
            </w:r>
          </w:p>
        </w:tc>
        <w:tc>
          <w:tcPr>
            <w:tcW w:w="1312"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eastAsia="宋体"/>
                <w:color w:val="auto"/>
                <w:kern w:val="0"/>
                <w:szCs w:val="21"/>
                <w:lang w:val="en-US" w:eastAsia="zh-CN"/>
              </w:rPr>
            </w:pPr>
            <w:r>
              <w:rPr>
                <w:rFonts w:hint="eastAsia"/>
                <w:color w:val="auto"/>
                <w:kern w:val="0"/>
                <w:szCs w:val="21"/>
                <w:lang w:val="en-US" w:eastAsia="zh-CN"/>
              </w:rPr>
              <w:t>颗粒物</w:t>
            </w:r>
            <w:r>
              <w:rPr>
                <w:rFonts w:hint="eastAsia"/>
                <w:color w:val="auto"/>
                <w:kern w:val="0"/>
                <w:szCs w:val="21"/>
              </w:rPr>
              <w:t>、</w:t>
            </w:r>
            <w:r>
              <w:rPr>
                <w:rFonts w:hint="eastAsia"/>
                <w:color w:val="auto"/>
                <w:kern w:val="0"/>
                <w:szCs w:val="21"/>
                <w:lang w:val="en-US" w:eastAsia="zh-CN"/>
              </w:rPr>
              <w:t>二氧化硫、氮氧化物</w:t>
            </w:r>
          </w:p>
        </w:tc>
        <w:tc>
          <w:tcPr>
            <w:tcW w:w="1948" w:type="dxa"/>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eastAsia"/>
                <w:color w:val="auto"/>
                <w:szCs w:val="21"/>
              </w:rPr>
              <w:t>集气罩+</w:t>
            </w:r>
            <w:r>
              <w:rPr>
                <w:rFonts w:hint="eastAsia"/>
                <w:color w:val="auto"/>
                <w:szCs w:val="21"/>
                <w:lang w:val="en-US" w:eastAsia="zh-CN"/>
              </w:rPr>
              <w:t>布袋除尘器+15米高排气筒</w:t>
            </w:r>
            <w:r>
              <w:rPr>
                <w:rFonts w:hint="eastAsia"/>
                <w:color w:val="auto"/>
                <w:szCs w:val="21"/>
              </w:rPr>
              <w:t>（D</w:t>
            </w:r>
            <w:r>
              <w:rPr>
                <w:rFonts w:hint="default"/>
                <w:color w:val="auto"/>
                <w:szCs w:val="21"/>
              </w:rPr>
              <w:t>A001</w:t>
            </w:r>
            <w:r>
              <w:rPr>
                <w:rFonts w:hint="eastAsia"/>
                <w:color w:val="auto"/>
                <w:szCs w:val="21"/>
              </w:rPr>
              <w:t>）</w:t>
            </w:r>
          </w:p>
        </w:tc>
        <w:tc>
          <w:tcPr>
            <w:tcW w:w="2436" w:type="dxa"/>
            <w:tcBorders>
              <w:top w:val="single" w:color="auto" w:sz="4" w:space="0"/>
              <w:right w:val="single" w:color="auto" w:sz="12" w:space="0"/>
            </w:tcBorders>
            <w:vAlign w:val="center"/>
          </w:tcPr>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eastAsia="zh-CN"/>
                <w14:textFill>
                  <w14:solidFill>
                    <w14:schemeClr w14:val="tx1">
                      <w14:lumMod w14:val="95000"/>
                      <w14:lumOff w14:val="5000"/>
                    </w14:schemeClr>
                  </w14:solidFill>
                </w14:textFill>
              </w:rPr>
              <w:t>《</w:t>
            </w:r>
            <w:r>
              <w:rPr>
                <w:rFonts w:hint="default"/>
                <w:color w:val="0D0D0D" w:themeColor="text1" w:themeTint="F2"/>
                <w:szCs w:val="21"/>
                <w:lang w:val="en-US" w:eastAsia="zh-CN"/>
                <w14:textFill>
                  <w14:solidFill>
                    <w14:schemeClr w14:val="tx1">
                      <w14:lumMod w14:val="95000"/>
                      <w14:lumOff w14:val="5000"/>
                    </w14:schemeClr>
                  </w14:solidFill>
                </w14:textFill>
              </w:rPr>
              <w:t xml:space="preserve">铸造工业大气污 </w:t>
            </w:r>
          </w:p>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 xml:space="preserve">染物排放标准》 </w:t>
            </w:r>
          </w:p>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eastAsia" w:eastAsia="宋体" w:cs="宋体"/>
                <w:color w:val="0D0D0D" w:themeColor="text1" w:themeTint="F2"/>
                <w:szCs w:val="21"/>
                <w:lang w:eastAsia="zh-CN"/>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 xml:space="preserve">（GB39726-2020）表 1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vMerge w:val="continue"/>
            <w:tcBorders>
              <w:lef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color w:val="auto"/>
                <w:szCs w:val="21"/>
              </w:rPr>
              <w:t>DA002</w:t>
            </w:r>
            <w:r>
              <w:rPr>
                <w:rFonts w:hint="eastAsia"/>
                <w:color w:val="auto"/>
                <w:szCs w:val="21"/>
              </w:rPr>
              <w:t>（</w:t>
            </w:r>
            <w:r>
              <w:rPr>
                <w:rFonts w:hint="eastAsia"/>
                <w:color w:val="auto"/>
                <w:szCs w:val="21"/>
                <w:lang w:val="en-US" w:eastAsia="zh-CN"/>
              </w:rPr>
              <w:t>压铸脱模废气</w:t>
            </w:r>
            <w:r>
              <w:rPr>
                <w:rFonts w:hint="eastAsia"/>
                <w:color w:val="auto"/>
                <w:szCs w:val="21"/>
              </w:rPr>
              <w:t>）</w:t>
            </w:r>
          </w:p>
        </w:tc>
        <w:tc>
          <w:tcPr>
            <w:tcW w:w="1312"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kern w:val="0"/>
                <w:szCs w:val="21"/>
                <w:lang w:val="en-US" w:eastAsia="zh-CN"/>
              </w:rPr>
              <w:t>非甲烷总烃</w:t>
            </w:r>
          </w:p>
        </w:tc>
        <w:tc>
          <w:tcPr>
            <w:tcW w:w="1948" w:type="dxa"/>
            <w:vAlign w:val="center"/>
          </w:tcPr>
          <w:p>
            <w:pPr>
              <w:keepNext w:val="0"/>
              <w:keepLines w:val="0"/>
              <w:widowControl/>
              <w:suppressLineNumbers w:val="0"/>
              <w:adjustRightInd w:val="0"/>
              <w:snapToGrid w:val="0"/>
              <w:spacing w:before="0" w:beforeAutospacing="0" w:after="0" w:afterAutospacing="0"/>
              <w:ind w:left="-50" w:leftChars="0" w:right="-50" w:rightChars="0"/>
              <w:jc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集气罩+静电油雾净化+两级活性炭+15米高排气筒</w:t>
            </w:r>
            <w:r>
              <w:rPr>
                <w:rFonts w:hint="eastAsia"/>
                <w:color w:val="auto"/>
                <w:szCs w:val="21"/>
              </w:rPr>
              <w:t>（D</w:t>
            </w:r>
            <w:r>
              <w:rPr>
                <w:rFonts w:hint="default"/>
                <w:color w:val="auto"/>
                <w:szCs w:val="21"/>
              </w:rPr>
              <w:t>A002</w:t>
            </w:r>
            <w:r>
              <w:rPr>
                <w:rFonts w:hint="eastAsia"/>
                <w:color w:val="auto"/>
                <w:szCs w:val="21"/>
              </w:rPr>
              <w:t>）</w:t>
            </w:r>
          </w:p>
        </w:tc>
        <w:tc>
          <w:tcPr>
            <w:tcW w:w="2436" w:type="dxa"/>
            <w:tcBorders>
              <w:right w:val="single" w:color="auto" w:sz="12" w:space="0"/>
            </w:tcBorders>
            <w:vAlign w:val="center"/>
          </w:tcPr>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《大气污染物综合排放标准》（GB16297-1996）中表 2 中二级标准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vMerge w:val="continue"/>
            <w:tcBorders>
              <w:lef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auto"/>
                <w:szCs w:val="21"/>
              </w:rPr>
            </w:pPr>
            <w:r>
              <w:rPr>
                <w:rFonts w:hint="default"/>
                <w:color w:val="auto"/>
                <w:szCs w:val="21"/>
              </w:rPr>
              <w:t>DA00</w:t>
            </w:r>
            <w:r>
              <w:rPr>
                <w:rFonts w:hint="eastAsia"/>
                <w:color w:val="auto"/>
                <w:szCs w:val="21"/>
                <w:lang w:val="en-US" w:eastAsia="zh-CN"/>
              </w:rPr>
              <w:t>3</w:t>
            </w:r>
            <w:r>
              <w:rPr>
                <w:rFonts w:hint="eastAsia"/>
                <w:color w:val="auto"/>
                <w:szCs w:val="21"/>
              </w:rPr>
              <w:t>（</w:t>
            </w:r>
            <w:r>
              <w:rPr>
                <w:rFonts w:hint="eastAsia"/>
                <w:color w:val="auto"/>
                <w:szCs w:val="21"/>
                <w:lang w:val="en-US" w:eastAsia="zh-CN"/>
              </w:rPr>
              <w:t>抛丸粉尘</w:t>
            </w:r>
            <w:r>
              <w:rPr>
                <w:rFonts w:hint="eastAsia"/>
                <w:color w:val="auto"/>
                <w:szCs w:val="21"/>
              </w:rPr>
              <w:t>）</w:t>
            </w:r>
          </w:p>
        </w:tc>
        <w:tc>
          <w:tcPr>
            <w:tcW w:w="1312"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eastAsia="宋体"/>
                <w:color w:val="auto"/>
                <w:szCs w:val="21"/>
                <w:lang w:eastAsia="zh-CN"/>
              </w:rPr>
            </w:pPr>
            <w:r>
              <w:rPr>
                <w:rFonts w:hint="eastAsia"/>
                <w:color w:val="auto"/>
                <w:kern w:val="0"/>
                <w:szCs w:val="21"/>
                <w:lang w:val="en-US" w:eastAsia="zh-CN"/>
              </w:rPr>
              <w:t>颗粒物</w:t>
            </w:r>
          </w:p>
        </w:tc>
        <w:tc>
          <w:tcPr>
            <w:tcW w:w="1948" w:type="dxa"/>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rPr>
            </w:pPr>
            <w:r>
              <w:rPr>
                <w:rFonts w:hint="eastAsia"/>
                <w:color w:val="auto"/>
                <w:szCs w:val="21"/>
                <w:lang w:val="en-US" w:eastAsia="zh-CN"/>
              </w:rPr>
              <w:t>设备密闭</w:t>
            </w:r>
            <w:r>
              <w:rPr>
                <w:rFonts w:hint="eastAsia"/>
                <w:color w:val="auto"/>
                <w:szCs w:val="21"/>
              </w:rPr>
              <w:t>+</w:t>
            </w:r>
            <w:r>
              <w:rPr>
                <w:rFonts w:hint="eastAsia"/>
                <w:color w:val="auto"/>
                <w:szCs w:val="21"/>
                <w:lang w:val="en-US" w:eastAsia="zh-CN"/>
              </w:rPr>
              <w:t>设备自带袋式除尘</w:t>
            </w:r>
            <w:r>
              <w:rPr>
                <w:rFonts w:hint="eastAsia"/>
                <w:color w:val="auto"/>
                <w:szCs w:val="21"/>
              </w:rPr>
              <w:t>（D</w:t>
            </w:r>
            <w:r>
              <w:rPr>
                <w:rFonts w:hint="default"/>
                <w:color w:val="auto"/>
                <w:szCs w:val="21"/>
              </w:rPr>
              <w:t>A00</w:t>
            </w:r>
            <w:r>
              <w:rPr>
                <w:rFonts w:hint="eastAsia"/>
                <w:color w:val="auto"/>
                <w:szCs w:val="21"/>
                <w:lang w:val="en-US" w:eastAsia="zh-CN"/>
              </w:rPr>
              <w:t>3</w:t>
            </w:r>
            <w:r>
              <w:rPr>
                <w:rFonts w:hint="eastAsia"/>
                <w:color w:val="auto"/>
                <w:szCs w:val="21"/>
              </w:rPr>
              <w:t>）</w:t>
            </w:r>
          </w:p>
        </w:tc>
        <w:tc>
          <w:tcPr>
            <w:tcW w:w="2436" w:type="dxa"/>
            <w:tcBorders>
              <w:right w:val="single" w:color="auto" w:sz="12" w:space="0"/>
            </w:tcBorders>
            <w:vAlign w:val="center"/>
          </w:tcPr>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eastAsia="zh-CN"/>
                <w14:textFill>
                  <w14:solidFill>
                    <w14:schemeClr w14:val="tx1">
                      <w14:lumMod w14:val="95000"/>
                      <w14:lumOff w14:val="5000"/>
                    </w14:schemeClr>
                  </w14:solidFill>
                </w14:textFill>
              </w:rPr>
              <w:t>《</w:t>
            </w:r>
            <w:r>
              <w:rPr>
                <w:rFonts w:hint="default"/>
                <w:color w:val="0D0D0D" w:themeColor="text1" w:themeTint="F2"/>
                <w:szCs w:val="21"/>
                <w:lang w:val="en-US" w:eastAsia="zh-CN"/>
                <w14:textFill>
                  <w14:solidFill>
                    <w14:schemeClr w14:val="tx1">
                      <w14:lumMod w14:val="95000"/>
                      <w14:lumOff w14:val="5000"/>
                    </w14:schemeClr>
                  </w14:solidFill>
                </w14:textFill>
              </w:rPr>
              <w:t xml:space="preserve">铸造工业大气污 </w:t>
            </w:r>
          </w:p>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 xml:space="preserve">染物排放标准》 </w:t>
            </w:r>
          </w:p>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（GB39726-2020）表 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vMerge w:val="continue"/>
            <w:tcBorders>
              <w:lef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eastAsia="宋体"/>
                <w:color w:val="auto"/>
                <w:szCs w:val="21"/>
                <w:lang w:val="en-US" w:eastAsia="zh-CN"/>
              </w:rPr>
            </w:pPr>
            <w:r>
              <w:rPr>
                <w:rFonts w:hint="eastAsia"/>
                <w:color w:val="auto"/>
                <w:szCs w:val="21"/>
                <w:lang w:val="en-US" w:eastAsia="zh-CN"/>
              </w:rPr>
              <w:t>食堂</w:t>
            </w:r>
          </w:p>
        </w:tc>
        <w:tc>
          <w:tcPr>
            <w:tcW w:w="1312"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auto"/>
                <w:kern w:val="0"/>
                <w:szCs w:val="21"/>
                <w:lang w:val="en-US" w:eastAsia="zh-CN"/>
              </w:rPr>
            </w:pPr>
            <w:r>
              <w:rPr>
                <w:rFonts w:hint="eastAsia"/>
                <w:color w:val="auto"/>
                <w:kern w:val="0"/>
                <w:szCs w:val="21"/>
                <w:lang w:val="en-US" w:eastAsia="zh-CN"/>
              </w:rPr>
              <w:t>油烟</w:t>
            </w:r>
          </w:p>
        </w:tc>
        <w:tc>
          <w:tcPr>
            <w:tcW w:w="1948" w:type="dxa"/>
            <w:vAlign w:val="center"/>
          </w:tcPr>
          <w:p>
            <w:pPr>
              <w:keepNext w:val="0"/>
              <w:keepLines w:val="0"/>
              <w:widowControl/>
              <w:suppressLineNumbers w:val="0"/>
              <w:adjustRightInd w:val="0"/>
              <w:snapToGrid w:val="0"/>
              <w:spacing w:before="0" w:beforeAutospacing="0" w:after="0" w:afterAutospacing="0"/>
              <w:ind w:left="-50" w:right="-50"/>
              <w:jc w:val="center"/>
              <w:rPr>
                <w:rFonts w:hint="default"/>
                <w:color w:val="auto"/>
                <w:szCs w:val="21"/>
                <w:lang w:val="en-US" w:eastAsia="zh-CN"/>
              </w:rPr>
            </w:pPr>
            <w:r>
              <w:rPr>
                <w:rFonts w:hint="eastAsia"/>
                <w:color w:val="auto"/>
                <w:szCs w:val="21"/>
                <w:lang w:val="en-US" w:eastAsia="zh-CN"/>
              </w:rPr>
              <w:t>油烟净化器+管道室外排放</w:t>
            </w:r>
          </w:p>
        </w:tc>
        <w:tc>
          <w:tcPr>
            <w:tcW w:w="2436" w:type="dxa"/>
            <w:tcBorders>
              <w:right w:val="single" w:color="auto" w:sz="12" w:space="0"/>
            </w:tcBorders>
            <w:vAlign w:val="center"/>
          </w:tcPr>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《饮食业油烟排放标准（试行）》（GB18483-2001）中小型标准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vMerge w:val="continue"/>
            <w:tcBorders>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车间无组织废气</w:t>
            </w:r>
          </w:p>
        </w:tc>
        <w:tc>
          <w:tcPr>
            <w:tcW w:w="1312" w:type="dxa"/>
            <w:tcBorders>
              <w:top w:val="single" w:color="auto" w:sz="4" w:space="0"/>
              <w:bottom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kern w:val="0"/>
                <w:szCs w:val="21"/>
                <w:lang w:val="en-US" w:eastAsia="zh-CN"/>
                <w14:textFill>
                  <w14:solidFill>
                    <w14:schemeClr w14:val="tx1">
                      <w14:lumMod w14:val="95000"/>
                      <w14:lumOff w14:val="5000"/>
                    </w14:schemeClr>
                  </w14:solidFill>
                </w14:textFill>
              </w:rPr>
              <w:t>颗粒物、</w:t>
            </w:r>
            <w:r>
              <w:rPr>
                <w:rFonts w:hint="eastAsia"/>
                <w:color w:val="0D0D0D" w:themeColor="text1" w:themeTint="F2"/>
                <w:kern w:val="0"/>
                <w:szCs w:val="21"/>
                <w14:textFill>
                  <w14:solidFill>
                    <w14:schemeClr w14:val="tx1">
                      <w14:lumMod w14:val="95000"/>
                      <w14:lumOff w14:val="5000"/>
                    </w14:schemeClr>
                  </w14:solidFill>
                </w14:textFill>
              </w:rPr>
              <w:t>非甲烷总烃</w:t>
            </w:r>
          </w:p>
        </w:tc>
        <w:tc>
          <w:tcPr>
            <w:tcW w:w="1948" w:type="dxa"/>
            <w:tcBorders>
              <w:top w:val="single" w:color="auto" w:sz="4" w:space="0"/>
              <w:bottom w:val="single" w:color="auto" w:sz="4" w:space="0"/>
            </w:tcBorders>
            <w:vAlign w:val="center"/>
          </w:tcPr>
          <w:p>
            <w:pPr>
              <w:keepNext w:val="0"/>
              <w:keepLines w:val="0"/>
              <w:widowControl/>
              <w:suppressLineNumbers w:val="0"/>
              <w:adjustRightInd w:val="0"/>
              <w:snapToGrid w:val="0"/>
              <w:spacing w:before="0" w:beforeAutospacing="0" w:after="0" w:afterAutospacing="0"/>
              <w:ind w:left="-50" w:right="-5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转移、输送、装卸过程中产尘点应采取集气除尘措施。提高 </w:t>
            </w:r>
          </w:p>
          <w:p>
            <w:pPr>
              <w:keepNext w:val="0"/>
              <w:keepLines w:val="0"/>
              <w:widowControl/>
              <w:suppressLineNumbers w:val="0"/>
              <w:adjustRightInd w:val="0"/>
              <w:snapToGrid w:val="0"/>
              <w:spacing w:before="0" w:beforeAutospacing="0" w:after="0" w:afterAutospacing="0"/>
              <w:ind w:left="-50" w:right="-5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压铸脱模废气收集效率，盛装VOCs 物料的容器或包装袋应存放于室内，或存放于设置有雨棚、 </w:t>
            </w:r>
          </w:p>
          <w:p>
            <w:pPr>
              <w:keepNext w:val="0"/>
              <w:keepLines w:val="0"/>
              <w:widowControl/>
              <w:suppressLineNumbers w:val="0"/>
              <w:adjustRightInd w:val="0"/>
              <w:snapToGrid w:val="0"/>
              <w:spacing w:before="0" w:beforeAutospacing="0" w:after="0" w:afterAutospacing="0"/>
              <w:ind w:left="-50" w:right="-5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遮阳和防渗设施的专用场地。盛装 VOCs 物料的容器或包装袋在非取用状态时应加盖、封 </w:t>
            </w:r>
          </w:p>
          <w:p>
            <w:pPr>
              <w:keepNext w:val="0"/>
              <w:keepLines w:val="0"/>
              <w:widowControl/>
              <w:suppressLineNumbers w:val="0"/>
              <w:adjustRightInd w:val="0"/>
              <w:snapToGrid w:val="0"/>
              <w:spacing w:before="0" w:beforeAutospacing="0" w:after="0" w:afterAutospacing="0"/>
              <w:ind w:left="-50" w:right="-50"/>
              <w:jc w:val="center"/>
              <w:rPr>
                <w:rFonts w:hint="eastAsia"/>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 xml:space="preserve">口，保持密闭。转移 VOCs 物料时，应采用密闭容器。 </w:t>
            </w:r>
          </w:p>
          <w:p>
            <w:pPr>
              <w:keepNext w:val="0"/>
              <w:keepLines w:val="0"/>
              <w:widowControl/>
              <w:suppressLineNumbers w:val="0"/>
              <w:adjustRightInd w:val="0"/>
              <w:snapToGrid w:val="0"/>
              <w:spacing w:before="0" w:beforeAutospacing="0" w:after="0" w:afterAutospacing="0"/>
              <w:ind w:left="-50" w:right="-50"/>
              <w:jc w:val="center"/>
              <w:rPr>
                <w:rFonts w:hint="default"/>
                <w:color w:val="0D0D0D" w:themeColor="text1" w:themeTint="F2"/>
                <w:szCs w:val="21"/>
                <w14:textFill>
                  <w14:solidFill>
                    <w14:schemeClr w14:val="tx1">
                      <w14:lumMod w14:val="95000"/>
                      <w14:lumOff w14:val="5000"/>
                    </w14:schemeClr>
                  </w14:solidFill>
                </w14:textFill>
              </w:rPr>
            </w:pPr>
          </w:p>
        </w:tc>
        <w:tc>
          <w:tcPr>
            <w:tcW w:w="2436" w:type="dxa"/>
            <w:tcBorders>
              <w:bottom w:val="single" w:color="auto" w:sz="4" w:space="0"/>
              <w:right w:val="single" w:color="auto" w:sz="12" w:space="0"/>
            </w:tcBorders>
            <w:vAlign w:val="center"/>
          </w:tcPr>
          <w:p>
            <w:pPr>
              <w:keepNext w:val="0"/>
              <w:keepLines w:val="0"/>
              <w:suppressLineNumbers w:val="0"/>
              <w:autoSpaceDE w:val="0"/>
              <w:autoSpaceDN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厂区颗粒物、非甲烷总烃排放满足《铸造工业大气污染物排放标准》（GB39726-2020）中 表 A.1 限值要求，厂界非甲烷总烃排放满足《大气污染物综合排放标准</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default"/>
                <w:color w:val="0D0D0D" w:themeColor="text1" w:themeTint="F2"/>
                <w:szCs w:val="21"/>
                <w14:textFill>
                  <w14:solidFill>
                    <w14:schemeClr w14:val="tx1">
                      <w14:lumMod w14:val="95000"/>
                      <w14:lumOff w14:val="5000"/>
                    </w14:schemeClr>
                  </w14:solidFill>
                </w14:textFill>
              </w:rPr>
              <w:t>（GB16297-1996）表 2 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地表水环境</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DW001</w:t>
            </w:r>
          </w:p>
          <w:p>
            <w:pPr>
              <w:keepNext w:val="0"/>
              <w:keepLines w:val="0"/>
              <w:suppressLineNumbers w:val="0"/>
              <w:adjustRightInd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bookmarkStart w:id="13" w:name="_Toc63415134"/>
            <w:r>
              <w:rPr>
                <w:rFonts w:hint="eastAsia"/>
                <w:color w:val="0D0D0D" w:themeColor="text1" w:themeTint="F2"/>
                <w:szCs w:val="21"/>
                <w14:textFill>
                  <w14:solidFill>
                    <w14:schemeClr w14:val="tx1">
                      <w14:lumMod w14:val="95000"/>
                      <w14:lumOff w14:val="5000"/>
                    </w14:schemeClr>
                  </w14:solidFill>
                </w14:textFill>
              </w:rPr>
              <w:t>废水</w:t>
            </w:r>
            <w:bookmarkEnd w:id="13"/>
            <w:r>
              <w:rPr>
                <w:rFonts w:hint="eastAsia"/>
                <w:color w:val="0D0D0D" w:themeColor="text1" w:themeTint="F2"/>
                <w:szCs w:val="21"/>
                <w14:textFill>
                  <w14:solidFill>
                    <w14:schemeClr w14:val="tx1">
                      <w14:lumMod w14:val="95000"/>
                      <w14:lumOff w14:val="5000"/>
                    </w14:schemeClr>
                  </w14:solidFill>
                </w14:textFill>
              </w:rPr>
              <w:t>总排口）</w:t>
            </w:r>
          </w:p>
        </w:tc>
        <w:tc>
          <w:tcPr>
            <w:tcW w:w="1312" w:type="dxa"/>
            <w:tcBorders>
              <w:top w:val="single" w:color="auto" w:sz="4" w:space="0"/>
              <w:bottom w:val="single" w:color="auto" w:sz="4" w:space="0"/>
            </w:tcBorders>
            <w:vAlign w:val="center"/>
          </w:tcPr>
          <w:p>
            <w:pPr>
              <w:keepNext w:val="0"/>
              <w:keepLines w:val="0"/>
              <w:suppressLineNumbers w:val="0"/>
              <w:spacing w:before="0" w:beforeAutospacing="0" w:after="0" w:afterAutospacing="0"/>
              <w:ind w:left="0" w:right="0"/>
              <w:jc w:val="center"/>
              <w:outlineLvl w:val="0"/>
              <w:rPr>
                <w:rFonts w:hint="default"/>
                <w:color w:val="0D0D0D" w:themeColor="text1" w:themeTint="F2"/>
                <w:szCs w:val="21"/>
                <w14:textFill>
                  <w14:solidFill>
                    <w14:schemeClr w14:val="tx1">
                      <w14:lumMod w14:val="95000"/>
                      <w14:lumOff w14:val="5000"/>
                    </w14:schemeClr>
                  </w14:solidFill>
                </w14:textFill>
              </w:rPr>
            </w:pPr>
            <w:r>
              <w:rPr>
                <w:rFonts w:hint="eastAsia" w:eastAsia="TimesNewRomanPSMT" w:cs="TimesNewRomanPSMT"/>
                <w:color w:val="0D0D0D" w:themeColor="text1" w:themeTint="F2"/>
                <w:kern w:val="0"/>
                <w:szCs w:val="21"/>
                <w14:textFill>
                  <w14:solidFill>
                    <w14:schemeClr w14:val="tx1">
                      <w14:lumMod w14:val="95000"/>
                      <w14:lumOff w14:val="5000"/>
                    </w14:schemeClr>
                  </w14:solidFill>
                </w14:textFill>
              </w:rPr>
              <w:t>pH</w:t>
            </w:r>
            <w:r>
              <w:rPr>
                <w:rFonts w:hint="eastAsia" w:ascii="宋体" w:hAnsi="宋体" w:cs="宋体"/>
                <w:color w:val="0D0D0D" w:themeColor="text1" w:themeTint="F2"/>
                <w:kern w:val="0"/>
                <w:szCs w:val="21"/>
                <w14:textFill>
                  <w14:solidFill>
                    <w14:schemeClr w14:val="tx1">
                      <w14:lumMod w14:val="95000"/>
                      <w14:lumOff w14:val="5000"/>
                    </w14:schemeClr>
                  </w14:solidFill>
                </w14:textFill>
              </w:rPr>
              <w:t>、</w:t>
            </w:r>
            <w:r>
              <w:rPr>
                <w:rFonts w:hint="default" w:eastAsia="TimesNewRomanPSMT" w:cs="TimesNewRomanPSMT"/>
                <w:color w:val="0D0D0D" w:themeColor="text1" w:themeTint="F2"/>
                <w:kern w:val="0"/>
                <w:szCs w:val="21"/>
                <w14:textFill>
                  <w14:solidFill>
                    <w14:schemeClr w14:val="tx1">
                      <w14:lumMod w14:val="95000"/>
                      <w14:lumOff w14:val="5000"/>
                    </w14:schemeClr>
                  </w14:solidFill>
                </w14:textFill>
              </w:rPr>
              <w:t>COD</w:t>
            </w:r>
            <w:r>
              <w:rPr>
                <w:rFonts w:hint="eastAsia" w:cs="宋体"/>
                <w:color w:val="0D0D0D" w:themeColor="text1" w:themeTint="F2"/>
                <w:kern w:val="0"/>
                <w:szCs w:val="21"/>
                <w14:textFill>
                  <w14:solidFill>
                    <w14:schemeClr w14:val="tx1">
                      <w14:lumMod w14:val="95000"/>
                      <w14:lumOff w14:val="5000"/>
                    </w14:schemeClr>
                  </w14:solidFill>
                </w14:textFill>
              </w:rPr>
              <w:t>、BOD</w:t>
            </w:r>
            <w:r>
              <w:rPr>
                <w:rFonts w:hint="eastAsia" w:cs="宋体"/>
                <w:color w:val="0D0D0D" w:themeColor="text1" w:themeTint="F2"/>
                <w:kern w:val="0"/>
                <w:szCs w:val="21"/>
                <w:vertAlign w:val="subscript"/>
                <w14:textFill>
                  <w14:solidFill>
                    <w14:schemeClr w14:val="tx1">
                      <w14:lumMod w14:val="95000"/>
                      <w14:lumOff w14:val="5000"/>
                    </w14:schemeClr>
                  </w14:solidFill>
                </w14:textFill>
              </w:rPr>
              <w:t>5</w:t>
            </w:r>
            <w:r>
              <w:rPr>
                <w:rFonts w:hint="eastAsia" w:cs="宋体"/>
                <w:color w:val="0D0D0D" w:themeColor="text1" w:themeTint="F2"/>
                <w:kern w:val="0"/>
                <w:szCs w:val="21"/>
                <w14:textFill>
                  <w14:solidFill>
                    <w14:schemeClr w14:val="tx1">
                      <w14:lumMod w14:val="95000"/>
                      <w14:lumOff w14:val="5000"/>
                    </w14:schemeClr>
                  </w14:solidFill>
                </w14:textFill>
              </w:rPr>
              <w:t>、</w:t>
            </w:r>
            <w:r>
              <w:rPr>
                <w:rFonts w:hint="default" w:eastAsia="TimesNewRomanPSMT" w:cs="TimesNewRomanPSMT"/>
                <w:color w:val="0D0D0D" w:themeColor="text1" w:themeTint="F2"/>
                <w:kern w:val="0"/>
                <w:szCs w:val="21"/>
                <w14:textFill>
                  <w14:solidFill>
                    <w14:schemeClr w14:val="tx1">
                      <w14:lumMod w14:val="95000"/>
                      <w14:lumOff w14:val="5000"/>
                    </w14:schemeClr>
                  </w14:solidFill>
                </w14:textFill>
              </w:rPr>
              <w:t>SS</w:t>
            </w:r>
            <w:r>
              <w:rPr>
                <w:rFonts w:hint="eastAsia" w:cs="宋体"/>
                <w:color w:val="0D0D0D" w:themeColor="text1" w:themeTint="F2"/>
                <w:kern w:val="0"/>
                <w:szCs w:val="21"/>
                <w14:textFill>
                  <w14:solidFill>
                    <w14:schemeClr w14:val="tx1">
                      <w14:lumMod w14:val="95000"/>
                      <w14:lumOff w14:val="5000"/>
                    </w14:schemeClr>
                  </w14:solidFill>
                </w14:textFill>
              </w:rPr>
              <w:t>、氨氮</w:t>
            </w:r>
          </w:p>
        </w:tc>
        <w:tc>
          <w:tcPr>
            <w:tcW w:w="1948" w:type="dxa"/>
            <w:tcBorders>
              <w:top w:val="single" w:color="auto" w:sz="4" w:space="0"/>
              <w:bottom w:val="single" w:color="auto" w:sz="4" w:space="0"/>
            </w:tcBorders>
            <w:vAlign w:val="center"/>
          </w:tcPr>
          <w:p>
            <w:pPr>
              <w:keepNext w:val="0"/>
              <w:keepLines w:val="0"/>
              <w:suppressLineNumbers w:val="0"/>
              <w:autoSpaceDE w:val="0"/>
              <w:autoSpaceDN w:val="0"/>
              <w:snapToGrid w:val="0"/>
              <w:spacing w:before="0" w:beforeAutospacing="0" w:after="0" w:afterAutospacing="0"/>
              <w:ind w:left="-105" w:leftChars="-50" w:right="-105" w:rightChars="-50"/>
              <w:jc w:val="center"/>
              <w:rPr>
                <w:rFonts w:hint="default" w:eastAsia="宋体"/>
                <w:color w:val="0D0D0D" w:themeColor="text1" w:themeTint="F2"/>
                <w:kern w:val="0"/>
                <w:szCs w:val="21"/>
                <w:lang w:val="en-US" w:eastAsia="zh-CN"/>
                <w14:textFill>
                  <w14:solidFill>
                    <w14:schemeClr w14:val="tx1">
                      <w14:lumMod w14:val="95000"/>
                      <w14:lumOff w14:val="5000"/>
                    </w14:schemeClr>
                  </w14:solidFill>
                </w14:textFill>
              </w:rPr>
            </w:pPr>
            <w:bookmarkStart w:id="14" w:name="_Toc63415136"/>
            <w:r>
              <w:rPr>
                <w:rFonts w:hint="eastAsia"/>
                <w:color w:val="0D0D0D" w:themeColor="text1" w:themeTint="F2"/>
                <w:kern w:val="0"/>
                <w:szCs w:val="21"/>
                <w:lang w:val="en-US" w:eastAsia="zh-CN"/>
                <w14:textFill>
                  <w14:solidFill>
                    <w14:schemeClr w14:val="tx1">
                      <w14:lumMod w14:val="95000"/>
                      <w14:lumOff w14:val="5000"/>
                    </w14:schemeClr>
                  </w14:solidFill>
                </w14:textFill>
              </w:rPr>
              <w:t>隔油池+</w:t>
            </w:r>
            <w:r>
              <w:rPr>
                <w:rFonts w:hint="eastAsia"/>
                <w:color w:val="0D0D0D" w:themeColor="text1" w:themeTint="F2"/>
                <w:kern w:val="0"/>
                <w:szCs w:val="21"/>
                <w14:textFill>
                  <w14:solidFill>
                    <w14:schemeClr w14:val="tx1">
                      <w14:lumMod w14:val="95000"/>
                      <w14:lumOff w14:val="5000"/>
                    </w14:schemeClr>
                  </w14:solidFill>
                </w14:textFill>
              </w:rPr>
              <w:t>化粪池</w:t>
            </w:r>
            <w:bookmarkEnd w:id="14"/>
          </w:p>
        </w:tc>
        <w:tc>
          <w:tcPr>
            <w:tcW w:w="2436" w:type="dxa"/>
            <w:tcBorders>
              <w:top w:val="single" w:color="auto" w:sz="4" w:space="0"/>
              <w:bottom w:val="single" w:color="auto" w:sz="4" w:space="0"/>
              <w:right w:val="single" w:color="auto" w:sz="12" w:space="0"/>
            </w:tcBorders>
            <w:vAlign w:val="center"/>
          </w:tcPr>
          <w:p>
            <w:pPr>
              <w:keepNext w:val="0"/>
              <w:keepLines w:val="0"/>
              <w:suppressLineNumbers w:val="0"/>
              <w:autoSpaceDE w:val="0"/>
              <w:autoSpaceDN w:val="0"/>
              <w:spacing w:before="0" w:beforeAutospacing="0" w:after="0" w:afterAutospacing="0" w:line="300" w:lineRule="atLeast"/>
              <w:ind w:left="8" w:leftChars="1" w:right="-50" w:hanging="6" w:hangingChars="3"/>
              <w:jc w:val="center"/>
              <w:rPr>
                <w:rFonts w:hint="default"/>
                <w:color w:val="0D0D0D" w:themeColor="text1" w:themeTint="F2"/>
                <w:szCs w:val="21"/>
                <w14:textFill>
                  <w14:solidFill>
                    <w14:schemeClr w14:val="tx1">
                      <w14:lumMod w14:val="95000"/>
                      <w14:lumOff w14:val="5000"/>
                    </w14:schemeClr>
                  </w14:solidFill>
                </w14:textFill>
              </w:rPr>
            </w:pPr>
            <w:bookmarkStart w:id="15" w:name="_Toc63415137"/>
            <w:r>
              <w:rPr>
                <w:rFonts w:hint="eastAsia"/>
                <w:color w:val="0D0D0D" w:themeColor="text1" w:themeTint="F2"/>
                <w:szCs w:val="21"/>
                <w14:textFill>
                  <w14:solidFill>
                    <w14:schemeClr w14:val="tx1">
                      <w14:lumMod w14:val="95000"/>
                      <w14:lumOff w14:val="5000"/>
                    </w14:schemeClr>
                  </w14:solidFill>
                </w14:textFill>
              </w:rPr>
              <w:t>执行</w:t>
            </w:r>
            <w:r>
              <w:rPr>
                <w:rFonts w:hint="eastAsia" w:hAnsi="宋体"/>
                <w:color w:val="0D0D0D" w:themeColor="text1" w:themeTint="F2"/>
                <w:kern w:val="24"/>
                <w:szCs w:val="21"/>
                <w14:textFill>
                  <w14:solidFill>
                    <w14:schemeClr w14:val="tx1">
                      <w14:lumMod w14:val="95000"/>
                      <w14:lumOff w14:val="5000"/>
                    </w14:schemeClr>
                  </w14:solidFill>
                </w14:textFill>
              </w:rPr>
              <w:t>《污水综合排放标准》（</w:t>
            </w:r>
            <w:r>
              <w:rPr>
                <w:rFonts w:hint="default" w:hAnsi="宋体"/>
                <w:color w:val="0D0D0D" w:themeColor="text1" w:themeTint="F2"/>
                <w:kern w:val="24"/>
                <w:szCs w:val="21"/>
                <w14:textFill>
                  <w14:solidFill>
                    <w14:schemeClr w14:val="tx1">
                      <w14:lumMod w14:val="95000"/>
                      <w14:lumOff w14:val="5000"/>
                    </w14:schemeClr>
                  </w14:solidFill>
                </w14:textFill>
              </w:rPr>
              <w:t>GB8978-1996</w:t>
            </w:r>
            <w:r>
              <w:rPr>
                <w:rFonts w:hint="eastAsia" w:hAnsi="宋体"/>
                <w:color w:val="0D0D0D" w:themeColor="text1" w:themeTint="F2"/>
                <w:kern w:val="24"/>
                <w:szCs w:val="21"/>
                <w14:textFill>
                  <w14:solidFill>
                    <w14:schemeClr w14:val="tx1">
                      <w14:lumMod w14:val="95000"/>
                      <w14:lumOff w14:val="5000"/>
                    </w14:schemeClr>
                  </w14:solidFill>
                </w14:textFill>
              </w:rPr>
              <w:t>）表</w:t>
            </w:r>
            <w:r>
              <w:rPr>
                <w:rFonts w:hint="default" w:hAnsi="宋体"/>
                <w:color w:val="0D0D0D" w:themeColor="text1" w:themeTint="F2"/>
                <w:kern w:val="24"/>
                <w:szCs w:val="21"/>
                <w14:textFill>
                  <w14:solidFill>
                    <w14:schemeClr w14:val="tx1">
                      <w14:lumMod w14:val="95000"/>
                      <w14:lumOff w14:val="5000"/>
                    </w14:schemeClr>
                  </w14:solidFill>
                </w14:textFill>
              </w:rPr>
              <w:t>4</w:t>
            </w:r>
            <w:r>
              <w:rPr>
                <w:rFonts w:hint="eastAsia" w:hAnsi="宋体"/>
                <w:color w:val="0D0D0D" w:themeColor="text1" w:themeTint="F2"/>
                <w:kern w:val="24"/>
                <w:szCs w:val="21"/>
                <w14:textFill>
                  <w14:solidFill>
                    <w14:schemeClr w14:val="tx1">
                      <w14:lumMod w14:val="95000"/>
                      <w14:lumOff w14:val="5000"/>
                    </w14:schemeClr>
                  </w14:solidFill>
                </w14:textFill>
              </w:rPr>
              <w:t>中三级标准及</w:t>
            </w:r>
            <w:r>
              <w:rPr>
                <w:rFonts w:hint="eastAsia"/>
                <w:color w:val="0D0D0D" w:themeColor="text1" w:themeTint="F2"/>
                <w:szCs w:val="21"/>
                <w:lang w:val="en-US" w:eastAsia="zh-CN"/>
                <w14:textFill>
                  <w14:solidFill>
                    <w14:schemeClr w14:val="tx1">
                      <w14:lumMod w14:val="95000"/>
                      <w14:lumOff w14:val="5000"/>
                    </w14:schemeClr>
                  </w14:solidFill>
                </w14:textFill>
              </w:rPr>
              <w:t>滨江</w:t>
            </w:r>
            <w:r>
              <w:rPr>
                <w:rFonts w:hint="eastAsia"/>
                <w:color w:val="0D0D0D" w:themeColor="text1" w:themeTint="F2"/>
                <w:szCs w:val="21"/>
                <w14:textFill>
                  <w14:solidFill>
                    <w14:schemeClr w14:val="tx1">
                      <w14:lumMod w14:val="95000"/>
                      <w14:lumOff w14:val="5000"/>
                    </w14:schemeClr>
                  </w14:solidFill>
                </w14:textFill>
              </w:rPr>
              <w:t>污水处理厂纳管标准</w:t>
            </w:r>
            <w:bookmarkEnd w:id="15"/>
            <w:r>
              <w:rPr>
                <w:rFonts w:hint="default"/>
                <w:color w:val="0D0D0D" w:themeColor="text1" w:themeTint="F2"/>
                <w:szCs w:val="21"/>
                <w14:textFill>
                  <w14:solidFill>
                    <w14:schemeClr w14:val="tx1">
                      <w14:lumMod w14:val="95000"/>
                      <w14:lumOff w14:val="5000"/>
                    </w14:schemeClr>
                  </w14:solidFill>
                </w14:textFill>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声环境</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kern w:val="1"/>
                <w:szCs w:val="21"/>
                <w14:textFill>
                  <w14:solidFill>
                    <w14:schemeClr w14:val="tx1">
                      <w14:lumMod w14:val="95000"/>
                      <w14:lumOff w14:val="5000"/>
                    </w14:schemeClr>
                  </w14:solidFill>
                </w14:textFill>
              </w:rPr>
              <w:t>生产设备</w:t>
            </w:r>
          </w:p>
        </w:tc>
        <w:tc>
          <w:tcPr>
            <w:tcW w:w="1312"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c>
          <w:tcPr>
            <w:tcW w:w="194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减振、建筑隔声</w:t>
            </w:r>
          </w:p>
        </w:tc>
        <w:tc>
          <w:tcPr>
            <w:tcW w:w="2436" w:type="dxa"/>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atLeast"/>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《工业企业厂界环境噪声排放标准》</w:t>
            </w:r>
            <w:r>
              <w:rPr>
                <w:rFonts w:hint="default"/>
                <w:color w:val="0D0D0D" w:themeColor="text1" w:themeTint="F2"/>
                <w:szCs w:val="21"/>
                <w14:textFill>
                  <w14:solidFill>
                    <w14:schemeClr w14:val="tx1">
                      <w14:lumMod w14:val="95000"/>
                      <w14:lumOff w14:val="5000"/>
                    </w14:schemeClr>
                  </w14:solidFill>
                </w14:textFill>
              </w:rPr>
              <w:t>(GB12348-2008)</w:t>
            </w:r>
            <w:r>
              <w:rPr>
                <w:rFonts w:hint="eastAsia"/>
                <w:color w:val="0D0D0D" w:themeColor="text1" w:themeTint="F2"/>
                <w:szCs w:val="21"/>
                <w14:textFill>
                  <w14:solidFill>
                    <w14:schemeClr w14:val="tx1">
                      <w14:lumMod w14:val="95000"/>
                      <w14:lumOff w14:val="5000"/>
                    </w14:schemeClr>
                  </w14:solidFill>
                </w14:textFill>
              </w:rPr>
              <w:t>中</w:t>
            </w:r>
            <w:r>
              <w:rPr>
                <w:rFonts w:hint="default"/>
                <w:color w:val="0D0D0D" w:themeColor="text1" w:themeTint="F2"/>
                <w:szCs w:val="21"/>
                <w14:textFill>
                  <w14:solidFill>
                    <w14:schemeClr w14:val="tx1">
                      <w14:lumMod w14:val="95000"/>
                      <w14:lumOff w14:val="5000"/>
                    </w14:schemeClr>
                  </w14:solidFill>
                </w14:textFill>
              </w:rPr>
              <w:t>3</w:t>
            </w:r>
            <w:r>
              <w:rPr>
                <w:rFonts w:hint="eastAsia"/>
                <w:color w:val="0D0D0D" w:themeColor="text1" w:themeTint="F2"/>
                <w:szCs w:val="21"/>
                <w14:textFill>
                  <w14:solidFill>
                    <w14:schemeClr w14:val="tx1">
                      <w14:lumMod w14:val="95000"/>
                      <w14:lumOff w14:val="5000"/>
                    </w14:schemeClr>
                  </w14:solidFill>
                </w14:textFill>
              </w:rPr>
              <w:t>类标准</w:t>
            </w:r>
            <w:r>
              <w:rPr>
                <w:rFonts w:hint="default"/>
                <w:color w:val="0D0D0D" w:themeColor="text1" w:themeTint="F2"/>
                <w:szCs w:val="21"/>
                <w14:textFill>
                  <w14:solidFill>
                    <w14:schemeClr w14:val="tx1">
                      <w14:lumMod w14:val="95000"/>
                      <w14:lumOff w14:val="5000"/>
                    </w14:schemeClr>
                  </w14:solidFill>
                </w14:textFill>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电磁辐射</w:t>
            </w:r>
          </w:p>
        </w:tc>
        <w:tc>
          <w:tcPr>
            <w:tcW w:w="1559"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w:t>
            </w:r>
          </w:p>
        </w:tc>
        <w:tc>
          <w:tcPr>
            <w:tcW w:w="1312"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w:t>
            </w:r>
          </w:p>
        </w:tc>
        <w:tc>
          <w:tcPr>
            <w:tcW w:w="1948" w:type="dxa"/>
            <w:tcBorders>
              <w:top w:val="single" w:color="auto" w:sz="4"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w:t>
            </w:r>
          </w:p>
        </w:tc>
        <w:tc>
          <w:tcPr>
            <w:tcW w:w="2436" w:type="dxa"/>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固体废物</w:t>
            </w:r>
          </w:p>
        </w:tc>
        <w:tc>
          <w:tcPr>
            <w:tcW w:w="7255" w:type="dxa"/>
            <w:gridSpan w:val="4"/>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line="300" w:lineRule="atLeast"/>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收集抛丸粉尘</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不合格品</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金属屑</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废抛丸砂</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废砂轮带</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熔化炉炉渣</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打磨湿式除尘沉渣等固废在</w:t>
            </w:r>
            <w:r>
              <w:rPr>
                <w:rFonts w:hint="default"/>
                <w:color w:val="0D0D0D" w:themeColor="text1" w:themeTint="F2"/>
                <w:szCs w:val="21"/>
                <w14:textFill>
                  <w14:solidFill>
                    <w14:schemeClr w14:val="tx1">
                      <w14:lumMod w14:val="95000"/>
                      <w14:lumOff w14:val="5000"/>
                    </w14:schemeClr>
                  </w14:solidFill>
                </w14:textFill>
              </w:rPr>
              <w:t>一般固废场暂存，</w:t>
            </w:r>
            <w:r>
              <w:rPr>
                <w:rFonts w:hint="eastAsia"/>
                <w:color w:val="0D0D0D" w:themeColor="text1" w:themeTint="F2"/>
                <w:kern w:val="0"/>
                <w:szCs w:val="21"/>
                <w14:textFill>
                  <w14:solidFill>
                    <w14:schemeClr w14:val="tx1">
                      <w14:lumMod w14:val="95000"/>
                      <w14:lumOff w14:val="5000"/>
                    </w14:schemeClr>
                  </w14:solidFill>
                </w14:textFill>
              </w:rPr>
              <w:t>均按规定综合利用</w:t>
            </w:r>
            <w:r>
              <w:rPr>
                <w:rFonts w:hint="eastAsia"/>
                <w:color w:val="0D0D0D" w:themeColor="text1" w:themeTint="F2"/>
                <w:szCs w:val="21"/>
                <w14:textFill>
                  <w14:solidFill>
                    <w14:schemeClr w14:val="tx1">
                      <w14:lumMod w14:val="95000"/>
                      <w14:lumOff w14:val="5000"/>
                    </w14:schemeClr>
                  </w14:solidFill>
                </w14:textFill>
              </w:rPr>
              <w:t>；</w:t>
            </w:r>
            <w:r>
              <w:rPr>
                <w:rFonts w:hint="default"/>
                <w:color w:val="0D0D0D" w:themeColor="text1" w:themeTint="F2"/>
                <w:szCs w:val="21"/>
                <w14:textFill>
                  <w14:solidFill>
                    <w14:schemeClr w14:val="tx1">
                      <w14:lumMod w14:val="95000"/>
                      <w14:lumOff w14:val="5000"/>
                    </w14:schemeClr>
                  </w14:solidFill>
                </w14:textFill>
              </w:rPr>
              <w:t>危险废物包括</w:t>
            </w:r>
            <w:r>
              <w:rPr>
                <w:rFonts w:hint="eastAsia"/>
                <w:color w:val="0D0D0D" w:themeColor="text1" w:themeTint="F2"/>
                <w:szCs w:val="21"/>
                <w14:textFill>
                  <w14:solidFill>
                    <w14:schemeClr w14:val="tx1">
                      <w14:lumMod w14:val="95000"/>
                      <w14:lumOff w14:val="5000"/>
                    </w14:schemeClr>
                  </w14:solidFill>
                </w14:textFill>
              </w:rPr>
              <w:t>废脱模剂桶</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废布袋</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收集铝灰</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废活性炭</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废润滑油</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废液压油</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废油桶</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废脱模液沉渣</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lang w:val="en-US" w:eastAsia="zh-CN"/>
                <w14:textFill>
                  <w14:solidFill>
                    <w14:schemeClr w14:val="tx1">
                      <w14:lumMod w14:val="95000"/>
                      <w14:lumOff w14:val="5000"/>
                    </w14:schemeClr>
                  </w14:solidFill>
                </w14:textFill>
              </w:rPr>
              <w:t>废脱模液</w:t>
            </w:r>
            <w:r>
              <w:rPr>
                <w:rFonts w:hint="eastAsia"/>
                <w:color w:val="0D0D0D" w:themeColor="text1" w:themeTint="F2"/>
                <w:szCs w:val="21"/>
                <w:lang w:eastAsia="zh-CN"/>
                <w14:textFill>
                  <w14:solidFill>
                    <w14:schemeClr w14:val="tx1">
                      <w14:lumMod w14:val="95000"/>
                      <w14:lumOff w14:val="5000"/>
                    </w14:schemeClr>
                  </w14:solidFill>
                </w14:textFill>
              </w:rPr>
              <w:t>、</w:t>
            </w:r>
            <w:r>
              <w:rPr>
                <w:rFonts w:hint="eastAsia"/>
                <w:color w:val="0D0D0D" w:themeColor="text1" w:themeTint="F2"/>
                <w:szCs w:val="21"/>
                <w14:textFill>
                  <w14:solidFill>
                    <w14:schemeClr w14:val="tx1">
                      <w14:lumMod w14:val="95000"/>
                      <w14:lumOff w14:val="5000"/>
                    </w14:schemeClr>
                  </w14:solidFill>
                </w14:textFill>
              </w:rPr>
              <w:t>集中收集的废含油手套、抹布。等</w:t>
            </w:r>
            <w:r>
              <w:rPr>
                <w:rFonts w:hint="default"/>
                <w:color w:val="0D0D0D" w:themeColor="text1" w:themeTint="F2"/>
                <w:szCs w:val="21"/>
                <w14:textFill>
                  <w14:solidFill>
                    <w14:schemeClr w14:val="tx1">
                      <w14:lumMod w14:val="95000"/>
                      <w14:lumOff w14:val="5000"/>
                    </w14:schemeClr>
                  </w14:solidFill>
                </w14:textFill>
              </w:rPr>
              <w:t>危废建设危废暂存</w:t>
            </w:r>
            <w:r>
              <w:rPr>
                <w:rFonts w:hint="eastAsia"/>
                <w:color w:val="0D0D0D" w:themeColor="text1" w:themeTint="F2"/>
                <w:szCs w:val="21"/>
                <w14:textFill>
                  <w14:solidFill>
                    <w14:schemeClr w14:val="tx1">
                      <w14:lumMod w14:val="95000"/>
                      <w14:lumOff w14:val="5000"/>
                    </w14:schemeClr>
                  </w14:solidFill>
                </w14:textFill>
              </w:rPr>
              <w:t>间（位于</w:t>
            </w:r>
            <w:r>
              <w:rPr>
                <w:rFonts w:hint="eastAsia"/>
                <w:color w:val="0D0D0D" w:themeColor="text1" w:themeTint="F2"/>
                <w:kern w:val="0"/>
                <w:szCs w:val="21"/>
                <w14:textFill>
                  <w14:solidFill>
                    <w14:schemeClr w14:val="tx1">
                      <w14:lumMod w14:val="95000"/>
                      <w14:lumOff w14:val="5000"/>
                    </w14:schemeClr>
                  </w14:solidFill>
                </w14:textFill>
              </w:rPr>
              <w:t>厂房</w:t>
            </w:r>
            <w:r>
              <w:rPr>
                <w:rFonts w:hint="eastAsia"/>
                <w:color w:val="auto"/>
                <w:kern w:val="0"/>
                <w:szCs w:val="21"/>
              </w:rPr>
              <w:t>东侧</w:t>
            </w:r>
            <w:r>
              <w:rPr>
                <w:rFonts w:hint="default"/>
                <w:color w:val="0D0D0D" w:themeColor="text1" w:themeTint="F2"/>
                <w:kern w:val="0"/>
                <w:szCs w:val="21"/>
                <w14:textFill>
                  <w14:solidFill>
                    <w14:schemeClr w14:val="tx1">
                      <w14:lumMod w14:val="95000"/>
                      <w14:lumOff w14:val="5000"/>
                    </w14:schemeClr>
                  </w14:solidFill>
                </w14:textFill>
              </w:rPr>
              <w:t>，占地面积约</w:t>
            </w:r>
            <w:r>
              <w:rPr>
                <w:rFonts w:hint="eastAsia"/>
                <w:color w:val="0D0D0D" w:themeColor="text1" w:themeTint="F2"/>
                <w:kern w:val="0"/>
                <w:szCs w:val="21"/>
                <w:lang w:val="en-US" w:eastAsia="zh-CN"/>
                <w14:textFill>
                  <w14:solidFill>
                    <w14:schemeClr w14:val="tx1">
                      <w14:lumMod w14:val="95000"/>
                      <w14:lumOff w14:val="5000"/>
                    </w14:schemeClr>
                  </w14:solidFill>
                </w14:textFill>
              </w:rPr>
              <w:t>12</w:t>
            </w:r>
            <w:r>
              <w:rPr>
                <w:rFonts w:hint="default"/>
                <w:color w:val="0D0D0D" w:themeColor="text1" w:themeTint="F2"/>
                <w:kern w:val="0"/>
                <w:szCs w:val="21"/>
                <w14:textFill>
                  <w14:solidFill>
                    <w14:schemeClr w14:val="tx1">
                      <w14:lumMod w14:val="95000"/>
                      <w14:lumOff w14:val="5000"/>
                    </w14:schemeClr>
                  </w14:solidFill>
                </w14:textFill>
              </w:rPr>
              <w:t xml:space="preserve"> m</w:t>
            </w:r>
            <w:r>
              <w:rPr>
                <w:rFonts w:hint="default"/>
                <w:color w:val="0D0D0D" w:themeColor="text1" w:themeTint="F2"/>
                <w:kern w:val="0"/>
                <w:szCs w:val="21"/>
                <w:vertAlign w:val="superscript"/>
                <w14:textFill>
                  <w14:solidFill>
                    <w14:schemeClr w14:val="tx1">
                      <w14:lumMod w14:val="95000"/>
                      <w14:lumOff w14:val="5000"/>
                    </w14:schemeClr>
                  </w14:solidFill>
                </w14:textFill>
              </w:rPr>
              <w:t>2</w:t>
            </w:r>
            <w:r>
              <w:rPr>
                <w:rFonts w:hint="eastAsia"/>
                <w:color w:val="0D0D0D" w:themeColor="text1" w:themeTint="F2"/>
                <w:szCs w:val="21"/>
                <w14:textFill>
                  <w14:solidFill>
                    <w14:schemeClr w14:val="tx1">
                      <w14:lumMod w14:val="95000"/>
                      <w14:lumOff w14:val="5000"/>
                    </w14:schemeClr>
                  </w14:solidFill>
                </w14:textFill>
              </w:rPr>
              <w:t>）</w:t>
            </w:r>
            <w:r>
              <w:rPr>
                <w:rFonts w:hint="default"/>
                <w:color w:val="0D0D0D" w:themeColor="text1" w:themeTint="F2"/>
                <w:szCs w:val="21"/>
                <w14:textFill>
                  <w14:solidFill>
                    <w14:schemeClr w14:val="tx1">
                      <w14:lumMod w14:val="95000"/>
                      <w14:lumOff w14:val="5000"/>
                    </w14:schemeClr>
                  </w14:solidFill>
                </w14:textFill>
              </w:rPr>
              <w:t>，定期委托资质单位处理；</w:t>
            </w:r>
            <w:r>
              <w:rPr>
                <w:rFonts w:hint="default" w:cs="宋体"/>
                <w:color w:val="0D0D0D" w:themeColor="text1" w:themeTint="F2"/>
                <w:szCs w:val="21"/>
                <w14:textFill>
                  <w14:solidFill>
                    <w14:schemeClr w14:val="tx1">
                      <w14:lumMod w14:val="95000"/>
                      <w14:lumOff w14:val="5000"/>
                    </w14:schemeClr>
                  </w14:solidFill>
                </w14:textFill>
              </w:rPr>
              <w:t>未分类收集的</w:t>
            </w:r>
            <w:r>
              <w:rPr>
                <w:rFonts w:hint="eastAsia"/>
                <w:color w:val="0D0D0D" w:themeColor="text1" w:themeTint="F2"/>
                <w:szCs w:val="21"/>
                <w14:textFill>
                  <w14:solidFill>
                    <w14:schemeClr w14:val="tx1">
                      <w14:lumMod w14:val="95000"/>
                      <w14:lumOff w14:val="5000"/>
                    </w14:schemeClr>
                  </w14:solidFill>
                </w14:textFill>
              </w:rPr>
              <w:t>废含油抹布手套及</w:t>
            </w:r>
            <w:r>
              <w:rPr>
                <w:rFonts w:hint="default"/>
                <w:color w:val="0D0D0D" w:themeColor="text1" w:themeTint="F2"/>
                <w:szCs w:val="21"/>
                <w14:textFill>
                  <w14:solidFill>
                    <w14:schemeClr w14:val="tx1">
                      <w14:lumMod w14:val="95000"/>
                      <w14:lumOff w14:val="5000"/>
                    </w14:schemeClr>
                  </w14:solidFill>
                </w14:textFill>
              </w:rPr>
              <w:t>生活垃圾委托环卫部门清运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土壤及地下水污染防治措施</w:t>
            </w:r>
          </w:p>
        </w:tc>
        <w:tc>
          <w:tcPr>
            <w:tcW w:w="7255" w:type="dxa"/>
            <w:gridSpan w:val="4"/>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kern w:val="0"/>
                <w:szCs w:val="21"/>
                <w:lang w:val="en-US" w:eastAsia="zh-CN"/>
              </w:rPr>
              <w:t>化学品存放处、危废暂存间、冷却循环水池、沉淀池</w:t>
            </w:r>
            <w:r>
              <w:rPr>
                <w:rFonts w:hint="eastAsia"/>
                <w:kern w:val="0"/>
                <w:szCs w:val="21"/>
              </w:rPr>
              <w:t>重点</w:t>
            </w:r>
            <w:r>
              <w:rPr>
                <w:rFonts w:hint="default"/>
                <w:color w:val="0D0D0D" w:themeColor="text1" w:themeTint="F2"/>
                <w:szCs w:val="21"/>
                <w14:textFill>
                  <w14:solidFill>
                    <w14:schemeClr w14:val="tx1">
                      <w14:lumMod w14:val="95000"/>
                      <w14:lumOff w14:val="5000"/>
                    </w14:schemeClr>
                  </w14:solidFill>
                </w14:textFill>
              </w:rPr>
              <w:t>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生态保护措施</w:t>
            </w:r>
          </w:p>
        </w:tc>
        <w:tc>
          <w:tcPr>
            <w:tcW w:w="7255" w:type="dxa"/>
            <w:gridSpan w:val="4"/>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zCs w:val="21"/>
                <w14:textFill>
                  <w14:solidFill>
                    <w14:schemeClr w14:val="tx1">
                      <w14:lumMod w14:val="95000"/>
                      <w14:lumOff w14:val="5000"/>
                    </w14:schemeClr>
                  </w14:solidFill>
                </w14:textFill>
              </w:rPr>
            </w:pPr>
            <w:r>
              <w:rPr>
                <w:rFonts w:hint="eastAsia" w:cs="宋体"/>
                <w:color w:val="0D0D0D" w:themeColor="text1" w:themeTint="F2"/>
                <w:szCs w:val="21"/>
                <w14:textFill>
                  <w14:solidFill>
                    <w14:schemeClr w14:val="tx1">
                      <w14:lumMod w14:val="95000"/>
                      <w14:lumOff w14:val="5000"/>
                    </w14:schemeClr>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pacing w:val="-8"/>
                <w:szCs w:val="21"/>
                <w14:textFill>
                  <w14:solidFill>
                    <w14:schemeClr w14:val="tx1">
                      <w14:lumMod w14:val="95000"/>
                      <w14:lumOff w14:val="5000"/>
                    </w14:schemeClr>
                  </w14:solidFill>
                </w14:textFill>
              </w:rPr>
            </w:pPr>
            <w:r>
              <w:rPr>
                <w:rFonts w:hint="eastAsia" w:cs="宋体"/>
                <w:color w:val="0D0D0D" w:themeColor="text1" w:themeTint="F2"/>
                <w:spacing w:val="-8"/>
                <w:szCs w:val="21"/>
                <w14:textFill>
                  <w14:solidFill>
                    <w14:schemeClr w14:val="tx1">
                      <w14:lumMod w14:val="95000"/>
                      <w14:lumOff w14:val="5000"/>
                    </w14:schemeClr>
                  </w14:solidFill>
                </w14:textFill>
              </w:rPr>
              <w:t>环境风险防范措施</w:t>
            </w:r>
          </w:p>
        </w:tc>
        <w:tc>
          <w:tcPr>
            <w:tcW w:w="7255" w:type="dxa"/>
            <w:gridSpan w:val="4"/>
            <w:tcBorders>
              <w:top w:val="single" w:color="auto" w:sz="4" w:space="0"/>
              <w:bottom w:val="single" w:color="auto" w:sz="4" w:space="0"/>
              <w:right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①合理选址和总图布置②物料泄露事故防范措施③火灾事故防范措施④电气、电讯安全防范措施⑤铝粉尘爆炸安全防范措施⑥安全管理措施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45" w:type="dxa"/>
            <w:tcBorders>
              <w:top w:val="single" w:color="auto" w:sz="4" w:space="0"/>
              <w:left w:val="single" w:color="auto" w:sz="12" w:space="0"/>
              <w:bottom w:val="single" w:color="auto" w:sz="12"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cs="宋体"/>
                <w:color w:val="0D0D0D" w:themeColor="text1" w:themeTint="F2"/>
                <w:spacing w:val="-8"/>
                <w:szCs w:val="21"/>
                <w14:textFill>
                  <w14:solidFill>
                    <w14:schemeClr w14:val="tx1">
                      <w14:lumMod w14:val="95000"/>
                      <w14:lumOff w14:val="5000"/>
                    </w14:schemeClr>
                  </w14:solidFill>
                </w14:textFill>
              </w:rPr>
            </w:pPr>
            <w:r>
              <w:rPr>
                <w:rFonts w:hint="eastAsia" w:cs="宋体"/>
                <w:color w:val="0D0D0D" w:themeColor="text1" w:themeTint="F2"/>
                <w:spacing w:val="-8"/>
                <w:szCs w:val="21"/>
                <w14:textFill>
                  <w14:solidFill>
                    <w14:schemeClr w14:val="tx1">
                      <w14:lumMod w14:val="95000"/>
                      <w14:lumOff w14:val="5000"/>
                    </w14:schemeClr>
                  </w14:solidFill>
                </w14:textFill>
              </w:rPr>
              <w:t>其他环境管理要求</w:t>
            </w:r>
          </w:p>
        </w:tc>
        <w:tc>
          <w:tcPr>
            <w:tcW w:w="7255" w:type="dxa"/>
            <w:gridSpan w:val="4"/>
            <w:tcBorders>
              <w:top w:val="single" w:color="auto" w:sz="4" w:space="0"/>
              <w:bottom w:val="single" w:color="auto" w:sz="12" w:space="0"/>
              <w:right w:val="single" w:color="auto" w:sz="12" w:space="0"/>
            </w:tcBorders>
            <w:vAlign w:val="center"/>
          </w:tcPr>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1、环境管理</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建设项目应设环境管理机构，运营期要确保环保设施的运行，并定期检查其效果，了解建设项目的污染因子的变化情况，建立健全环保档案，为保护和改善区域环境质量作好组织和监督工作，环境管理具体内容如下：</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①严格执行国家环境保护有关政策和法规，项目建成后及时协助有关环保部门进行建设工程项目环境保护设施的验收工作。</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②加强对管理人员的教育</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要经常加强对环保管理人员的教育，包括业务能力、操作技术、环保管理知识的教育，以增强他们的环保意识，提高管理水平。</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③加强生产全过程的环境管理</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建设单位应加强生产全过程的环境管理，始终贯彻清洁生产，节约原材料和能源，减少所有废弃物的数量：减少从原材料选择到产品最终处置的全生命周期的不利影响。</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④加强污染物处理装置的管理</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项目建成投产前，必须切实做好各项处理设备的选型、安装、调试；对各环保处理设施，要加强管理，及时维修、定期保养，保证处理设施正常运行。</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2、排污口规范化设置</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根据国家环保总污水排放口位置应根据局《关于开展排污口规范化整治试点工作的意见》、《关于加快排污口规范化整治试点工作的通知》和《安徽省污染源排放口规范化整治管理办法》精神，企业所有排放口（包括水、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绘制企业排污口分布图，对治理设施安装运行监控装置、排污口的规范化要符合有关要求。</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（1）废水排放口</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实际地形和排放污染物的种类情况确定，原则应设置一段长度不小于 1 米长的明渠，排污口须满足采样监测要求</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（2）固定噪声源</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按规定对固定噪声源进行治理，在固定噪声源处应按《环境保护图形标志》</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（GB15562.2-1995）要求设置环境保护图形标志牌。</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（3）固体废物储存场</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对危险废物贮存建造专用的贮存设施，并在固体废物贮存（处置）场所醒目处设置标志牌，定期送有资质处理的单位集中处置，符合规范要求。一般工业固体废物和生活垃圾应设置专用堆放场地，采取防止二次污染措施。</w:t>
            </w:r>
          </w:p>
          <w:p>
            <w:pPr>
              <w:keepNext w:val="0"/>
              <w:keepLines w:val="0"/>
              <w:suppressLineNumbers w:val="0"/>
              <w:autoSpaceDE w:val="0"/>
              <w:autoSpaceDN w:val="0"/>
              <w:spacing w:before="0" w:beforeAutospacing="0" w:after="0" w:afterAutospacing="0" w:line="300" w:lineRule="atLeast"/>
              <w:ind w:left="0" w:right="-50"/>
              <w:rPr>
                <w:rFonts w:hint="eastAsia" w:ascii="宋体" w:hAnsi="宋体"/>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（4）设置标志牌要求</w:t>
            </w:r>
          </w:p>
          <w:p>
            <w:pPr>
              <w:keepNext w:val="0"/>
              <w:keepLines w:val="0"/>
              <w:suppressLineNumbers w:val="0"/>
              <w:autoSpaceDE w:val="0"/>
              <w:autoSpaceDN w:val="0"/>
              <w:spacing w:before="0" w:beforeAutospacing="0" w:after="0" w:afterAutospacing="0" w:line="300" w:lineRule="atLeast"/>
              <w:ind w:left="0" w:right="-50"/>
              <w:rPr>
                <w:rFonts w:hint="default"/>
                <w:color w:val="0D0D0D" w:themeColor="text1" w:themeTint="F2"/>
                <w:szCs w:val="21"/>
                <w14:textFill>
                  <w14:solidFill>
                    <w14:schemeClr w14:val="tx1">
                      <w14:lumMod w14:val="95000"/>
                      <w14:lumOff w14:val="5000"/>
                    </w14:schemeClr>
                  </w14:solidFill>
                </w14:textFill>
              </w:rPr>
            </w:pPr>
            <w:r>
              <w:rPr>
                <w:rFonts w:hint="eastAsia" w:ascii="宋体" w:hAnsi="宋体"/>
                <w:color w:val="0D0D0D" w:themeColor="text1" w:themeTint="F2"/>
                <w:szCs w:val="21"/>
                <w14:textFill>
                  <w14:solidFill>
                    <w14:schemeClr w14:val="tx1">
                      <w14:lumMod w14:val="95000"/>
                      <w14:lumOff w14:val="5000"/>
                    </w14:schemeClr>
                  </w14:solidFill>
                </w14:textFill>
              </w:rPr>
              <w:t>对企业车间废气处理装置的排口分别设置平面固定式提示标志牌或树立式固定式提示标志牌，平面固定式标志牌为 0.48cm×0.3cm 的长方形冷轧钢板，树立式提示标志牌为 0.42cm×0.42cm 的正方形冷轧钢板，提示牌的背景和立柱为绿色，图案、边框、支架和铺助标志的文字为白色，文字字型为黑体，标志牌辅助标志内容包括排污单位名称、标志牌名称、排污口编号和主要污染物名称，并交付当地环保部门注明。</w:t>
            </w:r>
          </w:p>
        </w:tc>
      </w:tr>
    </w:tbl>
    <w:p>
      <w:pPr>
        <w:pStyle w:val="54"/>
        <w:jc w:val="center"/>
        <w:outlineLvl w:val="0"/>
        <w:rPr>
          <w:rFonts w:ascii="Times New Roman" w:hAnsi="Times New Roman"/>
          <w:b/>
          <w:snapToGrid w:val="0"/>
          <w:color w:val="0D0D0D" w:themeColor="text1" w:themeTint="F2"/>
          <w:sz w:val="30"/>
          <w:szCs w:val="30"/>
          <w14:textFill>
            <w14:solidFill>
              <w14:schemeClr w14:val="tx1">
                <w14:lumMod w14:val="95000"/>
                <w14:lumOff w14:val="5000"/>
              </w14:schemeClr>
            </w14:solidFill>
          </w14:textFill>
        </w:rPr>
      </w:pPr>
      <w:r>
        <w:rPr>
          <w:rFonts w:ascii="Times New Roman" w:hAnsi="Times New Roman"/>
          <w:snapToGrid w:val="0"/>
          <w:color w:val="0D0D0D" w:themeColor="text1" w:themeTint="F2"/>
          <w:szCs w:val="24"/>
          <w14:textFill>
            <w14:solidFill>
              <w14:schemeClr w14:val="tx1">
                <w14:lumMod w14:val="95000"/>
                <w14:lumOff w14:val="5000"/>
              </w14:schemeClr>
            </w14:solidFill>
          </w14:textFill>
        </w:rPr>
        <w:br w:type="page"/>
      </w:r>
      <w:r>
        <w:rPr>
          <w:rFonts w:hint="eastAsia" w:ascii="Times New Roman" w:hAnsi="Times New Roman"/>
          <w:b/>
          <w:snapToGrid w:val="0"/>
          <w:color w:val="0D0D0D" w:themeColor="text1" w:themeTint="F2"/>
          <w:sz w:val="30"/>
          <w:szCs w:val="30"/>
          <w14:textFill>
            <w14:solidFill>
              <w14:schemeClr w14:val="tx1">
                <w14:lumMod w14:val="95000"/>
                <w14:lumOff w14:val="5000"/>
              </w14:schemeClr>
            </w14:solidFill>
          </w14:textFill>
        </w:rPr>
        <w:t>六、结论</w:t>
      </w:r>
    </w:p>
    <w:tbl>
      <w:tblPr>
        <w:tblStyle w:val="59"/>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991" w:hRule="atLeast"/>
          <w:jc w:val="center"/>
        </w:trPr>
        <w:tc>
          <w:tcPr>
            <w:tcW w:w="8865" w:type="dxa"/>
            <w:vAlign w:val="center"/>
          </w:tcPr>
          <w:p>
            <w:pPr>
              <w:keepNext w:val="0"/>
              <w:keepLines w:val="0"/>
              <w:widowControl/>
              <w:suppressLineNumbers w:val="0"/>
              <w:tabs>
                <w:tab w:val="left" w:pos="5640"/>
              </w:tabs>
              <w:spacing w:before="0" w:beforeAutospacing="0" w:after="0" w:afterAutospacing="0" w:line="360" w:lineRule="auto"/>
              <w:ind w:left="0" w:right="0" w:firstLine="480" w:firstLineChars="200"/>
              <w:rPr>
                <w:rFonts w:hint="default" w:cs="宋体"/>
                <w:color w:val="0D0D0D" w:themeColor="text1" w:themeTint="F2"/>
                <w:sz w:val="24"/>
                <w14:textFill>
                  <w14:solidFill>
                    <w14:schemeClr w14:val="tx1">
                      <w14:lumMod w14:val="95000"/>
                      <w14:lumOff w14:val="5000"/>
                    </w14:schemeClr>
                  </w14:solidFill>
                </w14:textFill>
              </w:rPr>
            </w:pPr>
            <w:r>
              <w:rPr>
                <w:rFonts w:hint="eastAsia" w:cs="宋体"/>
                <w:color w:val="0D0D0D" w:themeColor="text1" w:themeTint="F2"/>
                <w:sz w:val="24"/>
                <w14:textFill>
                  <w14:solidFill>
                    <w14:schemeClr w14:val="tx1">
                      <w14:lumMod w14:val="95000"/>
                      <w14:lumOff w14:val="5000"/>
                    </w14:schemeClr>
                  </w14:solidFill>
                </w14:textFill>
              </w:rPr>
              <w:t>项目的建设符合国家和地方产业政策，项目在落实环评中的污染防治措施后，各项污染物可以达标排放，对环境的影响也比较小。因此，从环境保护的角度来讲，本评价认为项目在坚持“三同时”原则并采取一定的环保措施后，项目建设是可行的。</w:t>
            </w: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p>
            <w:pPr>
              <w:keepNext w:val="0"/>
              <w:keepLines w:val="0"/>
              <w:widowControl/>
              <w:suppressLineNumbers w:val="0"/>
              <w:tabs>
                <w:tab w:val="left" w:pos="5640"/>
              </w:tabs>
              <w:spacing w:before="0" w:beforeAutospacing="0" w:after="0" w:afterAutospacing="0" w:line="360" w:lineRule="auto"/>
              <w:ind w:left="0" w:right="0" w:firstLine="480" w:firstLineChars="200"/>
              <w:jc w:val="left"/>
              <w:rPr>
                <w:rFonts w:hint="default" w:cs="宋体"/>
                <w:color w:val="0D0D0D" w:themeColor="text1" w:themeTint="F2"/>
                <w:sz w:val="24"/>
                <w14:textFill>
                  <w14:solidFill>
                    <w14:schemeClr w14:val="tx1">
                      <w14:lumMod w14:val="95000"/>
                      <w14:lumOff w14:val="5000"/>
                    </w14:schemeClr>
                  </w14:solidFill>
                </w14:textFill>
              </w:rPr>
            </w:pPr>
          </w:p>
        </w:tc>
      </w:tr>
    </w:tbl>
    <w:p>
      <w:pPr>
        <w:tabs>
          <w:tab w:val="left" w:pos="952"/>
        </w:tabs>
        <w:rPr>
          <w:color w:val="0D0D0D" w:themeColor="text1" w:themeTint="F2"/>
          <w14:textFill>
            <w14:solidFill>
              <w14:schemeClr w14:val="tx1">
                <w14:lumMod w14:val="95000"/>
                <w14:lumOff w14:val="5000"/>
              </w14:schemeClr>
            </w14:solidFill>
          </w14:textFill>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648"/>
        <w:spacing w:line="240" w:lineRule="auto"/>
        <w:ind w:firstLine="720"/>
        <w:jc w:val="center"/>
        <w:rPr>
          <w:snapToGrid w:val="0"/>
          <w:color w:val="000000" w:themeColor="text1"/>
          <w:sz w:val="36"/>
          <w:szCs w:val="36"/>
          <w14:textFill>
            <w14:solidFill>
              <w14:schemeClr w14:val="tx1"/>
            </w14:solidFill>
          </w14:textFill>
        </w:rPr>
      </w:pPr>
      <w:r>
        <w:rPr>
          <w:rFonts w:hint="eastAsia"/>
          <w:snapToGrid w:val="0"/>
          <w:color w:val="000000" w:themeColor="text1"/>
          <w:sz w:val="36"/>
          <w:szCs w:val="36"/>
          <w14:textFill>
            <w14:solidFill>
              <w14:schemeClr w14:val="tx1"/>
            </w14:solidFill>
          </w14:textFill>
        </w:rPr>
        <w:t>建设项目污染物排放量汇总表</w:t>
      </w:r>
    </w:p>
    <w:tbl>
      <w:tblPr>
        <w:tblStyle w:val="5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942"/>
        <w:gridCol w:w="1559"/>
        <w:gridCol w:w="1564"/>
        <w:gridCol w:w="1560"/>
        <w:gridCol w:w="1701"/>
        <w:gridCol w:w="1701"/>
        <w:gridCol w:w="1559"/>
        <w:gridCol w:w="10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tcBorders>
              <w:top w:val="single" w:color="auto" w:sz="12" w:space="0"/>
              <w:left w:val="single" w:color="auto" w:sz="12" w:space="0"/>
              <w:bottom w:val="single" w:color="auto" w:sz="2" w:space="0"/>
              <w:right w:val="single" w:color="auto" w:sz="2" w:space="0"/>
              <w:tl2br w:val="single" w:color="auto" w:sz="4"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spacing w:val="-6"/>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spacing w:val="-6"/>
                <w:kern w:val="21"/>
                <w:szCs w:val="21"/>
                <w14:textFill>
                  <w14:solidFill>
                    <w14:schemeClr w14:val="tx1">
                      <w14:lumMod w14:val="95000"/>
                      <w14:lumOff w14:val="5000"/>
                    </w14:schemeClr>
                  </w14:solidFill>
                </w14:textFill>
              </w:rPr>
              <w:t xml:space="preserve"> </w:t>
            </w:r>
            <w:r>
              <w:rPr>
                <w:rFonts w:hint="default" w:ascii="Times New Roman" w:cs="宋体"/>
                <w:snapToGrid w:val="0"/>
                <w:color w:val="0D0D0D" w:themeColor="text1" w:themeTint="F2"/>
                <w:spacing w:val="-6"/>
                <w:kern w:val="21"/>
                <w:szCs w:val="21"/>
                <w14:textFill>
                  <w14:solidFill>
                    <w14:schemeClr w14:val="tx1">
                      <w14:lumMod w14:val="95000"/>
                      <w14:lumOff w14:val="5000"/>
                    </w14:schemeClr>
                  </w14:solidFill>
                </w14:textFill>
              </w:rPr>
              <w:t xml:space="preserve">     </w:t>
            </w:r>
            <w:r>
              <w:rPr>
                <w:rFonts w:hint="eastAsia" w:ascii="Times New Roman" w:cs="宋体"/>
                <w:snapToGrid w:val="0"/>
                <w:color w:val="0D0D0D" w:themeColor="text1" w:themeTint="F2"/>
                <w:spacing w:val="-6"/>
                <w:kern w:val="21"/>
                <w:szCs w:val="21"/>
                <w14:textFill>
                  <w14:solidFill>
                    <w14:schemeClr w14:val="tx1">
                      <w14:lumMod w14:val="95000"/>
                      <w14:lumOff w14:val="5000"/>
                    </w14:schemeClr>
                  </w14:solidFill>
                </w14:textFill>
              </w:rPr>
              <w:t>项目</w:t>
            </w:r>
          </w:p>
          <w:p>
            <w:pPr>
              <w:pStyle w:val="114"/>
              <w:keepNext w:val="0"/>
              <w:keepLines w:val="0"/>
              <w:suppressLineNumbers w:val="0"/>
              <w:spacing w:before="0" w:beforeLines="0" w:beforeAutospacing="0" w:after="0" w:afterLines="0" w:afterAutospacing="0" w:line="240" w:lineRule="auto"/>
              <w:ind w:left="0" w:right="0"/>
              <w:jc w:val="both"/>
              <w:rPr>
                <w:rFonts w:hint="default" w:ascii="Times New Roman" w:cs="宋体"/>
                <w:snapToGrid w:val="0"/>
                <w:color w:val="0D0D0D" w:themeColor="text1" w:themeTint="F2"/>
                <w:spacing w:val="-6"/>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spacing w:val="-6"/>
                <w:kern w:val="21"/>
                <w:szCs w:val="21"/>
                <w14:textFill>
                  <w14:solidFill>
                    <w14:schemeClr w14:val="tx1">
                      <w14:lumMod w14:val="95000"/>
                      <w14:lumOff w14:val="5000"/>
                    </w14:schemeClr>
                  </w14:solidFill>
                </w14:textFill>
              </w:rPr>
              <w:t>分类</w:t>
            </w:r>
          </w:p>
        </w:tc>
        <w:tc>
          <w:tcPr>
            <w:tcW w:w="1942"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spacing w:val="-6"/>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spacing w:val="-6"/>
                <w:kern w:val="21"/>
                <w:szCs w:val="21"/>
                <w14:textFill>
                  <w14:solidFill>
                    <w14:schemeClr w14:val="tx1">
                      <w14:lumMod w14:val="95000"/>
                      <w14:lumOff w14:val="5000"/>
                    </w14:schemeClr>
                  </w14:solidFill>
                </w14:textFill>
              </w:rPr>
              <w:t>污染物名称</w:t>
            </w:r>
          </w:p>
        </w:tc>
        <w:tc>
          <w:tcPr>
            <w:tcW w:w="1559"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现有工程</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排放量（固</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体</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废</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物</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产生量）</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1 \* GB3 \* MERGEFORMAT </w:instrTex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①</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c>
        <w:tc>
          <w:tcPr>
            <w:tcW w:w="1564"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现有工程</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许可排放量</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2 \* GB3 \* MERGEFORMAT </w:instrTex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s="宋体"/>
                <w:snapToGrid w:val="0"/>
                <w:color w:val="0D0D0D" w:themeColor="text1" w:themeTint="F2"/>
                <w:spacing w:val="-6"/>
                <w:kern w:val="21"/>
                <w:szCs w:val="21"/>
                <w14:textFill>
                  <w14:solidFill>
                    <w14:schemeClr w14:val="tx1">
                      <w14:lumMod w14:val="95000"/>
                      <w14:lumOff w14:val="5000"/>
                    </w14:schemeClr>
                  </w14:solidFill>
                </w14:textFill>
              </w:rPr>
              <w:t>②</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c>
        <w:tc>
          <w:tcPr>
            <w:tcW w:w="1560"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在建工程</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排放量（固</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体</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废</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物</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产生量）</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3 \* GB3 \* MERGEFORMAT </w:instrTex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③</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c>
        <w:tc>
          <w:tcPr>
            <w:tcW w:w="1701"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本项目</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排放量（固</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体</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废</w:t>
            </w:r>
            <w:r>
              <w:rPr>
                <w:rFonts w:hint="eastAsia" w:ascii="Times New Roman"/>
                <w:snapToGrid w:val="0"/>
                <w:color w:val="0D0D0D" w:themeColor="text1" w:themeTint="F2"/>
                <w:spacing w:val="-6"/>
                <w:kern w:val="21"/>
                <w:szCs w:val="21"/>
                <w14:textFill>
                  <w14:solidFill>
                    <w14:schemeClr w14:val="tx1">
                      <w14:lumMod w14:val="95000"/>
                      <w14:lumOff w14:val="5000"/>
                    </w14:schemeClr>
                  </w14:solidFill>
                </w14:textFill>
              </w:rPr>
              <w:t>物</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产生量）</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4 \* GB3 \* MERGEFORMAT </w:instrTex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④</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c>
        <w:tc>
          <w:tcPr>
            <w:tcW w:w="1701"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以新带老削减量</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（新建项目不填）</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instrText xml:space="preserve"> = 5 \* GB3 \* MERGEFORMAT </w:instrTex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⑤</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end"/>
            </w:r>
          </w:p>
        </w:tc>
        <w:tc>
          <w:tcPr>
            <w:tcW w:w="1559" w:type="dxa"/>
            <w:tcBorders>
              <w:top w:val="single" w:color="auto" w:sz="12" w:space="0"/>
              <w:left w:val="single" w:color="auto" w:sz="2" w:space="0"/>
              <w:bottom w:val="single" w:color="auto" w:sz="2" w:space="0"/>
              <w:right w:val="single" w:color="auto" w:sz="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本项目建成后</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pPr>
            <w:r>
              <w:rPr>
                <w:rFonts w:hint="eastAsia" w:ascii="Times New Roman"/>
                <w:snapToGrid w:val="0"/>
                <w:color w:val="0D0D0D" w:themeColor="text1" w:themeTint="F2"/>
                <w:spacing w:val="-16"/>
                <w:kern w:val="21"/>
                <w:szCs w:val="21"/>
                <w14:textFill>
                  <w14:solidFill>
                    <w14:schemeClr w14:val="tx1">
                      <w14:lumMod w14:val="95000"/>
                      <w14:lumOff w14:val="5000"/>
                    </w14:schemeClr>
                  </w14:solidFill>
                </w14:textFill>
              </w:rPr>
              <w:t>全厂</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排放量（固</w:t>
            </w:r>
            <w:r>
              <w:rPr>
                <w:rFonts w:hint="eastAsia" w:ascii="Times New Roman"/>
                <w:snapToGrid w:val="0"/>
                <w:color w:val="0D0D0D" w:themeColor="text1" w:themeTint="F2"/>
                <w:spacing w:val="-16"/>
                <w:kern w:val="21"/>
                <w:szCs w:val="21"/>
                <w14:textFill>
                  <w14:solidFill>
                    <w14:schemeClr w14:val="tx1">
                      <w14:lumMod w14:val="95000"/>
                      <w14:lumOff w14:val="5000"/>
                    </w14:schemeClr>
                  </w14:solidFill>
                </w14:textFill>
              </w:rPr>
              <w:t>体</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废</w:t>
            </w:r>
            <w:r>
              <w:rPr>
                <w:rFonts w:hint="eastAsia" w:ascii="Times New Roman"/>
                <w:snapToGrid w:val="0"/>
                <w:color w:val="0D0D0D" w:themeColor="text1" w:themeTint="F2"/>
                <w:spacing w:val="-16"/>
                <w:kern w:val="21"/>
                <w:szCs w:val="21"/>
                <w14:textFill>
                  <w14:solidFill>
                    <w14:schemeClr w14:val="tx1">
                      <w14:lumMod w14:val="95000"/>
                      <w14:lumOff w14:val="5000"/>
                    </w14:schemeClr>
                  </w14:solidFill>
                </w14:textFill>
              </w:rPr>
              <w:t>物</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t>产生量）</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instrText xml:space="preserve"> = 6 \* GB3 \* MERGEFORMAT </w:instrTex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⑥</w:t>
            </w:r>
            <w:r>
              <w:rPr>
                <w:rFonts w:hint="default"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end"/>
            </w:r>
          </w:p>
        </w:tc>
        <w:tc>
          <w:tcPr>
            <w:tcW w:w="1040" w:type="dxa"/>
            <w:tcBorders>
              <w:top w:val="single" w:color="auto" w:sz="12" w:space="0"/>
              <w:left w:val="single" w:color="auto" w:sz="2" w:space="0"/>
              <w:bottom w:val="single" w:color="auto" w:sz="2" w:space="0"/>
              <w:right w:val="single" w:color="auto" w:sz="12" w:space="0"/>
            </w:tcBorders>
            <w:tcMar>
              <w:left w:w="28" w:type="dxa"/>
              <w:right w:w="28" w:type="dxa"/>
            </w:tcMar>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t>变化量</w:t>
            </w:r>
          </w:p>
          <w:p>
            <w:pPr>
              <w:pStyle w:val="114"/>
              <w:keepNext w:val="0"/>
              <w:keepLines w:val="0"/>
              <w:suppressLineNumbers w:val="0"/>
              <w:spacing w:before="0" w:beforeLines="0" w:beforeAutospacing="0" w:after="0" w:afterLines="0" w:afterAutospacing="0" w:line="240" w:lineRule="auto"/>
              <w:ind w:left="0" w:right="0"/>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pP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7 \* GB3 \* MERGEFORMAT </w:instrTex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s="宋体"/>
                <w:color w:val="0D0D0D" w:themeColor="text1" w:themeTint="F2"/>
                <w:kern w:val="2"/>
                <w:szCs w:val="21"/>
                <w14:textFill>
                  <w14:solidFill>
                    <w14:schemeClr w14:val="tx1">
                      <w14:lumMod w14:val="95000"/>
                      <w14:lumOff w14:val="5000"/>
                    </w14:schemeClr>
                  </w14:solidFill>
                </w14:textFill>
              </w:rPr>
              <w:t>⑦</w:t>
            </w:r>
            <w:r>
              <w:rPr>
                <w:rFonts w:hint="default"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restart"/>
            <w:tcBorders>
              <w:top w:val="single" w:color="auto" w:sz="2" w:space="0"/>
              <w:left w:val="single" w:color="auto" w:sz="12" w:space="0"/>
              <w:right w:val="single" w:color="auto" w:sz="2" w:space="0"/>
            </w:tcBorders>
            <w:vAlign w:val="center"/>
          </w:tcPr>
          <w:p>
            <w:pPr>
              <w:pStyle w:val="114"/>
              <w:keepNext w:val="0"/>
              <w:keepLines w:val="0"/>
              <w:suppressLineNumbers w:val="0"/>
              <w:spacing w:before="24" w:beforeAutospacing="0" w:after="24"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废气</w:t>
            </w: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颗粒物</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1.423</w:t>
            </w:r>
            <w:r>
              <w:rPr>
                <w:rFonts w:hint="eastAsia"/>
                <w:color w:val="0D0D0D" w:themeColor="text1" w:themeTint="F2"/>
                <w:szCs w:val="21"/>
                <w14:textFill>
                  <w14:solidFill>
                    <w14:schemeClr w14:val="tx1">
                      <w14:lumMod w14:val="95000"/>
                      <w14:lumOff w14:val="5000"/>
                    </w14:schemeClr>
                  </w14:solidFill>
                </w14:textFill>
              </w:rPr>
              <w:t xml:space="preserve"> </w:t>
            </w:r>
            <w:r>
              <w:rPr>
                <w:rFonts w:hint="default"/>
                <w:color w:val="0D0D0D" w:themeColor="text1" w:themeTint="F2"/>
                <w:szCs w:val="21"/>
                <w14:textFill>
                  <w14:solidFill>
                    <w14:schemeClr w14:val="tx1">
                      <w14:lumMod w14:val="95000"/>
                      <w14:lumOff w14:val="5000"/>
                    </w14:schemeClr>
                  </w14:solidFill>
                </w14:textFill>
              </w:rPr>
              <w:t>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 w:val="22"/>
                <w:szCs w:val="22"/>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1.423</w:t>
            </w:r>
            <w:r>
              <w:rPr>
                <w:rFonts w:hint="default"/>
                <w:color w:val="0D0D0D" w:themeColor="text1" w:themeTint="F2"/>
                <w:szCs w:val="21"/>
                <w14:textFill>
                  <w14:solidFill>
                    <w14:schemeClr w14:val="tx1">
                      <w14:lumMod w14:val="95000"/>
                      <w14:lumOff w14:val="5000"/>
                    </w14:schemeClr>
                  </w14:solidFill>
                </w14:textFill>
              </w:rPr>
              <w:t>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24" w:beforeAutospacing="0" w:after="24"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非甲烷总烃</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333</w:t>
            </w:r>
            <w:r>
              <w:rPr>
                <w:rFonts w:hint="eastAsia"/>
                <w:color w:val="0D0D0D" w:themeColor="text1" w:themeTint="F2"/>
                <w:szCs w:val="21"/>
                <w14:textFill>
                  <w14:solidFill>
                    <w14:schemeClr w14:val="tx1">
                      <w14:lumMod w14:val="95000"/>
                      <w14:lumOff w14:val="5000"/>
                    </w14:schemeClr>
                  </w14:solidFill>
                </w14:textFill>
              </w:rPr>
              <w:t xml:space="preserve"> </w:t>
            </w:r>
            <w:r>
              <w:rPr>
                <w:rFonts w:hint="default"/>
                <w:color w:val="0D0D0D" w:themeColor="text1" w:themeTint="F2"/>
                <w:szCs w:val="21"/>
                <w14:textFill>
                  <w14:solidFill>
                    <w14:schemeClr w14:val="tx1">
                      <w14:lumMod w14:val="95000"/>
                      <w14:lumOff w14:val="5000"/>
                    </w14:schemeClr>
                  </w14:solidFill>
                </w14:textFill>
              </w:rPr>
              <w:t>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s="宋体"/>
                <w:snapToGrid w:val="0"/>
                <w:color w:val="0D0D0D" w:themeColor="text1" w:themeTint="F2"/>
                <w:kern w:val="21"/>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333</w:t>
            </w:r>
            <w:r>
              <w:rPr>
                <w:rFonts w:hint="eastAsia"/>
                <w:color w:val="0D0D0D" w:themeColor="text1" w:themeTint="F2"/>
                <w:szCs w:val="21"/>
                <w14:textFill>
                  <w14:solidFill>
                    <w14:schemeClr w14:val="tx1">
                      <w14:lumMod w14:val="95000"/>
                      <w14:lumOff w14:val="5000"/>
                    </w14:schemeClr>
                  </w14:solidFill>
                </w14:textFill>
              </w:rPr>
              <w:t xml:space="preserve"> </w:t>
            </w:r>
            <w:r>
              <w:rPr>
                <w:rFonts w:hint="default"/>
                <w:color w:val="0D0D0D" w:themeColor="text1" w:themeTint="F2"/>
                <w:szCs w:val="21"/>
                <w14:textFill>
                  <w14:solidFill>
                    <w14:schemeClr w14:val="tx1">
                      <w14:lumMod w14:val="95000"/>
                      <w14:lumOff w14:val="5000"/>
                    </w14:schemeClr>
                  </w14:solidFill>
                </w14:textFill>
              </w:rPr>
              <w:t>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24" w:beforeAutospacing="0" w:after="24"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二氧化硫</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0.076t/a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2"/>
                <w:szCs w:val="22"/>
                <w:lang w:val="en-US" w:eastAsia="zh-CN" w:bidi="ar-SA"/>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0.076t/a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bottom w:val="single" w:color="auto" w:sz="2" w:space="0"/>
              <w:right w:val="single" w:color="auto" w:sz="2" w:space="0"/>
            </w:tcBorders>
            <w:vAlign w:val="center"/>
          </w:tcPr>
          <w:p>
            <w:pPr>
              <w:pStyle w:val="114"/>
              <w:keepNext w:val="0"/>
              <w:keepLines w:val="0"/>
              <w:suppressLineNumbers w:val="0"/>
              <w:spacing w:before="24" w:beforeAutospacing="0" w:after="24"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氮氧化物</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0.356t/a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0.356t/a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restart"/>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废水</w:t>
            </w: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p</w:t>
            </w:r>
            <w:r>
              <w:rPr>
                <w:rFonts w:hint="default"/>
                <w:color w:val="0D0D0D" w:themeColor="text1" w:themeTint="F2"/>
                <w:szCs w:val="21"/>
                <w14:textFill>
                  <w14:solidFill>
                    <w14:schemeClr w14:val="tx1">
                      <w14:lumMod w14:val="95000"/>
                      <w14:lumOff w14:val="5000"/>
                    </w14:schemeClr>
                  </w14:solidFill>
                </w14:textFill>
              </w:rPr>
              <w:t>H</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c>
          <w:tcPr>
            <w:tcW w:w="1040" w:type="dxa"/>
            <w:tcBorders>
              <w:top w:val="single" w:color="auto" w:sz="2" w:space="0"/>
              <w:left w:val="single" w:color="auto" w:sz="2" w:space="0"/>
              <w:bottom w:val="single" w:color="auto" w:sz="2" w:space="0"/>
              <w:right w:val="single" w:color="auto" w:sz="1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COD</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0.11</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0.11</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040" w:type="dxa"/>
            <w:tcBorders>
              <w:top w:val="single" w:color="auto" w:sz="2" w:space="0"/>
              <w:left w:val="single" w:color="auto" w:sz="2" w:space="0"/>
              <w:bottom w:val="single" w:color="auto" w:sz="2" w:space="0"/>
              <w:right w:val="single" w:color="auto" w:sz="1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BOD</w:t>
            </w:r>
            <w:r>
              <w:rPr>
                <w:rFonts w:hint="default"/>
                <w:color w:val="0D0D0D" w:themeColor="text1" w:themeTint="F2"/>
                <w:szCs w:val="21"/>
                <w:vertAlign w:val="subscript"/>
                <w14:textFill>
                  <w14:solidFill>
                    <w14:schemeClr w14:val="tx1">
                      <w14:lumMod w14:val="95000"/>
                      <w14:lumOff w14:val="5000"/>
                    </w14:schemeClr>
                  </w14:solidFill>
                </w14:textFill>
              </w:rPr>
              <w:t>5</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0.067</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0.067</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SS</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0.039</w:t>
            </w:r>
            <w:r>
              <w:rPr>
                <w:rFonts w:hint="eastAsia"/>
                <w:color w:val="0D0D0D" w:themeColor="text1" w:themeTint="F2"/>
                <w:szCs w:val="21"/>
                <w14:textFill>
                  <w14:solidFill>
                    <w14:schemeClr w14:val="tx1">
                      <w14:lumMod w14:val="95000"/>
                      <w14:lumOff w14:val="5000"/>
                    </w14:schemeClr>
                  </w14:solidFill>
                </w14:textFill>
              </w:rPr>
              <w:t xml:space="preserve"> </w:t>
            </w:r>
            <w:r>
              <w:rPr>
                <w:rFonts w:hint="default"/>
                <w:color w:val="0D0D0D" w:themeColor="text1" w:themeTint="F2"/>
                <w:szCs w:val="21"/>
                <w14:textFill>
                  <w14:solidFill>
                    <w14:schemeClr w14:val="tx1">
                      <w14:lumMod w14:val="95000"/>
                      <w14:lumOff w14:val="5000"/>
                    </w14:schemeClr>
                  </w14:solidFill>
                </w14:textFill>
              </w:rPr>
              <w:t>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0.039</w:t>
            </w:r>
            <w:r>
              <w:rPr>
                <w:rFonts w:hint="eastAsia"/>
                <w:color w:val="0D0D0D" w:themeColor="text1" w:themeTint="F2"/>
                <w:szCs w:val="21"/>
                <w14:textFill>
                  <w14:solidFill>
                    <w14:schemeClr w14:val="tx1">
                      <w14:lumMod w14:val="95000"/>
                      <w14:lumOff w14:val="5000"/>
                    </w14:schemeClr>
                  </w14:solidFill>
                </w14:textFill>
              </w:rPr>
              <w:t xml:space="preserve"> </w:t>
            </w:r>
            <w:r>
              <w:rPr>
                <w:rFonts w:hint="default"/>
                <w:color w:val="0D0D0D" w:themeColor="text1" w:themeTint="F2"/>
                <w:szCs w:val="21"/>
                <w14:textFill>
                  <w14:solidFill>
                    <w14:schemeClr w14:val="tx1">
                      <w14:lumMod w14:val="95000"/>
                      <w14:lumOff w14:val="5000"/>
                    </w14:schemeClr>
                  </w14:solidFill>
                </w14:textFill>
              </w:rPr>
              <w:t>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氨氮</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0.010</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0.010</w:t>
            </w:r>
            <w:r>
              <w:rPr>
                <w:rFonts w:hint="default"/>
                <w:color w:val="0D0D0D" w:themeColor="text1" w:themeTint="F2"/>
                <w:szCs w:val="21"/>
                <w14:textFill>
                  <w14:solidFill>
                    <w14:schemeClr w14:val="tx1">
                      <w14:lumMod w14:val="95000"/>
                      <w14:lumOff w14:val="5000"/>
                    </w14:schemeClr>
                  </w14:solidFill>
                </w14:textFill>
              </w:rPr>
              <w:t xml:space="preserve"> 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restart"/>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一般工业</w:t>
            </w:r>
          </w:p>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固体废物</w:t>
            </w: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收集抛丸粉尘</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8.456t/a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8.456t/a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不合格品</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19.5t/a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19.5t/a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金属屑</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top w:val="single" w:color="auto" w:sz="2" w:space="0"/>
              <w:left w:val="single" w:color="auto" w:sz="1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废抛丸砂</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0.6t/a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0.6t/a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napToGrid w:val="0"/>
              <w:spacing w:before="0" w:beforeAutospacing="0" w:after="0" w:afterAutospacing="0"/>
              <w:ind w:left="-105" w:leftChars="-50" w:right="-105" w:rightChars="-50"/>
              <w:jc w:val="center"/>
              <w:rPr>
                <w:rFonts w:hint="default"/>
                <w:color w:val="0D0D0D" w:themeColor="text1" w:themeTint="F2"/>
                <w:szCs w:val="21"/>
                <w14:textFill>
                  <w14:solidFill>
                    <w14:schemeClr w14:val="tx1">
                      <w14:lumMod w14:val="95000"/>
                      <w14:lumOff w14:val="5000"/>
                    </w14:schemeClr>
                  </w14:solidFill>
                </w14:textFill>
              </w:rPr>
            </w:pPr>
            <w:r>
              <w:rPr>
                <w:rFonts w:hint="eastAsia" w:cs="宋体"/>
                <w:snapToGrid w:val="0"/>
                <w:color w:val="0D0D0D" w:themeColor="text1" w:themeTint="F2"/>
                <w:kern w:val="21"/>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restart"/>
            <w:tcBorders>
              <w:top w:val="single" w:color="auto" w:sz="2" w:space="0"/>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危险废物</w:t>
            </w: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废砂轮带</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2t/a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2t/a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熔化炉炉渣</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w:t>
            </w:r>
            <w:r>
              <w:rPr>
                <w:rFonts w:hint="default"/>
                <w:color w:val="0D0D0D" w:themeColor="text1" w:themeTint="F2"/>
                <w:szCs w:val="21"/>
                <w14:textFill>
                  <w14:solidFill>
                    <w14:schemeClr w14:val="tx1">
                      <w14:lumMod w14:val="95000"/>
                      <w14:lumOff w14:val="5000"/>
                    </w14:schemeClr>
                  </w14:solidFill>
                </w14:textFill>
              </w:rPr>
              <w:t>9t/a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w:t>
            </w:r>
            <w:r>
              <w:rPr>
                <w:rFonts w:hint="default"/>
                <w:color w:val="0D0D0D" w:themeColor="text1" w:themeTint="F2"/>
                <w:szCs w:val="21"/>
                <w14:textFill>
                  <w14:solidFill>
                    <w14:schemeClr w14:val="tx1">
                      <w14:lumMod w14:val="95000"/>
                      <w14:lumOff w14:val="5000"/>
                    </w14:schemeClr>
                  </w14:solidFill>
                </w14:textFill>
              </w:rPr>
              <w:t>9t/a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打磨湿式除尘沉渣</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8.371t/a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8.371t/a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废脱模剂桶</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0.4t/a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0.4t/a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废布袋</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0.03t/a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收集铝灰</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3.277t/a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3.277t/a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废活性炭</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6.82t/a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6.82t/a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废润滑油</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05t/a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0.</w:t>
            </w:r>
            <w:r>
              <w:rPr>
                <w:rFonts w:hint="eastAsia"/>
                <w:color w:val="0D0D0D" w:themeColor="text1" w:themeTint="F2"/>
                <w:szCs w:val="21"/>
                <w:lang w:val="en-US" w:eastAsia="zh-CN"/>
                <w14:textFill>
                  <w14:solidFill>
                    <w14:schemeClr w14:val="tx1">
                      <w14:lumMod w14:val="95000"/>
                      <w14:lumOff w14:val="5000"/>
                    </w14:schemeClr>
                  </w14:solidFill>
                </w14:textFill>
              </w:rPr>
              <w:t>05t/a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废液压油</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0.3</w:t>
            </w:r>
            <w:bookmarkStart w:id="17" w:name="_GoBack"/>
            <w:bookmarkEnd w:id="17"/>
            <w:r>
              <w:rPr>
                <w:rFonts w:hint="eastAsia"/>
                <w:color w:val="0D0D0D" w:themeColor="text1" w:themeTint="F2"/>
                <w:szCs w:val="21"/>
                <w:lang w:val="en-US" w:eastAsia="zh-CN"/>
                <w14:textFill>
                  <w14:solidFill>
                    <w14:schemeClr w14:val="tx1">
                      <w14:lumMod w14:val="95000"/>
                      <w14:lumOff w14:val="5000"/>
                    </w14:schemeClr>
                  </w14:solidFill>
                </w14:textFill>
              </w:rPr>
              <w:t>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lang w:val="en-US" w:eastAsia="zh-CN"/>
                <w14:textFill>
                  <w14:solidFill>
                    <w14:schemeClr w14:val="tx1">
                      <w14:lumMod w14:val="95000"/>
                      <w14:lumOff w14:val="5000"/>
                    </w14:schemeClr>
                  </w14:solidFill>
                </w14:textFill>
              </w:rPr>
              <w:t>废油桶</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0.14t/a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0.14t/a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废脱模液沉渣</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0.1t/a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right="0"/>
              <w:jc w:val="center"/>
              <w:rPr>
                <w:rFonts w:hint="default"/>
                <w:color w:val="0D0D0D" w:themeColor="text1" w:themeTint="F2"/>
                <w:szCs w:val="21"/>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废脱模液</w:t>
            </w:r>
          </w:p>
        </w:tc>
        <w:tc>
          <w:tcPr>
            <w:tcW w:w="1559"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0.75t/a</w:t>
            </w:r>
          </w:p>
        </w:tc>
        <w:tc>
          <w:tcPr>
            <w:tcW w:w="1701" w:type="dxa"/>
            <w:tcBorders>
              <w:top w:val="single" w:color="auto" w:sz="2" w:space="0"/>
              <w:left w:val="single" w:color="auto" w:sz="2" w:space="0"/>
              <w:bottom w:val="single" w:color="auto" w:sz="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0.75t/a</w:t>
            </w:r>
          </w:p>
        </w:tc>
        <w:tc>
          <w:tcPr>
            <w:tcW w:w="1040" w:type="dxa"/>
            <w:tcBorders>
              <w:top w:val="single" w:color="auto" w:sz="2" w:space="0"/>
              <w:left w:val="single" w:color="auto" w:sz="2" w:space="0"/>
              <w:bottom w:val="single" w:color="auto" w:sz="2" w:space="0"/>
              <w:right w:val="single" w:color="auto" w:sz="12" w:space="0"/>
            </w:tcBorders>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14:textFill>
                  <w14:solidFill>
                    <w14:schemeClr w14:val="tx1">
                      <w14:lumMod w14:val="95000"/>
                      <w14:lumOff w14:val="5000"/>
                    </w14:schemeClr>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62" w:type="dxa"/>
            <w:vMerge w:val="continue"/>
            <w:tcBorders>
              <w:left w:val="single" w:color="auto" w:sz="12" w:space="0"/>
              <w:bottom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right="0"/>
              <w:rPr>
                <w:rFonts w:hint="default" w:ascii="Times New Roman" w:cs="宋体"/>
                <w:snapToGrid w:val="0"/>
                <w:color w:val="0D0D0D" w:themeColor="text1" w:themeTint="F2"/>
                <w:kern w:val="21"/>
                <w:szCs w:val="21"/>
                <w14:textFill>
                  <w14:solidFill>
                    <w14:schemeClr w14:val="tx1">
                      <w14:lumMod w14:val="95000"/>
                      <w14:lumOff w14:val="5000"/>
                    </w14:schemeClr>
                  </w14:solidFill>
                </w14:textFill>
              </w:rPr>
            </w:pPr>
          </w:p>
        </w:tc>
        <w:tc>
          <w:tcPr>
            <w:tcW w:w="1942" w:type="dxa"/>
            <w:tcBorders>
              <w:top w:val="single" w:color="auto" w:sz="2" w:space="0"/>
              <w:left w:val="single" w:color="auto" w:sz="2" w:space="0"/>
              <w:bottom w:val="single" w:color="auto" w:sz="1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default"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default"/>
                <w:color w:val="0D0D0D" w:themeColor="text1" w:themeTint="F2"/>
                <w:szCs w:val="21"/>
                <w14:textFill>
                  <w14:solidFill>
                    <w14:schemeClr w14:val="tx1">
                      <w14:lumMod w14:val="95000"/>
                      <w14:lumOff w14:val="5000"/>
                    </w14:schemeClr>
                  </w14:solidFill>
                </w14:textFill>
              </w:rPr>
              <w:t>废含油手套、抹布</w:t>
            </w:r>
          </w:p>
        </w:tc>
        <w:tc>
          <w:tcPr>
            <w:tcW w:w="1559" w:type="dxa"/>
            <w:tcBorders>
              <w:top w:val="single" w:color="auto" w:sz="2" w:space="0"/>
              <w:left w:val="single" w:color="auto" w:sz="2" w:space="0"/>
              <w:bottom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4" w:type="dxa"/>
            <w:tcBorders>
              <w:top w:val="single" w:color="auto" w:sz="2" w:space="0"/>
              <w:left w:val="single" w:color="auto" w:sz="2" w:space="0"/>
              <w:bottom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60" w:type="dxa"/>
            <w:tcBorders>
              <w:top w:val="single" w:color="auto" w:sz="2" w:space="0"/>
              <w:left w:val="single" w:color="auto" w:sz="2" w:space="0"/>
              <w:bottom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701" w:type="dxa"/>
            <w:tcBorders>
              <w:top w:val="single" w:color="auto" w:sz="2" w:space="0"/>
              <w:left w:val="single" w:color="auto" w:sz="2" w:space="0"/>
              <w:bottom w:val="single" w:color="auto" w:sz="1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0.005t/a</w:t>
            </w:r>
          </w:p>
        </w:tc>
        <w:tc>
          <w:tcPr>
            <w:tcW w:w="1701" w:type="dxa"/>
            <w:tcBorders>
              <w:top w:val="single" w:color="auto" w:sz="2" w:space="0"/>
              <w:left w:val="single" w:color="auto" w:sz="2" w:space="0"/>
              <w:bottom w:val="single" w:color="auto" w:sz="12" w:space="0"/>
              <w:right w:val="single" w:color="auto" w:sz="2" w:space="0"/>
            </w:tcBorders>
            <w:vAlign w:val="center"/>
          </w:tcPr>
          <w:p>
            <w:pPr>
              <w:pStyle w:val="114"/>
              <w:keepNext w:val="0"/>
              <w:keepLines w:val="0"/>
              <w:suppressLineNumbers w:val="0"/>
              <w:spacing w:before="0" w:beforeLines="0" w:beforeAutospacing="0" w:after="0" w:afterLines="0" w:afterAutospacing="0" w:line="240" w:lineRule="auto"/>
              <w:ind w:left="0" w:leftChars="0" w:right="0" w:rightChars="0"/>
              <w:rPr>
                <w:rFonts w:hint="eastAsia" w:ascii="Times New Roman" w:hAnsi="Times New Roman" w:eastAsia="宋体" w:cs="宋体"/>
                <w:snapToGrid w:val="0"/>
                <w:color w:val="0D0D0D" w:themeColor="text1" w:themeTint="F2"/>
                <w:kern w:val="21"/>
                <w:sz w:val="21"/>
                <w:szCs w:val="21"/>
                <w:lang w:val="en-US" w:eastAsia="zh-CN" w:bidi="ar-SA"/>
                <w14:textFill>
                  <w14:solidFill>
                    <w14:schemeClr w14:val="tx1">
                      <w14:lumMod w14:val="95000"/>
                      <w14:lumOff w14:val="5000"/>
                    </w14:schemeClr>
                  </w14:solidFill>
                </w14:textFill>
              </w:rPr>
            </w:pPr>
            <w:r>
              <w:rPr>
                <w:rFonts w:hint="eastAsia" w:ascii="Times New Roman" w:cs="宋体"/>
                <w:snapToGrid w:val="0"/>
                <w:color w:val="0D0D0D" w:themeColor="text1" w:themeTint="F2"/>
                <w:kern w:val="21"/>
                <w:szCs w:val="21"/>
                <w14:textFill>
                  <w14:solidFill>
                    <w14:schemeClr w14:val="tx1">
                      <w14:lumMod w14:val="95000"/>
                      <w14:lumOff w14:val="5000"/>
                    </w14:schemeClr>
                  </w14:solidFill>
                </w14:textFill>
              </w:rPr>
              <w:t>0</w:t>
            </w:r>
          </w:p>
        </w:tc>
        <w:tc>
          <w:tcPr>
            <w:tcW w:w="1559" w:type="dxa"/>
            <w:tcBorders>
              <w:top w:val="single" w:color="auto" w:sz="2" w:space="0"/>
              <w:left w:val="single" w:color="auto" w:sz="2" w:space="0"/>
              <w:bottom w:val="single" w:color="auto" w:sz="12" w:space="0"/>
              <w:right w:val="single" w:color="auto" w:sz="2" w:space="0"/>
            </w:tcBorders>
            <w:vAlign w:val="center"/>
          </w:tcPr>
          <w:p>
            <w:pPr>
              <w:keepNext w:val="0"/>
              <w:keepLines w:val="0"/>
              <w:suppressLineNumbers w:val="0"/>
              <w:spacing w:before="0" w:beforeAutospacing="0" w:after="0" w:afterAutospacing="0"/>
              <w:ind w:left="-57" w:leftChars="0" w:right="-57" w:rightChars="0"/>
              <w:jc w:val="center"/>
              <w:rPr>
                <w:rFonts w:hint="eastAsia" w:ascii="Times New Roman" w:hAnsi="Times New Roman" w:eastAsia="宋体" w:cs="Times New Roman"/>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0.005t/a</w:t>
            </w:r>
          </w:p>
        </w:tc>
        <w:tc>
          <w:tcPr>
            <w:tcW w:w="1040" w:type="dxa"/>
            <w:tcBorders>
              <w:top w:val="single" w:color="auto" w:sz="2" w:space="0"/>
              <w:left w:val="single" w:color="auto" w:sz="2" w:space="0"/>
              <w:bottom w:val="single" w:color="auto" w:sz="12" w:space="0"/>
              <w:right w:val="single" w:color="auto" w:sz="12" w:space="0"/>
            </w:tcBorders>
            <w:vAlign w:val="center"/>
          </w:tcPr>
          <w:p>
            <w:pPr>
              <w:keepNext w:val="0"/>
              <w:keepLines w:val="0"/>
              <w:suppressLineNumbers w:val="0"/>
              <w:spacing w:before="0" w:beforeAutospacing="0" w:after="0" w:afterAutospacing="0"/>
              <w:ind w:left="0" w:right="0"/>
              <w:jc w:val="center"/>
              <w:rPr>
                <w:rFonts w:hint="eastAsia"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w:t>
            </w:r>
          </w:p>
        </w:tc>
      </w:tr>
    </w:tbl>
    <w:p>
      <w:pPr>
        <w:pStyle w:val="114"/>
        <w:spacing w:before="192" w:beforeLines="80" w:after="24"/>
        <w:jc w:val="left"/>
        <w:rPr>
          <w:rFonts w:ascii="Times New Roman"/>
          <w:color w:val="0D0D0D" w:themeColor="text1" w:themeTint="F2"/>
          <w14:textFill>
            <w14:solidFill>
              <w14:schemeClr w14:val="tx1">
                <w14:lumMod w14:val="95000"/>
                <w14:lumOff w14:val="5000"/>
              </w14:schemeClr>
            </w14:solidFill>
          </w14:textFill>
        </w:rPr>
        <w:sectPr>
          <w:footerReference r:id="rId5" w:type="default"/>
          <w:pgSz w:w="16838" w:h="11906" w:orient="landscape"/>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rPr>
          <w:rFonts w:ascii="Times New Roman"/>
          <w:snapToGrid w:val="0"/>
          <w:color w:val="0D0D0D" w:themeColor="text1" w:themeTint="F2"/>
          <w:kern w:val="21"/>
          <w:szCs w:val="21"/>
          <w14:textFill>
            <w14:solidFill>
              <w14:schemeClr w14:val="tx1">
                <w14:lumMod w14:val="95000"/>
                <w14:lumOff w14:val="5000"/>
              </w14:schemeClr>
            </w14:solidFill>
          </w14:textFill>
        </w:rPr>
        <w:t>注：</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instrText xml:space="preserve"> = 6 \* GB3 \* MERGEFORMAT </w:instrTex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⑥</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1 \* GB3 \* MERGEFORMAT </w:instrTex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①</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3 \* GB3 \* MERGEFORMAT </w:instrTex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③</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4 \* GB3 \* MERGEFORMAT </w:instrTex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④</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instrText xml:space="preserve"> = 5 \* GB3 \* MERGEFORMAT </w:instrTex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⑤</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7 \* GB3 \* MERGEFORMAT </w:instrTex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⑦</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instrText xml:space="preserve"> = 6 \* GB3 \* MERGEFORMAT </w:instrTex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⑥</w:t>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fldChar w:fldCharType="end"/>
      </w:r>
      <w:r>
        <w:rPr>
          <w:rFonts w:ascii="Times New Roman"/>
          <w:snapToGrid w:val="0"/>
          <w:color w:val="0D0D0D" w:themeColor="text1" w:themeTint="F2"/>
          <w:spacing w:val="-16"/>
          <w:kern w:val="21"/>
          <w:szCs w:val="21"/>
          <w14:textFill>
            <w14:solidFill>
              <w14:schemeClr w14:val="tx1">
                <w14:lumMod w14:val="95000"/>
                <w14:lumOff w14:val="5000"/>
              </w14:schemeClr>
            </w14:solidFill>
          </w14:textFill>
        </w:rPr>
        <w:t>-</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begin"/>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instrText xml:space="preserve"> = 1 \* GB3 \* MERGEFORMAT </w:instrTex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separate"/>
      </w:r>
      <w:r>
        <w:rPr>
          <w:rFonts w:hint="eastAsia" w:ascii="Times New Roman"/>
          <w:color w:val="0D0D0D" w:themeColor="text1" w:themeTint="F2"/>
          <w:szCs w:val="21"/>
          <w14:textFill>
            <w14:solidFill>
              <w14:schemeClr w14:val="tx1">
                <w14:lumMod w14:val="95000"/>
                <w14:lumOff w14:val="5000"/>
              </w14:schemeClr>
            </w14:solidFill>
          </w14:textFill>
        </w:rPr>
        <w:t>①</w:t>
      </w:r>
      <w:r>
        <w:rPr>
          <w:rFonts w:ascii="Times New Roman"/>
          <w:snapToGrid w:val="0"/>
          <w:color w:val="0D0D0D" w:themeColor="text1" w:themeTint="F2"/>
          <w:spacing w:val="-6"/>
          <w:kern w:val="21"/>
          <w:szCs w:val="21"/>
          <w14:textFill>
            <w14:solidFill>
              <w14:schemeClr w14:val="tx1">
                <w14:lumMod w14:val="95000"/>
                <w14:lumOff w14:val="5000"/>
              </w14:schemeClr>
            </w14:solidFill>
          </w14:textFill>
        </w:rPr>
        <w:fldChar w:fldCharType="end"/>
      </w:r>
    </w:p>
    <w:tbl>
      <w:tblPr>
        <w:tblStyle w:val="59"/>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0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65" w:hRule="atLeast"/>
        </w:trPr>
        <w:tc>
          <w:tcPr>
            <w:tcW w:w="5000" w:type="pct"/>
          </w:tcPr>
          <w:p>
            <w:pPr>
              <w:keepNext w:val="0"/>
              <w:keepLines w:val="0"/>
              <w:suppressLineNumbers w:val="0"/>
              <w:spacing w:before="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预审意见：</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 xml:space="preserve">                                                                      </w:t>
            </w:r>
            <w:r>
              <w:rPr>
                <w:rFonts w:hint="default"/>
                <w:color w:val="0D0D0D" w:themeColor="text1" w:themeTint="F2"/>
                <w:sz w:val="28"/>
                <w14:textFill>
                  <w14:solidFill>
                    <w14:schemeClr w14:val="tx1">
                      <w14:lumMod w14:val="95000"/>
                      <w14:lumOff w14:val="5000"/>
                    </w14:schemeClr>
                  </w14:solidFill>
                </w14:textFill>
              </w:rPr>
              <w:t xml:space="preserve"> 公章</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0" w:beforeAutospacing="0" w:after="0" w:afterAutospacing="0" w:line="400" w:lineRule="exact"/>
              <w:ind w:left="0" w:right="0"/>
              <w:jc w:val="left"/>
              <w:rPr>
                <w:rFonts w:hint="default" w:eastAsia="黑体"/>
                <w:color w:val="0D0D0D" w:themeColor="text1" w:themeTint="F2"/>
                <w:sz w:val="28"/>
                <w:szCs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经办人：                                       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732" w:hRule="atLeast"/>
        </w:trPr>
        <w:tc>
          <w:tcPr>
            <w:tcW w:w="5000" w:type="pct"/>
          </w:tcPr>
          <w:p>
            <w:pPr>
              <w:keepNext w:val="0"/>
              <w:keepLines w:val="0"/>
              <w:suppressLineNumbers w:val="0"/>
              <w:spacing w:before="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下一级环境保护行政主管部门审查意见：</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 xml:space="preserve">                                                      公章</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Lines="50" w:beforeAutospacing="0" w:after="120" w:afterLines="50" w:afterAutospacing="0" w:line="400" w:lineRule="exact"/>
              <w:ind w:left="0" w:right="0"/>
              <w:jc w:val="left"/>
              <w:rPr>
                <w:rFonts w:hint="default"/>
                <w:color w:val="0D0D0D" w:themeColor="text1" w:themeTint="F2"/>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经办人：                                       年    月    日</w:t>
            </w:r>
          </w:p>
          <w:p>
            <w:pPr>
              <w:keepNext w:val="0"/>
              <w:keepLines w:val="0"/>
              <w:suppressLineNumbers w:val="0"/>
              <w:spacing w:before="120" w:beforeAutospacing="0" w:after="0" w:afterAutospacing="0" w:line="400" w:lineRule="exact"/>
              <w:ind w:left="113" w:right="113"/>
              <w:rPr>
                <w:rFonts w:hint="default"/>
                <w:color w:val="0D0D0D" w:themeColor="text1" w:themeTint="F2"/>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审批意见：</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0"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r>
              <w:rPr>
                <w:rFonts w:hint="default"/>
                <w:color w:val="0D0D0D" w:themeColor="text1" w:themeTint="F2"/>
                <w14:textFill>
                  <w14:solidFill>
                    <w14:schemeClr w14:val="tx1">
                      <w14:lumMod w14:val="95000"/>
                      <w14:lumOff w14:val="5000"/>
                    </w14:schemeClr>
                  </w14:solidFill>
                </w14:textFill>
              </w:rPr>
              <w:t xml:space="preserve">   </w:t>
            </w:r>
            <w:r>
              <w:rPr>
                <w:rFonts w:hint="default"/>
                <w:color w:val="0D0D0D" w:themeColor="text1" w:themeTint="F2"/>
                <w:sz w:val="28"/>
                <w14:textFill>
                  <w14:solidFill>
                    <w14:schemeClr w14:val="tx1">
                      <w14:lumMod w14:val="95000"/>
                      <w14:lumOff w14:val="5000"/>
                    </w14:schemeClr>
                  </w14:solidFill>
                </w14:textFill>
              </w:rPr>
              <w:t xml:space="preserve">                                                   公章</w:t>
            </w:r>
          </w:p>
          <w:p>
            <w:pPr>
              <w:keepNext w:val="0"/>
              <w:keepLines w:val="0"/>
              <w:suppressLineNumbers w:val="0"/>
              <w:spacing w:before="120" w:beforeAutospacing="0" w:after="0" w:afterAutospacing="0" w:line="400" w:lineRule="exact"/>
              <w:ind w:left="113" w:right="113"/>
              <w:rPr>
                <w:rFonts w:hint="default"/>
                <w:color w:val="0D0D0D" w:themeColor="text1" w:themeTint="F2"/>
                <w:kern w:val="24"/>
                <w:sz w:val="28"/>
                <w14:textFill>
                  <w14:solidFill>
                    <w14:schemeClr w14:val="tx1">
                      <w14:lumMod w14:val="95000"/>
                      <w14:lumOff w14:val="5000"/>
                    </w14:schemeClr>
                  </w14:solidFill>
                </w14:textFill>
              </w:rPr>
            </w:pPr>
          </w:p>
          <w:p>
            <w:pPr>
              <w:keepNext w:val="0"/>
              <w:keepLines w:val="0"/>
              <w:suppressLineNumbers w:val="0"/>
              <w:spacing w:before="120" w:beforeLines="50" w:beforeAutospacing="0" w:after="120" w:afterLines="50" w:afterAutospacing="0" w:line="400" w:lineRule="exact"/>
              <w:ind w:left="0" w:right="0"/>
              <w:jc w:val="left"/>
              <w:rPr>
                <w:rFonts w:hint="default"/>
                <w:color w:val="0D0D0D" w:themeColor="text1" w:themeTint="F2"/>
                <w:sz w:val="28"/>
                <w14:textFill>
                  <w14:solidFill>
                    <w14:schemeClr w14:val="tx1">
                      <w14:lumMod w14:val="95000"/>
                      <w14:lumOff w14:val="5000"/>
                    </w14:schemeClr>
                  </w14:solidFill>
                </w14:textFill>
              </w:rPr>
            </w:pPr>
            <w:r>
              <w:rPr>
                <w:rFonts w:hint="default"/>
                <w:color w:val="0D0D0D" w:themeColor="text1" w:themeTint="F2"/>
                <w:sz w:val="28"/>
                <w14:textFill>
                  <w14:solidFill>
                    <w14:schemeClr w14:val="tx1">
                      <w14:lumMod w14:val="95000"/>
                      <w14:lumOff w14:val="5000"/>
                    </w14:schemeClr>
                  </w14:solidFill>
                </w14:textFill>
              </w:rPr>
              <w:t>经办人：                                       年    月    日</w:t>
            </w:r>
          </w:p>
        </w:tc>
      </w:tr>
    </w:tbl>
    <w:p>
      <w:pPr>
        <w:widowControl/>
        <w:spacing w:line="440" w:lineRule="exact"/>
        <w:jc w:val="left"/>
        <w:rPr>
          <w:b/>
          <w:color w:val="0D0D0D" w:themeColor="text1" w:themeTint="F2"/>
          <w:kern w:val="0"/>
          <w:sz w:val="24"/>
          <w14:textFill>
            <w14:solidFill>
              <w14:schemeClr w14:val="tx1">
                <w14:lumMod w14:val="95000"/>
                <w14:lumOff w14:val="5000"/>
              </w14:schemeClr>
            </w14:solidFill>
          </w14:textFill>
        </w:rPr>
        <w:sectPr>
          <w:footerReference r:id="rId6" w:type="default"/>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widowControl/>
        <w:spacing w:line="440" w:lineRule="exact"/>
        <w:jc w:val="left"/>
        <w:rPr>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附件:</w:t>
      </w:r>
    </w:p>
    <w:p>
      <w:pPr>
        <w:widowControl/>
        <w:spacing w:line="360" w:lineRule="auto"/>
        <w:ind w:firstLine="700" w:firstLineChars="292"/>
        <w:jc w:val="left"/>
        <w:rPr>
          <w:rFonts w:hint="eastAsia"/>
          <w:color w:val="auto"/>
          <w:kern w:val="0"/>
          <w:sz w:val="24"/>
        </w:rPr>
      </w:pPr>
      <w:r>
        <w:rPr>
          <w:rFonts w:hint="eastAsia"/>
          <w:color w:val="auto"/>
          <w:kern w:val="0"/>
          <w:sz w:val="24"/>
          <w:lang w:val="en-US" w:eastAsia="zh-CN"/>
        </w:rPr>
        <w:t>附件1  委托书</w:t>
      </w:r>
    </w:p>
    <w:p>
      <w:pPr>
        <w:widowControl/>
        <w:spacing w:line="360" w:lineRule="auto"/>
        <w:ind w:firstLine="700" w:firstLineChars="292"/>
        <w:jc w:val="left"/>
        <w:rPr>
          <w:rFonts w:hint="eastAsia"/>
          <w:color w:val="auto"/>
          <w:kern w:val="0"/>
          <w:sz w:val="24"/>
        </w:rPr>
      </w:pPr>
      <w:r>
        <w:rPr>
          <w:rFonts w:hint="eastAsia"/>
          <w:color w:val="auto"/>
          <w:kern w:val="0"/>
          <w:sz w:val="24"/>
          <w:lang w:val="en-US" w:eastAsia="zh-CN"/>
        </w:rPr>
        <w:t>附件2  危废承诺</w:t>
      </w:r>
    </w:p>
    <w:p>
      <w:pPr>
        <w:widowControl/>
        <w:spacing w:line="360" w:lineRule="auto"/>
        <w:ind w:firstLine="700" w:firstLineChars="292"/>
        <w:jc w:val="left"/>
        <w:rPr>
          <w:rFonts w:hint="eastAsia"/>
          <w:color w:val="auto"/>
          <w:kern w:val="0"/>
          <w:sz w:val="24"/>
        </w:rPr>
      </w:pPr>
      <w:r>
        <w:rPr>
          <w:rFonts w:hint="eastAsia"/>
          <w:color w:val="auto"/>
          <w:kern w:val="0"/>
          <w:sz w:val="24"/>
          <w:lang w:val="en-US" w:eastAsia="zh-CN"/>
        </w:rPr>
        <w:t>附件3  真实性承诺</w:t>
      </w:r>
    </w:p>
    <w:p>
      <w:pPr>
        <w:widowControl/>
        <w:spacing w:line="360" w:lineRule="auto"/>
        <w:ind w:firstLine="700" w:firstLineChars="292"/>
        <w:jc w:val="left"/>
        <w:rPr>
          <w:color w:val="FF0000"/>
          <w:kern w:val="0"/>
          <w:sz w:val="24"/>
        </w:rPr>
      </w:pPr>
      <w:r>
        <w:rPr>
          <w:color w:val="auto"/>
          <w:kern w:val="0"/>
          <w:sz w:val="24"/>
        </w:rPr>
        <w:t>附件</w:t>
      </w:r>
      <w:r>
        <w:rPr>
          <w:rFonts w:hint="eastAsia"/>
          <w:color w:val="auto"/>
          <w:kern w:val="0"/>
          <w:sz w:val="24"/>
          <w:lang w:val="en-US" w:eastAsia="zh-CN"/>
        </w:rPr>
        <w:t>4</w:t>
      </w:r>
      <w:r>
        <w:rPr>
          <w:color w:val="auto"/>
          <w:kern w:val="0"/>
          <w:sz w:val="24"/>
        </w:rPr>
        <w:t xml:space="preserve">  立项文件</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5</w:t>
      </w:r>
      <w:r>
        <w:rPr>
          <w:color w:val="0D0D0D" w:themeColor="text1" w:themeTint="F2"/>
          <w:kern w:val="0"/>
          <w:sz w:val="24"/>
          <w14:textFill>
            <w14:solidFill>
              <w14:schemeClr w14:val="tx1">
                <w14:lumMod w14:val="95000"/>
                <w14:lumOff w14:val="5000"/>
              </w14:schemeClr>
            </w14:solidFill>
          </w14:textFill>
        </w:rPr>
        <w:t xml:space="preserve">  营业执照</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6</w:t>
      </w:r>
      <w:r>
        <w:rPr>
          <w:rFonts w:hint="eastAsia"/>
          <w:color w:val="0D0D0D" w:themeColor="text1" w:themeTint="F2"/>
          <w:kern w:val="0"/>
          <w:sz w:val="24"/>
          <w14:textFill>
            <w14:solidFill>
              <w14:schemeClr w14:val="tx1">
                <w14:lumMod w14:val="95000"/>
                <w14:lumOff w14:val="5000"/>
              </w14:schemeClr>
            </w14:solidFill>
          </w14:textFill>
        </w:rPr>
        <w:t xml:space="preserve"> </w:t>
      </w:r>
      <w:r>
        <w:rPr>
          <w:color w:val="0D0D0D" w:themeColor="text1" w:themeTint="F2"/>
          <w:kern w:val="0"/>
          <w:sz w:val="24"/>
          <w14:textFill>
            <w14:solidFill>
              <w14:schemeClr w14:val="tx1">
                <w14:lumMod w14:val="95000"/>
                <w14:lumOff w14:val="5000"/>
              </w14:schemeClr>
            </w14:solidFill>
          </w14:textFill>
        </w:rPr>
        <w:t xml:space="preserve"> </w:t>
      </w:r>
      <w:r>
        <w:rPr>
          <w:rFonts w:hint="eastAsia"/>
          <w:color w:val="0D0D0D" w:themeColor="text1" w:themeTint="F2"/>
          <w:kern w:val="0"/>
          <w:sz w:val="24"/>
          <w14:textFill>
            <w14:solidFill>
              <w14:schemeClr w14:val="tx1">
                <w14:lumMod w14:val="95000"/>
                <w14:lumOff w14:val="5000"/>
              </w14:schemeClr>
            </w14:solidFill>
          </w14:textFill>
        </w:rPr>
        <w:t>租赁合同</w:t>
      </w:r>
    </w:p>
    <w:p>
      <w:pPr>
        <w:spacing w:line="360" w:lineRule="auto"/>
        <w:ind w:firstLine="720" w:firstLineChars="300"/>
        <w:rPr>
          <w:color w:val="0D0D0D" w:themeColor="text1" w:themeTint="F2"/>
          <w:kern w:val="0"/>
          <w:sz w:val="24"/>
          <w14:textFill>
            <w14:solidFill>
              <w14:schemeClr w14:val="tx1">
                <w14:lumMod w14:val="95000"/>
                <w14:lumOff w14:val="5000"/>
              </w14:schemeClr>
            </w14:solidFill>
          </w14:textFill>
        </w:rPr>
      </w:pPr>
      <w:r>
        <w:rPr>
          <w:color w:val="0D0D0D" w:themeColor="text1" w:themeTint="F2"/>
          <w:sz w:val="24"/>
          <w14:textFill>
            <w14:solidFill>
              <w14:schemeClr w14:val="tx1">
                <w14:lumMod w14:val="95000"/>
                <w14:lumOff w14:val="5000"/>
              </w14:schemeClr>
            </w14:solidFill>
          </w14:textFill>
        </w:rPr>
        <w:t>附件</w:t>
      </w:r>
      <w:r>
        <w:rPr>
          <w:rFonts w:hint="eastAsia"/>
          <w:color w:val="0D0D0D" w:themeColor="text1" w:themeTint="F2"/>
          <w:sz w:val="24"/>
          <w:lang w:val="en-US" w:eastAsia="zh-CN"/>
          <w14:textFill>
            <w14:solidFill>
              <w14:schemeClr w14:val="tx1">
                <w14:lumMod w14:val="95000"/>
                <w14:lumOff w14:val="5000"/>
              </w14:schemeClr>
            </w14:solidFill>
          </w14:textFill>
        </w:rPr>
        <w:t>7</w:t>
      </w:r>
      <w:r>
        <w:rPr>
          <w:color w:val="0D0D0D" w:themeColor="text1" w:themeTint="F2"/>
          <w:sz w:val="24"/>
          <w14:textFill>
            <w14:solidFill>
              <w14:schemeClr w14:val="tx1">
                <w14:lumMod w14:val="95000"/>
                <w14:lumOff w14:val="5000"/>
              </w14:schemeClr>
            </w14:solidFill>
          </w14:textFill>
        </w:rPr>
        <w:t xml:space="preserve">  </w:t>
      </w:r>
      <w:r>
        <w:rPr>
          <w:rFonts w:hint="eastAsia"/>
          <w:color w:val="0D0D0D" w:themeColor="text1" w:themeTint="F2"/>
          <w:kern w:val="0"/>
          <w:sz w:val="24"/>
          <w14:textFill>
            <w14:solidFill>
              <w14:schemeClr w14:val="tx1">
                <w14:lumMod w14:val="95000"/>
                <w14:lumOff w14:val="5000"/>
              </w14:schemeClr>
            </w14:solidFill>
          </w14:textFill>
        </w:rPr>
        <w:t>土地证</w:t>
      </w:r>
    </w:p>
    <w:p>
      <w:pPr>
        <w:spacing w:line="360" w:lineRule="auto"/>
        <w:ind w:firstLine="720" w:firstLineChars="300"/>
        <w:rPr>
          <w:color w:val="0D0D0D" w:themeColor="text1" w:themeTint="F2"/>
          <w:sz w:val="24"/>
          <w14:textFill>
            <w14:solidFill>
              <w14:schemeClr w14:val="tx1">
                <w14:lumMod w14:val="95000"/>
                <w14:lumOff w14:val="5000"/>
              </w14:schemeClr>
            </w14:solidFill>
          </w14:textFill>
        </w:rPr>
      </w:pPr>
      <w:r>
        <w:rPr>
          <w:color w:val="0D0D0D" w:themeColor="text1" w:themeTint="F2"/>
          <w:sz w:val="24"/>
          <w14:textFill>
            <w14:solidFill>
              <w14:schemeClr w14:val="tx1">
                <w14:lumMod w14:val="95000"/>
                <w14:lumOff w14:val="5000"/>
              </w14:schemeClr>
            </w14:solidFill>
          </w14:textFill>
        </w:rPr>
        <w:t>附件</w:t>
      </w:r>
      <w:r>
        <w:rPr>
          <w:rFonts w:hint="eastAsia"/>
          <w:color w:val="0D0D0D" w:themeColor="text1" w:themeTint="F2"/>
          <w:sz w:val="24"/>
          <w:lang w:val="en-US" w:eastAsia="zh-CN"/>
          <w14:textFill>
            <w14:solidFill>
              <w14:schemeClr w14:val="tx1">
                <w14:lumMod w14:val="95000"/>
                <w14:lumOff w14:val="5000"/>
              </w14:schemeClr>
            </w14:solidFill>
          </w14:textFill>
        </w:rPr>
        <w:t>8</w:t>
      </w:r>
      <w:r>
        <w:rPr>
          <w:color w:val="0D0D0D" w:themeColor="text1" w:themeTint="F2"/>
          <w:sz w:val="24"/>
          <w14:textFill>
            <w14:solidFill>
              <w14:schemeClr w14:val="tx1">
                <w14:lumMod w14:val="95000"/>
                <w14:lumOff w14:val="5000"/>
              </w14:schemeClr>
            </w14:solidFill>
          </w14:textFill>
        </w:rPr>
        <w:t xml:space="preserve">  </w:t>
      </w:r>
      <w:r>
        <w:rPr>
          <w:rFonts w:hint="eastAsia"/>
          <w:color w:val="0D0D0D" w:themeColor="text1" w:themeTint="F2"/>
          <w:sz w:val="24"/>
          <w:lang w:val="en-US" w:eastAsia="zh-CN"/>
          <w14:textFill>
            <w14:solidFill>
              <w14:schemeClr w14:val="tx1">
                <w14:lumMod w14:val="95000"/>
                <w14:lumOff w14:val="5000"/>
              </w14:schemeClr>
            </w14:solidFill>
          </w14:textFill>
        </w:rPr>
        <w:t>脱模剂</w:t>
      </w:r>
      <w:r>
        <w:rPr>
          <w:rFonts w:hint="eastAsia"/>
          <w:color w:val="0D0D0D" w:themeColor="text1" w:themeTint="F2"/>
          <w:sz w:val="24"/>
          <w14:textFill>
            <w14:solidFill>
              <w14:schemeClr w14:val="tx1">
                <w14:lumMod w14:val="95000"/>
                <w14:lumOff w14:val="5000"/>
              </w14:schemeClr>
            </w14:solidFill>
          </w14:textFill>
        </w:rPr>
        <w:t>M</w:t>
      </w:r>
      <w:r>
        <w:rPr>
          <w:color w:val="0D0D0D" w:themeColor="text1" w:themeTint="F2"/>
          <w:sz w:val="24"/>
          <w14:textFill>
            <w14:solidFill>
              <w14:schemeClr w14:val="tx1">
                <w14:lumMod w14:val="95000"/>
                <w14:lumOff w14:val="5000"/>
              </w14:schemeClr>
            </w14:solidFill>
          </w14:textFill>
        </w:rPr>
        <w:t>SDS</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附件</w:t>
      </w:r>
      <w:r>
        <w:rPr>
          <w:rFonts w:hint="eastAsia"/>
          <w:color w:val="000000" w:themeColor="text1"/>
          <w:sz w:val="24"/>
          <w:lang w:val="en-US" w:eastAsia="zh-CN"/>
          <w14:textFill>
            <w14:solidFill>
              <w14:schemeClr w14:val="tx1"/>
            </w14:solidFill>
          </w14:textFill>
        </w:rPr>
        <w:t>9</w:t>
      </w:r>
      <w:r>
        <w:rPr>
          <w:color w:val="000000" w:themeColor="text1"/>
          <w:sz w:val="24"/>
          <w14:textFill>
            <w14:solidFill>
              <w14:schemeClr w14:val="tx1"/>
            </w14:solidFill>
          </w14:textFill>
        </w:rPr>
        <w:t xml:space="preserve">  </w:t>
      </w:r>
      <w:r>
        <w:rPr>
          <w:rFonts w:hint="eastAsia"/>
          <w:color w:val="000000" w:themeColor="text1"/>
          <w:kern w:val="0"/>
          <w:sz w:val="24"/>
          <w:lang w:val="en-US" w:eastAsia="zh-CN"/>
          <w14:textFill>
            <w14:solidFill>
              <w14:schemeClr w14:val="tx1"/>
            </w14:solidFill>
          </w14:textFill>
        </w:rPr>
        <w:t>建设项目排污许可申请与填报信息表</w:t>
      </w:r>
    </w:p>
    <w:p>
      <w:pPr>
        <w:widowControl/>
        <w:spacing w:line="360" w:lineRule="auto"/>
        <w:ind w:firstLine="700" w:firstLineChars="292"/>
        <w:jc w:val="left"/>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附件</w:t>
      </w:r>
      <w:r>
        <w:rPr>
          <w:color w:val="000000" w:themeColor="text1"/>
          <w:kern w:val="0"/>
          <w:sz w:val="24"/>
          <w14:textFill>
            <w14:solidFill>
              <w14:schemeClr w14:val="tx1"/>
            </w14:solidFill>
          </w14:textFill>
        </w:rPr>
        <w:t>1</w:t>
      </w:r>
      <w:r>
        <w:rPr>
          <w:rFonts w:hint="eastAsia"/>
          <w:color w:val="000000" w:themeColor="text1"/>
          <w:kern w:val="0"/>
          <w:sz w:val="24"/>
          <w:lang w:val="en-US" w:eastAsia="zh-CN"/>
          <w14:textFill>
            <w14:solidFill>
              <w14:schemeClr w14:val="tx1"/>
            </w14:solidFill>
          </w14:textFill>
        </w:rPr>
        <w:t>0</w:t>
      </w:r>
      <w:r>
        <w:rPr>
          <w:color w:val="000000" w:themeColor="text1"/>
          <w:kern w:val="0"/>
          <w:sz w:val="24"/>
          <w14:textFill>
            <w14:solidFill>
              <w14:schemeClr w14:val="tx1"/>
            </w14:solidFill>
          </w14:textFill>
        </w:rPr>
        <w:t xml:space="preserve">  </w:t>
      </w:r>
      <w:r>
        <w:rPr>
          <w:rFonts w:hint="eastAsia"/>
          <w:color w:val="000000" w:themeColor="text1"/>
          <w:kern w:val="0"/>
          <w:sz w:val="24"/>
          <w14:textFill>
            <w14:solidFill>
              <w14:schemeClr w14:val="tx1"/>
            </w14:solidFill>
          </w14:textFill>
        </w:rPr>
        <w:t>全</w:t>
      </w:r>
      <w:r>
        <w:rPr>
          <w:color w:val="000000" w:themeColor="text1"/>
          <w:kern w:val="0"/>
          <w:sz w:val="24"/>
          <w14:textFill>
            <w14:solidFill>
              <w14:schemeClr w14:val="tx1"/>
            </w14:solidFill>
          </w14:textFill>
        </w:rPr>
        <w:t>本公示证明</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p>
    <w:p>
      <w:pPr>
        <w:widowControl/>
        <w:spacing w:line="440" w:lineRule="exact"/>
        <w:jc w:val="left"/>
        <w:rPr>
          <w:b/>
          <w:color w:val="0D0D0D" w:themeColor="text1" w:themeTint="F2"/>
          <w:kern w:val="0"/>
          <w:sz w:val="24"/>
          <w14:textFill>
            <w14:solidFill>
              <w14:schemeClr w14:val="tx1">
                <w14:lumMod w14:val="95000"/>
                <w14:lumOff w14:val="5000"/>
              </w14:schemeClr>
            </w14:solidFill>
          </w14:textFill>
        </w:rPr>
      </w:pPr>
      <w:r>
        <w:rPr>
          <w:rFonts w:hint="eastAsia"/>
          <w:b/>
          <w:color w:val="0D0D0D" w:themeColor="text1" w:themeTint="F2"/>
          <w:kern w:val="0"/>
          <w:sz w:val="24"/>
          <w14:textFill>
            <w14:solidFill>
              <w14:schemeClr w14:val="tx1">
                <w14:lumMod w14:val="95000"/>
                <w14:lumOff w14:val="5000"/>
              </w14:schemeClr>
            </w14:solidFill>
          </w14:textFill>
        </w:rPr>
        <w:t>附图:</w:t>
      </w:r>
    </w:p>
    <w:p>
      <w:pPr>
        <w:widowControl/>
        <w:spacing w:line="360" w:lineRule="auto"/>
        <w:ind w:firstLine="700" w:firstLineChars="292"/>
        <w:jc w:val="left"/>
        <w:rPr>
          <w:color w:val="auto"/>
          <w:kern w:val="0"/>
          <w:sz w:val="24"/>
        </w:rPr>
      </w:pPr>
      <w:r>
        <w:rPr>
          <w:color w:val="auto"/>
          <w:kern w:val="0"/>
          <w:sz w:val="24"/>
        </w:rPr>
        <w:t>附图1  项目地理</w:t>
      </w:r>
      <w:r>
        <w:rPr>
          <w:rFonts w:hint="eastAsia"/>
          <w:color w:val="auto"/>
          <w:kern w:val="0"/>
          <w:sz w:val="24"/>
        </w:rPr>
        <w:t>位置</w:t>
      </w:r>
      <w:r>
        <w:rPr>
          <w:color w:val="auto"/>
          <w:kern w:val="0"/>
          <w:sz w:val="24"/>
        </w:rPr>
        <w:t>图</w:t>
      </w:r>
    </w:p>
    <w:p>
      <w:pPr>
        <w:widowControl/>
        <w:spacing w:line="360" w:lineRule="auto"/>
        <w:ind w:firstLine="700" w:firstLineChars="292"/>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 xml:space="preserve">附图2  </w:t>
      </w:r>
      <w:r>
        <w:rPr>
          <w:rFonts w:hint="eastAsia" w:ascii="Times New Roman" w:hAnsi="Times New Roman" w:eastAsia="宋体" w:cs="Times New Roman"/>
          <w:color w:val="auto"/>
          <w:kern w:val="0"/>
          <w:sz w:val="24"/>
        </w:rPr>
        <w:t>项目</w:t>
      </w:r>
      <w:r>
        <w:rPr>
          <w:rFonts w:ascii="Times New Roman" w:hAnsi="Times New Roman" w:eastAsia="宋体" w:cs="Times New Roman"/>
          <w:color w:val="auto"/>
          <w:kern w:val="0"/>
          <w:sz w:val="24"/>
        </w:rPr>
        <w:t>周边关系图</w:t>
      </w:r>
    </w:p>
    <w:p>
      <w:pPr>
        <w:widowControl/>
        <w:spacing w:line="360" w:lineRule="auto"/>
        <w:ind w:firstLine="700" w:firstLineChars="292"/>
        <w:jc w:val="left"/>
        <w:rPr>
          <w:rFonts w:ascii="Times New Roman" w:hAnsi="Times New Roman" w:eastAsia="宋体" w:cs="Times New Roman"/>
          <w:color w:val="auto"/>
          <w:kern w:val="0"/>
          <w:sz w:val="24"/>
        </w:rPr>
      </w:pPr>
      <w:r>
        <w:rPr>
          <w:rFonts w:ascii="Times New Roman" w:hAnsi="Times New Roman" w:eastAsia="宋体" w:cs="Times New Roman"/>
          <w:color w:val="auto"/>
          <w:kern w:val="0"/>
          <w:sz w:val="24"/>
        </w:rPr>
        <w:t>附图3  项目平面布置图</w:t>
      </w:r>
    </w:p>
    <w:p>
      <w:pPr>
        <w:widowControl/>
        <w:spacing w:line="360" w:lineRule="auto"/>
        <w:ind w:firstLine="700" w:firstLineChars="292"/>
        <w:jc w:val="left"/>
        <w:rPr>
          <w:rFonts w:hint="default"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rPr>
        <w:t>附图</w:t>
      </w:r>
      <w:r>
        <w:rPr>
          <w:rFonts w:hint="eastAsia" w:ascii="Times New Roman" w:hAnsi="Times New Roman" w:eastAsia="宋体" w:cs="Times New Roman"/>
          <w:color w:val="auto"/>
          <w:kern w:val="0"/>
          <w:sz w:val="24"/>
          <w:lang w:val="en-US" w:eastAsia="zh-CN"/>
        </w:rPr>
        <w:t>4</w:t>
      </w:r>
      <w:r>
        <w:rPr>
          <w:rFonts w:hint="eastAsia" w:ascii="Times New Roman" w:hAnsi="Times New Roman" w:eastAsia="宋体" w:cs="Times New Roman"/>
          <w:color w:val="auto"/>
          <w:kern w:val="0"/>
          <w:sz w:val="24"/>
        </w:rPr>
        <w:t xml:space="preserve">  </w:t>
      </w:r>
      <w:r>
        <w:rPr>
          <w:rFonts w:hint="eastAsia" w:ascii="Times New Roman" w:hAnsi="Times New Roman" w:eastAsia="宋体" w:cs="Times New Roman"/>
          <w:color w:val="auto"/>
          <w:kern w:val="0"/>
          <w:sz w:val="24"/>
          <w:lang w:val="en-US" w:eastAsia="zh-CN"/>
        </w:rPr>
        <w:t>项目雨污管线图</w:t>
      </w:r>
    </w:p>
    <w:p>
      <w:pPr>
        <w:widowControl/>
        <w:spacing w:line="360" w:lineRule="auto"/>
        <w:ind w:firstLine="700" w:firstLineChars="292"/>
        <w:jc w:val="left"/>
        <w:rPr>
          <w:rFonts w:ascii="Times New Roman" w:hAnsi="Times New Roman" w:eastAsia="宋体" w:cs="Times New Roman"/>
          <w:color w:val="auto"/>
          <w:kern w:val="0"/>
          <w:sz w:val="24"/>
        </w:rPr>
      </w:pPr>
      <w:bookmarkStart w:id="16" w:name="_Hlk126495291"/>
      <w:r>
        <w:rPr>
          <w:rFonts w:hint="eastAsia" w:ascii="Times New Roman" w:hAnsi="Times New Roman" w:eastAsia="宋体" w:cs="Times New Roman"/>
          <w:color w:val="auto"/>
          <w:kern w:val="0"/>
          <w:sz w:val="24"/>
        </w:rPr>
        <w:t>附图</w:t>
      </w:r>
      <w:r>
        <w:rPr>
          <w:rFonts w:hint="eastAsia" w:ascii="Times New Roman" w:hAnsi="Times New Roman" w:eastAsia="宋体" w:cs="Times New Roman"/>
          <w:color w:val="auto"/>
          <w:kern w:val="0"/>
          <w:sz w:val="24"/>
          <w:lang w:val="en-US" w:eastAsia="zh-CN"/>
        </w:rPr>
        <w:t>5</w:t>
      </w:r>
      <w:r>
        <w:rPr>
          <w:rFonts w:hint="eastAsia" w:ascii="Times New Roman" w:hAnsi="Times New Roman" w:eastAsia="宋体" w:cs="Times New Roman"/>
          <w:color w:val="auto"/>
          <w:kern w:val="0"/>
          <w:sz w:val="24"/>
        </w:rPr>
        <w:t xml:space="preserve">  </w:t>
      </w:r>
      <w:r>
        <w:rPr>
          <w:rFonts w:hint="eastAsia" w:ascii="Times New Roman" w:hAnsi="Times New Roman" w:eastAsia="宋体" w:cs="Times New Roman"/>
          <w:color w:val="auto"/>
          <w:kern w:val="0"/>
          <w:sz w:val="24"/>
          <w:lang w:val="en-US" w:eastAsia="zh-CN"/>
        </w:rPr>
        <w:t>芜湖市三山经济开发区控制性详细规划图</w:t>
      </w:r>
    </w:p>
    <w:bookmarkEnd w:id="16"/>
    <w:p>
      <w:pPr>
        <w:widowControl/>
        <w:spacing w:line="360" w:lineRule="auto"/>
        <w:ind w:firstLine="700" w:firstLineChars="292"/>
        <w:jc w:val="left"/>
        <w:rPr>
          <w:rFonts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附图</w:t>
      </w:r>
      <w:r>
        <w:rPr>
          <w:rFonts w:hint="eastAsia" w:ascii="Times New Roman" w:hAnsi="Times New Roman" w:eastAsia="宋体" w:cs="Times New Roman"/>
          <w:color w:val="auto"/>
          <w:kern w:val="0"/>
          <w:sz w:val="24"/>
          <w:lang w:val="en-US" w:eastAsia="zh-CN"/>
        </w:rPr>
        <w:t>6</w:t>
      </w:r>
      <w:r>
        <w:rPr>
          <w:rFonts w:hint="eastAsia" w:ascii="Times New Roman" w:hAnsi="Times New Roman" w:eastAsia="宋体" w:cs="Times New Roman"/>
          <w:color w:val="auto"/>
          <w:kern w:val="0"/>
          <w:sz w:val="24"/>
        </w:rPr>
        <w:t xml:space="preserve">  芜湖市“三区三线图”</w:t>
      </w:r>
    </w:p>
    <w:p>
      <w:pPr>
        <w:widowControl/>
        <w:spacing w:line="360" w:lineRule="auto"/>
        <w:ind w:firstLine="700" w:firstLineChars="292"/>
        <w:jc w:val="left"/>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附图</w:t>
      </w:r>
      <w:r>
        <w:rPr>
          <w:rFonts w:hint="eastAsia" w:cs="Times New Roman"/>
          <w:color w:val="auto"/>
          <w:kern w:val="0"/>
          <w:sz w:val="24"/>
          <w:lang w:val="en-US" w:eastAsia="zh-CN"/>
        </w:rPr>
        <w:t>7</w:t>
      </w:r>
      <w:r>
        <w:rPr>
          <w:rFonts w:hint="eastAsia" w:ascii="Times New Roman" w:hAnsi="Times New Roman" w:eastAsia="宋体" w:cs="Times New Roman"/>
          <w:color w:val="auto"/>
          <w:kern w:val="0"/>
          <w:sz w:val="24"/>
        </w:rPr>
        <w:t xml:space="preserve">  芜湖市生态保护红线图</w:t>
      </w:r>
    </w:p>
    <w:p>
      <w:pPr>
        <w:widowControl/>
        <w:spacing w:line="360" w:lineRule="auto"/>
        <w:ind w:firstLine="700" w:firstLineChars="292"/>
        <w:jc w:val="left"/>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附图</w:t>
      </w:r>
      <w:r>
        <w:rPr>
          <w:rFonts w:hint="eastAsia" w:cs="Times New Roman"/>
          <w:color w:val="auto"/>
          <w:kern w:val="0"/>
          <w:sz w:val="24"/>
          <w:lang w:val="en-US" w:eastAsia="zh-CN"/>
        </w:rPr>
        <w:t>8</w:t>
      </w:r>
      <w:r>
        <w:rPr>
          <w:rFonts w:hint="eastAsia" w:ascii="Times New Roman" w:hAnsi="Times New Roman" w:eastAsia="宋体" w:cs="Times New Roman"/>
          <w:color w:val="auto"/>
          <w:kern w:val="0"/>
          <w:sz w:val="24"/>
        </w:rPr>
        <w:t xml:space="preserve">  芜湖市水环境分区管控图</w:t>
      </w:r>
    </w:p>
    <w:p>
      <w:pPr>
        <w:widowControl/>
        <w:spacing w:line="360" w:lineRule="auto"/>
        <w:ind w:firstLine="700" w:firstLineChars="292"/>
        <w:jc w:val="left"/>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附图</w:t>
      </w:r>
      <w:r>
        <w:rPr>
          <w:rFonts w:hint="eastAsia" w:cs="Times New Roman"/>
          <w:color w:val="auto"/>
          <w:kern w:val="0"/>
          <w:sz w:val="24"/>
          <w:lang w:val="en-US" w:eastAsia="zh-CN"/>
        </w:rPr>
        <w:t>9</w:t>
      </w:r>
      <w:r>
        <w:rPr>
          <w:rFonts w:hint="eastAsia" w:ascii="Times New Roman" w:hAnsi="Times New Roman" w:eastAsia="宋体" w:cs="Times New Roman"/>
          <w:color w:val="auto"/>
          <w:kern w:val="0"/>
          <w:sz w:val="24"/>
        </w:rPr>
        <w:t xml:space="preserve">  芜湖市大气环境分区管控图</w:t>
      </w:r>
    </w:p>
    <w:p>
      <w:pPr>
        <w:widowControl/>
        <w:spacing w:line="360" w:lineRule="auto"/>
        <w:ind w:firstLine="700" w:firstLineChars="292"/>
        <w:jc w:val="left"/>
        <w:rPr>
          <w:rFonts w:hint="eastAsia" w:ascii="Times New Roman" w:hAnsi="Times New Roman" w:eastAsia="宋体" w:cs="Times New Roman"/>
          <w:color w:val="auto"/>
          <w:kern w:val="0"/>
          <w:sz w:val="24"/>
        </w:rPr>
      </w:pPr>
      <w:r>
        <w:rPr>
          <w:rFonts w:hint="eastAsia" w:ascii="Times New Roman" w:hAnsi="Times New Roman" w:eastAsia="宋体" w:cs="Times New Roman"/>
          <w:color w:val="auto"/>
          <w:kern w:val="0"/>
          <w:sz w:val="24"/>
        </w:rPr>
        <w:t>附图</w:t>
      </w:r>
      <w:r>
        <w:rPr>
          <w:rFonts w:hint="eastAsia" w:ascii="Times New Roman" w:hAnsi="Times New Roman" w:eastAsia="宋体" w:cs="Times New Roman"/>
          <w:color w:val="auto"/>
          <w:kern w:val="0"/>
          <w:sz w:val="24"/>
          <w:lang w:val="en-US" w:eastAsia="zh-CN"/>
        </w:rPr>
        <w:t>1</w:t>
      </w:r>
      <w:r>
        <w:rPr>
          <w:rFonts w:hint="eastAsia" w:cs="Times New Roman"/>
          <w:color w:val="auto"/>
          <w:kern w:val="0"/>
          <w:sz w:val="24"/>
          <w:lang w:val="en-US" w:eastAsia="zh-CN"/>
        </w:rPr>
        <w:t>0</w:t>
      </w:r>
      <w:r>
        <w:rPr>
          <w:rFonts w:hint="eastAsia" w:ascii="Times New Roman" w:hAnsi="Times New Roman" w:eastAsia="宋体" w:cs="Times New Roman"/>
          <w:color w:val="auto"/>
          <w:kern w:val="0"/>
          <w:sz w:val="24"/>
        </w:rPr>
        <w:t xml:space="preserve">  芜湖市土壤环境风险分区管控图</w:t>
      </w:r>
    </w:p>
    <w:p>
      <w:pPr>
        <w:widowControl/>
        <w:spacing w:line="360" w:lineRule="auto"/>
        <w:ind w:firstLine="700" w:firstLineChars="292"/>
        <w:jc w:val="left"/>
        <w:rPr>
          <w:color w:val="auto"/>
          <w:kern w:val="0"/>
          <w:sz w:val="24"/>
        </w:rPr>
      </w:pPr>
      <w:r>
        <w:rPr>
          <w:rFonts w:hint="eastAsia" w:ascii="Times New Roman" w:hAnsi="Times New Roman" w:eastAsia="宋体" w:cs="Times New Roman"/>
          <w:color w:val="auto"/>
          <w:kern w:val="0"/>
          <w:sz w:val="24"/>
        </w:rPr>
        <w:t>附图1</w:t>
      </w:r>
      <w:r>
        <w:rPr>
          <w:rFonts w:hint="eastAsia" w:cs="Times New Roman"/>
          <w:color w:val="auto"/>
          <w:kern w:val="0"/>
          <w:sz w:val="24"/>
          <w:lang w:val="en-US" w:eastAsia="zh-CN"/>
        </w:rPr>
        <w:t>1</w:t>
      </w:r>
      <w:r>
        <w:rPr>
          <w:rFonts w:hint="eastAsia" w:ascii="Times New Roman" w:hAnsi="Times New Roman" w:eastAsia="宋体" w:cs="Times New Roman"/>
          <w:color w:val="auto"/>
          <w:kern w:val="0"/>
          <w:sz w:val="24"/>
        </w:rPr>
        <w:t xml:space="preserve">  芜湖市生态环境管控单元图</w:t>
      </w:r>
    </w:p>
    <w:p>
      <w:pPr>
        <w:widowControl/>
        <w:spacing w:line="360" w:lineRule="auto"/>
        <w:jc w:val="left"/>
        <w:rPr>
          <w:color w:val="0D0D0D" w:themeColor="text1" w:themeTint="F2"/>
          <w:kern w:val="0"/>
          <w:sz w:val="24"/>
          <w14:textFill>
            <w14:solidFill>
              <w14:schemeClr w14:val="tx1">
                <w14:lumMod w14:val="95000"/>
                <w14:lumOff w14:val="5000"/>
              </w14:schemeClr>
            </w14:solidFill>
          </w14:textFill>
        </w:rPr>
      </w:pPr>
    </w:p>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Black">
    <w:panose1 w:val="020B0A04020102090204"/>
    <w:charset w:val="00"/>
    <w:family w:val="swiss"/>
    <w:pitch w:val="default"/>
    <w:sig w:usb0="A00002AF" w:usb1="400078FB" w:usb2="00000000" w:usb3="00000000" w:csb0="6000009F" w:csb1="DFD70000"/>
  </w:font>
  <w:font w:name="MingLiU">
    <w:panose1 w:val="02010609000101010101"/>
    <w:charset w:val="88"/>
    <w:family w:val="modern"/>
    <w:pitch w:val="default"/>
    <w:sig w:usb0="80000001" w:usb1="28091800" w:usb2="00000016" w:usb3="00000000" w:csb0="00100001" w:csb1="00000000"/>
  </w:font>
  <w:font w:name="仿宋">
    <w:panose1 w:val="02010609060101010101"/>
    <w:charset w:val="86"/>
    <w:family w:val="modern"/>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TimesNewRoman">
    <w:altName w:val="MS Gothic"/>
    <w:panose1 w:val="00000000000000000000"/>
    <w:charset w:val="00"/>
    <w:family w:val="roman"/>
    <w:pitch w:val="default"/>
    <w:sig w:usb0="00000000" w:usb1="00000000" w:usb2="00000010" w:usb3="00000000" w:csb0="00040001" w:csb1="00000000"/>
  </w:font>
  <w:font w:name="MS Gothic">
    <w:panose1 w:val="020B0609070205080204"/>
    <w:charset w:val="80"/>
    <w:family w:val="auto"/>
    <w:pitch w:val="default"/>
    <w:sig w:usb0="E00002FF" w:usb1="6AC7FDFB" w:usb2="08000012" w:usb3="00000000" w:csb0="4002009F" w:csb1="DFD70000"/>
  </w:font>
  <w:font w:name="ˎ̥">
    <w:altName w:val="Times New Roman"/>
    <w:panose1 w:val="00000000000000000000"/>
    <w:charset w:val="00"/>
    <w:family w:val="roman"/>
    <w:pitch w:val="default"/>
    <w:sig w:usb0="00000000" w:usb1="00000000" w:usb2="00000000" w:usb3="00000000" w:csb0="00000000" w:csb1="00000000"/>
  </w:font>
  <w:font w:name="方正魏碑简体">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Lucida Console">
    <w:panose1 w:val="020B0609040504020204"/>
    <w:charset w:val="00"/>
    <w:family w:val="modern"/>
    <w:pitch w:val="default"/>
    <w:sig w:usb0="8000028F" w:usb1="00001800" w:usb2="00000000" w:usb3="00000000" w:csb0="0000001F" w:csb1="D7D70000"/>
  </w:font>
  <w:font w:name="华文中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汉鼎简书宋">
    <w:altName w:val="宋体"/>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Georgia">
    <w:panose1 w:val="02040502050405020303"/>
    <w:charset w:val="00"/>
    <w:family w:val="roman"/>
    <w:pitch w:val="default"/>
    <w:sig w:usb0="00000287" w:usb1="00000000" w:usb2="00000000" w:usb3="00000000" w:csb0="2000009F" w:csb1="00000000"/>
  </w:font>
  <w:font w:name="PMingLiU">
    <w:panose1 w:val="02020500000000000000"/>
    <w:charset w:val="88"/>
    <w:family w:val="roman"/>
    <w:pitch w:val="default"/>
    <w:sig w:usb0="A00002FF" w:usb1="28CFFCFA" w:usb2="00000016" w:usb3="00000000" w:csb0="00100001" w:csb1="00000000"/>
  </w:font>
  <w:font w:name="TimesNewRomanPSMT">
    <w:altName w:val="宋体"/>
    <w:panose1 w:val="00000000000000000000"/>
    <w:charset w:val="00"/>
    <w:family w:val="auto"/>
    <w:pitch w:val="default"/>
    <w:sig w:usb0="00000000" w:usb1="00000000" w:usb2="00000000" w:usb3="00000000" w:csb0="00000000" w:csb1="00000000"/>
  </w:font>
  <w:font w:name="font-weight : 400">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FZShuSong-Z01">
    <w:altName w:val="宋体"/>
    <w:panose1 w:val="00000000000000000000"/>
    <w:charset w:val="86"/>
    <w:family w:val="roman"/>
    <w:pitch w:val="default"/>
    <w:sig w:usb0="00000000" w:usb1="00000000" w:usb2="00000010" w:usb3="00000000" w:csb0="00040000" w:csb1="00000000"/>
  </w:font>
  <w:font w:name="Helvetica">
    <w:panose1 w:val="020B0604020202020204"/>
    <w:charset w:val="00"/>
    <w:family w:val="swiss"/>
    <w:pitch w:val="default"/>
    <w:sig w:usb0="00000000" w:usb1="00000000" w:usb2="00000000" w:usb3="00000000" w:csb0="00000000" w:csb1="00000000"/>
  </w:font>
  <w:font w:name="Times">
    <w:altName w:val="Times New Roman"/>
    <w:panose1 w:val="02020603050405020304"/>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6FF" w:usb1="420024FF" w:usb2="02000000" w:usb3="00000000" w:csb0="2000019F" w:csb1="00000000"/>
  </w:font>
  <w:font w:name="ﾋﾎﾌ・">
    <w:altName w:val="MS Gothic"/>
    <w:panose1 w:val="00000000000000000000"/>
    <w:charset w:val="80"/>
    <w:family w:val="auto"/>
    <w:pitch w:val="default"/>
    <w:sig w:usb0="00000000" w:usb1="00000000" w:usb2="00000010" w:usb3="00000000" w:csb0="0002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3520974"/>
    </w:sdtPr>
    <w:sdtContent>
      <w:p>
        <w:pPr>
          <w:pStyle w:val="39"/>
          <w:jc w:val="center"/>
        </w:pPr>
        <w:r>
          <w:fldChar w:fldCharType="begin"/>
        </w:r>
        <w:r>
          <w:instrText xml:space="preserve">PAGE   \* MERGEFORMAT</w:instrText>
        </w:r>
        <w:r>
          <w:fldChar w:fldCharType="separate"/>
        </w:r>
        <w:r>
          <w:rPr>
            <w:lang w:val="zh-CN"/>
          </w:rPr>
          <w:t>82</w:t>
        </w:r>
        <w:r>
          <w:fldChar w:fldCharType="end"/>
        </w:r>
      </w:p>
    </w:sdtContent>
  </w:sdt>
  <w:p>
    <w:pPr>
      <w:pStyle w:val="3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margin" w:xAlign="center" w:y="1"/>
      <w:rPr>
        <w:rStyle w:val="68"/>
        <w:szCs w:val="18"/>
      </w:rPr>
    </w:pPr>
    <w:r>
      <w:rPr>
        <w:szCs w:val="18"/>
      </w:rPr>
      <w:fldChar w:fldCharType="begin"/>
    </w:r>
    <w:r>
      <w:rPr>
        <w:rStyle w:val="68"/>
        <w:szCs w:val="18"/>
      </w:rPr>
      <w:instrText xml:space="preserve">PAGE  </w:instrText>
    </w:r>
    <w:r>
      <w:rPr>
        <w:szCs w:val="18"/>
      </w:rPr>
      <w:fldChar w:fldCharType="separate"/>
    </w:r>
    <w:r>
      <w:rPr>
        <w:rStyle w:val="68"/>
        <w:szCs w:val="18"/>
      </w:rPr>
      <w:t>84</w:t>
    </w:r>
    <w:r>
      <w:rPr>
        <w:szCs w:val="18"/>
      </w:rPr>
      <w:fldChar w:fldCharType="end"/>
    </w:r>
    <w:r>
      <w:rPr>
        <w:rStyle w:val="68"/>
        <w:szCs w:val="18"/>
      </w:rPr>
      <w:t xml:space="preserve">  </w:t>
    </w:r>
  </w:p>
  <w:p>
    <w:pPr>
      <w:pStyle w:val="39"/>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framePr w:wrap="around" w:vAnchor="text" w:hAnchor="page" w:x="5911" w:y="-7"/>
      <w:jc w:val="center"/>
      <w:rPr>
        <w:rStyle w:val="68"/>
        <w:szCs w:val="18"/>
      </w:rPr>
    </w:pPr>
    <w:r>
      <w:rPr>
        <w:szCs w:val="18"/>
      </w:rPr>
      <w:fldChar w:fldCharType="begin"/>
    </w:r>
    <w:r>
      <w:rPr>
        <w:rStyle w:val="68"/>
        <w:szCs w:val="18"/>
      </w:rPr>
      <w:instrText xml:space="preserve">PAGE  </w:instrText>
    </w:r>
    <w:r>
      <w:rPr>
        <w:szCs w:val="18"/>
      </w:rPr>
      <w:fldChar w:fldCharType="separate"/>
    </w:r>
    <w:r>
      <w:rPr>
        <w:rStyle w:val="68"/>
        <w:szCs w:val="18"/>
      </w:rPr>
      <w:t>85</w:t>
    </w:r>
    <w:r>
      <w:rPr>
        <w:szCs w:val="18"/>
      </w:rPr>
      <w:fldChar w:fldCharType="end"/>
    </w:r>
  </w:p>
  <w:p>
    <w:pPr>
      <w:pStyle w:val="39"/>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20A264"/>
    <w:multiLevelType w:val="multilevel"/>
    <w:tmpl w:val="1D20A264"/>
    <w:lvl w:ilvl="0" w:tentative="0">
      <w:start w:val="1"/>
      <w:numFmt w:val="decimalEnclosedCircle"/>
      <w:lvlText w:val="%1"/>
      <w:lvlJc w:val="left"/>
      <w:pPr>
        <w:ind w:left="840" w:hanging="360"/>
      </w:pPr>
      <w:rPr>
        <w:rFonts w:hint="eastAsia" w:ascii="宋体" w:hAnsi="宋体" w:eastAsia="宋体" w:cs="宋体"/>
      </w:rPr>
    </w:lvl>
    <w:lvl w:ilvl="1" w:tentative="0">
      <w:start w:val="1"/>
      <w:numFmt w:val="lowerLetter"/>
      <w:lvlText w:val="%2)"/>
      <w:lvlJc w:val="left"/>
      <w:pPr>
        <w:ind w:left="1320" w:hanging="420"/>
      </w:pPr>
      <w:rPr>
        <w:rFonts w:hint="default" w:ascii="Times New Roman" w:hAnsi="Times New Roman" w:cs="Times New Roman"/>
      </w:rPr>
    </w:lvl>
    <w:lvl w:ilvl="2" w:tentative="0">
      <w:start w:val="1"/>
      <w:numFmt w:val="lowerRoman"/>
      <w:lvlText w:val="%3."/>
      <w:lvlJc w:val="right"/>
      <w:pPr>
        <w:ind w:left="1740" w:hanging="420"/>
      </w:pPr>
      <w:rPr>
        <w:rFonts w:hint="default" w:ascii="Times New Roman" w:hAnsi="Times New Roman" w:cs="Times New Roman"/>
      </w:rPr>
    </w:lvl>
    <w:lvl w:ilvl="3" w:tentative="0">
      <w:start w:val="1"/>
      <w:numFmt w:val="decimal"/>
      <w:lvlText w:val="%4."/>
      <w:lvlJc w:val="left"/>
      <w:pPr>
        <w:ind w:left="2160" w:hanging="420"/>
      </w:pPr>
      <w:rPr>
        <w:rFonts w:hint="default" w:ascii="Times New Roman" w:hAnsi="Times New Roman" w:cs="Times New Roman"/>
      </w:rPr>
    </w:lvl>
    <w:lvl w:ilvl="4" w:tentative="0">
      <w:start w:val="1"/>
      <w:numFmt w:val="lowerLetter"/>
      <w:lvlText w:val="%5)"/>
      <w:lvlJc w:val="left"/>
      <w:pPr>
        <w:ind w:left="2580" w:hanging="420"/>
      </w:pPr>
      <w:rPr>
        <w:rFonts w:hint="default" w:ascii="Times New Roman" w:hAnsi="Times New Roman" w:cs="Times New Roman"/>
      </w:rPr>
    </w:lvl>
    <w:lvl w:ilvl="5" w:tentative="0">
      <w:start w:val="1"/>
      <w:numFmt w:val="lowerRoman"/>
      <w:lvlText w:val="%6."/>
      <w:lvlJc w:val="right"/>
      <w:pPr>
        <w:ind w:left="3000" w:hanging="420"/>
      </w:pPr>
      <w:rPr>
        <w:rFonts w:hint="default" w:ascii="Times New Roman" w:hAnsi="Times New Roman" w:cs="Times New Roman"/>
      </w:rPr>
    </w:lvl>
    <w:lvl w:ilvl="6" w:tentative="0">
      <w:start w:val="1"/>
      <w:numFmt w:val="decimal"/>
      <w:lvlText w:val="%7."/>
      <w:lvlJc w:val="left"/>
      <w:pPr>
        <w:ind w:left="3420" w:hanging="420"/>
      </w:pPr>
      <w:rPr>
        <w:rFonts w:hint="default" w:ascii="Times New Roman" w:hAnsi="Times New Roman" w:cs="Times New Roman"/>
      </w:rPr>
    </w:lvl>
    <w:lvl w:ilvl="7" w:tentative="0">
      <w:start w:val="1"/>
      <w:numFmt w:val="lowerLetter"/>
      <w:lvlText w:val="%8)"/>
      <w:lvlJc w:val="left"/>
      <w:pPr>
        <w:ind w:left="3840" w:hanging="420"/>
      </w:pPr>
      <w:rPr>
        <w:rFonts w:hint="default" w:ascii="Times New Roman" w:hAnsi="Times New Roman" w:cs="Times New Roman"/>
      </w:rPr>
    </w:lvl>
    <w:lvl w:ilvl="8" w:tentative="0">
      <w:start w:val="1"/>
      <w:numFmt w:val="lowerRoman"/>
      <w:lvlText w:val="%9."/>
      <w:lvlJc w:val="right"/>
      <w:pPr>
        <w:ind w:left="4260" w:hanging="420"/>
      </w:pPr>
      <w:rPr>
        <w:rFonts w:hint="default" w:ascii="Times New Roman" w:hAnsi="Times New Roman" w:cs="Times New Roman"/>
      </w:rPr>
    </w:lvl>
  </w:abstractNum>
  <w:abstractNum w:abstractNumId="1">
    <w:nsid w:val="30A61993"/>
    <w:multiLevelType w:val="multilevel"/>
    <w:tmpl w:val="30A61993"/>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rPr>
        <w:rFonts w:hint="eastAsia"/>
      </w:rPr>
    </w:lvl>
    <w:lvl w:ilvl="2" w:tentative="0">
      <w:start w:val="1"/>
      <w:numFmt w:val="lowerRoman"/>
      <w:pStyle w:val="617"/>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36A63AC2"/>
    <w:multiLevelType w:val="multilevel"/>
    <w:tmpl w:val="36A63AC2"/>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F795400"/>
    <w:multiLevelType w:val="multilevel"/>
    <w:tmpl w:val="3F795400"/>
    <w:lvl w:ilvl="0" w:tentative="0">
      <w:start w:val="1"/>
      <w:numFmt w:val="decimalEnclosedCircle"/>
      <w:lvlText w:val="%1"/>
      <w:lvlJc w:val="left"/>
      <w:pPr>
        <w:ind w:left="840" w:hanging="360"/>
      </w:pPr>
      <w:rPr>
        <w:rFonts w:hint="default" w:ascii="宋体" w:hAnsi="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g0M2I0NmQwNzc1M2IyYTcwNTVhNjhjMmM4MzNkZTQifQ=="/>
  </w:docVars>
  <w:rsids>
    <w:rsidRoot w:val="00172A27"/>
    <w:rsid w:val="00000918"/>
    <w:rsid w:val="00000D5F"/>
    <w:rsid w:val="00000D9D"/>
    <w:rsid w:val="00002E75"/>
    <w:rsid w:val="00003052"/>
    <w:rsid w:val="0000415B"/>
    <w:rsid w:val="00004A43"/>
    <w:rsid w:val="00004FFB"/>
    <w:rsid w:val="000057D9"/>
    <w:rsid w:val="000060B3"/>
    <w:rsid w:val="0000620C"/>
    <w:rsid w:val="000067CF"/>
    <w:rsid w:val="00006D4E"/>
    <w:rsid w:val="000074F1"/>
    <w:rsid w:val="00007E9C"/>
    <w:rsid w:val="000109D9"/>
    <w:rsid w:val="00012B6E"/>
    <w:rsid w:val="00013270"/>
    <w:rsid w:val="000139A2"/>
    <w:rsid w:val="00013BF3"/>
    <w:rsid w:val="00013F39"/>
    <w:rsid w:val="00014C2C"/>
    <w:rsid w:val="00015EDA"/>
    <w:rsid w:val="00016698"/>
    <w:rsid w:val="00016F87"/>
    <w:rsid w:val="0002060E"/>
    <w:rsid w:val="000208A0"/>
    <w:rsid w:val="00020E56"/>
    <w:rsid w:val="00022272"/>
    <w:rsid w:val="00022722"/>
    <w:rsid w:val="00024738"/>
    <w:rsid w:val="000252BA"/>
    <w:rsid w:val="000257C7"/>
    <w:rsid w:val="000275B9"/>
    <w:rsid w:val="000305FF"/>
    <w:rsid w:val="00030692"/>
    <w:rsid w:val="00030D4A"/>
    <w:rsid w:val="00034B41"/>
    <w:rsid w:val="00035F05"/>
    <w:rsid w:val="000362F0"/>
    <w:rsid w:val="0003697F"/>
    <w:rsid w:val="0003702C"/>
    <w:rsid w:val="000372D9"/>
    <w:rsid w:val="000375D6"/>
    <w:rsid w:val="0004364B"/>
    <w:rsid w:val="0004422E"/>
    <w:rsid w:val="0004511C"/>
    <w:rsid w:val="00045165"/>
    <w:rsid w:val="00045230"/>
    <w:rsid w:val="00047589"/>
    <w:rsid w:val="00047B08"/>
    <w:rsid w:val="00047B12"/>
    <w:rsid w:val="000510EC"/>
    <w:rsid w:val="0005213D"/>
    <w:rsid w:val="00052380"/>
    <w:rsid w:val="000527EC"/>
    <w:rsid w:val="000531FF"/>
    <w:rsid w:val="00053696"/>
    <w:rsid w:val="00054433"/>
    <w:rsid w:val="00054762"/>
    <w:rsid w:val="00055D76"/>
    <w:rsid w:val="00056291"/>
    <w:rsid w:val="00056C0B"/>
    <w:rsid w:val="0005704A"/>
    <w:rsid w:val="0005722E"/>
    <w:rsid w:val="000572CC"/>
    <w:rsid w:val="000576EA"/>
    <w:rsid w:val="0005786D"/>
    <w:rsid w:val="00060F8F"/>
    <w:rsid w:val="0006193E"/>
    <w:rsid w:val="00061B1F"/>
    <w:rsid w:val="00062D32"/>
    <w:rsid w:val="00062DD5"/>
    <w:rsid w:val="000634CE"/>
    <w:rsid w:val="000636E0"/>
    <w:rsid w:val="00063B18"/>
    <w:rsid w:val="00064072"/>
    <w:rsid w:val="000643BC"/>
    <w:rsid w:val="000644E2"/>
    <w:rsid w:val="00064BCD"/>
    <w:rsid w:val="00065284"/>
    <w:rsid w:val="00066A70"/>
    <w:rsid w:val="00066C0E"/>
    <w:rsid w:val="000675F8"/>
    <w:rsid w:val="00067AB1"/>
    <w:rsid w:val="00067AD4"/>
    <w:rsid w:val="00067D7C"/>
    <w:rsid w:val="000705F6"/>
    <w:rsid w:val="00070E38"/>
    <w:rsid w:val="00071016"/>
    <w:rsid w:val="000723C0"/>
    <w:rsid w:val="0007327B"/>
    <w:rsid w:val="000733C4"/>
    <w:rsid w:val="00074783"/>
    <w:rsid w:val="00075DF1"/>
    <w:rsid w:val="0007665A"/>
    <w:rsid w:val="00076AB2"/>
    <w:rsid w:val="0008005E"/>
    <w:rsid w:val="00080241"/>
    <w:rsid w:val="0008070B"/>
    <w:rsid w:val="000807C9"/>
    <w:rsid w:val="00080FA6"/>
    <w:rsid w:val="000810AC"/>
    <w:rsid w:val="000818A9"/>
    <w:rsid w:val="00081A02"/>
    <w:rsid w:val="00082231"/>
    <w:rsid w:val="0008242A"/>
    <w:rsid w:val="00082E22"/>
    <w:rsid w:val="00083847"/>
    <w:rsid w:val="00084D01"/>
    <w:rsid w:val="000859AD"/>
    <w:rsid w:val="00085C66"/>
    <w:rsid w:val="00085FAE"/>
    <w:rsid w:val="0009179C"/>
    <w:rsid w:val="00092D38"/>
    <w:rsid w:val="0009377B"/>
    <w:rsid w:val="000965E1"/>
    <w:rsid w:val="00096ED4"/>
    <w:rsid w:val="0009776F"/>
    <w:rsid w:val="000A0044"/>
    <w:rsid w:val="000A1532"/>
    <w:rsid w:val="000A1684"/>
    <w:rsid w:val="000A20C9"/>
    <w:rsid w:val="000A36DC"/>
    <w:rsid w:val="000A38F5"/>
    <w:rsid w:val="000A5467"/>
    <w:rsid w:val="000A72D1"/>
    <w:rsid w:val="000B058F"/>
    <w:rsid w:val="000B0B33"/>
    <w:rsid w:val="000B0EB2"/>
    <w:rsid w:val="000B2482"/>
    <w:rsid w:val="000B2982"/>
    <w:rsid w:val="000B3640"/>
    <w:rsid w:val="000B37F8"/>
    <w:rsid w:val="000B3AA8"/>
    <w:rsid w:val="000B43C3"/>
    <w:rsid w:val="000B4467"/>
    <w:rsid w:val="000B4594"/>
    <w:rsid w:val="000B4758"/>
    <w:rsid w:val="000B4DB9"/>
    <w:rsid w:val="000B5D04"/>
    <w:rsid w:val="000B69D9"/>
    <w:rsid w:val="000B7D9D"/>
    <w:rsid w:val="000C0595"/>
    <w:rsid w:val="000C09AC"/>
    <w:rsid w:val="000C1EEF"/>
    <w:rsid w:val="000C20E0"/>
    <w:rsid w:val="000C225B"/>
    <w:rsid w:val="000C3B23"/>
    <w:rsid w:val="000C3C0E"/>
    <w:rsid w:val="000C46B2"/>
    <w:rsid w:val="000C4D06"/>
    <w:rsid w:val="000C5AF7"/>
    <w:rsid w:val="000C69C0"/>
    <w:rsid w:val="000C767F"/>
    <w:rsid w:val="000C7B60"/>
    <w:rsid w:val="000D084F"/>
    <w:rsid w:val="000D097A"/>
    <w:rsid w:val="000D124A"/>
    <w:rsid w:val="000D12BE"/>
    <w:rsid w:val="000D157C"/>
    <w:rsid w:val="000D225C"/>
    <w:rsid w:val="000D25F4"/>
    <w:rsid w:val="000D3C2D"/>
    <w:rsid w:val="000D54A7"/>
    <w:rsid w:val="000D5A44"/>
    <w:rsid w:val="000D608E"/>
    <w:rsid w:val="000D611B"/>
    <w:rsid w:val="000D743D"/>
    <w:rsid w:val="000D7CEF"/>
    <w:rsid w:val="000E0EEB"/>
    <w:rsid w:val="000E1144"/>
    <w:rsid w:val="000E2241"/>
    <w:rsid w:val="000E25CC"/>
    <w:rsid w:val="000E338E"/>
    <w:rsid w:val="000E3ED2"/>
    <w:rsid w:val="000E41B1"/>
    <w:rsid w:val="000E4556"/>
    <w:rsid w:val="000E50F1"/>
    <w:rsid w:val="000E726B"/>
    <w:rsid w:val="000E7361"/>
    <w:rsid w:val="000E776A"/>
    <w:rsid w:val="000F04C3"/>
    <w:rsid w:val="000F10A3"/>
    <w:rsid w:val="000F1CD4"/>
    <w:rsid w:val="000F32A1"/>
    <w:rsid w:val="000F3518"/>
    <w:rsid w:val="000F39B2"/>
    <w:rsid w:val="000F4291"/>
    <w:rsid w:val="000F4706"/>
    <w:rsid w:val="000F53E5"/>
    <w:rsid w:val="000F60A3"/>
    <w:rsid w:val="000F6DB3"/>
    <w:rsid w:val="001002A8"/>
    <w:rsid w:val="00101230"/>
    <w:rsid w:val="001022EC"/>
    <w:rsid w:val="00102DE8"/>
    <w:rsid w:val="00104B03"/>
    <w:rsid w:val="00104E8A"/>
    <w:rsid w:val="001060C9"/>
    <w:rsid w:val="001074B9"/>
    <w:rsid w:val="00107933"/>
    <w:rsid w:val="00110663"/>
    <w:rsid w:val="00110D04"/>
    <w:rsid w:val="0011107E"/>
    <w:rsid w:val="00111976"/>
    <w:rsid w:val="00111A58"/>
    <w:rsid w:val="00112AB7"/>
    <w:rsid w:val="00115386"/>
    <w:rsid w:val="00115793"/>
    <w:rsid w:val="00115D18"/>
    <w:rsid w:val="00116803"/>
    <w:rsid w:val="001170A6"/>
    <w:rsid w:val="0012037B"/>
    <w:rsid w:val="001207DF"/>
    <w:rsid w:val="00123621"/>
    <w:rsid w:val="00123A1C"/>
    <w:rsid w:val="00123F8F"/>
    <w:rsid w:val="001240F6"/>
    <w:rsid w:val="00124DCE"/>
    <w:rsid w:val="0012542A"/>
    <w:rsid w:val="0012553A"/>
    <w:rsid w:val="001260D9"/>
    <w:rsid w:val="00127038"/>
    <w:rsid w:val="00127FF5"/>
    <w:rsid w:val="001307D6"/>
    <w:rsid w:val="00130E84"/>
    <w:rsid w:val="001314E6"/>
    <w:rsid w:val="00131F42"/>
    <w:rsid w:val="00132BFF"/>
    <w:rsid w:val="00133B9C"/>
    <w:rsid w:val="001357F1"/>
    <w:rsid w:val="00136A1B"/>
    <w:rsid w:val="001374D0"/>
    <w:rsid w:val="001400BD"/>
    <w:rsid w:val="00140FA8"/>
    <w:rsid w:val="00141E7B"/>
    <w:rsid w:val="00142AE1"/>
    <w:rsid w:val="00142FEB"/>
    <w:rsid w:val="00143A2D"/>
    <w:rsid w:val="00145A41"/>
    <w:rsid w:val="001466A4"/>
    <w:rsid w:val="001468AB"/>
    <w:rsid w:val="00147592"/>
    <w:rsid w:val="0014783C"/>
    <w:rsid w:val="0014786A"/>
    <w:rsid w:val="00147DBB"/>
    <w:rsid w:val="00147E02"/>
    <w:rsid w:val="00150069"/>
    <w:rsid w:val="00150AAB"/>
    <w:rsid w:val="00151675"/>
    <w:rsid w:val="00151B2D"/>
    <w:rsid w:val="001539C8"/>
    <w:rsid w:val="00153B93"/>
    <w:rsid w:val="001543B5"/>
    <w:rsid w:val="001547D1"/>
    <w:rsid w:val="00154812"/>
    <w:rsid w:val="00155A69"/>
    <w:rsid w:val="001562ED"/>
    <w:rsid w:val="00157435"/>
    <w:rsid w:val="001607C3"/>
    <w:rsid w:val="001621B8"/>
    <w:rsid w:val="00164E0E"/>
    <w:rsid w:val="001655E8"/>
    <w:rsid w:val="00166FA0"/>
    <w:rsid w:val="00167E53"/>
    <w:rsid w:val="00170D27"/>
    <w:rsid w:val="00170EC5"/>
    <w:rsid w:val="001725C9"/>
    <w:rsid w:val="00173BB7"/>
    <w:rsid w:val="0017504D"/>
    <w:rsid w:val="00175201"/>
    <w:rsid w:val="001763E4"/>
    <w:rsid w:val="0017671A"/>
    <w:rsid w:val="00177422"/>
    <w:rsid w:val="001805B5"/>
    <w:rsid w:val="0018101A"/>
    <w:rsid w:val="001810E7"/>
    <w:rsid w:val="001822E4"/>
    <w:rsid w:val="001830E5"/>
    <w:rsid w:val="00183CF2"/>
    <w:rsid w:val="00184590"/>
    <w:rsid w:val="001848DB"/>
    <w:rsid w:val="0018696A"/>
    <w:rsid w:val="001870D1"/>
    <w:rsid w:val="0018781E"/>
    <w:rsid w:val="00190708"/>
    <w:rsid w:val="00190A60"/>
    <w:rsid w:val="00191DA7"/>
    <w:rsid w:val="0019262D"/>
    <w:rsid w:val="00192ACC"/>
    <w:rsid w:val="0019405C"/>
    <w:rsid w:val="00194376"/>
    <w:rsid w:val="00195EC7"/>
    <w:rsid w:val="00196B42"/>
    <w:rsid w:val="00197C34"/>
    <w:rsid w:val="001A00E9"/>
    <w:rsid w:val="001A045B"/>
    <w:rsid w:val="001A04F1"/>
    <w:rsid w:val="001A062B"/>
    <w:rsid w:val="001A0F5B"/>
    <w:rsid w:val="001A1488"/>
    <w:rsid w:val="001A1AAA"/>
    <w:rsid w:val="001A1B35"/>
    <w:rsid w:val="001A1C83"/>
    <w:rsid w:val="001A1DB3"/>
    <w:rsid w:val="001A1EE2"/>
    <w:rsid w:val="001A367C"/>
    <w:rsid w:val="001A3AB4"/>
    <w:rsid w:val="001A48A2"/>
    <w:rsid w:val="001A4C34"/>
    <w:rsid w:val="001A4C40"/>
    <w:rsid w:val="001A4E8B"/>
    <w:rsid w:val="001A4EA9"/>
    <w:rsid w:val="001A54CB"/>
    <w:rsid w:val="001A67C1"/>
    <w:rsid w:val="001A6AEE"/>
    <w:rsid w:val="001A6BA5"/>
    <w:rsid w:val="001A6F61"/>
    <w:rsid w:val="001A7958"/>
    <w:rsid w:val="001A7E7E"/>
    <w:rsid w:val="001B08E1"/>
    <w:rsid w:val="001B1A4A"/>
    <w:rsid w:val="001B1DC5"/>
    <w:rsid w:val="001B2830"/>
    <w:rsid w:val="001B2BD1"/>
    <w:rsid w:val="001B487C"/>
    <w:rsid w:val="001B6697"/>
    <w:rsid w:val="001B6943"/>
    <w:rsid w:val="001B72B8"/>
    <w:rsid w:val="001B750D"/>
    <w:rsid w:val="001B791D"/>
    <w:rsid w:val="001B7EF6"/>
    <w:rsid w:val="001C014D"/>
    <w:rsid w:val="001C04BD"/>
    <w:rsid w:val="001C1AC5"/>
    <w:rsid w:val="001C2E67"/>
    <w:rsid w:val="001C3227"/>
    <w:rsid w:val="001C69B3"/>
    <w:rsid w:val="001C6E92"/>
    <w:rsid w:val="001D1A21"/>
    <w:rsid w:val="001D1D5D"/>
    <w:rsid w:val="001D2EEC"/>
    <w:rsid w:val="001D336F"/>
    <w:rsid w:val="001D4181"/>
    <w:rsid w:val="001D5205"/>
    <w:rsid w:val="001D5595"/>
    <w:rsid w:val="001D760E"/>
    <w:rsid w:val="001D7874"/>
    <w:rsid w:val="001D7F22"/>
    <w:rsid w:val="001E0A5F"/>
    <w:rsid w:val="001E0E01"/>
    <w:rsid w:val="001E15DF"/>
    <w:rsid w:val="001E1DB5"/>
    <w:rsid w:val="001E2ADF"/>
    <w:rsid w:val="001E2FE8"/>
    <w:rsid w:val="001E3354"/>
    <w:rsid w:val="001E3DAD"/>
    <w:rsid w:val="001E40FC"/>
    <w:rsid w:val="001E445C"/>
    <w:rsid w:val="001E4964"/>
    <w:rsid w:val="001E4AAC"/>
    <w:rsid w:val="001E4BF7"/>
    <w:rsid w:val="001E4DDF"/>
    <w:rsid w:val="001E4E0B"/>
    <w:rsid w:val="001E568B"/>
    <w:rsid w:val="001E56A6"/>
    <w:rsid w:val="001E5AF5"/>
    <w:rsid w:val="001E60F9"/>
    <w:rsid w:val="001E7A18"/>
    <w:rsid w:val="001F083F"/>
    <w:rsid w:val="001F0F17"/>
    <w:rsid w:val="001F10B7"/>
    <w:rsid w:val="001F163E"/>
    <w:rsid w:val="001F190C"/>
    <w:rsid w:val="001F1C9A"/>
    <w:rsid w:val="001F3347"/>
    <w:rsid w:val="001F33A4"/>
    <w:rsid w:val="001F3C20"/>
    <w:rsid w:val="001F45A6"/>
    <w:rsid w:val="001F5C0E"/>
    <w:rsid w:val="001F5C19"/>
    <w:rsid w:val="001F69E4"/>
    <w:rsid w:val="001F6C5D"/>
    <w:rsid w:val="002004F6"/>
    <w:rsid w:val="0020234C"/>
    <w:rsid w:val="0020279B"/>
    <w:rsid w:val="0020288D"/>
    <w:rsid w:val="002032FE"/>
    <w:rsid w:val="00203EC8"/>
    <w:rsid w:val="00204934"/>
    <w:rsid w:val="002056F4"/>
    <w:rsid w:val="002125B4"/>
    <w:rsid w:val="00212DEA"/>
    <w:rsid w:val="00212EC1"/>
    <w:rsid w:val="0021355B"/>
    <w:rsid w:val="002135F7"/>
    <w:rsid w:val="002137C5"/>
    <w:rsid w:val="00213A61"/>
    <w:rsid w:val="002142E8"/>
    <w:rsid w:val="002143CC"/>
    <w:rsid w:val="00214DD7"/>
    <w:rsid w:val="00214F05"/>
    <w:rsid w:val="002155B8"/>
    <w:rsid w:val="0021657A"/>
    <w:rsid w:val="00216AE2"/>
    <w:rsid w:val="00217B32"/>
    <w:rsid w:val="002202FC"/>
    <w:rsid w:val="0022107D"/>
    <w:rsid w:val="002210A8"/>
    <w:rsid w:val="002218BD"/>
    <w:rsid w:val="002218CF"/>
    <w:rsid w:val="00221BCB"/>
    <w:rsid w:val="002223CA"/>
    <w:rsid w:val="00224839"/>
    <w:rsid w:val="002249B2"/>
    <w:rsid w:val="00224A28"/>
    <w:rsid w:val="00224A93"/>
    <w:rsid w:val="00224FA9"/>
    <w:rsid w:val="0022563E"/>
    <w:rsid w:val="00226574"/>
    <w:rsid w:val="002278EC"/>
    <w:rsid w:val="00227CD7"/>
    <w:rsid w:val="002302B4"/>
    <w:rsid w:val="0023280E"/>
    <w:rsid w:val="00232F96"/>
    <w:rsid w:val="002332E7"/>
    <w:rsid w:val="002334D3"/>
    <w:rsid w:val="0023406E"/>
    <w:rsid w:val="00236E2A"/>
    <w:rsid w:val="002370FE"/>
    <w:rsid w:val="002377D1"/>
    <w:rsid w:val="00240874"/>
    <w:rsid w:val="00240E91"/>
    <w:rsid w:val="0024136E"/>
    <w:rsid w:val="00241554"/>
    <w:rsid w:val="00242979"/>
    <w:rsid w:val="00243424"/>
    <w:rsid w:val="00243C06"/>
    <w:rsid w:val="00244008"/>
    <w:rsid w:val="00246B70"/>
    <w:rsid w:val="0024757D"/>
    <w:rsid w:val="002506BC"/>
    <w:rsid w:val="00250B01"/>
    <w:rsid w:val="00250CBD"/>
    <w:rsid w:val="00251347"/>
    <w:rsid w:val="00252291"/>
    <w:rsid w:val="002529DD"/>
    <w:rsid w:val="00252E04"/>
    <w:rsid w:val="002539C8"/>
    <w:rsid w:val="00254345"/>
    <w:rsid w:val="00255874"/>
    <w:rsid w:val="00255A4E"/>
    <w:rsid w:val="00256BC0"/>
    <w:rsid w:val="00257058"/>
    <w:rsid w:val="00260166"/>
    <w:rsid w:val="002618E2"/>
    <w:rsid w:val="00261AB6"/>
    <w:rsid w:val="00262C66"/>
    <w:rsid w:val="00263DF5"/>
    <w:rsid w:val="00264557"/>
    <w:rsid w:val="00264A17"/>
    <w:rsid w:val="00264BE1"/>
    <w:rsid w:val="00264F36"/>
    <w:rsid w:val="002658E4"/>
    <w:rsid w:val="00265EF4"/>
    <w:rsid w:val="00267103"/>
    <w:rsid w:val="002705DE"/>
    <w:rsid w:val="00271114"/>
    <w:rsid w:val="0027197C"/>
    <w:rsid w:val="00271C44"/>
    <w:rsid w:val="002721CD"/>
    <w:rsid w:val="00272C40"/>
    <w:rsid w:val="0027328D"/>
    <w:rsid w:val="00274FF3"/>
    <w:rsid w:val="0027692A"/>
    <w:rsid w:val="00277D98"/>
    <w:rsid w:val="00280271"/>
    <w:rsid w:val="002805AB"/>
    <w:rsid w:val="002816D0"/>
    <w:rsid w:val="00282CA1"/>
    <w:rsid w:val="00282EE6"/>
    <w:rsid w:val="00283E4F"/>
    <w:rsid w:val="00284204"/>
    <w:rsid w:val="00284F35"/>
    <w:rsid w:val="00285FE1"/>
    <w:rsid w:val="00286242"/>
    <w:rsid w:val="00287A56"/>
    <w:rsid w:val="00290CB9"/>
    <w:rsid w:val="0029126A"/>
    <w:rsid w:val="002914B7"/>
    <w:rsid w:val="00291773"/>
    <w:rsid w:val="00291776"/>
    <w:rsid w:val="002924F8"/>
    <w:rsid w:val="00292519"/>
    <w:rsid w:val="00293B8A"/>
    <w:rsid w:val="00294828"/>
    <w:rsid w:val="002949AB"/>
    <w:rsid w:val="00294E75"/>
    <w:rsid w:val="00295254"/>
    <w:rsid w:val="00295429"/>
    <w:rsid w:val="00296F79"/>
    <w:rsid w:val="00297FE4"/>
    <w:rsid w:val="002A042F"/>
    <w:rsid w:val="002A168C"/>
    <w:rsid w:val="002A1CC0"/>
    <w:rsid w:val="002A1DCB"/>
    <w:rsid w:val="002A33F1"/>
    <w:rsid w:val="002A3DC7"/>
    <w:rsid w:val="002A4776"/>
    <w:rsid w:val="002A553E"/>
    <w:rsid w:val="002A651A"/>
    <w:rsid w:val="002A7011"/>
    <w:rsid w:val="002A73CB"/>
    <w:rsid w:val="002A7A9E"/>
    <w:rsid w:val="002A7C22"/>
    <w:rsid w:val="002B0849"/>
    <w:rsid w:val="002B0CC6"/>
    <w:rsid w:val="002B11F1"/>
    <w:rsid w:val="002B17E9"/>
    <w:rsid w:val="002B265A"/>
    <w:rsid w:val="002B2A2E"/>
    <w:rsid w:val="002B3110"/>
    <w:rsid w:val="002B3128"/>
    <w:rsid w:val="002B392D"/>
    <w:rsid w:val="002B49E2"/>
    <w:rsid w:val="002B5174"/>
    <w:rsid w:val="002B530F"/>
    <w:rsid w:val="002B602D"/>
    <w:rsid w:val="002B658F"/>
    <w:rsid w:val="002B66C8"/>
    <w:rsid w:val="002B7623"/>
    <w:rsid w:val="002B7B00"/>
    <w:rsid w:val="002B7C44"/>
    <w:rsid w:val="002C13BE"/>
    <w:rsid w:val="002C1D63"/>
    <w:rsid w:val="002C2B17"/>
    <w:rsid w:val="002C4DC7"/>
    <w:rsid w:val="002C5798"/>
    <w:rsid w:val="002C61BB"/>
    <w:rsid w:val="002C78CD"/>
    <w:rsid w:val="002D03C3"/>
    <w:rsid w:val="002D1631"/>
    <w:rsid w:val="002D1773"/>
    <w:rsid w:val="002D2849"/>
    <w:rsid w:val="002D35A3"/>
    <w:rsid w:val="002D3B02"/>
    <w:rsid w:val="002D3DD0"/>
    <w:rsid w:val="002D41FD"/>
    <w:rsid w:val="002D46A7"/>
    <w:rsid w:val="002D7575"/>
    <w:rsid w:val="002D7587"/>
    <w:rsid w:val="002D783D"/>
    <w:rsid w:val="002D78A6"/>
    <w:rsid w:val="002E00AA"/>
    <w:rsid w:val="002E1DCF"/>
    <w:rsid w:val="002E1F3A"/>
    <w:rsid w:val="002E23F8"/>
    <w:rsid w:val="002E298A"/>
    <w:rsid w:val="002E29FF"/>
    <w:rsid w:val="002E563A"/>
    <w:rsid w:val="002E6279"/>
    <w:rsid w:val="002E7582"/>
    <w:rsid w:val="002F041B"/>
    <w:rsid w:val="002F0563"/>
    <w:rsid w:val="002F1356"/>
    <w:rsid w:val="002F21CE"/>
    <w:rsid w:val="002F2498"/>
    <w:rsid w:val="002F2570"/>
    <w:rsid w:val="002F38B9"/>
    <w:rsid w:val="002F423A"/>
    <w:rsid w:val="002F425B"/>
    <w:rsid w:val="002F517C"/>
    <w:rsid w:val="002F5759"/>
    <w:rsid w:val="002F5B0B"/>
    <w:rsid w:val="002F5ED9"/>
    <w:rsid w:val="002F70DF"/>
    <w:rsid w:val="002F749B"/>
    <w:rsid w:val="002F7B85"/>
    <w:rsid w:val="0030057D"/>
    <w:rsid w:val="00301978"/>
    <w:rsid w:val="00301BBF"/>
    <w:rsid w:val="00302514"/>
    <w:rsid w:val="00302F32"/>
    <w:rsid w:val="0030332C"/>
    <w:rsid w:val="00303A94"/>
    <w:rsid w:val="0030435A"/>
    <w:rsid w:val="003051C2"/>
    <w:rsid w:val="003068FD"/>
    <w:rsid w:val="00306D23"/>
    <w:rsid w:val="00311A06"/>
    <w:rsid w:val="00311F93"/>
    <w:rsid w:val="00312296"/>
    <w:rsid w:val="0031249C"/>
    <w:rsid w:val="00312ACA"/>
    <w:rsid w:val="00312F18"/>
    <w:rsid w:val="00312F2D"/>
    <w:rsid w:val="00313572"/>
    <w:rsid w:val="0031367F"/>
    <w:rsid w:val="003144BF"/>
    <w:rsid w:val="00314F0E"/>
    <w:rsid w:val="003165E5"/>
    <w:rsid w:val="003167F6"/>
    <w:rsid w:val="003178A4"/>
    <w:rsid w:val="0032018F"/>
    <w:rsid w:val="003219D2"/>
    <w:rsid w:val="00321D1D"/>
    <w:rsid w:val="00321D8E"/>
    <w:rsid w:val="00321F15"/>
    <w:rsid w:val="00322148"/>
    <w:rsid w:val="00322C15"/>
    <w:rsid w:val="0032533F"/>
    <w:rsid w:val="0032550B"/>
    <w:rsid w:val="00325928"/>
    <w:rsid w:val="00325F20"/>
    <w:rsid w:val="003267B0"/>
    <w:rsid w:val="00326C15"/>
    <w:rsid w:val="00326E83"/>
    <w:rsid w:val="00327FDB"/>
    <w:rsid w:val="0033063A"/>
    <w:rsid w:val="00330E09"/>
    <w:rsid w:val="003311AC"/>
    <w:rsid w:val="00331528"/>
    <w:rsid w:val="00332863"/>
    <w:rsid w:val="00333B83"/>
    <w:rsid w:val="00333FBB"/>
    <w:rsid w:val="00334AEB"/>
    <w:rsid w:val="00335A49"/>
    <w:rsid w:val="00335A51"/>
    <w:rsid w:val="00336194"/>
    <w:rsid w:val="00336753"/>
    <w:rsid w:val="0033684D"/>
    <w:rsid w:val="00336C46"/>
    <w:rsid w:val="00337137"/>
    <w:rsid w:val="00337B42"/>
    <w:rsid w:val="00340390"/>
    <w:rsid w:val="00340F24"/>
    <w:rsid w:val="003415BF"/>
    <w:rsid w:val="003416AE"/>
    <w:rsid w:val="00341B42"/>
    <w:rsid w:val="0034348F"/>
    <w:rsid w:val="00347E4D"/>
    <w:rsid w:val="003501C8"/>
    <w:rsid w:val="003504AB"/>
    <w:rsid w:val="00352082"/>
    <w:rsid w:val="00352C1D"/>
    <w:rsid w:val="00352F46"/>
    <w:rsid w:val="0035394C"/>
    <w:rsid w:val="00356653"/>
    <w:rsid w:val="0035743F"/>
    <w:rsid w:val="003574CD"/>
    <w:rsid w:val="00357BE2"/>
    <w:rsid w:val="0036061C"/>
    <w:rsid w:val="00360A11"/>
    <w:rsid w:val="00360BE9"/>
    <w:rsid w:val="00361238"/>
    <w:rsid w:val="003613AB"/>
    <w:rsid w:val="0036170C"/>
    <w:rsid w:val="00361DDD"/>
    <w:rsid w:val="00362ACB"/>
    <w:rsid w:val="00362AD2"/>
    <w:rsid w:val="003632CB"/>
    <w:rsid w:val="00364035"/>
    <w:rsid w:val="00365048"/>
    <w:rsid w:val="00366013"/>
    <w:rsid w:val="00366E0F"/>
    <w:rsid w:val="003701B7"/>
    <w:rsid w:val="00372574"/>
    <w:rsid w:val="00372FB7"/>
    <w:rsid w:val="00374781"/>
    <w:rsid w:val="00377726"/>
    <w:rsid w:val="003815E9"/>
    <w:rsid w:val="00381A6F"/>
    <w:rsid w:val="00381A72"/>
    <w:rsid w:val="00381EC7"/>
    <w:rsid w:val="00384676"/>
    <w:rsid w:val="003862CA"/>
    <w:rsid w:val="003863E7"/>
    <w:rsid w:val="00386F2E"/>
    <w:rsid w:val="003875AD"/>
    <w:rsid w:val="003875F8"/>
    <w:rsid w:val="0039045C"/>
    <w:rsid w:val="00390857"/>
    <w:rsid w:val="00391358"/>
    <w:rsid w:val="00391BF3"/>
    <w:rsid w:val="00392570"/>
    <w:rsid w:val="003926BD"/>
    <w:rsid w:val="0039569B"/>
    <w:rsid w:val="00395A39"/>
    <w:rsid w:val="00395CCC"/>
    <w:rsid w:val="00395CED"/>
    <w:rsid w:val="0039626C"/>
    <w:rsid w:val="0039710C"/>
    <w:rsid w:val="0039792B"/>
    <w:rsid w:val="003A21EC"/>
    <w:rsid w:val="003A226D"/>
    <w:rsid w:val="003A2E45"/>
    <w:rsid w:val="003A4BF3"/>
    <w:rsid w:val="003A5A40"/>
    <w:rsid w:val="003A5F4E"/>
    <w:rsid w:val="003A5FFD"/>
    <w:rsid w:val="003A6005"/>
    <w:rsid w:val="003A624B"/>
    <w:rsid w:val="003A6AFA"/>
    <w:rsid w:val="003B0C79"/>
    <w:rsid w:val="003B3003"/>
    <w:rsid w:val="003B3428"/>
    <w:rsid w:val="003B350A"/>
    <w:rsid w:val="003B3A13"/>
    <w:rsid w:val="003B3B8F"/>
    <w:rsid w:val="003B400B"/>
    <w:rsid w:val="003B420D"/>
    <w:rsid w:val="003B4522"/>
    <w:rsid w:val="003B5669"/>
    <w:rsid w:val="003B5B0D"/>
    <w:rsid w:val="003B6120"/>
    <w:rsid w:val="003B6469"/>
    <w:rsid w:val="003C17D5"/>
    <w:rsid w:val="003C29BF"/>
    <w:rsid w:val="003C3497"/>
    <w:rsid w:val="003C3499"/>
    <w:rsid w:val="003C3925"/>
    <w:rsid w:val="003C4575"/>
    <w:rsid w:val="003C502E"/>
    <w:rsid w:val="003C5D9C"/>
    <w:rsid w:val="003C62B2"/>
    <w:rsid w:val="003C6465"/>
    <w:rsid w:val="003C6C16"/>
    <w:rsid w:val="003D07D4"/>
    <w:rsid w:val="003D10BC"/>
    <w:rsid w:val="003D192B"/>
    <w:rsid w:val="003D3D81"/>
    <w:rsid w:val="003D4D20"/>
    <w:rsid w:val="003D51B3"/>
    <w:rsid w:val="003D5941"/>
    <w:rsid w:val="003D5BD7"/>
    <w:rsid w:val="003D794D"/>
    <w:rsid w:val="003D7C5D"/>
    <w:rsid w:val="003E02DA"/>
    <w:rsid w:val="003E251E"/>
    <w:rsid w:val="003E3058"/>
    <w:rsid w:val="003E3BBD"/>
    <w:rsid w:val="003E4162"/>
    <w:rsid w:val="003E5489"/>
    <w:rsid w:val="003E76A9"/>
    <w:rsid w:val="003F02D0"/>
    <w:rsid w:val="003F03B8"/>
    <w:rsid w:val="003F0809"/>
    <w:rsid w:val="003F09D4"/>
    <w:rsid w:val="003F16DF"/>
    <w:rsid w:val="003F278D"/>
    <w:rsid w:val="003F3099"/>
    <w:rsid w:val="003F3B42"/>
    <w:rsid w:val="003F448C"/>
    <w:rsid w:val="003F4660"/>
    <w:rsid w:val="003F5299"/>
    <w:rsid w:val="003F5B19"/>
    <w:rsid w:val="003F5DFE"/>
    <w:rsid w:val="003F62F5"/>
    <w:rsid w:val="003F6A8C"/>
    <w:rsid w:val="003F7078"/>
    <w:rsid w:val="003F719A"/>
    <w:rsid w:val="003F71DC"/>
    <w:rsid w:val="003F755C"/>
    <w:rsid w:val="00400A31"/>
    <w:rsid w:val="00401CCE"/>
    <w:rsid w:val="00401D64"/>
    <w:rsid w:val="00402AFD"/>
    <w:rsid w:val="00402C57"/>
    <w:rsid w:val="00402CB3"/>
    <w:rsid w:val="00403BD2"/>
    <w:rsid w:val="00403CB9"/>
    <w:rsid w:val="00406A4D"/>
    <w:rsid w:val="00406AE3"/>
    <w:rsid w:val="00406CDA"/>
    <w:rsid w:val="00406F01"/>
    <w:rsid w:val="00412CF9"/>
    <w:rsid w:val="00412D23"/>
    <w:rsid w:val="0041308D"/>
    <w:rsid w:val="00415445"/>
    <w:rsid w:val="0041608D"/>
    <w:rsid w:val="004162CC"/>
    <w:rsid w:val="004163DC"/>
    <w:rsid w:val="004169A2"/>
    <w:rsid w:val="00416D50"/>
    <w:rsid w:val="00416FD5"/>
    <w:rsid w:val="004173BA"/>
    <w:rsid w:val="00417772"/>
    <w:rsid w:val="0042090F"/>
    <w:rsid w:val="00420AF4"/>
    <w:rsid w:val="00420E6A"/>
    <w:rsid w:val="00420ED3"/>
    <w:rsid w:val="0042204F"/>
    <w:rsid w:val="0042213A"/>
    <w:rsid w:val="00422636"/>
    <w:rsid w:val="00422CDD"/>
    <w:rsid w:val="00424189"/>
    <w:rsid w:val="00424306"/>
    <w:rsid w:val="00424E27"/>
    <w:rsid w:val="0042580C"/>
    <w:rsid w:val="00425A9E"/>
    <w:rsid w:val="00425B0B"/>
    <w:rsid w:val="00426D6B"/>
    <w:rsid w:val="00430C99"/>
    <w:rsid w:val="00431E6C"/>
    <w:rsid w:val="00432772"/>
    <w:rsid w:val="00433CE7"/>
    <w:rsid w:val="0043568E"/>
    <w:rsid w:val="004357F0"/>
    <w:rsid w:val="004363E5"/>
    <w:rsid w:val="00437F68"/>
    <w:rsid w:val="00440635"/>
    <w:rsid w:val="00440A76"/>
    <w:rsid w:val="00442209"/>
    <w:rsid w:val="00444AB4"/>
    <w:rsid w:val="00445DA4"/>
    <w:rsid w:val="00446039"/>
    <w:rsid w:val="00446566"/>
    <w:rsid w:val="00452441"/>
    <w:rsid w:val="00452738"/>
    <w:rsid w:val="0045307C"/>
    <w:rsid w:val="004530DF"/>
    <w:rsid w:val="004542BF"/>
    <w:rsid w:val="0045524F"/>
    <w:rsid w:val="00455693"/>
    <w:rsid w:val="00456091"/>
    <w:rsid w:val="00456972"/>
    <w:rsid w:val="004569E8"/>
    <w:rsid w:val="00456B50"/>
    <w:rsid w:val="00456D49"/>
    <w:rsid w:val="004606B4"/>
    <w:rsid w:val="00460E88"/>
    <w:rsid w:val="0046205F"/>
    <w:rsid w:val="00465099"/>
    <w:rsid w:val="0046553D"/>
    <w:rsid w:val="00465D61"/>
    <w:rsid w:val="00465FCD"/>
    <w:rsid w:val="00466195"/>
    <w:rsid w:val="00466321"/>
    <w:rsid w:val="004664FE"/>
    <w:rsid w:val="00466504"/>
    <w:rsid w:val="004668AE"/>
    <w:rsid w:val="00466AC2"/>
    <w:rsid w:val="00470E35"/>
    <w:rsid w:val="0047183F"/>
    <w:rsid w:val="004733E5"/>
    <w:rsid w:val="00473B2B"/>
    <w:rsid w:val="00473F12"/>
    <w:rsid w:val="00474107"/>
    <w:rsid w:val="00474C43"/>
    <w:rsid w:val="004750E6"/>
    <w:rsid w:val="00475708"/>
    <w:rsid w:val="00476A10"/>
    <w:rsid w:val="00476E9C"/>
    <w:rsid w:val="00480B7D"/>
    <w:rsid w:val="00482FAB"/>
    <w:rsid w:val="00483E54"/>
    <w:rsid w:val="00484B9B"/>
    <w:rsid w:val="00484DED"/>
    <w:rsid w:val="004855F6"/>
    <w:rsid w:val="0048661E"/>
    <w:rsid w:val="00486A89"/>
    <w:rsid w:val="00487FF6"/>
    <w:rsid w:val="00490001"/>
    <w:rsid w:val="00492034"/>
    <w:rsid w:val="004928E8"/>
    <w:rsid w:val="00493216"/>
    <w:rsid w:val="004942F1"/>
    <w:rsid w:val="00494670"/>
    <w:rsid w:val="00494C97"/>
    <w:rsid w:val="0049521C"/>
    <w:rsid w:val="00497591"/>
    <w:rsid w:val="00497E62"/>
    <w:rsid w:val="004A038F"/>
    <w:rsid w:val="004A0A28"/>
    <w:rsid w:val="004A1A8F"/>
    <w:rsid w:val="004A305A"/>
    <w:rsid w:val="004A3658"/>
    <w:rsid w:val="004A3823"/>
    <w:rsid w:val="004A3E0C"/>
    <w:rsid w:val="004A608E"/>
    <w:rsid w:val="004A64FA"/>
    <w:rsid w:val="004A6D99"/>
    <w:rsid w:val="004B0145"/>
    <w:rsid w:val="004B044F"/>
    <w:rsid w:val="004B0DF1"/>
    <w:rsid w:val="004B0F90"/>
    <w:rsid w:val="004B152F"/>
    <w:rsid w:val="004B1EFF"/>
    <w:rsid w:val="004B2695"/>
    <w:rsid w:val="004B3002"/>
    <w:rsid w:val="004B30F9"/>
    <w:rsid w:val="004B42F5"/>
    <w:rsid w:val="004B5161"/>
    <w:rsid w:val="004B55B7"/>
    <w:rsid w:val="004B6124"/>
    <w:rsid w:val="004B743F"/>
    <w:rsid w:val="004B7D7F"/>
    <w:rsid w:val="004C156F"/>
    <w:rsid w:val="004C3450"/>
    <w:rsid w:val="004C37DC"/>
    <w:rsid w:val="004C4BF1"/>
    <w:rsid w:val="004C5DE6"/>
    <w:rsid w:val="004C63E0"/>
    <w:rsid w:val="004C6869"/>
    <w:rsid w:val="004C69F7"/>
    <w:rsid w:val="004C6AA4"/>
    <w:rsid w:val="004C756C"/>
    <w:rsid w:val="004D165A"/>
    <w:rsid w:val="004D1E57"/>
    <w:rsid w:val="004D2E1B"/>
    <w:rsid w:val="004D388C"/>
    <w:rsid w:val="004D7858"/>
    <w:rsid w:val="004E05F8"/>
    <w:rsid w:val="004E1F87"/>
    <w:rsid w:val="004E36CB"/>
    <w:rsid w:val="004E46EE"/>
    <w:rsid w:val="004E6946"/>
    <w:rsid w:val="004E6F0B"/>
    <w:rsid w:val="004F01BD"/>
    <w:rsid w:val="004F0D9D"/>
    <w:rsid w:val="004F1508"/>
    <w:rsid w:val="004F1AD8"/>
    <w:rsid w:val="004F1FEB"/>
    <w:rsid w:val="004F254A"/>
    <w:rsid w:val="004F33E0"/>
    <w:rsid w:val="004F4178"/>
    <w:rsid w:val="004F5198"/>
    <w:rsid w:val="004F69E3"/>
    <w:rsid w:val="00500C9C"/>
    <w:rsid w:val="005027E9"/>
    <w:rsid w:val="00502C4C"/>
    <w:rsid w:val="00502E8D"/>
    <w:rsid w:val="005039CB"/>
    <w:rsid w:val="00504542"/>
    <w:rsid w:val="0050459F"/>
    <w:rsid w:val="00504FC6"/>
    <w:rsid w:val="0050558F"/>
    <w:rsid w:val="0050618E"/>
    <w:rsid w:val="00506286"/>
    <w:rsid w:val="00507119"/>
    <w:rsid w:val="00510813"/>
    <w:rsid w:val="00510FD2"/>
    <w:rsid w:val="00511990"/>
    <w:rsid w:val="00511DE0"/>
    <w:rsid w:val="00512681"/>
    <w:rsid w:val="00512FEF"/>
    <w:rsid w:val="005136CE"/>
    <w:rsid w:val="00514381"/>
    <w:rsid w:val="005144FF"/>
    <w:rsid w:val="00514870"/>
    <w:rsid w:val="005149D4"/>
    <w:rsid w:val="00514B13"/>
    <w:rsid w:val="00514B9B"/>
    <w:rsid w:val="00515181"/>
    <w:rsid w:val="00516087"/>
    <w:rsid w:val="0051682C"/>
    <w:rsid w:val="005168FE"/>
    <w:rsid w:val="0051712F"/>
    <w:rsid w:val="005175DF"/>
    <w:rsid w:val="00517F02"/>
    <w:rsid w:val="00521122"/>
    <w:rsid w:val="005216E3"/>
    <w:rsid w:val="005219BE"/>
    <w:rsid w:val="00521EF9"/>
    <w:rsid w:val="0052259F"/>
    <w:rsid w:val="00524303"/>
    <w:rsid w:val="00524BF8"/>
    <w:rsid w:val="0052565C"/>
    <w:rsid w:val="005258A2"/>
    <w:rsid w:val="0053023E"/>
    <w:rsid w:val="005302CD"/>
    <w:rsid w:val="005306CB"/>
    <w:rsid w:val="00531843"/>
    <w:rsid w:val="00533A68"/>
    <w:rsid w:val="00534055"/>
    <w:rsid w:val="00535CBF"/>
    <w:rsid w:val="005364AC"/>
    <w:rsid w:val="00536828"/>
    <w:rsid w:val="00536CC7"/>
    <w:rsid w:val="00537138"/>
    <w:rsid w:val="005401AE"/>
    <w:rsid w:val="00540355"/>
    <w:rsid w:val="0054177E"/>
    <w:rsid w:val="00542E07"/>
    <w:rsid w:val="00542E75"/>
    <w:rsid w:val="00545424"/>
    <w:rsid w:val="00546E7C"/>
    <w:rsid w:val="00547AC2"/>
    <w:rsid w:val="00547D40"/>
    <w:rsid w:val="00550B14"/>
    <w:rsid w:val="00551151"/>
    <w:rsid w:val="005516A2"/>
    <w:rsid w:val="005518CB"/>
    <w:rsid w:val="00552124"/>
    <w:rsid w:val="0055280A"/>
    <w:rsid w:val="00552E02"/>
    <w:rsid w:val="0055322C"/>
    <w:rsid w:val="0055339A"/>
    <w:rsid w:val="00553A94"/>
    <w:rsid w:val="005544C1"/>
    <w:rsid w:val="00554A7B"/>
    <w:rsid w:val="00554AB1"/>
    <w:rsid w:val="00554BB6"/>
    <w:rsid w:val="00554D2F"/>
    <w:rsid w:val="005550C6"/>
    <w:rsid w:val="005555E1"/>
    <w:rsid w:val="0055572C"/>
    <w:rsid w:val="00555901"/>
    <w:rsid w:val="00557304"/>
    <w:rsid w:val="005601DB"/>
    <w:rsid w:val="0056053E"/>
    <w:rsid w:val="0056054B"/>
    <w:rsid w:val="00560835"/>
    <w:rsid w:val="00560984"/>
    <w:rsid w:val="00560EBA"/>
    <w:rsid w:val="0056106A"/>
    <w:rsid w:val="00561985"/>
    <w:rsid w:val="00561FA3"/>
    <w:rsid w:val="00563528"/>
    <w:rsid w:val="00563541"/>
    <w:rsid w:val="005644B1"/>
    <w:rsid w:val="0056536E"/>
    <w:rsid w:val="005655D7"/>
    <w:rsid w:val="00565881"/>
    <w:rsid w:val="00565C8E"/>
    <w:rsid w:val="00566261"/>
    <w:rsid w:val="0056690C"/>
    <w:rsid w:val="00566E85"/>
    <w:rsid w:val="005671F3"/>
    <w:rsid w:val="00567CC0"/>
    <w:rsid w:val="0057032E"/>
    <w:rsid w:val="005716CE"/>
    <w:rsid w:val="00571D3B"/>
    <w:rsid w:val="00571F2D"/>
    <w:rsid w:val="005720AE"/>
    <w:rsid w:val="00573126"/>
    <w:rsid w:val="005732A7"/>
    <w:rsid w:val="0057391D"/>
    <w:rsid w:val="00573A55"/>
    <w:rsid w:val="0057469D"/>
    <w:rsid w:val="00576230"/>
    <w:rsid w:val="005772D7"/>
    <w:rsid w:val="005777CB"/>
    <w:rsid w:val="00577F22"/>
    <w:rsid w:val="00580682"/>
    <w:rsid w:val="0058190B"/>
    <w:rsid w:val="00583017"/>
    <w:rsid w:val="005836E3"/>
    <w:rsid w:val="00583E29"/>
    <w:rsid w:val="00585CDE"/>
    <w:rsid w:val="00585F03"/>
    <w:rsid w:val="00586943"/>
    <w:rsid w:val="00587619"/>
    <w:rsid w:val="0058763D"/>
    <w:rsid w:val="00590761"/>
    <w:rsid w:val="0059092E"/>
    <w:rsid w:val="00591F39"/>
    <w:rsid w:val="00591F80"/>
    <w:rsid w:val="005923F7"/>
    <w:rsid w:val="00593DBC"/>
    <w:rsid w:val="00594D77"/>
    <w:rsid w:val="00595632"/>
    <w:rsid w:val="00595ECA"/>
    <w:rsid w:val="00596381"/>
    <w:rsid w:val="0059680A"/>
    <w:rsid w:val="005969E4"/>
    <w:rsid w:val="00597A46"/>
    <w:rsid w:val="005A06B7"/>
    <w:rsid w:val="005A0AFA"/>
    <w:rsid w:val="005A0E63"/>
    <w:rsid w:val="005A1759"/>
    <w:rsid w:val="005A19CA"/>
    <w:rsid w:val="005A33F2"/>
    <w:rsid w:val="005A3FE7"/>
    <w:rsid w:val="005A40FD"/>
    <w:rsid w:val="005A68A7"/>
    <w:rsid w:val="005A6D5A"/>
    <w:rsid w:val="005B2A14"/>
    <w:rsid w:val="005B5035"/>
    <w:rsid w:val="005B5DF4"/>
    <w:rsid w:val="005B6EDB"/>
    <w:rsid w:val="005B77C5"/>
    <w:rsid w:val="005B7F72"/>
    <w:rsid w:val="005C1ED5"/>
    <w:rsid w:val="005C291D"/>
    <w:rsid w:val="005C463F"/>
    <w:rsid w:val="005C47F2"/>
    <w:rsid w:val="005C4F3F"/>
    <w:rsid w:val="005C5612"/>
    <w:rsid w:val="005C5969"/>
    <w:rsid w:val="005C5D62"/>
    <w:rsid w:val="005C617A"/>
    <w:rsid w:val="005C669B"/>
    <w:rsid w:val="005C7A27"/>
    <w:rsid w:val="005D0D03"/>
    <w:rsid w:val="005D1720"/>
    <w:rsid w:val="005D1818"/>
    <w:rsid w:val="005D1FE5"/>
    <w:rsid w:val="005D2BBC"/>
    <w:rsid w:val="005D322D"/>
    <w:rsid w:val="005D36AB"/>
    <w:rsid w:val="005D4BBE"/>
    <w:rsid w:val="005D4DA7"/>
    <w:rsid w:val="005D4F2A"/>
    <w:rsid w:val="005D57BF"/>
    <w:rsid w:val="005D5AD8"/>
    <w:rsid w:val="005D698D"/>
    <w:rsid w:val="005D770C"/>
    <w:rsid w:val="005D7912"/>
    <w:rsid w:val="005D7B57"/>
    <w:rsid w:val="005D7C77"/>
    <w:rsid w:val="005E09C4"/>
    <w:rsid w:val="005E0DC3"/>
    <w:rsid w:val="005E33BE"/>
    <w:rsid w:val="005E41BF"/>
    <w:rsid w:val="005E6409"/>
    <w:rsid w:val="005E68F4"/>
    <w:rsid w:val="005E6B93"/>
    <w:rsid w:val="005E7293"/>
    <w:rsid w:val="005E72D9"/>
    <w:rsid w:val="005F44E8"/>
    <w:rsid w:val="005F5723"/>
    <w:rsid w:val="005F5D4A"/>
    <w:rsid w:val="005F6B20"/>
    <w:rsid w:val="005F6D94"/>
    <w:rsid w:val="005F73DB"/>
    <w:rsid w:val="0060102D"/>
    <w:rsid w:val="00601661"/>
    <w:rsid w:val="00601879"/>
    <w:rsid w:val="00601D44"/>
    <w:rsid w:val="006020E6"/>
    <w:rsid w:val="00602616"/>
    <w:rsid w:val="0060302B"/>
    <w:rsid w:val="0060415B"/>
    <w:rsid w:val="00604AA5"/>
    <w:rsid w:val="0060592D"/>
    <w:rsid w:val="00605938"/>
    <w:rsid w:val="00606531"/>
    <w:rsid w:val="00606F25"/>
    <w:rsid w:val="00607C0B"/>
    <w:rsid w:val="00610051"/>
    <w:rsid w:val="00610208"/>
    <w:rsid w:val="0061279F"/>
    <w:rsid w:val="006131A6"/>
    <w:rsid w:val="00613A3E"/>
    <w:rsid w:val="00614184"/>
    <w:rsid w:val="00614906"/>
    <w:rsid w:val="006154BD"/>
    <w:rsid w:val="00616010"/>
    <w:rsid w:val="00616231"/>
    <w:rsid w:val="00617CC3"/>
    <w:rsid w:val="00620045"/>
    <w:rsid w:val="006206B1"/>
    <w:rsid w:val="00621FDF"/>
    <w:rsid w:val="00622F79"/>
    <w:rsid w:val="00623A3A"/>
    <w:rsid w:val="00624F1D"/>
    <w:rsid w:val="006264BE"/>
    <w:rsid w:val="00626742"/>
    <w:rsid w:val="00626880"/>
    <w:rsid w:val="00627503"/>
    <w:rsid w:val="006315F1"/>
    <w:rsid w:val="00633256"/>
    <w:rsid w:val="0063388E"/>
    <w:rsid w:val="006342BA"/>
    <w:rsid w:val="00634C8E"/>
    <w:rsid w:val="00635A61"/>
    <w:rsid w:val="00635A9A"/>
    <w:rsid w:val="00635C72"/>
    <w:rsid w:val="00635C93"/>
    <w:rsid w:val="0063678E"/>
    <w:rsid w:val="006369BB"/>
    <w:rsid w:val="00636EE8"/>
    <w:rsid w:val="006371D2"/>
    <w:rsid w:val="006377A6"/>
    <w:rsid w:val="00637A3D"/>
    <w:rsid w:val="00637AD6"/>
    <w:rsid w:val="00640626"/>
    <w:rsid w:val="006411EF"/>
    <w:rsid w:val="00641B06"/>
    <w:rsid w:val="00641C24"/>
    <w:rsid w:val="006425E8"/>
    <w:rsid w:val="006427C2"/>
    <w:rsid w:val="00642944"/>
    <w:rsid w:val="00642C1A"/>
    <w:rsid w:val="0064316A"/>
    <w:rsid w:val="0064349C"/>
    <w:rsid w:val="0064440A"/>
    <w:rsid w:val="0064442C"/>
    <w:rsid w:val="00644754"/>
    <w:rsid w:val="00645E80"/>
    <w:rsid w:val="00645EA4"/>
    <w:rsid w:val="0064754E"/>
    <w:rsid w:val="006525DB"/>
    <w:rsid w:val="006526A6"/>
    <w:rsid w:val="00652922"/>
    <w:rsid w:val="00652944"/>
    <w:rsid w:val="0065517D"/>
    <w:rsid w:val="00655466"/>
    <w:rsid w:val="00655E85"/>
    <w:rsid w:val="0065601B"/>
    <w:rsid w:val="00656748"/>
    <w:rsid w:val="006572B3"/>
    <w:rsid w:val="00657B54"/>
    <w:rsid w:val="00657CDA"/>
    <w:rsid w:val="00660B1B"/>
    <w:rsid w:val="006623A1"/>
    <w:rsid w:val="00662506"/>
    <w:rsid w:val="00662D52"/>
    <w:rsid w:val="00664A66"/>
    <w:rsid w:val="00666642"/>
    <w:rsid w:val="00666772"/>
    <w:rsid w:val="00666F1A"/>
    <w:rsid w:val="006671D4"/>
    <w:rsid w:val="00670351"/>
    <w:rsid w:val="00672A21"/>
    <w:rsid w:val="00673F55"/>
    <w:rsid w:val="006743F9"/>
    <w:rsid w:val="006748B8"/>
    <w:rsid w:val="00676C86"/>
    <w:rsid w:val="006775C3"/>
    <w:rsid w:val="0068198E"/>
    <w:rsid w:val="00682C41"/>
    <w:rsid w:val="006838BD"/>
    <w:rsid w:val="006838FE"/>
    <w:rsid w:val="00683CE3"/>
    <w:rsid w:val="00683DD8"/>
    <w:rsid w:val="006847B3"/>
    <w:rsid w:val="0068593E"/>
    <w:rsid w:val="00685986"/>
    <w:rsid w:val="00687E6F"/>
    <w:rsid w:val="006907CC"/>
    <w:rsid w:val="006917D9"/>
    <w:rsid w:val="0069278E"/>
    <w:rsid w:val="0069290A"/>
    <w:rsid w:val="006945C0"/>
    <w:rsid w:val="006946A0"/>
    <w:rsid w:val="006946FC"/>
    <w:rsid w:val="00694851"/>
    <w:rsid w:val="006949E1"/>
    <w:rsid w:val="00695515"/>
    <w:rsid w:val="00695E79"/>
    <w:rsid w:val="006966ED"/>
    <w:rsid w:val="00696968"/>
    <w:rsid w:val="00696B9E"/>
    <w:rsid w:val="0069775A"/>
    <w:rsid w:val="00697813"/>
    <w:rsid w:val="006A086B"/>
    <w:rsid w:val="006A18E0"/>
    <w:rsid w:val="006A1D2E"/>
    <w:rsid w:val="006A1F98"/>
    <w:rsid w:val="006A27C9"/>
    <w:rsid w:val="006A2ECE"/>
    <w:rsid w:val="006A3C50"/>
    <w:rsid w:val="006A3EE8"/>
    <w:rsid w:val="006A4C88"/>
    <w:rsid w:val="006A5360"/>
    <w:rsid w:val="006A67FC"/>
    <w:rsid w:val="006A72BF"/>
    <w:rsid w:val="006A757C"/>
    <w:rsid w:val="006B03F2"/>
    <w:rsid w:val="006B17AE"/>
    <w:rsid w:val="006B2357"/>
    <w:rsid w:val="006B258A"/>
    <w:rsid w:val="006B2631"/>
    <w:rsid w:val="006B2990"/>
    <w:rsid w:val="006B2EAD"/>
    <w:rsid w:val="006B37DC"/>
    <w:rsid w:val="006B449C"/>
    <w:rsid w:val="006B4B81"/>
    <w:rsid w:val="006B4F68"/>
    <w:rsid w:val="006B6BFA"/>
    <w:rsid w:val="006B6C9D"/>
    <w:rsid w:val="006B73E6"/>
    <w:rsid w:val="006C0592"/>
    <w:rsid w:val="006C0954"/>
    <w:rsid w:val="006C1BFE"/>
    <w:rsid w:val="006C1D03"/>
    <w:rsid w:val="006C2397"/>
    <w:rsid w:val="006C272E"/>
    <w:rsid w:val="006C2BEB"/>
    <w:rsid w:val="006C3152"/>
    <w:rsid w:val="006C3659"/>
    <w:rsid w:val="006C4419"/>
    <w:rsid w:val="006C4CC0"/>
    <w:rsid w:val="006C503F"/>
    <w:rsid w:val="006C505A"/>
    <w:rsid w:val="006C5479"/>
    <w:rsid w:val="006C5697"/>
    <w:rsid w:val="006C73B4"/>
    <w:rsid w:val="006D106D"/>
    <w:rsid w:val="006D12B3"/>
    <w:rsid w:val="006D13B5"/>
    <w:rsid w:val="006D533A"/>
    <w:rsid w:val="006D5E64"/>
    <w:rsid w:val="006D6339"/>
    <w:rsid w:val="006D6666"/>
    <w:rsid w:val="006D6675"/>
    <w:rsid w:val="006D70DB"/>
    <w:rsid w:val="006D73AC"/>
    <w:rsid w:val="006E0870"/>
    <w:rsid w:val="006E1055"/>
    <w:rsid w:val="006E12FF"/>
    <w:rsid w:val="006E1548"/>
    <w:rsid w:val="006E187A"/>
    <w:rsid w:val="006E26A8"/>
    <w:rsid w:val="006E2F8C"/>
    <w:rsid w:val="006E3303"/>
    <w:rsid w:val="006E411B"/>
    <w:rsid w:val="006E4D74"/>
    <w:rsid w:val="006E4F94"/>
    <w:rsid w:val="006E607E"/>
    <w:rsid w:val="006E66F4"/>
    <w:rsid w:val="006E797E"/>
    <w:rsid w:val="006F0A7F"/>
    <w:rsid w:val="006F0AEF"/>
    <w:rsid w:val="006F0B6A"/>
    <w:rsid w:val="006F122B"/>
    <w:rsid w:val="006F14C8"/>
    <w:rsid w:val="006F1AC5"/>
    <w:rsid w:val="006F1B92"/>
    <w:rsid w:val="006F23D7"/>
    <w:rsid w:val="006F310C"/>
    <w:rsid w:val="006F315B"/>
    <w:rsid w:val="006F5C27"/>
    <w:rsid w:val="006F76E1"/>
    <w:rsid w:val="00700579"/>
    <w:rsid w:val="00700909"/>
    <w:rsid w:val="00701C7A"/>
    <w:rsid w:val="00701F35"/>
    <w:rsid w:val="00703275"/>
    <w:rsid w:val="00703684"/>
    <w:rsid w:val="007040D9"/>
    <w:rsid w:val="00704688"/>
    <w:rsid w:val="007049C9"/>
    <w:rsid w:val="007050D2"/>
    <w:rsid w:val="0070513D"/>
    <w:rsid w:val="00705546"/>
    <w:rsid w:val="00705857"/>
    <w:rsid w:val="00706AA3"/>
    <w:rsid w:val="00706C5D"/>
    <w:rsid w:val="00706F5A"/>
    <w:rsid w:val="00707628"/>
    <w:rsid w:val="00711E8E"/>
    <w:rsid w:val="00711F3C"/>
    <w:rsid w:val="0071215D"/>
    <w:rsid w:val="007137CB"/>
    <w:rsid w:val="00713B79"/>
    <w:rsid w:val="00713BB4"/>
    <w:rsid w:val="00713C76"/>
    <w:rsid w:val="0071428D"/>
    <w:rsid w:val="007145C2"/>
    <w:rsid w:val="00714D02"/>
    <w:rsid w:val="00714DD1"/>
    <w:rsid w:val="00715871"/>
    <w:rsid w:val="00716472"/>
    <w:rsid w:val="00716619"/>
    <w:rsid w:val="007169DB"/>
    <w:rsid w:val="007172C8"/>
    <w:rsid w:val="0072269F"/>
    <w:rsid w:val="007242F0"/>
    <w:rsid w:val="00724DDD"/>
    <w:rsid w:val="00725687"/>
    <w:rsid w:val="00726589"/>
    <w:rsid w:val="00726785"/>
    <w:rsid w:val="00727A5E"/>
    <w:rsid w:val="00727B94"/>
    <w:rsid w:val="00727E39"/>
    <w:rsid w:val="00731CDC"/>
    <w:rsid w:val="00732278"/>
    <w:rsid w:val="00732922"/>
    <w:rsid w:val="00732E1C"/>
    <w:rsid w:val="007334AA"/>
    <w:rsid w:val="0073357E"/>
    <w:rsid w:val="0073422C"/>
    <w:rsid w:val="007343AA"/>
    <w:rsid w:val="00734819"/>
    <w:rsid w:val="00735110"/>
    <w:rsid w:val="00735F4E"/>
    <w:rsid w:val="00736384"/>
    <w:rsid w:val="00737A02"/>
    <w:rsid w:val="00737ED0"/>
    <w:rsid w:val="00740BDD"/>
    <w:rsid w:val="00740D65"/>
    <w:rsid w:val="007415A2"/>
    <w:rsid w:val="0074322E"/>
    <w:rsid w:val="007445DA"/>
    <w:rsid w:val="007449F1"/>
    <w:rsid w:val="007454D1"/>
    <w:rsid w:val="00745819"/>
    <w:rsid w:val="00745C53"/>
    <w:rsid w:val="00746239"/>
    <w:rsid w:val="0074699F"/>
    <w:rsid w:val="0075162E"/>
    <w:rsid w:val="00752DB8"/>
    <w:rsid w:val="00754034"/>
    <w:rsid w:val="0075518B"/>
    <w:rsid w:val="00755533"/>
    <w:rsid w:val="007558F0"/>
    <w:rsid w:val="00755ECB"/>
    <w:rsid w:val="0075639F"/>
    <w:rsid w:val="007563B9"/>
    <w:rsid w:val="00756556"/>
    <w:rsid w:val="00756D84"/>
    <w:rsid w:val="0075719D"/>
    <w:rsid w:val="007617AC"/>
    <w:rsid w:val="007618C4"/>
    <w:rsid w:val="00761D8F"/>
    <w:rsid w:val="00761E58"/>
    <w:rsid w:val="007635E5"/>
    <w:rsid w:val="007648B3"/>
    <w:rsid w:val="00765939"/>
    <w:rsid w:val="00767980"/>
    <w:rsid w:val="00767BBC"/>
    <w:rsid w:val="007705C2"/>
    <w:rsid w:val="00770B19"/>
    <w:rsid w:val="00773065"/>
    <w:rsid w:val="00773914"/>
    <w:rsid w:val="00773A26"/>
    <w:rsid w:val="00773C10"/>
    <w:rsid w:val="0077463F"/>
    <w:rsid w:val="00774FEB"/>
    <w:rsid w:val="007750D9"/>
    <w:rsid w:val="00775AF6"/>
    <w:rsid w:val="00775D90"/>
    <w:rsid w:val="007764D8"/>
    <w:rsid w:val="00777821"/>
    <w:rsid w:val="00777C31"/>
    <w:rsid w:val="0078003E"/>
    <w:rsid w:val="007815B9"/>
    <w:rsid w:val="00781CFB"/>
    <w:rsid w:val="00781E7A"/>
    <w:rsid w:val="00782103"/>
    <w:rsid w:val="00783671"/>
    <w:rsid w:val="007836EA"/>
    <w:rsid w:val="00783ED9"/>
    <w:rsid w:val="00784B70"/>
    <w:rsid w:val="00784CDA"/>
    <w:rsid w:val="007852EA"/>
    <w:rsid w:val="00785A5B"/>
    <w:rsid w:val="00785B39"/>
    <w:rsid w:val="007866EF"/>
    <w:rsid w:val="00786849"/>
    <w:rsid w:val="00787703"/>
    <w:rsid w:val="007906C4"/>
    <w:rsid w:val="00790AAD"/>
    <w:rsid w:val="0079215D"/>
    <w:rsid w:val="00792220"/>
    <w:rsid w:val="00792A13"/>
    <w:rsid w:val="00792CD0"/>
    <w:rsid w:val="00793349"/>
    <w:rsid w:val="007933E3"/>
    <w:rsid w:val="007940EA"/>
    <w:rsid w:val="0079443D"/>
    <w:rsid w:val="00794EFD"/>
    <w:rsid w:val="007967E8"/>
    <w:rsid w:val="00796C2A"/>
    <w:rsid w:val="007A05A0"/>
    <w:rsid w:val="007A0C7F"/>
    <w:rsid w:val="007A0DFE"/>
    <w:rsid w:val="007A1D1D"/>
    <w:rsid w:val="007A1E3A"/>
    <w:rsid w:val="007A2170"/>
    <w:rsid w:val="007A22BF"/>
    <w:rsid w:val="007A32E7"/>
    <w:rsid w:val="007A3323"/>
    <w:rsid w:val="007A369F"/>
    <w:rsid w:val="007A3A09"/>
    <w:rsid w:val="007A3C3A"/>
    <w:rsid w:val="007A4266"/>
    <w:rsid w:val="007A4590"/>
    <w:rsid w:val="007A4C59"/>
    <w:rsid w:val="007A514E"/>
    <w:rsid w:val="007A5438"/>
    <w:rsid w:val="007A61A4"/>
    <w:rsid w:val="007A65B3"/>
    <w:rsid w:val="007A6E18"/>
    <w:rsid w:val="007B0355"/>
    <w:rsid w:val="007B03C5"/>
    <w:rsid w:val="007B06E6"/>
    <w:rsid w:val="007B2D82"/>
    <w:rsid w:val="007B327A"/>
    <w:rsid w:val="007B3F4C"/>
    <w:rsid w:val="007B4329"/>
    <w:rsid w:val="007B57A6"/>
    <w:rsid w:val="007B5848"/>
    <w:rsid w:val="007B5E64"/>
    <w:rsid w:val="007B72B8"/>
    <w:rsid w:val="007B7A58"/>
    <w:rsid w:val="007C025D"/>
    <w:rsid w:val="007C21B5"/>
    <w:rsid w:val="007C2C29"/>
    <w:rsid w:val="007C32D7"/>
    <w:rsid w:val="007C3FDD"/>
    <w:rsid w:val="007C42AD"/>
    <w:rsid w:val="007C4A09"/>
    <w:rsid w:val="007C5794"/>
    <w:rsid w:val="007C64A0"/>
    <w:rsid w:val="007C6724"/>
    <w:rsid w:val="007C7C2B"/>
    <w:rsid w:val="007D28A9"/>
    <w:rsid w:val="007D2CDC"/>
    <w:rsid w:val="007D753B"/>
    <w:rsid w:val="007E1317"/>
    <w:rsid w:val="007E1822"/>
    <w:rsid w:val="007E2BB2"/>
    <w:rsid w:val="007E3906"/>
    <w:rsid w:val="007E3BA6"/>
    <w:rsid w:val="007E4368"/>
    <w:rsid w:val="007E43AA"/>
    <w:rsid w:val="007E4BD2"/>
    <w:rsid w:val="007E5355"/>
    <w:rsid w:val="007E7CEF"/>
    <w:rsid w:val="007F00C2"/>
    <w:rsid w:val="007F1FCE"/>
    <w:rsid w:val="007F2981"/>
    <w:rsid w:val="007F305F"/>
    <w:rsid w:val="007F3488"/>
    <w:rsid w:val="007F3BD2"/>
    <w:rsid w:val="007F4A39"/>
    <w:rsid w:val="007F6089"/>
    <w:rsid w:val="007F6A6E"/>
    <w:rsid w:val="00800485"/>
    <w:rsid w:val="00800567"/>
    <w:rsid w:val="00801393"/>
    <w:rsid w:val="00802C3B"/>
    <w:rsid w:val="00802F88"/>
    <w:rsid w:val="00803EB8"/>
    <w:rsid w:val="008045AB"/>
    <w:rsid w:val="00804F51"/>
    <w:rsid w:val="008060C3"/>
    <w:rsid w:val="008064D5"/>
    <w:rsid w:val="00806AB7"/>
    <w:rsid w:val="00806B11"/>
    <w:rsid w:val="00806B34"/>
    <w:rsid w:val="008074CC"/>
    <w:rsid w:val="00807AFF"/>
    <w:rsid w:val="008116B9"/>
    <w:rsid w:val="00812449"/>
    <w:rsid w:val="0081293E"/>
    <w:rsid w:val="00812D89"/>
    <w:rsid w:val="00814025"/>
    <w:rsid w:val="008142BC"/>
    <w:rsid w:val="008142E9"/>
    <w:rsid w:val="008151B7"/>
    <w:rsid w:val="00815465"/>
    <w:rsid w:val="008154DC"/>
    <w:rsid w:val="00815554"/>
    <w:rsid w:val="0081608F"/>
    <w:rsid w:val="00816761"/>
    <w:rsid w:val="0081686A"/>
    <w:rsid w:val="00816EF8"/>
    <w:rsid w:val="008173DB"/>
    <w:rsid w:val="00817E9A"/>
    <w:rsid w:val="00817FFD"/>
    <w:rsid w:val="008205D4"/>
    <w:rsid w:val="00821EEB"/>
    <w:rsid w:val="00823D2A"/>
    <w:rsid w:val="008249D0"/>
    <w:rsid w:val="008259C5"/>
    <w:rsid w:val="00825B0C"/>
    <w:rsid w:val="00825CAD"/>
    <w:rsid w:val="00826316"/>
    <w:rsid w:val="00826D9E"/>
    <w:rsid w:val="008275BC"/>
    <w:rsid w:val="00830073"/>
    <w:rsid w:val="008303BB"/>
    <w:rsid w:val="008306BD"/>
    <w:rsid w:val="00830B40"/>
    <w:rsid w:val="00830EBD"/>
    <w:rsid w:val="00831171"/>
    <w:rsid w:val="00831A80"/>
    <w:rsid w:val="00832376"/>
    <w:rsid w:val="00833743"/>
    <w:rsid w:val="00833796"/>
    <w:rsid w:val="008340A4"/>
    <w:rsid w:val="00834D02"/>
    <w:rsid w:val="0083502A"/>
    <w:rsid w:val="008350BC"/>
    <w:rsid w:val="00835671"/>
    <w:rsid w:val="0083596B"/>
    <w:rsid w:val="0083631E"/>
    <w:rsid w:val="008369CD"/>
    <w:rsid w:val="00840D45"/>
    <w:rsid w:val="00842722"/>
    <w:rsid w:val="00842C7B"/>
    <w:rsid w:val="00842E8E"/>
    <w:rsid w:val="00844B82"/>
    <w:rsid w:val="00844D7C"/>
    <w:rsid w:val="00844EC5"/>
    <w:rsid w:val="0084587C"/>
    <w:rsid w:val="00846F85"/>
    <w:rsid w:val="008472CC"/>
    <w:rsid w:val="00850139"/>
    <w:rsid w:val="00850D11"/>
    <w:rsid w:val="008540A2"/>
    <w:rsid w:val="0085438C"/>
    <w:rsid w:val="00856984"/>
    <w:rsid w:val="00856A3E"/>
    <w:rsid w:val="0085769E"/>
    <w:rsid w:val="008576F7"/>
    <w:rsid w:val="0085791C"/>
    <w:rsid w:val="00857993"/>
    <w:rsid w:val="00857C9E"/>
    <w:rsid w:val="00857E9B"/>
    <w:rsid w:val="00860BC8"/>
    <w:rsid w:val="00861D08"/>
    <w:rsid w:val="008622E4"/>
    <w:rsid w:val="0086352B"/>
    <w:rsid w:val="008665C3"/>
    <w:rsid w:val="008677C6"/>
    <w:rsid w:val="0087135F"/>
    <w:rsid w:val="00871E8C"/>
    <w:rsid w:val="00871FDB"/>
    <w:rsid w:val="00872794"/>
    <w:rsid w:val="00872D94"/>
    <w:rsid w:val="008735E9"/>
    <w:rsid w:val="008737F2"/>
    <w:rsid w:val="00875135"/>
    <w:rsid w:val="00875D21"/>
    <w:rsid w:val="00880364"/>
    <w:rsid w:val="00880469"/>
    <w:rsid w:val="008814E4"/>
    <w:rsid w:val="00881790"/>
    <w:rsid w:val="00881E29"/>
    <w:rsid w:val="008825F4"/>
    <w:rsid w:val="00882EC8"/>
    <w:rsid w:val="00883503"/>
    <w:rsid w:val="00883689"/>
    <w:rsid w:val="00884B6C"/>
    <w:rsid w:val="008864D5"/>
    <w:rsid w:val="008866F7"/>
    <w:rsid w:val="00887C7D"/>
    <w:rsid w:val="00887F41"/>
    <w:rsid w:val="00890890"/>
    <w:rsid w:val="0089155F"/>
    <w:rsid w:val="00891592"/>
    <w:rsid w:val="00891E9E"/>
    <w:rsid w:val="00892EE0"/>
    <w:rsid w:val="008934A0"/>
    <w:rsid w:val="008938F8"/>
    <w:rsid w:val="00893E8C"/>
    <w:rsid w:val="00894524"/>
    <w:rsid w:val="00894BBD"/>
    <w:rsid w:val="00895702"/>
    <w:rsid w:val="008979F3"/>
    <w:rsid w:val="00897EA9"/>
    <w:rsid w:val="008A0E87"/>
    <w:rsid w:val="008A22FD"/>
    <w:rsid w:val="008A2853"/>
    <w:rsid w:val="008A2ADC"/>
    <w:rsid w:val="008A2F68"/>
    <w:rsid w:val="008A43D2"/>
    <w:rsid w:val="008A659A"/>
    <w:rsid w:val="008B1560"/>
    <w:rsid w:val="008B26B1"/>
    <w:rsid w:val="008B3067"/>
    <w:rsid w:val="008B3D47"/>
    <w:rsid w:val="008B408E"/>
    <w:rsid w:val="008B4BE6"/>
    <w:rsid w:val="008B4F5E"/>
    <w:rsid w:val="008B4FA6"/>
    <w:rsid w:val="008B5282"/>
    <w:rsid w:val="008B563C"/>
    <w:rsid w:val="008B5B2B"/>
    <w:rsid w:val="008B7874"/>
    <w:rsid w:val="008B7C17"/>
    <w:rsid w:val="008B7F53"/>
    <w:rsid w:val="008C047B"/>
    <w:rsid w:val="008C0C0F"/>
    <w:rsid w:val="008C1439"/>
    <w:rsid w:val="008C1DEB"/>
    <w:rsid w:val="008C257F"/>
    <w:rsid w:val="008C2D01"/>
    <w:rsid w:val="008C3033"/>
    <w:rsid w:val="008C3A1B"/>
    <w:rsid w:val="008C40E6"/>
    <w:rsid w:val="008C42BC"/>
    <w:rsid w:val="008C525D"/>
    <w:rsid w:val="008C569F"/>
    <w:rsid w:val="008C72FF"/>
    <w:rsid w:val="008C7BF6"/>
    <w:rsid w:val="008C7CEA"/>
    <w:rsid w:val="008D00D6"/>
    <w:rsid w:val="008D0F7A"/>
    <w:rsid w:val="008D1FE5"/>
    <w:rsid w:val="008D2DC4"/>
    <w:rsid w:val="008D34B4"/>
    <w:rsid w:val="008D3AEB"/>
    <w:rsid w:val="008D56B0"/>
    <w:rsid w:val="008D6679"/>
    <w:rsid w:val="008D68E4"/>
    <w:rsid w:val="008E0506"/>
    <w:rsid w:val="008E0CFF"/>
    <w:rsid w:val="008E1EA1"/>
    <w:rsid w:val="008E3F0A"/>
    <w:rsid w:val="008E4551"/>
    <w:rsid w:val="008E4AF1"/>
    <w:rsid w:val="008E5D6B"/>
    <w:rsid w:val="008E6C9C"/>
    <w:rsid w:val="008E76F0"/>
    <w:rsid w:val="008E7FAE"/>
    <w:rsid w:val="008F15FE"/>
    <w:rsid w:val="008F19D0"/>
    <w:rsid w:val="008F2ADF"/>
    <w:rsid w:val="008F2D29"/>
    <w:rsid w:val="008F2D69"/>
    <w:rsid w:val="008F2E2C"/>
    <w:rsid w:val="008F39BB"/>
    <w:rsid w:val="008F4F24"/>
    <w:rsid w:val="008F5187"/>
    <w:rsid w:val="008F5490"/>
    <w:rsid w:val="008F59C4"/>
    <w:rsid w:val="008F5D5C"/>
    <w:rsid w:val="008F60D8"/>
    <w:rsid w:val="008F7B38"/>
    <w:rsid w:val="0090001A"/>
    <w:rsid w:val="00900A08"/>
    <w:rsid w:val="0090239F"/>
    <w:rsid w:val="00902727"/>
    <w:rsid w:val="00902E94"/>
    <w:rsid w:val="0090312B"/>
    <w:rsid w:val="009045C6"/>
    <w:rsid w:val="009048C4"/>
    <w:rsid w:val="00905157"/>
    <w:rsid w:val="00905B97"/>
    <w:rsid w:val="009122EA"/>
    <w:rsid w:val="009127EB"/>
    <w:rsid w:val="009132B6"/>
    <w:rsid w:val="00913A4C"/>
    <w:rsid w:val="00913CA8"/>
    <w:rsid w:val="00913D43"/>
    <w:rsid w:val="00914A44"/>
    <w:rsid w:val="0091736D"/>
    <w:rsid w:val="00917686"/>
    <w:rsid w:val="009208C1"/>
    <w:rsid w:val="00921932"/>
    <w:rsid w:val="009232B8"/>
    <w:rsid w:val="00925571"/>
    <w:rsid w:val="00926E7E"/>
    <w:rsid w:val="00926FDE"/>
    <w:rsid w:val="0093037A"/>
    <w:rsid w:val="0093275C"/>
    <w:rsid w:val="00933760"/>
    <w:rsid w:val="00933A26"/>
    <w:rsid w:val="00933D94"/>
    <w:rsid w:val="009347A9"/>
    <w:rsid w:val="0093519A"/>
    <w:rsid w:val="009354F8"/>
    <w:rsid w:val="009356C4"/>
    <w:rsid w:val="00935B12"/>
    <w:rsid w:val="009367D3"/>
    <w:rsid w:val="00936C2D"/>
    <w:rsid w:val="00936C93"/>
    <w:rsid w:val="0093709C"/>
    <w:rsid w:val="009370F1"/>
    <w:rsid w:val="0093744E"/>
    <w:rsid w:val="009375F6"/>
    <w:rsid w:val="009400FA"/>
    <w:rsid w:val="00940FE7"/>
    <w:rsid w:val="0094100F"/>
    <w:rsid w:val="0094154D"/>
    <w:rsid w:val="0094284B"/>
    <w:rsid w:val="00942AF6"/>
    <w:rsid w:val="00943DF6"/>
    <w:rsid w:val="00944260"/>
    <w:rsid w:val="00944E30"/>
    <w:rsid w:val="00945923"/>
    <w:rsid w:val="00945BE1"/>
    <w:rsid w:val="00946829"/>
    <w:rsid w:val="00946840"/>
    <w:rsid w:val="00946B57"/>
    <w:rsid w:val="009507CA"/>
    <w:rsid w:val="00950C33"/>
    <w:rsid w:val="0095155F"/>
    <w:rsid w:val="00951811"/>
    <w:rsid w:val="009519B5"/>
    <w:rsid w:val="00952207"/>
    <w:rsid w:val="009523D3"/>
    <w:rsid w:val="00953378"/>
    <w:rsid w:val="00953A7D"/>
    <w:rsid w:val="00954429"/>
    <w:rsid w:val="0095588D"/>
    <w:rsid w:val="009563CE"/>
    <w:rsid w:val="00956535"/>
    <w:rsid w:val="00957374"/>
    <w:rsid w:val="00957746"/>
    <w:rsid w:val="00960D0A"/>
    <w:rsid w:val="00962FDE"/>
    <w:rsid w:val="00964720"/>
    <w:rsid w:val="00964DFA"/>
    <w:rsid w:val="00966CDD"/>
    <w:rsid w:val="00966D17"/>
    <w:rsid w:val="00970ECE"/>
    <w:rsid w:val="009732F8"/>
    <w:rsid w:val="00973BB9"/>
    <w:rsid w:val="00973BCD"/>
    <w:rsid w:val="00976328"/>
    <w:rsid w:val="009766B8"/>
    <w:rsid w:val="0097680D"/>
    <w:rsid w:val="00976FAF"/>
    <w:rsid w:val="0098181C"/>
    <w:rsid w:val="00981EE1"/>
    <w:rsid w:val="00982438"/>
    <w:rsid w:val="009838C9"/>
    <w:rsid w:val="00983D5B"/>
    <w:rsid w:val="0098404C"/>
    <w:rsid w:val="0098406E"/>
    <w:rsid w:val="00985283"/>
    <w:rsid w:val="00985A08"/>
    <w:rsid w:val="00985B47"/>
    <w:rsid w:val="00985B62"/>
    <w:rsid w:val="009866EF"/>
    <w:rsid w:val="00986732"/>
    <w:rsid w:val="0099046A"/>
    <w:rsid w:val="009921F0"/>
    <w:rsid w:val="009922B2"/>
    <w:rsid w:val="0099309D"/>
    <w:rsid w:val="009936BD"/>
    <w:rsid w:val="0099493D"/>
    <w:rsid w:val="00995992"/>
    <w:rsid w:val="009963EA"/>
    <w:rsid w:val="00996A45"/>
    <w:rsid w:val="00997320"/>
    <w:rsid w:val="009A03E5"/>
    <w:rsid w:val="009A0F3B"/>
    <w:rsid w:val="009A101C"/>
    <w:rsid w:val="009A1BB4"/>
    <w:rsid w:val="009A256A"/>
    <w:rsid w:val="009A2628"/>
    <w:rsid w:val="009A3200"/>
    <w:rsid w:val="009A3A57"/>
    <w:rsid w:val="009A41A4"/>
    <w:rsid w:val="009A47CC"/>
    <w:rsid w:val="009A5CBC"/>
    <w:rsid w:val="009A7116"/>
    <w:rsid w:val="009A7AEC"/>
    <w:rsid w:val="009A7BD0"/>
    <w:rsid w:val="009B0897"/>
    <w:rsid w:val="009B10E7"/>
    <w:rsid w:val="009B17ED"/>
    <w:rsid w:val="009B1A21"/>
    <w:rsid w:val="009B2712"/>
    <w:rsid w:val="009B27A2"/>
    <w:rsid w:val="009B291A"/>
    <w:rsid w:val="009B2DE0"/>
    <w:rsid w:val="009B3383"/>
    <w:rsid w:val="009B3FA8"/>
    <w:rsid w:val="009B4712"/>
    <w:rsid w:val="009B5F5D"/>
    <w:rsid w:val="009B67C7"/>
    <w:rsid w:val="009B6E9A"/>
    <w:rsid w:val="009B78AE"/>
    <w:rsid w:val="009B7BD9"/>
    <w:rsid w:val="009B7FF4"/>
    <w:rsid w:val="009C18EF"/>
    <w:rsid w:val="009C2FE4"/>
    <w:rsid w:val="009C3279"/>
    <w:rsid w:val="009C38CC"/>
    <w:rsid w:val="009C6179"/>
    <w:rsid w:val="009C7DD5"/>
    <w:rsid w:val="009D014F"/>
    <w:rsid w:val="009D01BD"/>
    <w:rsid w:val="009D0CD9"/>
    <w:rsid w:val="009D111D"/>
    <w:rsid w:val="009D22E5"/>
    <w:rsid w:val="009D457A"/>
    <w:rsid w:val="009D502E"/>
    <w:rsid w:val="009D773B"/>
    <w:rsid w:val="009E006A"/>
    <w:rsid w:val="009E0138"/>
    <w:rsid w:val="009E073B"/>
    <w:rsid w:val="009E0DD2"/>
    <w:rsid w:val="009E1704"/>
    <w:rsid w:val="009E227D"/>
    <w:rsid w:val="009E25F2"/>
    <w:rsid w:val="009E2F37"/>
    <w:rsid w:val="009E487C"/>
    <w:rsid w:val="009E4F0B"/>
    <w:rsid w:val="009E5019"/>
    <w:rsid w:val="009E5AF4"/>
    <w:rsid w:val="009E5E7A"/>
    <w:rsid w:val="009E600A"/>
    <w:rsid w:val="009E635C"/>
    <w:rsid w:val="009E752C"/>
    <w:rsid w:val="009E798B"/>
    <w:rsid w:val="009F00F7"/>
    <w:rsid w:val="009F0722"/>
    <w:rsid w:val="009F0E33"/>
    <w:rsid w:val="009F0F6B"/>
    <w:rsid w:val="009F18AC"/>
    <w:rsid w:val="009F20BC"/>
    <w:rsid w:val="009F2B09"/>
    <w:rsid w:val="009F2B82"/>
    <w:rsid w:val="009F3545"/>
    <w:rsid w:val="009F37C2"/>
    <w:rsid w:val="009F3C0B"/>
    <w:rsid w:val="009F3F67"/>
    <w:rsid w:val="009F5497"/>
    <w:rsid w:val="009F549C"/>
    <w:rsid w:val="009F662B"/>
    <w:rsid w:val="009F7B9A"/>
    <w:rsid w:val="00A009CD"/>
    <w:rsid w:val="00A01115"/>
    <w:rsid w:val="00A0185B"/>
    <w:rsid w:val="00A018AC"/>
    <w:rsid w:val="00A01926"/>
    <w:rsid w:val="00A022B1"/>
    <w:rsid w:val="00A03012"/>
    <w:rsid w:val="00A03451"/>
    <w:rsid w:val="00A03512"/>
    <w:rsid w:val="00A03AE3"/>
    <w:rsid w:val="00A03E75"/>
    <w:rsid w:val="00A04F1B"/>
    <w:rsid w:val="00A0501B"/>
    <w:rsid w:val="00A06B50"/>
    <w:rsid w:val="00A113BD"/>
    <w:rsid w:val="00A12E02"/>
    <w:rsid w:val="00A13F09"/>
    <w:rsid w:val="00A1404C"/>
    <w:rsid w:val="00A14947"/>
    <w:rsid w:val="00A15FE4"/>
    <w:rsid w:val="00A169FF"/>
    <w:rsid w:val="00A16D8A"/>
    <w:rsid w:val="00A17396"/>
    <w:rsid w:val="00A175ED"/>
    <w:rsid w:val="00A17A54"/>
    <w:rsid w:val="00A17C2C"/>
    <w:rsid w:val="00A20610"/>
    <w:rsid w:val="00A20EBC"/>
    <w:rsid w:val="00A21729"/>
    <w:rsid w:val="00A2176D"/>
    <w:rsid w:val="00A22A6F"/>
    <w:rsid w:val="00A23FB0"/>
    <w:rsid w:val="00A24A99"/>
    <w:rsid w:val="00A24B5B"/>
    <w:rsid w:val="00A259B5"/>
    <w:rsid w:val="00A26793"/>
    <w:rsid w:val="00A26A15"/>
    <w:rsid w:val="00A26E8E"/>
    <w:rsid w:val="00A27A9D"/>
    <w:rsid w:val="00A27B92"/>
    <w:rsid w:val="00A30672"/>
    <w:rsid w:val="00A31FE2"/>
    <w:rsid w:val="00A3201C"/>
    <w:rsid w:val="00A32A83"/>
    <w:rsid w:val="00A3337B"/>
    <w:rsid w:val="00A33C06"/>
    <w:rsid w:val="00A34A77"/>
    <w:rsid w:val="00A35E9C"/>
    <w:rsid w:val="00A363B7"/>
    <w:rsid w:val="00A36500"/>
    <w:rsid w:val="00A368DB"/>
    <w:rsid w:val="00A369C7"/>
    <w:rsid w:val="00A37AF2"/>
    <w:rsid w:val="00A400E9"/>
    <w:rsid w:val="00A40AF9"/>
    <w:rsid w:val="00A412BA"/>
    <w:rsid w:val="00A41ECA"/>
    <w:rsid w:val="00A423AA"/>
    <w:rsid w:val="00A43370"/>
    <w:rsid w:val="00A43995"/>
    <w:rsid w:val="00A441E8"/>
    <w:rsid w:val="00A44BE5"/>
    <w:rsid w:val="00A44FC8"/>
    <w:rsid w:val="00A4567C"/>
    <w:rsid w:val="00A45C81"/>
    <w:rsid w:val="00A46CC3"/>
    <w:rsid w:val="00A47929"/>
    <w:rsid w:val="00A47C9F"/>
    <w:rsid w:val="00A53EC6"/>
    <w:rsid w:val="00A5550B"/>
    <w:rsid w:val="00A55C0F"/>
    <w:rsid w:val="00A55E25"/>
    <w:rsid w:val="00A56D76"/>
    <w:rsid w:val="00A60108"/>
    <w:rsid w:val="00A60307"/>
    <w:rsid w:val="00A607CA"/>
    <w:rsid w:val="00A61A7C"/>
    <w:rsid w:val="00A64ECD"/>
    <w:rsid w:val="00A66803"/>
    <w:rsid w:val="00A675E2"/>
    <w:rsid w:val="00A70840"/>
    <w:rsid w:val="00A7227C"/>
    <w:rsid w:val="00A724C1"/>
    <w:rsid w:val="00A725F1"/>
    <w:rsid w:val="00A7298F"/>
    <w:rsid w:val="00A7317D"/>
    <w:rsid w:val="00A73C6D"/>
    <w:rsid w:val="00A77AC5"/>
    <w:rsid w:val="00A77B4A"/>
    <w:rsid w:val="00A80057"/>
    <w:rsid w:val="00A8011E"/>
    <w:rsid w:val="00A80232"/>
    <w:rsid w:val="00A803D7"/>
    <w:rsid w:val="00A81159"/>
    <w:rsid w:val="00A81527"/>
    <w:rsid w:val="00A81992"/>
    <w:rsid w:val="00A835DD"/>
    <w:rsid w:val="00A841C7"/>
    <w:rsid w:val="00A84381"/>
    <w:rsid w:val="00A86FED"/>
    <w:rsid w:val="00A87070"/>
    <w:rsid w:val="00A8713F"/>
    <w:rsid w:val="00A87CAC"/>
    <w:rsid w:val="00A90486"/>
    <w:rsid w:val="00A90BA1"/>
    <w:rsid w:val="00A90E6A"/>
    <w:rsid w:val="00A92A71"/>
    <w:rsid w:val="00A93E73"/>
    <w:rsid w:val="00A949E2"/>
    <w:rsid w:val="00A95E2B"/>
    <w:rsid w:val="00A9640C"/>
    <w:rsid w:val="00A97A9A"/>
    <w:rsid w:val="00AA02FF"/>
    <w:rsid w:val="00AA0671"/>
    <w:rsid w:val="00AA0EED"/>
    <w:rsid w:val="00AA20B8"/>
    <w:rsid w:val="00AA2531"/>
    <w:rsid w:val="00AA26AE"/>
    <w:rsid w:val="00AA33E3"/>
    <w:rsid w:val="00AA36E7"/>
    <w:rsid w:val="00AA5208"/>
    <w:rsid w:val="00AA52CC"/>
    <w:rsid w:val="00AA56CD"/>
    <w:rsid w:val="00AA5A34"/>
    <w:rsid w:val="00AA6E14"/>
    <w:rsid w:val="00AB0619"/>
    <w:rsid w:val="00AB0C6F"/>
    <w:rsid w:val="00AB0F6F"/>
    <w:rsid w:val="00AB16A4"/>
    <w:rsid w:val="00AB1E09"/>
    <w:rsid w:val="00AB24D3"/>
    <w:rsid w:val="00AB5330"/>
    <w:rsid w:val="00AB6AD2"/>
    <w:rsid w:val="00AB7747"/>
    <w:rsid w:val="00AB7E81"/>
    <w:rsid w:val="00AB7F79"/>
    <w:rsid w:val="00AC01EA"/>
    <w:rsid w:val="00AC0BE7"/>
    <w:rsid w:val="00AC14CE"/>
    <w:rsid w:val="00AC18C2"/>
    <w:rsid w:val="00AC1F54"/>
    <w:rsid w:val="00AC22FF"/>
    <w:rsid w:val="00AC2A56"/>
    <w:rsid w:val="00AC2ED2"/>
    <w:rsid w:val="00AC4045"/>
    <w:rsid w:val="00AC4171"/>
    <w:rsid w:val="00AC4392"/>
    <w:rsid w:val="00AC4685"/>
    <w:rsid w:val="00AC5469"/>
    <w:rsid w:val="00AD055E"/>
    <w:rsid w:val="00AD0ACC"/>
    <w:rsid w:val="00AD203A"/>
    <w:rsid w:val="00AD2A88"/>
    <w:rsid w:val="00AD2D36"/>
    <w:rsid w:val="00AD3596"/>
    <w:rsid w:val="00AD367A"/>
    <w:rsid w:val="00AD4158"/>
    <w:rsid w:val="00AD4467"/>
    <w:rsid w:val="00AD47A7"/>
    <w:rsid w:val="00AD504B"/>
    <w:rsid w:val="00AD512F"/>
    <w:rsid w:val="00AD59E5"/>
    <w:rsid w:val="00AD5A7E"/>
    <w:rsid w:val="00AD7477"/>
    <w:rsid w:val="00AD7D23"/>
    <w:rsid w:val="00AD7D41"/>
    <w:rsid w:val="00AE0AF8"/>
    <w:rsid w:val="00AE1A1F"/>
    <w:rsid w:val="00AE1D87"/>
    <w:rsid w:val="00AE3E01"/>
    <w:rsid w:val="00AE533C"/>
    <w:rsid w:val="00AE5341"/>
    <w:rsid w:val="00AE619D"/>
    <w:rsid w:val="00AE6B19"/>
    <w:rsid w:val="00AE7B55"/>
    <w:rsid w:val="00AE7F1F"/>
    <w:rsid w:val="00AF0CBF"/>
    <w:rsid w:val="00AF0ED9"/>
    <w:rsid w:val="00AF1666"/>
    <w:rsid w:val="00AF178C"/>
    <w:rsid w:val="00AF257F"/>
    <w:rsid w:val="00AF33CF"/>
    <w:rsid w:val="00AF42B2"/>
    <w:rsid w:val="00AF4D50"/>
    <w:rsid w:val="00AF5334"/>
    <w:rsid w:val="00AF6072"/>
    <w:rsid w:val="00AF6179"/>
    <w:rsid w:val="00AF66D9"/>
    <w:rsid w:val="00AF7206"/>
    <w:rsid w:val="00AF76D3"/>
    <w:rsid w:val="00AF7BB2"/>
    <w:rsid w:val="00B00AE1"/>
    <w:rsid w:val="00B00CF4"/>
    <w:rsid w:val="00B0120D"/>
    <w:rsid w:val="00B02449"/>
    <w:rsid w:val="00B036E2"/>
    <w:rsid w:val="00B0568E"/>
    <w:rsid w:val="00B05710"/>
    <w:rsid w:val="00B06632"/>
    <w:rsid w:val="00B1011C"/>
    <w:rsid w:val="00B105DF"/>
    <w:rsid w:val="00B10ED7"/>
    <w:rsid w:val="00B11C76"/>
    <w:rsid w:val="00B1295A"/>
    <w:rsid w:val="00B133D9"/>
    <w:rsid w:val="00B13776"/>
    <w:rsid w:val="00B143C1"/>
    <w:rsid w:val="00B144C7"/>
    <w:rsid w:val="00B17EC8"/>
    <w:rsid w:val="00B20784"/>
    <w:rsid w:val="00B20803"/>
    <w:rsid w:val="00B20A45"/>
    <w:rsid w:val="00B20E81"/>
    <w:rsid w:val="00B21348"/>
    <w:rsid w:val="00B22524"/>
    <w:rsid w:val="00B22AB7"/>
    <w:rsid w:val="00B22C5C"/>
    <w:rsid w:val="00B22D9E"/>
    <w:rsid w:val="00B2355C"/>
    <w:rsid w:val="00B24549"/>
    <w:rsid w:val="00B24EDB"/>
    <w:rsid w:val="00B24F30"/>
    <w:rsid w:val="00B25790"/>
    <w:rsid w:val="00B263F6"/>
    <w:rsid w:val="00B26A3F"/>
    <w:rsid w:val="00B279E1"/>
    <w:rsid w:val="00B30424"/>
    <w:rsid w:val="00B31638"/>
    <w:rsid w:val="00B31896"/>
    <w:rsid w:val="00B31ABF"/>
    <w:rsid w:val="00B32376"/>
    <w:rsid w:val="00B32867"/>
    <w:rsid w:val="00B32870"/>
    <w:rsid w:val="00B33BE3"/>
    <w:rsid w:val="00B33CFF"/>
    <w:rsid w:val="00B34B1C"/>
    <w:rsid w:val="00B35E94"/>
    <w:rsid w:val="00B37254"/>
    <w:rsid w:val="00B40193"/>
    <w:rsid w:val="00B406BF"/>
    <w:rsid w:val="00B40A1B"/>
    <w:rsid w:val="00B4333A"/>
    <w:rsid w:val="00B44E56"/>
    <w:rsid w:val="00B452A5"/>
    <w:rsid w:val="00B456EB"/>
    <w:rsid w:val="00B47FA0"/>
    <w:rsid w:val="00B5069D"/>
    <w:rsid w:val="00B5234F"/>
    <w:rsid w:val="00B52763"/>
    <w:rsid w:val="00B53B5D"/>
    <w:rsid w:val="00B54997"/>
    <w:rsid w:val="00B54A95"/>
    <w:rsid w:val="00B55A93"/>
    <w:rsid w:val="00B564CB"/>
    <w:rsid w:val="00B577D9"/>
    <w:rsid w:val="00B6055E"/>
    <w:rsid w:val="00B606AB"/>
    <w:rsid w:val="00B60B35"/>
    <w:rsid w:val="00B61856"/>
    <w:rsid w:val="00B630C2"/>
    <w:rsid w:val="00B6317D"/>
    <w:rsid w:val="00B64490"/>
    <w:rsid w:val="00B64C1C"/>
    <w:rsid w:val="00B65119"/>
    <w:rsid w:val="00B65189"/>
    <w:rsid w:val="00B65A20"/>
    <w:rsid w:val="00B667EE"/>
    <w:rsid w:val="00B677AF"/>
    <w:rsid w:val="00B70070"/>
    <w:rsid w:val="00B70B9D"/>
    <w:rsid w:val="00B72CC9"/>
    <w:rsid w:val="00B74FBF"/>
    <w:rsid w:val="00B75567"/>
    <w:rsid w:val="00B75818"/>
    <w:rsid w:val="00B7599F"/>
    <w:rsid w:val="00B76DF6"/>
    <w:rsid w:val="00B77160"/>
    <w:rsid w:val="00B77169"/>
    <w:rsid w:val="00B7723F"/>
    <w:rsid w:val="00B80534"/>
    <w:rsid w:val="00B81342"/>
    <w:rsid w:val="00B81CD2"/>
    <w:rsid w:val="00B8433C"/>
    <w:rsid w:val="00B8547E"/>
    <w:rsid w:val="00B85824"/>
    <w:rsid w:val="00B86317"/>
    <w:rsid w:val="00B87491"/>
    <w:rsid w:val="00B875F1"/>
    <w:rsid w:val="00B905F2"/>
    <w:rsid w:val="00B907C4"/>
    <w:rsid w:val="00B90D74"/>
    <w:rsid w:val="00B91065"/>
    <w:rsid w:val="00B9122A"/>
    <w:rsid w:val="00B92136"/>
    <w:rsid w:val="00B92514"/>
    <w:rsid w:val="00B9310B"/>
    <w:rsid w:val="00B935E9"/>
    <w:rsid w:val="00B93AFE"/>
    <w:rsid w:val="00B93C7B"/>
    <w:rsid w:val="00B9442B"/>
    <w:rsid w:val="00B9484B"/>
    <w:rsid w:val="00B949AC"/>
    <w:rsid w:val="00B94EE5"/>
    <w:rsid w:val="00B95DC7"/>
    <w:rsid w:val="00B962E9"/>
    <w:rsid w:val="00BA166D"/>
    <w:rsid w:val="00BA181A"/>
    <w:rsid w:val="00BA2404"/>
    <w:rsid w:val="00BA29E9"/>
    <w:rsid w:val="00BA4A82"/>
    <w:rsid w:val="00BA4E6C"/>
    <w:rsid w:val="00BA5D09"/>
    <w:rsid w:val="00BA7142"/>
    <w:rsid w:val="00BA77A5"/>
    <w:rsid w:val="00BB0402"/>
    <w:rsid w:val="00BB15A6"/>
    <w:rsid w:val="00BB237C"/>
    <w:rsid w:val="00BB2E42"/>
    <w:rsid w:val="00BB2F9E"/>
    <w:rsid w:val="00BB41A3"/>
    <w:rsid w:val="00BB4C4B"/>
    <w:rsid w:val="00BB527F"/>
    <w:rsid w:val="00BB5A64"/>
    <w:rsid w:val="00BB5BFF"/>
    <w:rsid w:val="00BB618F"/>
    <w:rsid w:val="00BB65CD"/>
    <w:rsid w:val="00BB7091"/>
    <w:rsid w:val="00BB709D"/>
    <w:rsid w:val="00BC01AE"/>
    <w:rsid w:val="00BC112E"/>
    <w:rsid w:val="00BC1F25"/>
    <w:rsid w:val="00BC32DC"/>
    <w:rsid w:val="00BC35B6"/>
    <w:rsid w:val="00BC3721"/>
    <w:rsid w:val="00BC492A"/>
    <w:rsid w:val="00BC616A"/>
    <w:rsid w:val="00BC7496"/>
    <w:rsid w:val="00BC7972"/>
    <w:rsid w:val="00BD07C5"/>
    <w:rsid w:val="00BD1B13"/>
    <w:rsid w:val="00BD1B51"/>
    <w:rsid w:val="00BD1C38"/>
    <w:rsid w:val="00BD1DAB"/>
    <w:rsid w:val="00BD4596"/>
    <w:rsid w:val="00BD4761"/>
    <w:rsid w:val="00BD494B"/>
    <w:rsid w:val="00BD59A2"/>
    <w:rsid w:val="00BD5FB0"/>
    <w:rsid w:val="00BD6719"/>
    <w:rsid w:val="00BD6E5C"/>
    <w:rsid w:val="00BD6F50"/>
    <w:rsid w:val="00BD794F"/>
    <w:rsid w:val="00BE0903"/>
    <w:rsid w:val="00BE1405"/>
    <w:rsid w:val="00BE2ABC"/>
    <w:rsid w:val="00BE30E6"/>
    <w:rsid w:val="00BE312D"/>
    <w:rsid w:val="00BE4ED6"/>
    <w:rsid w:val="00BE5683"/>
    <w:rsid w:val="00BE73FD"/>
    <w:rsid w:val="00BE785F"/>
    <w:rsid w:val="00BF03F8"/>
    <w:rsid w:val="00BF1C20"/>
    <w:rsid w:val="00BF1DDD"/>
    <w:rsid w:val="00BF2575"/>
    <w:rsid w:val="00BF46E8"/>
    <w:rsid w:val="00BF4826"/>
    <w:rsid w:val="00BF54AC"/>
    <w:rsid w:val="00BF56E9"/>
    <w:rsid w:val="00C00F4E"/>
    <w:rsid w:val="00C010B0"/>
    <w:rsid w:val="00C01BE7"/>
    <w:rsid w:val="00C04857"/>
    <w:rsid w:val="00C048FF"/>
    <w:rsid w:val="00C04E6F"/>
    <w:rsid w:val="00C057D3"/>
    <w:rsid w:val="00C05EE6"/>
    <w:rsid w:val="00C06951"/>
    <w:rsid w:val="00C06990"/>
    <w:rsid w:val="00C10578"/>
    <w:rsid w:val="00C129A6"/>
    <w:rsid w:val="00C135BC"/>
    <w:rsid w:val="00C15C95"/>
    <w:rsid w:val="00C16C4D"/>
    <w:rsid w:val="00C16C84"/>
    <w:rsid w:val="00C1735B"/>
    <w:rsid w:val="00C17DD3"/>
    <w:rsid w:val="00C17FE0"/>
    <w:rsid w:val="00C20356"/>
    <w:rsid w:val="00C2060C"/>
    <w:rsid w:val="00C21DE6"/>
    <w:rsid w:val="00C22146"/>
    <w:rsid w:val="00C2276D"/>
    <w:rsid w:val="00C22BAC"/>
    <w:rsid w:val="00C2316C"/>
    <w:rsid w:val="00C234EF"/>
    <w:rsid w:val="00C23972"/>
    <w:rsid w:val="00C2461D"/>
    <w:rsid w:val="00C24DA5"/>
    <w:rsid w:val="00C253C4"/>
    <w:rsid w:val="00C2596A"/>
    <w:rsid w:val="00C2598A"/>
    <w:rsid w:val="00C26782"/>
    <w:rsid w:val="00C26AEF"/>
    <w:rsid w:val="00C27537"/>
    <w:rsid w:val="00C30879"/>
    <w:rsid w:val="00C320BA"/>
    <w:rsid w:val="00C3238C"/>
    <w:rsid w:val="00C328FE"/>
    <w:rsid w:val="00C329B5"/>
    <w:rsid w:val="00C330EA"/>
    <w:rsid w:val="00C33507"/>
    <w:rsid w:val="00C33A4F"/>
    <w:rsid w:val="00C34AB5"/>
    <w:rsid w:val="00C3522B"/>
    <w:rsid w:val="00C35AA4"/>
    <w:rsid w:val="00C35C3E"/>
    <w:rsid w:val="00C35D7C"/>
    <w:rsid w:val="00C35D99"/>
    <w:rsid w:val="00C3619D"/>
    <w:rsid w:val="00C41991"/>
    <w:rsid w:val="00C41C33"/>
    <w:rsid w:val="00C41E89"/>
    <w:rsid w:val="00C423E8"/>
    <w:rsid w:val="00C42691"/>
    <w:rsid w:val="00C43CD5"/>
    <w:rsid w:val="00C4409D"/>
    <w:rsid w:val="00C441A0"/>
    <w:rsid w:val="00C44E72"/>
    <w:rsid w:val="00C44EDC"/>
    <w:rsid w:val="00C45A06"/>
    <w:rsid w:val="00C45B59"/>
    <w:rsid w:val="00C45BF1"/>
    <w:rsid w:val="00C47E5B"/>
    <w:rsid w:val="00C47F83"/>
    <w:rsid w:val="00C50485"/>
    <w:rsid w:val="00C50645"/>
    <w:rsid w:val="00C5087A"/>
    <w:rsid w:val="00C50A93"/>
    <w:rsid w:val="00C50F78"/>
    <w:rsid w:val="00C524E5"/>
    <w:rsid w:val="00C52C0C"/>
    <w:rsid w:val="00C52E63"/>
    <w:rsid w:val="00C53C28"/>
    <w:rsid w:val="00C54266"/>
    <w:rsid w:val="00C544EA"/>
    <w:rsid w:val="00C56F0B"/>
    <w:rsid w:val="00C56F52"/>
    <w:rsid w:val="00C5799F"/>
    <w:rsid w:val="00C57F66"/>
    <w:rsid w:val="00C61E4B"/>
    <w:rsid w:val="00C623FC"/>
    <w:rsid w:val="00C629D8"/>
    <w:rsid w:val="00C62EDF"/>
    <w:rsid w:val="00C634E7"/>
    <w:rsid w:val="00C63B24"/>
    <w:rsid w:val="00C64BFF"/>
    <w:rsid w:val="00C64FF0"/>
    <w:rsid w:val="00C668CA"/>
    <w:rsid w:val="00C67C47"/>
    <w:rsid w:val="00C704E9"/>
    <w:rsid w:val="00C70AA1"/>
    <w:rsid w:val="00C722CD"/>
    <w:rsid w:val="00C73FD8"/>
    <w:rsid w:val="00C74C5B"/>
    <w:rsid w:val="00C74DE9"/>
    <w:rsid w:val="00C74E9B"/>
    <w:rsid w:val="00C75CE1"/>
    <w:rsid w:val="00C76303"/>
    <w:rsid w:val="00C763C9"/>
    <w:rsid w:val="00C771B0"/>
    <w:rsid w:val="00C77BB2"/>
    <w:rsid w:val="00C77C9B"/>
    <w:rsid w:val="00C77EC2"/>
    <w:rsid w:val="00C80057"/>
    <w:rsid w:val="00C81702"/>
    <w:rsid w:val="00C8206B"/>
    <w:rsid w:val="00C82232"/>
    <w:rsid w:val="00C82474"/>
    <w:rsid w:val="00C82913"/>
    <w:rsid w:val="00C82B30"/>
    <w:rsid w:val="00C83172"/>
    <w:rsid w:val="00C83E2C"/>
    <w:rsid w:val="00C860DD"/>
    <w:rsid w:val="00C86399"/>
    <w:rsid w:val="00C86D49"/>
    <w:rsid w:val="00C90954"/>
    <w:rsid w:val="00C91731"/>
    <w:rsid w:val="00C91768"/>
    <w:rsid w:val="00C91868"/>
    <w:rsid w:val="00C91F7A"/>
    <w:rsid w:val="00C9236C"/>
    <w:rsid w:val="00C93177"/>
    <w:rsid w:val="00C93411"/>
    <w:rsid w:val="00C93787"/>
    <w:rsid w:val="00C950AC"/>
    <w:rsid w:val="00C95F07"/>
    <w:rsid w:val="00C96CD1"/>
    <w:rsid w:val="00C972B1"/>
    <w:rsid w:val="00C97319"/>
    <w:rsid w:val="00C97BF8"/>
    <w:rsid w:val="00CA08F2"/>
    <w:rsid w:val="00CA0EFE"/>
    <w:rsid w:val="00CA1985"/>
    <w:rsid w:val="00CA276A"/>
    <w:rsid w:val="00CA2CCE"/>
    <w:rsid w:val="00CA43FD"/>
    <w:rsid w:val="00CA47CC"/>
    <w:rsid w:val="00CA4918"/>
    <w:rsid w:val="00CA5E6B"/>
    <w:rsid w:val="00CA6853"/>
    <w:rsid w:val="00CA6D25"/>
    <w:rsid w:val="00CA7EF8"/>
    <w:rsid w:val="00CB01AB"/>
    <w:rsid w:val="00CB091F"/>
    <w:rsid w:val="00CB14C1"/>
    <w:rsid w:val="00CB17DD"/>
    <w:rsid w:val="00CB2D34"/>
    <w:rsid w:val="00CB3C87"/>
    <w:rsid w:val="00CB3E41"/>
    <w:rsid w:val="00CB4CB3"/>
    <w:rsid w:val="00CB52C4"/>
    <w:rsid w:val="00CB5910"/>
    <w:rsid w:val="00CB600A"/>
    <w:rsid w:val="00CB7468"/>
    <w:rsid w:val="00CB7CBE"/>
    <w:rsid w:val="00CC0F9B"/>
    <w:rsid w:val="00CC1A84"/>
    <w:rsid w:val="00CC1C7A"/>
    <w:rsid w:val="00CC1CD1"/>
    <w:rsid w:val="00CC1CD3"/>
    <w:rsid w:val="00CC2057"/>
    <w:rsid w:val="00CC316B"/>
    <w:rsid w:val="00CC3BE7"/>
    <w:rsid w:val="00CC3E7E"/>
    <w:rsid w:val="00CC3E86"/>
    <w:rsid w:val="00CC489B"/>
    <w:rsid w:val="00CC48AA"/>
    <w:rsid w:val="00CC4DC2"/>
    <w:rsid w:val="00CC7488"/>
    <w:rsid w:val="00CC74F6"/>
    <w:rsid w:val="00CD0085"/>
    <w:rsid w:val="00CD0AF8"/>
    <w:rsid w:val="00CD134E"/>
    <w:rsid w:val="00CD2BCD"/>
    <w:rsid w:val="00CD2E09"/>
    <w:rsid w:val="00CD3A4C"/>
    <w:rsid w:val="00CD3D56"/>
    <w:rsid w:val="00CD3E10"/>
    <w:rsid w:val="00CD4917"/>
    <w:rsid w:val="00CD4DEA"/>
    <w:rsid w:val="00CD4E58"/>
    <w:rsid w:val="00CD6A3E"/>
    <w:rsid w:val="00CD6BEE"/>
    <w:rsid w:val="00CD6E47"/>
    <w:rsid w:val="00CD7201"/>
    <w:rsid w:val="00CE10E9"/>
    <w:rsid w:val="00CE1482"/>
    <w:rsid w:val="00CE1D76"/>
    <w:rsid w:val="00CE2910"/>
    <w:rsid w:val="00CE2E25"/>
    <w:rsid w:val="00CE3229"/>
    <w:rsid w:val="00CE5044"/>
    <w:rsid w:val="00CE5393"/>
    <w:rsid w:val="00CE54E3"/>
    <w:rsid w:val="00CE5940"/>
    <w:rsid w:val="00CE6D75"/>
    <w:rsid w:val="00CE7132"/>
    <w:rsid w:val="00CE714B"/>
    <w:rsid w:val="00CE7229"/>
    <w:rsid w:val="00CE75E7"/>
    <w:rsid w:val="00CF09EB"/>
    <w:rsid w:val="00CF1625"/>
    <w:rsid w:val="00CF20BC"/>
    <w:rsid w:val="00CF315E"/>
    <w:rsid w:val="00CF3489"/>
    <w:rsid w:val="00CF36BE"/>
    <w:rsid w:val="00CF3CB1"/>
    <w:rsid w:val="00CF51CF"/>
    <w:rsid w:val="00CF6000"/>
    <w:rsid w:val="00CF62EA"/>
    <w:rsid w:val="00CF71D3"/>
    <w:rsid w:val="00CF7DCA"/>
    <w:rsid w:val="00D003F3"/>
    <w:rsid w:val="00D005C8"/>
    <w:rsid w:val="00D007D4"/>
    <w:rsid w:val="00D02161"/>
    <w:rsid w:val="00D02593"/>
    <w:rsid w:val="00D0364F"/>
    <w:rsid w:val="00D03BD0"/>
    <w:rsid w:val="00D04993"/>
    <w:rsid w:val="00D059A7"/>
    <w:rsid w:val="00D05B9A"/>
    <w:rsid w:val="00D06436"/>
    <w:rsid w:val="00D06447"/>
    <w:rsid w:val="00D06834"/>
    <w:rsid w:val="00D06B18"/>
    <w:rsid w:val="00D07DC0"/>
    <w:rsid w:val="00D152C2"/>
    <w:rsid w:val="00D155CF"/>
    <w:rsid w:val="00D17704"/>
    <w:rsid w:val="00D17A47"/>
    <w:rsid w:val="00D17E97"/>
    <w:rsid w:val="00D17F55"/>
    <w:rsid w:val="00D208A1"/>
    <w:rsid w:val="00D20BE0"/>
    <w:rsid w:val="00D21E0F"/>
    <w:rsid w:val="00D22A36"/>
    <w:rsid w:val="00D230BA"/>
    <w:rsid w:val="00D231B2"/>
    <w:rsid w:val="00D23701"/>
    <w:rsid w:val="00D23980"/>
    <w:rsid w:val="00D23CA4"/>
    <w:rsid w:val="00D25388"/>
    <w:rsid w:val="00D26015"/>
    <w:rsid w:val="00D27703"/>
    <w:rsid w:val="00D3054B"/>
    <w:rsid w:val="00D3077B"/>
    <w:rsid w:val="00D308ED"/>
    <w:rsid w:val="00D30992"/>
    <w:rsid w:val="00D323B9"/>
    <w:rsid w:val="00D331BE"/>
    <w:rsid w:val="00D33E6E"/>
    <w:rsid w:val="00D34005"/>
    <w:rsid w:val="00D34ADF"/>
    <w:rsid w:val="00D35519"/>
    <w:rsid w:val="00D35992"/>
    <w:rsid w:val="00D363AD"/>
    <w:rsid w:val="00D36D86"/>
    <w:rsid w:val="00D37002"/>
    <w:rsid w:val="00D3793F"/>
    <w:rsid w:val="00D40E79"/>
    <w:rsid w:val="00D41405"/>
    <w:rsid w:val="00D42008"/>
    <w:rsid w:val="00D428AA"/>
    <w:rsid w:val="00D43BF8"/>
    <w:rsid w:val="00D43D66"/>
    <w:rsid w:val="00D44379"/>
    <w:rsid w:val="00D44AFA"/>
    <w:rsid w:val="00D4570C"/>
    <w:rsid w:val="00D477A8"/>
    <w:rsid w:val="00D501B5"/>
    <w:rsid w:val="00D50A34"/>
    <w:rsid w:val="00D51A36"/>
    <w:rsid w:val="00D51E65"/>
    <w:rsid w:val="00D520C4"/>
    <w:rsid w:val="00D5322C"/>
    <w:rsid w:val="00D5380E"/>
    <w:rsid w:val="00D53E57"/>
    <w:rsid w:val="00D53EFA"/>
    <w:rsid w:val="00D53F05"/>
    <w:rsid w:val="00D54723"/>
    <w:rsid w:val="00D5691E"/>
    <w:rsid w:val="00D57536"/>
    <w:rsid w:val="00D60050"/>
    <w:rsid w:val="00D6131A"/>
    <w:rsid w:val="00D626FC"/>
    <w:rsid w:val="00D627C9"/>
    <w:rsid w:val="00D64375"/>
    <w:rsid w:val="00D6589D"/>
    <w:rsid w:val="00D667D3"/>
    <w:rsid w:val="00D70319"/>
    <w:rsid w:val="00D707FE"/>
    <w:rsid w:val="00D70ED8"/>
    <w:rsid w:val="00D71426"/>
    <w:rsid w:val="00D71F0E"/>
    <w:rsid w:val="00D72345"/>
    <w:rsid w:val="00D72AAE"/>
    <w:rsid w:val="00D72B85"/>
    <w:rsid w:val="00D74531"/>
    <w:rsid w:val="00D74D27"/>
    <w:rsid w:val="00D74D28"/>
    <w:rsid w:val="00D7512B"/>
    <w:rsid w:val="00D758C5"/>
    <w:rsid w:val="00D75E42"/>
    <w:rsid w:val="00D80021"/>
    <w:rsid w:val="00D80DB7"/>
    <w:rsid w:val="00D81028"/>
    <w:rsid w:val="00D82618"/>
    <w:rsid w:val="00D82DEA"/>
    <w:rsid w:val="00D83CF0"/>
    <w:rsid w:val="00D849B8"/>
    <w:rsid w:val="00D85878"/>
    <w:rsid w:val="00D85C76"/>
    <w:rsid w:val="00D86F6D"/>
    <w:rsid w:val="00D870B7"/>
    <w:rsid w:val="00D87AE3"/>
    <w:rsid w:val="00D87B27"/>
    <w:rsid w:val="00D87D2D"/>
    <w:rsid w:val="00D90B85"/>
    <w:rsid w:val="00D91C5B"/>
    <w:rsid w:val="00D91F4D"/>
    <w:rsid w:val="00D92B27"/>
    <w:rsid w:val="00D92FD2"/>
    <w:rsid w:val="00D931D1"/>
    <w:rsid w:val="00D93CAF"/>
    <w:rsid w:val="00D9415B"/>
    <w:rsid w:val="00D942A7"/>
    <w:rsid w:val="00D94A7C"/>
    <w:rsid w:val="00D95896"/>
    <w:rsid w:val="00D96630"/>
    <w:rsid w:val="00D96F86"/>
    <w:rsid w:val="00D97461"/>
    <w:rsid w:val="00D97D10"/>
    <w:rsid w:val="00D97DBA"/>
    <w:rsid w:val="00D97F9B"/>
    <w:rsid w:val="00DA1A8F"/>
    <w:rsid w:val="00DA22E2"/>
    <w:rsid w:val="00DA257B"/>
    <w:rsid w:val="00DA263E"/>
    <w:rsid w:val="00DA2D64"/>
    <w:rsid w:val="00DA3343"/>
    <w:rsid w:val="00DA4129"/>
    <w:rsid w:val="00DA4DD2"/>
    <w:rsid w:val="00DA508F"/>
    <w:rsid w:val="00DA59B7"/>
    <w:rsid w:val="00DA6031"/>
    <w:rsid w:val="00DA6AB0"/>
    <w:rsid w:val="00DA76B9"/>
    <w:rsid w:val="00DA7976"/>
    <w:rsid w:val="00DB2983"/>
    <w:rsid w:val="00DB4926"/>
    <w:rsid w:val="00DB65BA"/>
    <w:rsid w:val="00DB6A7A"/>
    <w:rsid w:val="00DC1257"/>
    <w:rsid w:val="00DC16E0"/>
    <w:rsid w:val="00DC1BC2"/>
    <w:rsid w:val="00DC1CFD"/>
    <w:rsid w:val="00DC2B20"/>
    <w:rsid w:val="00DC30D6"/>
    <w:rsid w:val="00DC3196"/>
    <w:rsid w:val="00DC3DC0"/>
    <w:rsid w:val="00DC5B2B"/>
    <w:rsid w:val="00DC6216"/>
    <w:rsid w:val="00DC7890"/>
    <w:rsid w:val="00DD033F"/>
    <w:rsid w:val="00DD11D8"/>
    <w:rsid w:val="00DD149D"/>
    <w:rsid w:val="00DD318D"/>
    <w:rsid w:val="00DD32A6"/>
    <w:rsid w:val="00DD3828"/>
    <w:rsid w:val="00DD3EB4"/>
    <w:rsid w:val="00DD4AF1"/>
    <w:rsid w:val="00DD4CA4"/>
    <w:rsid w:val="00DD4DD1"/>
    <w:rsid w:val="00DD4E73"/>
    <w:rsid w:val="00DD5478"/>
    <w:rsid w:val="00DD5C68"/>
    <w:rsid w:val="00DD5E59"/>
    <w:rsid w:val="00DD6A0F"/>
    <w:rsid w:val="00DD79E7"/>
    <w:rsid w:val="00DE003E"/>
    <w:rsid w:val="00DE0A89"/>
    <w:rsid w:val="00DE1D5E"/>
    <w:rsid w:val="00DE3B4A"/>
    <w:rsid w:val="00DE430F"/>
    <w:rsid w:val="00DE513E"/>
    <w:rsid w:val="00DE69C1"/>
    <w:rsid w:val="00DE6E56"/>
    <w:rsid w:val="00DF0D44"/>
    <w:rsid w:val="00DF20AC"/>
    <w:rsid w:val="00DF2E12"/>
    <w:rsid w:val="00DF497F"/>
    <w:rsid w:val="00DF514A"/>
    <w:rsid w:val="00DF608A"/>
    <w:rsid w:val="00DF6362"/>
    <w:rsid w:val="00DF63FD"/>
    <w:rsid w:val="00DF6690"/>
    <w:rsid w:val="00DF6804"/>
    <w:rsid w:val="00DF6895"/>
    <w:rsid w:val="00DF76D2"/>
    <w:rsid w:val="00E00E05"/>
    <w:rsid w:val="00E01C8F"/>
    <w:rsid w:val="00E0225D"/>
    <w:rsid w:val="00E024CF"/>
    <w:rsid w:val="00E026F1"/>
    <w:rsid w:val="00E02CF0"/>
    <w:rsid w:val="00E0358D"/>
    <w:rsid w:val="00E04323"/>
    <w:rsid w:val="00E043DF"/>
    <w:rsid w:val="00E04695"/>
    <w:rsid w:val="00E05BCC"/>
    <w:rsid w:val="00E05ED3"/>
    <w:rsid w:val="00E06054"/>
    <w:rsid w:val="00E06E12"/>
    <w:rsid w:val="00E070A2"/>
    <w:rsid w:val="00E10FFE"/>
    <w:rsid w:val="00E11F3C"/>
    <w:rsid w:val="00E11F90"/>
    <w:rsid w:val="00E1283B"/>
    <w:rsid w:val="00E12AA8"/>
    <w:rsid w:val="00E13FA7"/>
    <w:rsid w:val="00E14D45"/>
    <w:rsid w:val="00E14F86"/>
    <w:rsid w:val="00E151C5"/>
    <w:rsid w:val="00E161A3"/>
    <w:rsid w:val="00E17AB4"/>
    <w:rsid w:val="00E20B6B"/>
    <w:rsid w:val="00E23754"/>
    <w:rsid w:val="00E23CC0"/>
    <w:rsid w:val="00E2449E"/>
    <w:rsid w:val="00E24CB5"/>
    <w:rsid w:val="00E24D70"/>
    <w:rsid w:val="00E2564B"/>
    <w:rsid w:val="00E25683"/>
    <w:rsid w:val="00E2656A"/>
    <w:rsid w:val="00E26F1C"/>
    <w:rsid w:val="00E27398"/>
    <w:rsid w:val="00E27470"/>
    <w:rsid w:val="00E27FD2"/>
    <w:rsid w:val="00E30876"/>
    <w:rsid w:val="00E311D6"/>
    <w:rsid w:val="00E322C3"/>
    <w:rsid w:val="00E32FD1"/>
    <w:rsid w:val="00E33462"/>
    <w:rsid w:val="00E343C6"/>
    <w:rsid w:val="00E35D3B"/>
    <w:rsid w:val="00E3623A"/>
    <w:rsid w:val="00E36D10"/>
    <w:rsid w:val="00E3710E"/>
    <w:rsid w:val="00E37703"/>
    <w:rsid w:val="00E37F1E"/>
    <w:rsid w:val="00E40B9A"/>
    <w:rsid w:val="00E40D37"/>
    <w:rsid w:val="00E40D40"/>
    <w:rsid w:val="00E412D0"/>
    <w:rsid w:val="00E41CA9"/>
    <w:rsid w:val="00E41D5D"/>
    <w:rsid w:val="00E41D94"/>
    <w:rsid w:val="00E42938"/>
    <w:rsid w:val="00E42DA1"/>
    <w:rsid w:val="00E436E6"/>
    <w:rsid w:val="00E43D71"/>
    <w:rsid w:val="00E43FC3"/>
    <w:rsid w:val="00E4443B"/>
    <w:rsid w:val="00E44519"/>
    <w:rsid w:val="00E44745"/>
    <w:rsid w:val="00E46195"/>
    <w:rsid w:val="00E4697A"/>
    <w:rsid w:val="00E50371"/>
    <w:rsid w:val="00E51E7F"/>
    <w:rsid w:val="00E5251A"/>
    <w:rsid w:val="00E54357"/>
    <w:rsid w:val="00E549C5"/>
    <w:rsid w:val="00E54CEE"/>
    <w:rsid w:val="00E54D60"/>
    <w:rsid w:val="00E55483"/>
    <w:rsid w:val="00E559DB"/>
    <w:rsid w:val="00E55BB2"/>
    <w:rsid w:val="00E56322"/>
    <w:rsid w:val="00E56BDE"/>
    <w:rsid w:val="00E6093C"/>
    <w:rsid w:val="00E60982"/>
    <w:rsid w:val="00E60E57"/>
    <w:rsid w:val="00E60F0C"/>
    <w:rsid w:val="00E628F8"/>
    <w:rsid w:val="00E62C62"/>
    <w:rsid w:val="00E62F5F"/>
    <w:rsid w:val="00E63B3F"/>
    <w:rsid w:val="00E64594"/>
    <w:rsid w:val="00E654C1"/>
    <w:rsid w:val="00E65D97"/>
    <w:rsid w:val="00E66BDF"/>
    <w:rsid w:val="00E67DE5"/>
    <w:rsid w:val="00E700E1"/>
    <w:rsid w:val="00E7080A"/>
    <w:rsid w:val="00E70A4C"/>
    <w:rsid w:val="00E72A5A"/>
    <w:rsid w:val="00E73323"/>
    <w:rsid w:val="00E73354"/>
    <w:rsid w:val="00E745C2"/>
    <w:rsid w:val="00E756E4"/>
    <w:rsid w:val="00E76BAD"/>
    <w:rsid w:val="00E80AF3"/>
    <w:rsid w:val="00E81594"/>
    <w:rsid w:val="00E82541"/>
    <w:rsid w:val="00E82EFD"/>
    <w:rsid w:val="00E83B69"/>
    <w:rsid w:val="00E84189"/>
    <w:rsid w:val="00E845DF"/>
    <w:rsid w:val="00E8640B"/>
    <w:rsid w:val="00E9238D"/>
    <w:rsid w:val="00E9242D"/>
    <w:rsid w:val="00E92829"/>
    <w:rsid w:val="00E9308C"/>
    <w:rsid w:val="00E93C3C"/>
    <w:rsid w:val="00E940FB"/>
    <w:rsid w:val="00E9578A"/>
    <w:rsid w:val="00E95D19"/>
    <w:rsid w:val="00E96082"/>
    <w:rsid w:val="00E977CC"/>
    <w:rsid w:val="00E97B8B"/>
    <w:rsid w:val="00EA0150"/>
    <w:rsid w:val="00EA04CA"/>
    <w:rsid w:val="00EA11AA"/>
    <w:rsid w:val="00EA1F44"/>
    <w:rsid w:val="00EA22A1"/>
    <w:rsid w:val="00EA2DC4"/>
    <w:rsid w:val="00EA3704"/>
    <w:rsid w:val="00EA3D26"/>
    <w:rsid w:val="00EA3EB8"/>
    <w:rsid w:val="00EA43FC"/>
    <w:rsid w:val="00EA58D6"/>
    <w:rsid w:val="00EA5910"/>
    <w:rsid w:val="00EA5E99"/>
    <w:rsid w:val="00EA5EDF"/>
    <w:rsid w:val="00EA6532"/>
    <w:rsid w:val="00EA7F9D"/>
    <w:rsid w:val="00EB0F20"/>
    <w:rsid w:val="00EB14A8"/>
    <w:rsid w:val="00EB1807"/>
    <w:rsid w:val="00EB2990"/>
    <w:rsid w:val="00EB2A24"/>
    <w:rsid w:val="00EB3468"/>
    <w:rsid w:val="00EB3D14"/>
    <w:rsid w:val="00EB4813"/>
    <w:rsid w:val="00EB5255"/>
    <w:rsid w:val="00EB5A52"/>
    <w:rsid w:val="00EB5C47"/>
    <w:rsid w:val="00EB62F0"/>
    <w:rsid w:val="00EB6787"/>
    <w:rsid w:val="00EB7641"/>
    <w:rsid w:val="00EB7EBD"/>
    <w:rsid w:val="00EC049C"/>
    <w:rsid w:val="00EC0D67"/>
    <w:rsid w:val="00EC10BD"/>
    <w:rsid w:val="00EC11F4"/>
    <w:rsid w:val="00EC2696"/>
    <w:rsid w:val="00EC27BD"/>
    <w:rsid w:val="00EC2BEA"/>
    <w:rsid w:val="00EC3484"/>
    <w:rsid w:val="00EC428D"/>
    <w:rsid w:val="00EC4D3B"/>
    <w:rsid w:val="00EC58D3"/>
    <w:rsid w:val="00EC6E2D"/>
    <w:rsid w:val="00EC7952"/>
    <w:rsid w:val="00ED0266"/>
    <w:rsid w:val="00ED0639"/>
    <w:rsid w:val="00ED32F2"/>
    <w:rsid w:val="00ED3BA9"/>
    <w:rsid w:val="00ED3D10"/>
    <w:rsid w:val="00ED4631"/>
    <w:rsid w:val="00ED629D"/>
    <w:rsid w:val="00ED7D3C"/>
    <w:rsid w:val="00ED7E14"/>
    <w:rsid w:val="00EE0FE2"/>
    <w:rsid w:val="00EE215D"/>
    <w:rsid w:val="00EE263F"/>
    <w:rsid w:val="00EE2D6B"/>
    <w:rsid w:val="00EE3385"/>
    <w:rsid w:val="00EE4E6B"/>
    <w:rsid w:val="00EE5C3D"/>
    <w:rsid w:val="00EE6FA6"/>
    <w:rsid w:val="00EE739E"/>
    <w:rsid w:val="00EE741A"/>
    <w:rsid w:val="00EE7F8D"/>
    <w:rsid w:val="00EF02CF"/>
    <w:rsid w:val="00EF0363"/>
    <w:rsid w:val="00EF06F0"/>
    <w:rsid w:val="00EF0814"/>
    <w:rsid w:val="00EF0B0B"/>
    <w:rsid w:val="00EF0B71"/>
    <w:rsid w:val="00EF1138"/>
    <w:rsid w:val="00EF1B92"/>
    <w:rsid w:val="00EF237C"/>
    <w:rsid w:val="00EF285F"/>
    <w:rsid w:val="00EF4702"/>
    <w:rsid w:val="00EF4755"/>
    <w:rsid w:val="00EF4874"/>
    <w:rsid w:val="00EF4BC4"/>
    <w:rsid w:val="00EF5A90"/>
    <w:rsid w:val="00EF6787"/>
    <w:rsid w:val="00EF7135"/>
    <w:rsid w:val="00EF7821"/>
    <w:rsid w:val="00EF79ED"/>
    <w:rsid w:val="00F00DC2"/>
    <w:rsid w:val="00F021A6"/>
    <w:rsid w:val="00F027DB"/>
    <w:rsid w:val="00F03DBF"/>
    <w:rsid w:val="00F103F9"/>
    <w:rsid w:val="00F1354D"/>
    <w:rsid w:val="00F1379E"/>
    <w:rsid w:val="00F14989"/>
    <w:rsid w:val="00F14A7A"/>
    <w:rsid w:val="00F15074"/>
    <w:rsid w:val="00F16F8F"/>
    <w:rsid w:val="00F17171"/>
    <w:rsid w:val="00F20297"/>
    <w:rsid w:val="00F21916"/>
    <w:rsid w:val="00F22182"/>
    <w:rsid w:val="00F223F1"/>
    <w:rsid w:val="00F22985"/>
    <w:rsid w:val="00F23CC7"/>
    <w:rsid w:val="00F24531"/>
    <w:rsid w:val="00F24AB5"/>
    <w:rsid w:val="00F259CB"/>
    <w:rsid w:val="00F261CC"/>
    <w:rsid w:val="00F262A1"/>
    <w:rsid w:val="00F27030"/>
    <w:rsid w:val="00F31A3F"/>
    <w:rsid w:val="00F32580"/>
    <w:rsid w:val="00F3383E"/>
    <w:rsid w:val="00F33AD6"/>
    <w:rsid w:val="00F341CB"/>
    <w:rsid w:val="00F34AB4"/>
    <w:rsid w:val="00F35070"/>
    <w:rsid w:val="00F3508B"/>
    <w:rsid w:val="00F353F7"/>
    <w:rsid w:val="00F363D6"/>
    <w:rsid w:val="00F36E26"/>
    <w:rsid w:val="00F37596"/>
    <w:rsid w:val="00F37AB9"/>
    <w:rsid w:val="00F37C10"/>
    <w:rsid w:val="00F402A3"/>
    <w:rsid w:val="00F4044C"/>
    <w:rsid w:val="00F42164"/>
    <w:rsid w:val="00F422E7"/>
    <w:rsid w:val="00F42AF7"/>
    <w:rsid w:val="00F4377F"/>
    <w:rsid w:val="00F437B2"/>
    <w:rsid w:val="00F4390B"/>
    <w:rsid w:val="00F43DC4"/>
    <w:rsid w:val="00F44408"/>
    <w:rsid w:val="00F448FF"/>
    <w:rsid w:val="00F44F8F"/>
    <w:rsid w:val="00F453EA"/>
    <w:rsid w:val="00F4621F"/>
    <w:rsid w:val="00F465A7"/>
    <w:rsid w:val="00F467CC"/>
    <w:rsid w:val="00F46F42"/>
    <w:rsid w:val="00F478AA"/>
    <w:rsid w:val="00F47E34"/>
    <w:rsid w:val="00F50B7C"/>
    <w:rsid w:val="00F512C1"/>
    <w:rsid w:val="00F52CFB"/>
    <w:rsid w:val="00F536D4"/>
    <w:rsid w:val="00F53D0E"/>
    <w:rsid w:val="00F550E6"/>
    <w:rsid w:val="00F551B0"/>
    <w:rsid w:val="00F559F3"/>
    <w:rsid w:val="00F55CE4"/>
    <w:rsid w:val="00F55E4D"/>
    <w:rsid w:val="00F55F28"/>
    <w:rsid w:val="00F600E9"/>
    <w:rsid w:val="00F6137B"/>
    <w:rsid w:val="00F6283C"/>
    <w:rsid w:val="00F6370D"/>
    <w:rsid w:val="00F643FE"/>
    <w:rsid w:val="00F64A9D"/>
    <w:rsid w:val="00F64B5C"/>
    <w:rsid w:val="00F64E68"/>
    <w:rsid w:val="00F656AE"/>
    <w:rsid w:val="00F6582C"/>
    <w:rsid w:val="00F665C2"/>
    <w:rsid w:val="00F66806"/>
    <w:rsid w:val="00F67381"/>
    <w:rsid w:val="00F6798A"/>
    <w:rsid w:val="00F70A4C"/>
    <w:rsid w:val="00F71873"/>
    <w:rsid w:val="00F71CB9"/>
    <w:rsid w:val="00F735C6"/>
    <w:rsid w:val="00F73FB4"/>
    <w:rsid w:val="00F74345"/>
    <w:rsid w:val="00F74430"/>
    <w:rsid w:val="00F74503"/>
    <w:rsid w:val="00F76F5B"/>
    <w:rsid w:val="00F77904"/>
    <w:rsid w:val="00F80A0A"/>
    <w:rsid w:val="00F80AA5"/>
    <w:rsid w:val="00F81227"/>
    <w:rsid w:val="00F81732"/>
    <w:rsid w:val="00F81D63"/>
    <w:rsid w:val="00F82B19"/>
    <w:rsid w:val="00F844BC"/>
    <w:rsid w:val="00F85354"/>
    <w:rsid w:val="00F86719"/>
    <w:rsid w:val="00F86A59"/>
    <w:rsid w:val="00F901F5"/>
    <w:rsid w:val="00F90E16"/>
    <w:rsid w:val="00F91608"/>
    <w:rsid w:val="00F91C3D"/>
    <w:rsid w:val="00F9212D"/>
    <w:rsid w:val="00F935C3"/>
    <w:rsid w:val="00F936D3"/>
    <w:rsid w:val="00F93DAF"/>
    <w:rsid w:val="00F944A9"/>
    <w:rsid w:val="00F95375"/>
    <w:rsid w:val="00F9581C"/>
    <w:rsid w:val="00F95F1C"/>
    <w:rsid w:val="00F9626B"/>
    <w:rsid w:val="00F965DA"/>
    <w:rsid w:val="00F96631"/>
    <w:rsid w:val="00F9785C"/>
    <w:rsid w:val="00FA0361"/>
    <w:rsid w:val="00FA0F45"/>
    <w:rsid w:val="00FA1622"/>
    <w:rsid w:val="00FA1EE2"/>
    <w:rsid w:val="00FA2242"/>
    <w:rsid w:val="00FA24A3"/>
    <w:rsid w:val="00FA316E"/>
    <w:rsid w:val="00FA406A"/>
    <w:rsid w:val="00FA7A5F"/>
    <w:rsid w:val="00FA7E60"/>
    <w:rsid w:val="00FB1C96"/>
    <w:rsid w:val="00FB24B2"/>
    <w:rsid w:val="00FB288C"/>
    <w:rsid w:val="00FB2AB8"/>
    <w:rsid w:val="00FB2C7B"/>
    <w:rsid w:val="00FB3208"/>
    <w:rsid w:val="00FB4DB9"/>
    <w:rsid w:val="00FB503A"/>
    <w:rsid w:val="00FB516C"/>
    <w:rsid w:val="00FB52D3"/>
    <w:rsid w:val="00FB5E90"/>
    <w:rsid w:val="00FB63EC"/>
    <w:rsid w:val="00FC1424"/>
    <w:rsid w:val="00FC19CB"/>
    <w:rsid w:val="00FC1EF1"/>
    <w:rsid w:val="00FC23C0"/>
    <w:rsid w:val="00FC290C"/>
    <w:rsid w:val="00FC2EF9"/>
    <w:rsid w:val="00FC56E4"/>
    <w:rsid w:val="00FC638B"/>
    <w:rsid w:val="00FD014A"/>
    <w:rsid w:val="00FD0236"/>
    <w:rsid w:val="00FD0635"/>
    <w:rsid w:val="00FD12D7"/>
    <w:rsid w:val="00FD18F4"/>
    <w:rsid w:val="00FD2517"/>
    <w:rsid w:val="00FD2730"/>
    <w:rsid w:val="00FD29F5"/>
    <w:rsid w:val="00FD463E"/>
    <w:rsid w:val="00FD4ADF"/>
    <w:rsid w:val="00FD5334"/>
    <w:rsid w:val="00FD54DB"/>
    <w:rsid w:val="00FD619F"/>
    <w:rsid w:val="00FD6596"/>
    <w:rsid w:val="00FD6C0D"/>
    <w:rsid w:val="00FE0701"/>
    <w:rsid w:val="00FE0B0B"/>
    <w:rsid w:val="00FE1176"/>
    <w:rsid w:val="00FE13C5"/>
    <w:rsid w:val="00FE18AB"/>
    <w:rsid w:val="00FE2206"/>
    <w:rsid w:val="00FE293A"/>
    <w:rsid w:val="00FE34EA"/>
    <w:rsid w:val="00FE4743"/>
    <w:rsid w:val="00FE7666"/>
    <w:rsid w:val="00FE7AFB"/>
    <w:rsid w:val="00FF0C1C"/>
    <w:rsid w:val="00FF0F95"/>
    <w:rsid w:val="00FF1EB6"/>
    <w:rsid w:val="00FF28E5"/>
    <w:rsid w:val="00FF32E9"/>
    <w:rsid w:val="00FF3B0D"/>
    <w:rsid w:val="00FF409D"/>
    <w:rsid w:val="00FF48CA"/>
    <w:rsid w:val="00FF49FB"/>
    <w:rsid w:val="00FF4FD7"/>
    <w:rsid w:val="00FF5400"/>
    <w:rsid w:val="00FF5D56"/>
    <w:rsid w:val="00FF6DEF"/>
    <w:rsid w:val="01290F7E"/>
    <w:rsid w:val="015D1E09"/>
    <w:rsid w:val="02697903"/>
    <w:rsid w:val="0295740C"/>
    <w:rsid w:val="02F96569"/>
    <w:rsid w:val="033D1C0E"/>
    <w:rsid w:val="03EA7B21"/>
    <w:rsid w:val="03F84D6E"/>
    <w:rsid w:val="046D2633"/>
    <w:rsid w:val="05617E4F"/>
    <w:rsid w:val="05F83EAE"/>
    <w:rsid w:val="06051C97"/>
    <w:rsid w:val="063E7D85"/>
    <w:rsid w:val="06846D8D"/>
    <w:rsid w:val="07293586"/>
    <w:rsid w:val="07295285"/>
    <w:rsid w:val="07636392"/>
    <w:rsid w:val="0772186A"/>
    <w:rsid w:val="07770C56"/>
    <w:rsid w:val="089B0113"/>
    <w:rsid w:val="092217DD"/>
    <w:rsid w:val="092E4D8E"/>
    <w:rsid w:val="093A7294"/>
    <w:rsid w:val="09432035"/>
    <w:rsid w:val="099866AB"/>
    <w:rsid w:val="09B1706F"/>
    <w:rsid w:val="09D773D1"/>
    <w:rsid w:val="0A1A5089"/>
    <w:rsid w:val="0A263993"/>
    <w:rsid w:val="0A2D3AC2"/>
    <w:rsid w:val="0AA755DF"/>
    <w:rsid w:val="0AEA0AA0"/>
    <w:rsid w:val="0B120D44"/>
    <w:rsid w:val="0B835865"/>
    <w:rsid w:val="0BD27BF6"/>
    <w:rsid w:val="0BEC653A"/>
    <w:rsid w:val="0C0B26B0"/>
    <w:rsid w:val="0C3B3C7D"/>
    <w:rsid w:val="0C8423A4"/>
    <w:rsid w:val="0CAB2EAE"/>
    <w:rsid w:val="0D621C7D"/>
    <w:rsid w:val="0D705F79"/>
    <w:rsid w:val="0D921E8A"/>
    <w:rsid w:val="0DE94B97"/>
    <w:rsid w:val="0E73034D"/>
    <w:rsid w:val="0F13775A"/>
    <w:rsid w:val="0F4B48EC"/>
    <w:rsid w:val="0F5F45FE"/>
    <w:rsid w:val="0F8132ED"/>
    <w:rsid w:val="0F875362"/>
    <w:rsid w:val="0F9A112B"/>
    <w:rsid w:val="0FD54C2C"/>
    <w:rsid w:val="0FEE4EC2"/>
    <w:rsid w:val="0FF126B3"/>
    <w:rsid w:val="10375A7E"/>
    <w:rsid w:val="10567577"/>
    <w:rsid w:val="106D2F64"/>
    <w:rsid w:val="108C58F8"/>
    <w:rsid w:val="10B63710"/>
    <w:rsid w:val="10F10820"/>
    <w:rsid w:val="10F5451A"/>
    <w:rsid w:val="110C6E94"/>
    <w:rsid w:val="11162D1D"/>
    <w:rsid w:val="111C2F7A"/>
    <w:rsid w:val="11665CA1"/>
    <w:rsid w:val="12E35636"/>
    <w:rsid w:val="13502A8C"/>
    <w:rsid w:val="13951726"/>
    <w:rsid w:val="14396509"/>
    <w:rsid w:val="146806AD"/>
    <w:rsid w:val="14DD2C3C"/>
    <w:rsid w:val="14E62214"/>
    <w:rsid w:val="15715931"/>
    <w:rsid w:val="15811C1B"/>
    <w:rsid w:val="15BA6327"/>
    <w:rsid w:val="16087E1D"/>
    <w:rsid w:val="161B669A"/>
    <w:rsid w:val="16BB333D"/>
    <w:rsid w:val="176554E9"/>
    <w:rsid w:val="17701D14"/>
    <w:rsid w:val="17735226"/>
    <w:rsid w:val="189F624C"/>
    <w:rsid w:val="199E28F7"/>
    <w:rsid w:val="19EB0B86"/>
    <w:rsid w:val="1A053E41"/>
    <w:rsid w:val="1A1C66C0"/>
    <w:rsid w:val="1A42393B"/>
    <w:rsid w:val="1A5B5BFF"/>
    <w:rsid w:val="1A96712B"/>
    <w:rsid w:val="1AAD45DE"/>
    <w:rsid w:val="1B046F80"/>
    <w:rsid w:val="1B3267B5"/>
    <w:rsid w:val="1B40161D"/>
    <w:rsid w:val="1B441859"/>
    <w:rsid w:val="1B495008"/>
    <w:rsid w:val="1B6606B1"/>
    <w:rsid w:val="1B8024FE"/>
    <w:rsid w:val="1B963D2F"/>
    <w:rsid w:val="1BE010AC"/>
    <w:rsid w:val="1C0B046F"/>
    <w:rsid w:val="1C5E7925"/>
    <w:rsid w:val="1CA02076"/>
    <w:rsid w:val="1CFD070F"/>
    <w:rsid w:val="1D5F6196"/>
    <w:rsid w:val="1D6132A5"/>
    <w:rsid w:val="1D8E56D5"/>
    <w:rsid w:val="1DE32193"/>
    <w:rsid w:val="1DE629A1"/>
    <w:rsid w:val="1E7A43DA"/>
    <w:rsid w:val="1FE7539E"/>
    <w:rsid w:val="20054643"/>
    <w:rsid w:val="204D790A"/>
    <w:rsid w:val="20671BE0"/>
    <w:rsid w:val="20963CB8"/>
    <w:rsid w:val="20A36B4D"/>
    <w:rsid w:val="20A81A1B"/>
    <w:rsid w:val="20B07FB6"/>
    <w:rsid w:val="20B646FB"/>
    <w:rsid w:val="21004E0A"/>
    <w:rsid w:val="213B74B1"/>
    <w:rsid w:val="215A2310"/>
    <w:rsid w:val="21DE318A"/>
    <w:rsid w:val="21EF5B80"/>
    <w:rsid w:val="22392F91"/>
    <w:rsid w:val="22576990"/>
    <w:rsid w:val="22F47480"/>
    <w:rsid w:val="23B47CD9"/>
    <w:rsid w:val="23DE1C48"/>
    <w:rsid w:val="240210CD"/>
    <w:rsid w:val="242D281C"/>
    <w:rsid w:val="246323F9"/>
    <w:rsid w:val="24830C6A"/>
    <w:rsid w:val="24BF09F7"/>
    <w:rsid w:val="252D53FE"/>
    <w:rsid w:val="25EC2D81"/>
    <w:rsid w:val="26861094"/>
    <w:rsid w:val="26D62656"/>
    <w:rsid w:val="273E668C"/>
    <w:rsid w:val="276B61BB"/>
    <w:rsid w:val="277057A2"/>
    <w:rsid w:val="27E940AA"/>
    <w:rsid w:val="29206EB8"/>
    <w:rsid w:val="29441813"/>
    <w:rsid w:val="29595666"/>
    <w:rsid w:val="29874881"/>
    <w:rsid w:val="299C1A0A"/>
    <w:rsid w:val="29E325E0"/>
    <w:rsid w:val="2A452503"/>
    <w:rsid w:val="2B8F368C"/>
    <w:rsid w:val="2BA936A8"/>
    <w:rsid w:val="2BB62C95"/>
    <w:rsid w:val="2BD96984"/>
    <w:rsid w:val="2C315A5A"/>
    <w:rsid w:val="2C4B1C25"/>
    <w:rsid w:val="2C60674A"/>
    <w:rsid w:val="2D8A03C7"/>
    <w:rsid w:val="2D9E56F5"/>
    <w:rsid w:val="2DB17DF5"/>
    <w:rsid w:val="2E667F96"/>
    <w:rsid w:val="2E8226AB"/>
    <w:rsid w:val="2EB137BF"/>
    <w:rsid w:val="2FD065E6"/>
    <w:rsid w:val="2FD96870"/>
    <w:rsid w:val="30580BC9"/>
    <w:rsid w:val="311E2ED7"/>
    <w:rsid w:val="315619EE"/>
    <w:rsid w:val="315C449C"/>
    <w:rsid w:val="31B82709"/>
    <w:rsid w:val="31D05482"/>
    <w:rsid w:val="32400B34"/>
    <w:rsid w:val="32407533"/>
    <w:rsid w:val="329E6876"/>
    <w:rsid w:val="333015F2"/>
    <w:rsid w:val="333D0637"/>
    <w:rsid w:val="334B6320"/>
    <w:rsid w:val="33D934D4"/>
    <w:rsid w:val="33FE2F6A"/>
    <w:rsid w:val="340E07E5"/>
    <w:rsid w:val="34235BF7"/>
    <w:rsid w:val="34CB15F1"/>
    <w:rsid w:val="34D04DC8"/>
    <w:rsid w:val="34DF14AF"/>
    <w:rsid w:val="34E905BA"/>
    <w:rsid w:val="350F5AD2"/>
    <w:rsid w:val="35411821"/>
    <w:rsid w:val="354E3F3E"/>
    <w:rsid w:val="358C5FA8"/>
    <w:rsid w:val="35C15DF1"/>
    <w:rsid w:val="36074A7F"/>
    <w:rsid w:val="36923549"/>
    <w:rsid w:val="36AB09C2"/>
    <w:rsid w:val="36B75FBF"/>
    <w:rsid w:val="36BD0C45"/>
    <w:rsid w:val="37E00298"/>
    <w:rsid w:val="380A29C0"/>
    <w:rsid w:val="382A2507"/>
    <w:rsid w:val="38553C23"/>
    <w:rsid w:val="38B302F9"/>
    <w:rsid w:val="38E33ED1"/>
    <w:rsid w:val="38F12CD3"/>
    <w:rsid w:val="38F94775"/>
    <w:rsid w:val="38FA2096"/>
    <w:rsid w:val="392971ED"/>
    <w:rsid w:val="39325651"/>
    <w:rsid w:val="3A83172D"/>
    <w:rsid w:val="3A872856"/>
    <w:rsid w:val="3AA6518D"/>
    <w:rsid w:val="3AC63F1E"/>
    <w:rsid w:val="3B3763D1"/>
    <w:rsid w:val="3B732399"/>
    <w:rsid w:val="3C0B2DC4"/>
    <w:rsid w:val="3C2F6E1E"/>
    <w:rsid w:val="3C4F64BA"/>
    <w:rsid w:val="3CDA245A"/>
    <w:rsid w:val="3D1E06B7"/>
    <w:rsid w:val="3EDA0523"/>
    <w:rsid w:val="3F9C7D33"/>
    <w:rsid w:val="3FD54A17"/>
    <w:rsid w:val="405560D9"/>
    <w:rsid w:val="405F2163"/>
    <w:rsid w:val="407A6407"/>
    <w:rsid w:val="40D64809"/>
    <w:rsid w:val="41BA3087"/>
    <w:rsid w:val="4200449D"/>
    <w:rsid w:val="423A3BCC"/>
    <w:rsid w:val="424E57D2"/>
    <w:rsid w:val="42B26C49"/>
    <w:rsid w:val="433A6FE6"/>
    <w:rsid w:val="43480868"/>
    <w:rsid w:val="4350713C"/>
    <w:rsid w:val="436653E0"/>
    <w:rsid w:val="43C2293A"/>
    <w:rsid w:val="43C4431A"/>
    <w:rsid w:val="43F25A1C"/>
    <w:rsid w:val="44B951CC"/>
    <w:rsid w:val="44C67843"/>
    <w:rsid w:val="44CD14E0"/>
    <w:rsid w:val="44F20B0B"/>
    <w:rsid w:val="452A192A"/>
    <w:rsid w:val="452E5F4C"/>
    <w:rsid w:val="45612018"/>
    <w:rsid w:val="45757B4B"/>
    <w:rsid w:val="4585533A"/>
    <w:rsid w:val="458946E9"/>
    <w:rsid w:val="45A47C0E"/>
    <w:rsid w:val="45CF23AF"/>
    <w:rsid w:val="45D47053"/>
    <w:rsid w:val="46577FD6"/>
    <w:rsid w:val="46D955A7"/>
    <w:rsid w:val="4700361B"/>
    <w:rsid w:val="47133957"/>
    <w:rsid w:val="47A07E0C"/>
    <w:rsid w:val="47E437A7"/>
    <w:rsid w:val="4870272E"/>
    <w:rsid w:val="4878399F"/>
    <w:rsid w:val="497801EB"/>
    <w:rsid w:val="49B77EAC"/>
    <w:rsid w:val="49DC7715"/>
    <w:rsid w:val="4A023139"/>
    <w:rsid w:val="4A342933"/>
    <w:rsid w:val="4A437385"/>
    <w:rsid w:val="4A7B576F"/>
    <w:rsid w:val="4A8416BB"/>
    <w:rsid w:val="4AF561A9"/>
    <w:rsid w:val="4B294BA5"/>
    <w:rsid w:val="4C4A0649"/>
    <w:rsid w:val="4C7E5ECA"/>
    <w:rsid w:val="4C876AA5"/>
    <w:rsid w:val="4D0E00FB"/>
    <w:rsid w:val="4D176606"/>
    <w:rsid w:val="4D657197"/>
    <w:rsid w:val="4DEC4FB0"/>
    <w:rsid w:val="4DF3347D"/>
    <w:rsid w:val="4E075D8A"/>
    <w:rsid w:val="4EC00FAD"/>
    <w:rsid w:val="4F9843DC"/>
    <w:rsid w:val="4FC62A8C"/>
    <w:rsid w:val="4FD928B2"/>
    <w:rsid w:val="4FE20F0D"/>
    <w:rsid w:val="4FE51552"/>
    <w:rsid w:val="50504C4B"/>
    <w:rsid w:val="509C6E7C"/>
    <w:rsid w:val="5162104E"/>
    <w:rsid w:val="521E3DF0"/>
    <w:rsid w:val="525F7333"/>
    <w:rsid w:val="53A039CC"/>
    <w:rsid w:val="53A1505A"/>
    <w:rsid w:val="54063E08"/>
    <w:rsid w:val="543437E8"/>
    <w:rsid w:val="54F73313"/>
    <w:rsid w:val="54F80955"/>
    <w:rsid w:val="555170A7"/>
    <w:rsid w:val="55562A79"/>
    <w:rsid w:val="5587536D"/>
    <w:rsid w:val="559B174B"/>
    <w:rsid w:val="55CE0CF4"/>
    <w:rsid w:val="561D553B"/>
    <w:rsid w:val="56895567"/>
    <w:rsid w:val="56B22A9C"/>
    <w:rsid w:val="57B72A76"/>
    <w:rsid w:val="57C3426C"/>
    <w:rsid w:val="57CE1F93"/>
    <w:rsid w:val="585645A8"/>
    <w:rsid w:val="58772FE9"/>
    <w:rsid w:val="588743D1"/>
    <w:rsid w:val="5887701A"/>
    <w:rsid w:val="59C0439F"/>
    <w:rsid w:val="5A713DD4"/>
    <w:rsid w:val="5ABE2233"/>
    <w:rsid w:val="5B0D206B"/>
    <w:rsid w:val="5BDF5D95"/>
    <w:rsid w:val="5BFE7528"/>
    <w:rsid w:val="5C01045E"/>
    <w:rsid w:val="5C4436C9"/>
    <w:rsid w:val="5C6D3A16"/>
    <w:rsid w:val="5C8F0B89"/>
    <w:rsid w:val="5D245401"/>
    <w:rsid w:val="5DBE17B4"/>
    <w:rsid w:val="5E0869ED"/>
    <w:rsid w:val="5E2467F1"/>
    <w:rsid w:val="5EC436D5"/>
    <w:rsid w:val="5EED2DC8"/>
    <w:rsid w:val="5F1A2B43"/>
    <w:rsid w:val="5F3A6FD5"/>
    <w:rsid w:val="5FB837BB"/>
    <w:rsid w:val="60CC405A"/>
    <w:rsid w:val="60DE1A3A"/>
    <w:rsid w:val="61BE37E7"/>
    <w:rsid w:val="61E215D8"/>
    <w:rsid w:val="621B3775"/>
    <w:rsid w:val="62364782"/>
    <w:rsid w:val="62602620"/>
    <w:rsid w:val="62F7660C"/>
    <w:rsid w:val="6394356A"/>
    <w:rsid w:val="63C20B3C"/>
    <w:rsid w:val="63C61B2C"/>
    <w:rsid w:val="63D40BE9"/>
    <w:rsid w:val="64102431"/>
    <w:rsid w:val="642C4A68"/>
    <w:rsid w:val="64A5243A"/>
    <w:rsid w:val="64BF18CC"/>
    <w:rsid w:val="64D23995"/>
    <w:rsid w:val="64E17F46"/>
    <w:rsid w:val="64F531DE"/>
    <w:rsid w:val="65373578"/>
    <w:rsid w:val="666E0A4F"/>
    <w:rsid w:val="66CD0453"/>
    <w:rsid w:val="671F124A"/>
    <w:rsid w:val="677A33C6"/>
    <w:rsid w:val="68024591"/>
    <w:rsid w:val="681F6961"/>
    <w:rsid w:val="68610A2F"/>
    <w:rsid w:val="68694610"/>
    <w:rsid w:val="687F5BE1"/>
    <w:rsid w:val="68805514"/>
    <w:rsid w:val="68953223"/>
    <w:rsid w:val="68BC59BC"/>
    <w:rsid w:val="69316E2F"/>
    <w:rsid w:val="694E2071"/>
    <w:rsid w:val="69766163"/>
    <w:rsid w:val="697A3B33"/>
    <w:rsid w:val="69D44760"/>
    <w:rsid w:val="69EE74C3"/>
    <w:rsid w:val="6A520EC7"/>
    <w:rsid w:val="6A89513B"/>
    <w:rsid w:val="6AF87E20"/>
    <w:rsid w:val="6B322639"/>
    <w:rsid w:val="6B6F018F"/>
    <w:rsid w:val="6C05702D"/>
    <w:rsid w:val="6C636C38"/>
    <w:rsid w:val="6CFB5CAB"/>
    <w:rsid w:val="6D8F68C7"/>
    <w:rsid w:val="6DB34098"/>
    <w:rsid w:val="6DB545B6"/>
    <w:rsid w:val="6DB677F7"/>
    <w:rsid w:val="6DD26CD0"/>
    <w:rsid w:val="6DE02FB4"/>
    <w:rsid w:val="6DF07A0A"/>
    <w:rsid w:val="6E4E396D"/>
    <w:rsid w:val="6E514CED"/>
    <w:rsid w:val="6E55366C"/>
    <w:rsid w:val="6EB563D5"/>
    <w:rsid w:val="6ED92677"/>
    <w:rsid w:val="6EEB5D7F"/>
    <w:rsid w:val="6F225983"/>
    <w:rsid w:val="6FFC5590"/>
    <w:rsid w:val="706D1DD0"/>
    <w:rsid w:val="70856B87"/>
    <w:rsid w:val="70D527EE"/>
    <w:rsid w:val="7110644F"/>
    <w:rsid w:val="715B5300"/>
    <w:rsid w:val="71C579CA"/>
    <w:rsid w:val="71D126D8"/>
    <w:rsid w:val="71D27F8A"/>
    <w:rsid w:val="72553024"/>
    <w:rsid w:val="728E35F1"/>
    <w:rsid w:val="73122968"/>
    <w:rsid w:val="731F5D5E"/>
    <w:rsid w:val="73A07C25"/>
    <w:rsid w:val="73C51AD5"/>
    <w:rsid w:val="741E793C"/>
    <w:rsid w:val="745E3944"/>
    <w:rsid w:val="74DB23E2"/>
    <w:rsid w:val="74E412E0"/>
    <w:rsid w:val="751535D8"/>
    <w:rsid w:val="75E43080"/>
    <w:rsid w:val="7635099D"/>
    <w:rsid w:val="766E2327"/>
    <w:rsid w:val="77762421"/>
    <w:rsid w:val="77B56B1F"/>
    <w:rsid w:val="780F09F4"/>
    <w:rsid w:val="78A90480"/>
    <w:rsid w:val="78A930E2"/>
    <w:rsid w:val="78D21D5D"/>
    <w:rsid w:val="7A364017"/>
    <w:rsid w:val="7A8265E1"/>
    <w:rsid w:val="7AEA5A84"/>
    <w:rsid w:val="7AF075C4"/>
    <w:rsid w:val="7B5E6044"/>
    <w:rsid w:val="7B686D42"/>
    <w:rsid w:val="7B841746"/>
    <w:rsid w:val="7C54509B"/>
    <w:rsid w:val="7C6C5AC7"/>
    <w:rsid w:val="7CC6544B"/>
    <w:rsid w:val="7CCD6B4B"/>
    <w:rsid w:val="7CD92545"/>
    <w:rsid w:val="7D0239FF"/>
    <w:rsid w:val="7D4900F5"/>
    <w:rsid w:val="7D5E40CD"/>
    <w:rsid w:val="7DCD56F2"/>
    <w:rsid w:val="7DDB62AE"/>
    <w:rsid w:val="7E367ECC"/>
    <w:rsid w:val="7E4A20BC"/>
    <w:rsid w:val="7E671605"/>
    <w:rsid w:val="7E927FC5"/>
    <w:rsid w:val="7F001CE7"/>
    <w:rsid w:val="7FCF32EB"/>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nhideWhenUsed="0" w:uiPriority="0" w:semiHidden="0" w:name="index 1" w:locked="1"/>
    <w:lsdException w:uiPriority="0" w:name="index 2" w:locked="1"/>
    <w:lsdException w:uiPriority="0" w:name="index 3" w:locked="1"/>
    <w:lsdException w:qFormat="1" w:unhideWhenUsed="0" w:uiPriority="0" w:semiHidden="0" w:name="index 4" w:locked="1"/>
    <w:lsdException w:uiPriority="0" w:name="index 5" w:locked="1"/>
    <w:lsdException w:qFormat="1" w:unhideWhenUsed="0" w:uiPriority="99" w:semiHidden="0" w:name="index 6" w:locked="1"/>
    <w:lsdException w:uiPriority="0" w:name="index 7" w:locked="1"/>
    <w:lsdException w:qFormat="1" w:unhideWhenUsed="0" w:uiPriority="0" w:semiHidden="0" w:name="index 8" w:locked="1"/>
    <w:lsdException w:uiPriority="0" w:name="index 9" w:locked="1"/>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qFormat="1" w:unhideWhenUsed="0" w:uiPriority="0" w:semiHidden="0" w:name="Normal Indent" w:locked="1"/>
    <w:lsdException w:uiPriority="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ocked="1"/>
    <w:lsdException w:qFormat="1" w:unhideWhenUsed="0" w:uiPriority="0" w:semiHidden="0" w:name="caption" w:locked="1"/>
    <w:lsdException w:qFormat="1" w:unhideWhenUsed="0" w:uiPriority="0" w:semiHidden="0" w:name="table of figures" w:locked="1"/>
    <w:lsdException w:uiPriority="0" w:name="envelope address" w:locked="1"/>
    <w:lsdException w:uiPriority="0" w:name="envelope return" w:locked="1"/>
    <w:lsdException w:uiPriority="0" w:name="footnote reference" w:locked="1"/>
    <w:lsdException w:qFormat="1" w:unhideWhenUsed="0" w:uiPriority="0" w:semiHidden="0" w:name="annotation reference"/>
    <w:lsdException w:uiPriority="0" w:name="line number" w:locked="1"/>
    <w:lsdException w:qFormat="1" w:unhideWhenUsed="0" w:uiPriority="0" w:semiHidden="0" w:name="page number" w:locked="1"/>
    <w:lsdException w:qFormat="1" w:uiPriority="99" w:semiHidden="0" w:name="endnote reference" w:locked="1"/>
    <w:lsdException w:qFormat="1" w:uiPriority="99" w:semiHidden="0" w:name="endnote text" w:locked="1"/>
    <w:lsdException w:qFormat="1" w:unhideWhenUsed="0" w:uiPriority="0" w:semiHidden="0" w:name="table of authorities" w:locked="1"/>
    <w:lsdException w:uiPriority="0" w:name="macro" w:locked="1"/>
    <w:lsdException w:qFormat="1" w:unhideWhenUsed="0" w:uiPriority="99" w:semiHidden="0" w:name="toa heading" w:locked="1"/>
    <w:lsdException w:qFormat="1" w:unhideWhenUsed="0" w:uiPriority="0" w:semiHidden="0" w:name="List" w:locked="1"/>
    <w:lsdException w:uiPriority="0" w:name="List Bullet" w:locked="1"/>
    <w:lsdException w:qFormat="1" w:unhideWhenUsed="0" w:uiPriority="0" w:semiHidden="0" w:name="List Number" w:locked="1"/>
    <w:lsdException w:qFormat="1" w:unhideWhenUsed="0" w:uiPriority="0" w:semiHidden="0" w:name="List 2" w:locked="1"/>
    <w:lsdException w:uiPriority="0" w:name="List 3" w:locked="1"/>
    <w:lsdException w:uiPriority="0" w:name="List 4" w:locked="1"/>
    <w:lsdException w:uiPriority="0" w:name="List 5" w:locked="1"/>
    <w:lsdException w:qFormat="1" w:unhideWhenUsed="0" w:uiPriority="0" w:semiHidden="0" w:name="List Bullet 2" w:locked="1"/>
    <w:lsdException w:uiPriority="0" w:name="List Bullet 3" w:locked="1"/>
    <w:lsdException w:uiPriority="0" w:name="List Bullet 4" w:locked="1"/>
    <w:lsdException w:qFormat="1" w:unhideWhenUsed="0" w:uiPriority="0" w:semiHidden="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ocked="1"/>
    <w:lsdException w:uiPriority="0" w:name="Closing" w:locked="1"/>
    <w:lsdException w:uiPriority="0" w:name="Signature" w:locked="1"/>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ocked="1"/>
    <w:lsdException w:qFormat="1" w:unhideWhenUsed="0" w:uiPriority="0" w:semiHidden="0" w:name="Salutation" w:locked="1"/>
    <w:lsdException w:qFormat="1" w:unhideWhenUsed="0" w:uiPriority="0" w:semiHidden="0" w:name="Date"/>
    <w:lsdException w:qFormat="1" w:unhideWhenUsed="0" w:uiPriority="99" w:semiHidden="0" w:name="Body Text First Indent" w:locked="1"/>
    <w:lsdException w:qFormat="1" w:uiPriority="0" w:semiHidden="0" w:name="Body Text First Indent 2" w:locked="1"/>
    <w:lsdException w:qFormat="1" w:unhideWhenUsed="0" w:uiPriority="0" w:semiHidden="0" w:name="Note Heading" w:locked="1"/>
    <w:lsdException w:qFormat="1" w:unhideWhenUsed="0" w:uiPriority="99" w:semiHidden="0" w:name="Body Text 2" w:locked="1"/>
    <w:lsdException w:qFormat="1" w:unhideWhenUsed="0" w:uiPriority="99"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20" w:semiHidden="0" w:name="Emphasis" w:locked="1"/>
    <w:lsdException w:qFormat="1" w:unhideWhenUsed="0" w:uiPriority="99" w:semiHidden="0" w:name="Document Map" w:locked="1"/>
    <w:lsdException w:qFormat="1" w:unhideWhenUsed="0" w:uiPriority="0" w:semiHidden="0" w:name="Plain Text" w:locked="1"/>
    <w:lsdException w:uiPriority="0" w:name="E-mail Signature" w:locked="1"/>
    <w:lsdException w:qFormat="1" w:unhideWhenUsed="0" w:uiPriority="99" w:semiHidden="0" w:name="Normal (Web)"/>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qFormat="1" w:unhideWhenUsed="0" w:uiPriority="99" w:semiHidden="0" w:name="HTML Preformatted" w:locked="1"/>
    <w:lsdException w:uiPriority="0" w:name="HTML Sample" w:locked="1"/>
    <w:lsdException w:qFormat="1" w:unhideWhenUsed="0" w:uiPriority="0" w:semiHidden="0" w:name="HTML Typewriter" w:locked="1"/>
    <w:lsdException w:uiPriority="0" w:name="HTML Variable" w:locked="1"/>
    <w:lsdException w:qFormat="1" w:uiPriority="99" w:name="Normal Table"/>
    <w:lsdException w:qFormat="1" w:unhideWhenUsed="0" w:uiPriority="0" w:semiHidden="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qFormat="1" w:unhideWhenUsed="0" w:uiPriority="0" w:semiHidden="0" w:name="Table Grid 1" w:locked="1"/>
    <w:lsdException w:uiPriority="0" w:name="Table Grid 2" w:locked="1"/>
    <w:lsdException w:uiPriority="0" w:name="Table Grid 3" w:locked="1"/>
    <w:lsdException w:uiPriority="0" w:name="Table Grid 4" w:locked="1"/>
    <w:lsdException w:qFormat="1" w:unhideWhenUsed="0" w:uiPriority="0" w:semiHidden="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qFormat="1" w:unhideWhenUsed="0" w:uiPriority="0" w:semiHidden="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semiHidden="0" w:name="Balloon Text"/>
    <w:lsdException w:qFormat="1" w:unhideWhenUsed="0" w:uiPriority="39" w:semiHidden="0" w:name="Table Grid"/>
    <w:lsdException w:qFormat="1" w:unhideWhenUsed="0" w:uiPriority="0" w:semiHidden="0" w:name="Table Theme" w:locked="1"/>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7"/>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2"/>
    <w:link w:val="79"/>
    <w:qFormat/>
    <w:locked/>
    <w:uiPriority w:val="0"/>
    <w:pPr>
      <w:keepNext/>
      <w:keepLines/>
      <w:tabs>
        <w:tab w:val="left" w:pos="425"/>
      </w:tabs>
      <w:spacing w:before="120" w:after="120" w:line="480" w:lineRule="exact"/>
      <w:ind w:left="425" w:hanging="425"/>
      <w:outlineLvl w:val="1"/>
    </w:pPr>
    <w:rPr>
      <w:rFonts w:ascii="Arial" w:hAnsi="Arial" w:eastAsia="黑体"/>
      <w:b/>
      <w:sz w:val="36"/>
      <w:szCs w:val="20"/>
    </w:rPr>
  </w:style>
  <w:style w:type="paragraph" w:styleId="5">
    <w:name w:val="heading 3"/>
    <w:basedOn w:val="1"/>
    <w:next w:val="2"/>
    <w:link w:val="80"/>
    <w:qFormat/>
    <w:locked/>
    <w:uiPriority w:val="0"/>
    <w:pPr>
      <w:keepNext/>
      <w:keepLines/>
      <w:tabs>
        <w:tab w:val="left" w:pos="567"/>
      </w:tabs>
      <w:spacing w:before="120" w:after="120" w:line="480" w:lineRule="exact"/>
      <w:ind w:left="567" w:hanging="567"/>
      <w:outlineLvl w:val="2"/>
    </w:pPr>
    <w:rPr>
      <w:rFonts w:ascii="Arial" w:hAnsi="Arial" w:eastAsia="黑体"/>
      <w:b/>
      <w:sz w:val="30"/>
      <w:szCs w:val="20"/>
    </w:rPr>
  </w:style>
  <w:style w:type="paragraph" w:styleId="6">
    <w:name w:val="heading 4"/>
    <w:basedOn w:val="1"/>
    <w:next w:val="2"/>
    <w:link w:val="81"/>
    <w:qFormat/>
    <w:locked/>
    <w:uiPriority w:val="0"/>
    <w:pPr>
      <w:keepNext/>
      <w:keepLines/>
      <w:tabs>
        <w:tab w:val="left" w:pos="1080"/>
      </w:tabs>
      <w:spacing w:before="120" w:after="120" w:line="320" w:lineRule="exact"/>
      <w:ind w:left="567" w:hanging="567"/>
      <w:outlineLvl w:val="3"/>
    </w:pPr>
    <w:rPr>
      <w:rFonts w:ascii="Arial" w:hAnsi="Arial" w:eastAsia="黑体"/>
      <w:b/>
      <w:sz w:val="28"/>
      <w:szCs w:val="20"/>
    </w:rPr>
  </w:style>
  <w:style w:type="paragraph" w:styleId="7">
    <w:name w:val="heading 5"/>
    <w:basedOn w:val="1"/>
    <w:next w:val="2"/>
    <w:link w:val="82"/>
    <w:qFormat/>
    <w:locked/>
    <w:uiPriority w:val="0"/>
    <w:pPr>
      <w:keepNext/>
      <w:tabs>
        <w:tab w:val="left" w:pos="1080"/>
      </w:tabs>
      <w:ind w:left="851" w:hanging="851"/>
      <w:outlineLvl w:val="4"/>
    </w:pPr>
    <w:rPr>
      <w:rFonts w:ascii="Arial" w:hAnsi="Arial"/>
      <w:b/>
      <w:sz w:val="28"/>
      <w:szCs w:val="20"/>
    </w:rPr>
  </w:style>
  <w:style w:type="paragraph" w:styleId="8">
    <w:name w:val="heading 6"/>
    <w:basedOn w:val="1"/>
    <w:next w:val="1"/>
    <w:link w:val="83"/>
    <w:qFormat/>
    <w:locked/>
    <w:uiPriority w:val="0"/>
    <w:pPr>
      <w:keepNext/>
      <w:widowControl/>
      <w:tabs>
        <w:tab w:val="left" w:pos="0"/>
      </w:tabs>
      <w:jc w:val="center"/>
      <w:outlineLvl w:val="5"/>
    </w:pPr>
    <w:rPr>
      <w:rFonts w:eastAsia="楷体_GB2312"/>
      <w:b/>
      <w:kern w:val="0"/>
      <w:sz w:val="20"/>
      <w:szCs w:val="20"/>
    </w:rPr>
  </w:style>
  <w:style w:type="paragraph" w:styleId="9">
    <w:name w:val="heading 7"/>
    <w:basedOn w:val="1"/>
    <w:next w:val="1"/>
    <w:link w:val="84"/>
    <w:qFormat/>
    <w:locked/>
    <w:uiPriority w:val="0"/>
    <w:pPr>
      <w:keepNext/>
      <w:keepLines/>
      <w:adjustRightInd w:val="0"/>
      <w:spacing w:before="240" w:after="64" w:line="320" w:lineRule="atLeast"/>
      <w:ind w:firstLine="200" w:firstLineChars="200"/>
      <w:textAlignment w:val="baseline"/>
      <w:outlineLvl w:val="6"/>
    </w:pPr>
    <w:rPr>
      <w:rFonts w:eastAsia="仿宋_GB2312"/>
      <w:b/>
      <w:kern w:val="0"/>
      <w:sz w:val="24"/>
      <w:lang w:val="zh-CN"/>
    </w:rPr>
  </w:style>
  <w:style w:type="paragraph" w:styleId="10">
    <w:name w:val="heading 8"/>
    <w:basedOn w:val="1"/>
    <w:next w:val="1"/>
    <w:link w:val="85"/>
    <w:qFormat/>
    <w:locked/>
    <w:uiPriority w:val="0"/>
    <w:pPr>
      <w:keepNext/>
      <w:keepLines/>
      <w:adjustRightInd w:val="0"/>
      <w:spacing w:before="240" w:after="64" w:line="320" w:lineRule="atLeast"/>
      <w:ind w:firstLine="200" w:firstLineChars="200"/>
      <w:textAlignment w:val="baseline"/>
      <w:outlineLvl w:val="7"/>
    </w:pPr>
    <w:rPr>
      <w:rFonts w:ascii="Arial" w:hAnsi="Arial" w:eastAsia="黑体"/>
      <w:bCs/>
      <w:kern w:val="0"/>
      <w:sz w:val="24"/>
      <w:lang w:val="zh-CN"/>
    </w:rPr>
  </w:style>
  <w:style w:type="paragraph" w:styleId="11">
    <w:name w:val="heading 9"/>
    <w:basedOn w:val="1"/>
    <w:next w:val="1"/>
    <w:link w:val="86"/>
    <w:qFormat/>
    <w:locked/>
    <w:uiPriority w:val="0"/>
    <w:pPr>
      <w:keepNext/>
      <w:keepLines/>
      <w:adjustRightInd w:val="0"/>
      <w:spacing w:before="240" w:after="64" w:line="320" w:lineRule="atLeast"/>
      <w:ind w:firstLine="200" w:firstLineChars="200"/>
      <w:textAlignment w:val="baseline"/>
      <w:outlineLvl w:val="8"/>
    </w:pPr>
    <w:rPr>
      <w:rFonts w:ascii="Arial" w:hAnsi="Arial" w:eastAsia="黑体"/>
      <w:bCs/>
      <w:kern w:val="0"/>
      <w:sz w:val="24"/>
      <w:lang w:val="zh-CN"/>
    </w:rPr>
  </w:style>
  <w:style w:type="character" w:default="1" w:styleId="65">
    <w:name w:val="Default Paragraph Font"/>
    <w:semiHidden/>
    <w:unhideWhenUsed/>
    <w:qFormat/>
    <w:uiPriority w:val="1"/>
  </w:style>
  <w:style w:type="table" w:default="1" w:styleId="5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Indent"/>
    <w:basedOn w:val="1"/>
    <w:link w:val="78"/>
    <w:qFormat/>
    <w:locked/>
    <w:uiPriority w:val="0"/>
    <w:pPr>
      <w:ind w:firstLine="420"/>
    </w:pPr>
    <w:rPr>
      <w:kern w:val="0"/>
      <w:sz w:val="20"/>
      <w:szCs w:val="20"/>
    </w:rPr>
  </w:style>
  <w:style w:type="paragraph" w:styleId="12">
    <w:name w:val="toc 7"/>
    <w:basedOn w:val="1"/>
    <w:next w:val="1"/>
    <w:qFormat/>
    <w:locked/>
    <w:uiPriority w:val="39"/>
    <w:pPr>
      <w:ind w:left="2520" w:leftChars="1200"/>
    </w:pPr>
  </w:style>
  <w:style w:type="paragraph" w:styleId="13">
    <w:name w:val="table of authorities"/>
    <w:basedOn w:val="1"/>
    <w:next w:val="1"/>
    <w:qFormat/>
    <w:locked/>
    <w:uiPriority w:val="0"/>
    <w:rPr>
      <w:rFonts w:ascii="宋体"/>
      <w:sz w:val="28"/>
      <w:szCs w:val="20"/>
    </w:rPr>
  </w:style>
  <w:style w:type="paragraph" w:styleId="14">
    <w:name w:val="Note Heading"/>
    <w:basedOn w:val="1"/>
    <w:next w:val="1"/>
    <w:link w:val="87"/>
    <w:qFormat/>
    <w:locked/>
    <w:uiPriority w:val="0"/>
    <w:pPr>
      <w:jc w:val="center"/>
    </w:pPr>
    <w:rPr>
      <w:rFonts w:ascii="宋体"/>
      <w:szCs w:val="20"/>
    </w:rPr>
  </w:style>
  <w:style w:type="paragraph" w:styleId="15">
    <w:name w:val="index 8"/>
    <w:basedOn w:val="1"/>
    <w:next w:val="1"/>
    <w:qFormat/>
    <w:locked/>
    <w:uiPriority w:val="0"/>
    <w:pPr>
      <w:ind w:left="1400" w:leftChars="1400"/>
    </w:pPr>
  </w:style>
  <w:style w:type="paragraph" w:styleId="16">
    <w:name w:val="List Number"/>
    <w:basedOn w:val="1"/>
    <w:qFormat/>
    <w:locked/>
    <w:uiPriority w:val="0"/>
    <w:pPr>
      <w:tabs>
        <w:tab w:val="left" w:pos="360"/>
        <w:tab w:val="left" w:pos="780"/>
      </w:tabs>
      <w:ind w:left="780" w:hanging="210"/>
    </w:pPr>
  </w:style>
  <w:style w:type="paragraph" w:styleId="17">
    <w:name w:val="caption"/>
    <w:basedOn w:val="1"/>
    <w:next w:val="1"/>
    <w:qFormat/>
    <w:locked/>
    <w:uiPriority w:val="0"/>
    <w:pPr>
      <w:keepNext/>
      <w:snapToGrid w:val="0"/>
      <w:jc w:val="center"/>
    </w:pPr>
    <w:rPr>
      <w:rFonts w:ascii="宋体" w:hAnsi="宋体" w:cs="Arial"/>
      <w:szCs w:val="20"/>
    </w:rPr>
  </w:style>
  <w:style w:type="paragraph" w:styleId="18">
    <w:name w:val="Document Map"/>
    <w:basedOn w:val="1"/>
    <w:link w:val="88"/>
    <w:qFormat/>
    <w:locked/>
    <w:uiPriority w:val="99"/>
    <w:pPr>
      <w:widowControl/>
      <w:jc w:val="left"/>
    </w:pPr>
    <w:rPr>
      <w:rFonts w:ascii="宋体"/>
      <w:kern w:val="0"/>
      <w:sz w:val="18"/>
      <w:szCs w:val="20"/>
    </w:rPr>
  </w:style>
  <w:style w:type="paragraph" w:styleId="19">
    <w:name w:val="toa heading"/>
    <w:basedOn w:val="1"/>
    <w:next w:val="1"/>
    <w:qFormat/>
    <w:locked/>
    <w:uiPriority w:val="99"/>
    <w:pPr>
      <w:adjustRightInd w:val="0"/>
      <w:spacing w:before="120" w:line="360" w:lineRule="auto"/>
      <w:textAlignment w:val="baseline"/>
    </w:pPr>
    <w:rPr>
      <w:rFonts w:ascii="Arial" w:hAnsi="Arial" w:cs="Arial"/>
      <w:kern w:val="0"/>
      <w:sz w:val="24"/>
      <w:szCs w:val="20"/>
    </w:rPr>
  </w:style>
  <w:style w:type="paragraph" w:styleId="20">
    <w:name w:val="annotation text"/>
    <w:basedOn w:val="1"/>
    <w:link w:val="89"/>
    <w:qFormat/>
    <w:uiPriority w:val="0"/>
    <w:pPr>
      <w:jc w:val="left"/>
    </w:pPr>
    <w:rPr>
      <w:kern w:val="0"/>
      <w:sz w:val="24"/>
      <w:szCs w:val="20"/>
    </w:rPr>
  </w:style>
  <w:style w:type="paragraph" w:styleId="21">
    <w:name w:val="index 6"/>
    <w:basedOn w:val="1"/>
    <w:next w:val="1"/>
    <w:qFormat/>
    <w:locked/>
    <w:uiPriority w:val="99"/>
    <w:pPr>
      <w:widowControl/>
      <w:ind w:left="1000" w:leftChars="1000"/>
      <w:jc w:val="left"/>
    </w:pPr>
    <w:rPr>
      <w:kern w:val="0"/>
      <w:sz w:val="20"/>
      <w:szCs w:val="20"/>
    </w:rPr>
  </w:style>
  <w:style w:type="paragraph" w:styleId="22">
    <w:name w:val="Salutation"/>
    <w:basedOn w:val="1"/>
    <w:next w:val="1"/>
    <w:link w:val="90"/>
    <w:qFormat/>
    <w:locked/>
    <w:uiPriority w:val="0"/>
    <w:rPr>
      <w:rFonts w:ascii="宋体" w:hAnsi="华文宋体"/>
      <w:sz w:val="28"/>
    </w:rPr>
  </w:style>
  <w:style w:type="paragraph" w:styleId="23">
    <w:name w:val="Body Text 3"/>
    <w:basedOn w:val="1"/>
    <w:link w:val="91"/>
    <w:qFormat/>
    <w:locked/>
    <w:uiPriority w:val="99"/>
    <w:pPr>
      <w:spacing w:after="120"/>
    </w:pPr>
    <w:rPr>
      <w:rFonts w:ascii="宋体" w:hAnsi="宋体"/>
      <w:sz w:val="16"/>
      <w:szCs w:val="16"/>
    </w:rPr>
  </w:style>
  <w:style w:type="paragraph" w:styleId="24">
    <w:name w:val="Body Text"/>
    <w:basedOn w:val="1"/>
    <w:next w:val="1"/>
    <w:link w:val="92"/>
    <w:qFormat/>
    <w:uiPriority w:val="0"/>
    <w:pPr>
      <w:widowControl/>
      <w:snapToGrid w:val="0"/>
      <w:spacing w:before="60" w:after="160" w:line="259" w:lineRule="auto"/>
      <w:ind w:right="113"/>
    </w:pPr>
    <w:rPr>
      <w:kern w:val="0"/>
      <w:sz w:val="18"/>
      <w:szCs w:val="20"/>
    </w:rPr>
  </w:style>
  <w:style w:type="paragraph" w:styleId="25">
    <w:name w:val="Body Text Indent"/>
    <w:basedOn w:val="1"/>
    <w:link w:val="93"/>
    <w:qFormat/>
    <w:uiPriority w:val="0"/>
    <w:pPr>
      <w:spacing w:after="120"/>
      <w:ind w:left="420" w:leftChars="200"/>
    </w:pPr>
    <w:rPr>
      <w:kern w:val="0"/>
      <w:sz w:val="24"/>
      <w:szCs w:val="20"/>
    </w:rPr>
  </w:style>
  <w:style w:type="paragraph" w:styleId="26">
    <w:name w:val="List 2"/>
    <w:basedOn w:val="1"/>
    <w:qFormat/>
    <w:locked/>
    <w:uiPriority w:val="0"/>
    <w:pPr>
      <w:spacing w:line="360" w:lineRule="exact"/>
      <w:jc w:val="center"/>
    </w:pPr>
    <w:rPr>
      <w:rFonts w:ascii="仿宋_GB2312" w:eastAsia="仿宋_GB2312"/>
      <w:szCs w:val="20"/>
    </w:rPr>
  </w:style>
  <w:style w:type="paragraph" w:styleId="27">
    <w:name w:val="Block Text"/>
    <w:basedOn w:val="1"/>
    <w:qFormat/>
    <w:locked/>
    <w:uiPriority w:val="0"/>
    <w:pPr>
      <w:widowControl/>
      <w:spacing w:after="120"/>
      <w:ind w:left="1440" w:leftChars="700" w:right="1440" w:rightChars="700"/>
      <w:jc w:val="left"/>
    </w:pPr>
    <w:rPr>
      <w:kern w:val="0"/>
      <w:sz w:val="20"/>
      <w:szCs w:val="20"/>
    </w:rPr>
  </w:style>
  <w:style w:type="paragraph" w:styleId="28">
    <w:name w:val="List Bullet 2"/>
    <w:basedOn w:val="1"/>
    <w:qFormat/>
    <w:locked/>
    <w:uiPriority w:val="0"/>
    <w:pPr>
      <w:tabs>
        <w:tab w:val="left" w:pos="1215"/>
      </w:tabs>
      <w:adjustRightInd w:val="0"/>
      <w:spacing w:line="240" w:lineRule="atLeast"/>
      <w:ind w:left="1215" w:hanging="1215"/>
      <w:jc w:val="left"/>
      <w:textAlignment w:val="baseline"/>
    </w:pPr>
    <w:rPr>
      <w:rFonts w:ascii="宋体"/>
      <w:kern w:val="0"/>
      <w:sz w:val="34"/>
      <w:szCs w:val="34"/>
    </w:rPr>
  </w:style>
  <w:style w:type="paragraph" w:styleId="29">
    <w:name w:val="index 4"/>
    <w:basedOn w:val="1"/>
    <w:next w:val="1"/>
    <w:qFormat/>
    <w:locked/>
    <w:uiPriority w:val="0"/>
    <w:pPr>
      <w:suppressAutoHyphens/>
      <w:adjustRightInd w:val="0"/>
      <w:spacing w:line="300" w:lineRule="auto"/>
      <w:ind w:left="1260"/>
    </w:pPr>
    <w:rPr>
      <w:kern w:val="28"/>
      <w:sz w:val="24"/>
      <w:szCs w:val="20"/>
    </w:rPr>
  </w:style>
  <w:style w:type="paragraph" w:styleId="30">
    <w:name w:val="toc 5"/>
    <w:basedOn w:val="1"/>
    <w:next w:val="1"/>
    <w:qFormat/>
    <w:locked/>
    <w:uiPriority w:val="39"/>
    <w:pPr>
      <w:adjustRightInd w:val="0"/>
      <w:snapToGrid w:val="0"/>
      <w:spacing w:line="360" w:lineRule="auto"/>
      <w:ind w:left="840" w:firstLine="112"/>
      <w:jc w:val="center"/>
    </w:pPr>
    <w:rPr>
      <w:sz w:val="20"/>
      <w:szCs w:val="20"/>
    </w:rPr>
  </w:style>
  <w:style w:type="paragraph" w:styleId="31">
    <w:name w:val="toc 3"/>
    <w:basedOn w:val="1"/>
    <w:next w:val="1"/>
    <w:qFormat/>
    <w:locked/>
    <w:uiPriority w:val="39"/>
    <w:pPr>
      <w:ind w:left="240"/>
      <w:jc w:val="left"/>
    </w:pPr>
    <w:rPr>
      <w:sz w:val="20"/>
      <w:szCs w:val="20"/>
    </w:rPr>
  </w:style>
  <w:style w:type="paragraph" w:styleId="32">
    <w:name w:val="Plain Text"/>
    <w:basedOn w:val="1"/>
    <w:link w:val="94"/>
    <w:qFormat/>
    <w:locked/>
    <w:uiPriority w:val="0"/>
    <w:rPr>
      <w:rFonts w:ascii="宋体" w:hAnsi="Courier New"/>
      <w:kern w:val="0"/>
      <w:szCs w:val="20"/>
    </w:rPr>
  </w:style>
  <w:style w:type="paragraph" w:styleId="33">
    <w:name w:val="List Bullet 5"/>
    <w:basedOn w:val="1"/>
    <w:qFormat/>
    <w:locked/>
    <w:uiPriority w:val="0"/>
    <w:pPr>
      <w:widowControl/>
      <w:spacing w:line="360" w:lineRule="auto"/>
      <w:ind w:firstLine="480"/>
      <w:jc w:val="left"/>
    </w:pPr>
    <w:rPr>
      <w:kern w:val="0"/>
      <w:sz w:val="24"/>
    </w:rPr>
  </w:style>
  <w:style w:type="paragraph" w:styleId="34">
    <w:name w:val="toc 8"/>
    <w:basedOn w:val="1"/>
    <w:next w:val="1"/>
    <w:qFormat/>
    <w:locked/>
    <w:uiPriority w:val="39"/>
    <w:pPr>
      <w:ind w:left="1440"/>
      <w:jc w:val="left"/>
    </w:pPr>
    <w:rPr>
      <w:sz w:val="20"/>
      <w:szCs w:val="20"/>
    </w:rPr>
  </w:style>
  <w:style w:type="paragraph" w:styleId="35">
    <w:name w:val="Date"/>
    <w:basedOn w:val="1"/>
    <w:next w:val="1"/>
    <w:link w:val="95"/>
    <w:qFormat/>
    <w:uiPriority w:val="0"/>
    <w:pPr>
      <w:ind w:left="100" w:leftChars="2500"/>
    </w:pPr>
    <w:rPr>
      <w:kern w:val="0"/>
      <w:sz w:val="24"/>
      <w:szCs w:val="20"/>
    </w:rPr>
  </w:style>
  <w:style w:type="paragraph" w:styleId="36">
    <w:name w:val="Body Text Indent 2"/>
    <w:basedOn w:val="1"/>
    <w:link w:val="96"/>
    <w:qFormat/>
    <w:locked/>
    <w:uiPriority w:val="0"/>
    <w:pPr>
      <w:widowControl/>
      <w:ind w:firstLine="600"/>
    </w:pPr>
    <w:rPr>
      <w:rFonts w:eastAsia="仿宋_GB2312"/>
      <w:b/>
      <w:kern w:val="0"/>
      <w:sz w:val="20"/>
      <w:szCs w:val="20"/>
    </w:rPr>
  </w:style>
  <w:style w:type="paragraph" w:styleId="37">
    <w:name w:val="endnote text"/>
    <w:basedOn w:val="1"/>
    <w:link w:val="97"/>
    <w:unhideWhenUsed/>
    <w:qFormat/>
    <w:locked/>
    <w:uiPriority w:val="99"/>
    <w:pPr>
      <w:adjustRightInd w:val="0"/>
      <w:snapToGrid w:val="0"/>
      <w:spacing w:line="312" w:lineRule="atLeast"/>
      <w:jc w:val="left"/>
      <w:textAlignment w:val="baseline"/>
    </w:pPr>
    <w:rPr>
      <w:kern w:val="0"/>
      <w:szCs w:val="20"/>
      <w:lang w:val="zh-CN"/>
    </w:rPr>
  </w:style>
  <w:style w:type="paragraph" w:styleId="38">
    <w:name w:val="Balloon Text"/>
    <w:basedOn w:val="1"/>
    <w:link w:val="98"/>
    <w:qFormat/>
    <w:uiPriority w:val="0"/>
    <w:rPr>
      <w:kern w:val="0"/>
      <w:sz w:val="18"/>
      <w:szCs w:val="20"/>
    </w:rPr>
  </w:style>
  <w:style w:type="paragraph" w:styleId="39">
    <w:name w:val="footer"/>
    <w:basedOn w:val="1"/>
    <w:link w:val="99"/>
    <w:qFormat/>
    <w:uiPriority w:val="99"/>
    <w:pPr>
      <w:tabs>
        <w:tab w:val="center" w:pos="4153"/>
        <w:tab w:val="right" w:pos="8306"/>
      </w:tabs>
      <w:snapToGrid w:val="0"/>
      <w:jc w:val="left"/>
    </w:pPr>
    <w:rPr>
      <w:kern w:val="0"/>
      <w:sz w:val="18"/>
      <w:szCs w:val="20"/>
    </w:rPr>
  </w:style>
  <w:style w:type="paragraph" w:styleId="40">
    <w:name w:val="header"/>
    <w:basedOn w:val="1"/>
    <w:link w:val="100"/>
    <w:qFormat/>
    <w:uiPriority w:val="0"/>
    <w:pPr>
      <w:pBdr>
        <w:bottom w:val="single" w:color="auto" w:sz="6" w:space="1"/>
      </w:pBdr>
      <w:tabs>
        <w:tab w:val="center" w:pos="4153"/>
        <w:tab w:val="right" w:pos="8306"/>
      </w:tabs>
      <w:snapToGrid w:val="0"/>
      <w:jc w:val="center"/>
    </w:pPr>
    <w:rPr>
      <w:kern w:val="0"/>
      <w:sz w:val="18"/>
      <w:szCs w:val="20"/>
    </w:rPr>
  </w:style>
  <w:style w:type="paragraph" w:styleId="41">
    <w:name w:val="toc 1"/>
    <w:basedOn w:val="1"/>
    <w:next w:val="1"/>
    <w:qFormat/>
    <w:locked/>
    <w:uiPriority w:val="39"/>
    <w:pPr>
      <w:tabs>
        <w:tab w:val="right" w:leader="dot" w:pos="8296"/>
      </w:tabs>
      <w:spacing w:line="360" w:lineRule="auto"/>
      <w:ind w:firstLine="480" w:firstLineChars="200"/>
      <w:jc w:val="left"/>
    </w:pPr>
    <w:rPr>
      <w:rFonts w:ascii="宋体" w:hAnsi="宋体"/>
      <w:caps/>
      <w:color w:val="000000"/>
      <w:sz w:val="24"/>
    </w:rPr>
  </w:style>
  <w:style w:type="paragraph" w:styleId="42">
    <w:name w:val="toc 4"/>
    <w:basedOn w:val="1"/>
    <w:next w:val="1"/>
    <w:qFormat/>
    <w:locked/>
    <w:uiPriority w:val="39"/>
    <w:pPr>
      <w:ind w:left="480"/>
      <w:jc w:val="left"/>
    </w:pPr>
    <w:rPr>
      <w:sz w:val="20"/>
      <w:szCs w:val="20"/>
    </w:rPr>
  </w:style>
  <w:style w:type="paragraph" w:styleId="43">
    <w:name w:val="index heading"/>
    <w:basedOn w:val="1"/>
    <w:next w:val="44"/>
    <w:qFormat/>
    <w:locked/>
    <w:uiPriority w:val="0"/>
    <w:pPr>
      <w:spacing w:line="500" w:lineRule="exact"/>
    </w:pPr>
    <w:rPr>
      <w:rFonts w:ascii="仿宋_GB2312" w:eastAsia="仿宋_GB2312"/>
      <w:sz w:val="28"/>
      <w:szCs w:val="20"/>
    </w:rPr>
  </w:style>
  <w:style w:type="paragraph" w:styleId="44">
    <w:name w:val="index 1"/>
    <w:basedOn w:val="1"/>
    <w:next w:val="1"/>
    <w:qFormat/>
    <w:locked/>
    <w:uiPriority w:val="0"/>
  </w:style>
  <w:style w:type="paragraph" w:styleId="45">
    <w:name w:val="Subtitle"/>
    <w:basedOn w:val="1"/>
    <w:next w:val="1"/>
    <w:link w:val="101"/>
    <w:qFormat/>
    <w:locked/>
    <w:uiPriority w:val="0"/>
    <w:pPr>
      <w:spacing w:line="480" w:lineRule="exact"/>
      <w:jc w:val="center"/>
      <w:outlineLvl w:val="4"/>
    </w:pPr>
    <w:rPr>
      <w:rFonts w:ascii="Cambria" w:hAnsi="Cambria"/>
      <w:kern w:val="0"/>
      <w:sz w:val="24"/>
      <w:szCs w:val="20"/>
      <w:lang w:eastAsia="en-US"/>
    </w:rPr>
  </w:style>
  <w:style w:type="paragraph" w:styleId="46">
    <w:name w:val="List"/>
    <w:basedOn w:val="1"/>
    <w:qFormat/>
    <w:locked/>
    <w:uiPriority w:val="0"/>
    <w:pPr>
      <w:spacing w:line="360" w:lineRule="exact"/>
      <w:jc w:val="center"/>
    </w:pPr>
    <w:rPr>
      <w:rFonts w:ascii="仿宋_GB2312" w:eastAsia="仿宋_GB2312"/>
      <w:sz w:val="24"/>
      <w:szCs w:val="20"/>
    </w:rPr>
  </w:style>
  <w:style w:type="paragraph" w:styleId="47">
    <w:name w:val="toc 6"/>
    <w:basedOn w:val="1"/>
    <w:next w:val="1"/>
    <w:qFormat/>
    <w:locked/>
    <w:uiPriority w:val="39"/>
    <w:pPr>
      <w:ind w:left="960"/>
      <w:jc w:val="left"/>
    </w:pPr>
    <w:rPr>
      <w:sz w:val="20"/>
      <w:szCs w:val="20"/>
    </w:rPr>
  </w:style>
  <w:style w:type="paragraph" w:styleId="48">
    <w:name w:val="Body Text Indent 3"/>
    <w:basedOn w:val="1"/>
    <w:link w:val="102"/>
    <w:qFormat/>
    <w:locked/>
    <w:uiPriority w:val="0"/>
    <w:pPr>
      <w:widowControl/>
      <w:spacing w:line="440" w:lineRule="exact"/>
      <w:ind w:firstLine="561" w:firstLineChars="200"/>
    </w:pPr>
    <w:rPr>
      <w:rFonts w:eastAsia="楷体_GB2312"/>
      <w:b/>
      <w:kern w:val="0"/>
      <w:sz w:val="20"/>
      <w:szCs w:val="20"/>
    </w:rPr>
  </w:style>
  <w:style w:type="paragraph" w:styleId="49">
    <w:name w:val="table of figures"/>
    <w:basedOn w:val="1"/>
    <w:next w:val="1"/>
    <w:qFormat/>
    <w:locked/>
    <w:uiPriority w:val="0"/>
    <w:pPr>
      <w:ind w:left="200" w:leftChars="200" w:hanging="200" w:hangingChars="200"/>
    </w:pPr>
  </w:style>
  <w:style w:type="paragraph" w:styleId="50">
    <w:name w:val="toc 2"/>
    <w:basedOn w:val="1"/>
    <w:next w:val="1"/>
    <w:qFormat/>
    <w:locked/>
    <w:uiPriority w:val="39"/>
    <w:pPr>
      <w:tabs>
        <w:tab w:val="right" w:leader="dot" w:pos="9061"/>
      </w:tabs>
      <w:spacing w:line="360" w:lineRule="auto"/>
      <w:ind w:firstLine="480" w:firstLineChars="200"/>
    </w:pPr>
    <w:rPr>
      <w:sz w:val="24"/>
    </w:rPr>
  </w:style>
  <w:style w:type="paragraph" w:styleId="51">
    <w:name w:val="toc 9"/>
    <w:basedOn w:val="1"/>
    <w:next w:val="1"/>
    <w:qFormat/>
    <w:locked/>
    <w:uiPriority w:val="39"/>
    <w:pPr>
      <w:ind w:left="1680"/>
      <w:jc w:val="left"/>
    </w:pPr>
    <w:rPr>
      <w:sz w:val="20"/>
      <w:szCs w:val="20"/>
    </w:rPr>
  </w:style>
  <w:style w:type="paragraph" w:styleId="52">
    <w:name w:val="Body Text 2"/>
    <w:basedOn w:val="1"/>
    <w:link w:val="103"/>
    <w:qFormat/>
    <w:locked/>
    <w:uiPriority w:val="99"/>
    <w:pPr>
      <w:spacing w:after="120" w:line="480" w:lineRule="auto"/>
    </w:pPr>
    <w:rPr>
      <w:kern w:val="0"/>
      <w:sz w:val="20"/>
      <w:szCs w:val="20"/>
    </w:rPr>
  </w:style>
  <w:style w:type="paragraph" w:styleId="53">
    <w:name w:val="HTML Preformatted"/>
    <w:basedOn w:val="1"/>
    <w:link w:val="104"/>
    <w:qFormat/>
    <w:lock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8" w:lineRule="atLeast"/>
      <w:jc w:val="left"/>
    </w:pPr>
    <w:rPr>
      <w:rFonts w:ascii="Arial" w:hAnsi="Arial"/>
      <w:kern w:val="0"/>
      <w:sz w:val="23"/>
      <w:szCs w:val="23"/>
      <w:lang w:val="zh-CN"/>
    </w:rPr>
  </w:style>
  <w:style w:type="paragraph" w:styleId="54">
    <w:name w:val="Normal (Web)"/>
    <w:basedOn w:val="1"/>
    <w:link w:val="105"/>
    <w:qFormat/>
    <w:uiPriority w:val="99"/>
    <w:pPr>
      <w:widowControl/>
      <w:spacing w:before="100" w:beforeAutospacing="1" w:after="100" w:afterAutospacing="1"/>
      <w:jc w:val="left"/>
    </w:pPr>
    <w:rPr>
      <w:rFonts w:ascii="宋体" w:hAnsi="宋体"/>
      <w:kern w:val="0"/>
      <w:sz w:val="24"/>
      <w:szCs w:val="20"/>
    </w:rPr>
  </w:style>
  <w:style w:type="paragraph" w:styleId="55">
    <w:name w:val="Title"/>
    <w:basedOn w:val="1"/>
    <w:link w:val="106"/>
    <w:qFormat/>
    <w:locked/>
    <w:uiPriority w:val="0"/>
    <w:pPr>
      <w:widowControl/>
      <w:spacing w:before="100" w:beforeAutospacing="1" w:after="100" w:afterAutospacing="1"/>
      <w:jc w:val="left"/>
    </w:pPr>
    <w:rPr>
      <w:rFonts w:ascii="宋体"/>
      <w:kern w:val="0"/>
      <w:sz w:val="24"/>
      <w:szCs w:val="20"/>
    </w:rPr>
  </w:style>
  <w:style w:type="paragraph" w:styleId="56">
    <w:name w:val="annotation subject"/>
    <w:basedOn w:val="20"/>
    <w:next w:val="20"/>
    <w:link w:val="107"/>
    <w:qFormat/>
    <w:uiPriority w:val="0"/>
    <w:rPr>
      <w:b/>
    </w:rPr>
  </w:style>
  <w:style w:type="paragraph" w:styleId="57">
    <w:name w:val="Body Text First Indent"/>
    <w:basedOn w:val="1"/>
    <w:link w:val="108"/>
    <w:qFormat/>
    <w:locked/>
    <w:uiPriority w:val="99"/>
    <w:pPr>
      <w:keepNext w:val="0"/>
      <w:keepLines w:val="0"/>
      <w:widowControl w:val="0"/>
      <w:suppressLineNumbers w:val="0"/>
      <w:spacing w:before="0" w:beforeAutospacing="0" w:after="120" w:afterAutospacing="0"/>
      <w:ind w:right="0" w:firstLine="420" w:firstLineChars="100"/>
      <w:jc w:val="both"/>
    </w:pPr>
    <w:rPr>
      <w:rFonts w:hint="default" w:ascii="Times New Roman" w:hAnsi="Times New Roman" w:eastAsia="宋体" w:cs="Times New Roman"/>
      <w:kern w:val="2"/>
      <w:sz w:val="20"/>
      <w:szCs w:val="20"/>
      <w:lang w:val="en-US" w:eastAsia="zh-CN" w:bidi="ar"/>
    </w:rPr>
  </w:style>
  <w:style w:type="paragraph" w:styleId="58">
    <w:name w:val="Body Text First Indent 2"/>
    <w:basedOn w:val="25"/>
    <w:next w:val="1"/>
    <w:link w:val="109"/>
    <w:unhideWhenUsed/>
    <w:qFormat/>
    <w:locked/>
    <w:uiPriority w:val="0"/>
    <w:pPr>
      <w:widowControl/>
      <w:ind w:firstLine="420" w:firstLineChars="200"/>
      <w:jc w:val="left"/>
    </w:pPr>
    <w:rPr>
      <w:sz w:val="20"/>
    </w:rPr>
  </w:style>
  <w:style w:type="table" w:styleId="60">
    <w:name w:val="Table Grid"/>
    <w:basedOn w:val="5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1">
    <w:name w:val="Table Theme"/>
    <w:basedOn w:val="59"/>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2">
    <w:name w:val="Table Elegant"/>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3">
    <w:name w:val="Table Grid 1"/>
    <w:basedOn w:val="59"/>
    <w:qFormat/>
    <w:locked/>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blPr/>
      <w:tcPr>
        <w:tcBorders>
          <w:top w:val="nil"/>
          <w:left w:val="nil"/>
          <w:bottom w:val="nil"/>
          <w:right w:val="nil"/>
          <w:insideH w:val="nil"/>
          <w:insideV w:val="nil"/>
          <w:tl2br w:val="nil"/>
          <w:tr2bl w:val="nil"/>
        </w:tcBorders>
      </w:tcPr>
    </w:tblStylePr>
    <w:tblStylePr w:type="lastCol">
      <w:rPr>
        <w:rFonts w:cs="Times New Roman"/>
        <w:i/>
        <w:iCs/>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color="000000" w:sz="6" w:space="0"/>
          <w:tr2bl w:val="nil"/>
        </w:tcBorders>
      </w:tcPr>
    </w:tblStylePr>
  </w:style>
  <w:style w:type="table" w:styleId="64">
    <w:name w:val="Table Grid 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66">
    <w:name w:val="Strong"/>
    <w:qFormat/>
    <w:locked/>
    <w:uiPriority w:val="0"/>
    <w:rPr>
      <w:b/>
      <w:bCs/>
    </w:rPr>
  </w:style>
  <w:style w:type="character" w:styleId="67">
    <w:name w:val="endnote reference"/>
    <w:unhideWhenUsed/>
    <w:qFormat/>
    <w:locked/>
    <w:uiPriority w:val="99"/>
    <w:rPr>
      <w:rFonts w:cs="Times New Roman"/>
      <w:vertAlign w:val="superscript"/>
    </w:rPr>
  </w:style>
  <w:style w:type="character" w:styleId="68">
    <w:name w:val="page number"/>
    <w:basedOn w:val="65"/>
    <w:qFormat/>
    <w:locked/>
    <w:uiPriority w:val="0"/>
  </w:style>
  <w:style w:type="character" w:styleId="69">
    <w:name w:val="FollowedHyperlink"/>
    <w:qFormat/>
    <w:locked/>
    <w:uiPriority w:val="0"/>
    <w:rPr>
      <w:color w:val="800080"/>
      <w:u w:val="single"/>
    </w:rPr>
  </w:style>
  <w:style w:type="character" w:styleId="70">
    <w:name w:val="Emphasis"/>
    <w:qFormat/>
    <w:locked/>
    <w:uiPriority w:val="20"/>
    <w:rPr>
      <w:color w:val="CC0000"/>
    </w:rPr>
  </w:style>
  <w:style w:type="character" w:styleId="71">
    <w:name w:val="HTML Typewriter"/>
    <w:qFormat/>
    <w:locked/>
    <w:uiPriority w:val="0"/>
    <w:rPr>
      <w:rFonts w:ascii="宋体" w:hAnsi="宋体" w:eastAsia="宋体" w:cs="宋体"/>
      <w:sz w:val="24"/>
      <w:szCs w:val="24"/>
    </w:rPr>
  </w:style>
  <w:style w:type="character" w:styleId="72">
    <w:name w:val="Hyperlink"/>
    <w:qFormat/>
    <w:locked/>
    <w:uiPriority w:val="0"/>
    <w:rPr>
      <w:rFonts w:cs="Times New Roman"/>
      <w:color w:val="136EC2"/>
      <w:u w:val="single"/>
    </w:rPr>
  </w:style>
  <w:style w:type="character" w:styleId="73">
    <w:name w:val="annotation reference"/>
    <w:qFormat/>
    <w:uiPriority w:val="0"/>
    <w:rPr>
      <w:sz w:val="21"/>
    </w:rPr>
  </w:style>
  <w:style w:type="paragraph" w:customStyle="1" w:styleId="74">
    <w:name w:val="样式1"/>
    <w:basedOn w:val="1"/>
    <w:next w:val="27"/>
    <w:link w:val="166"/>
    <w:qFormat/>
    <w:uiPriority w:val="0"/>
    <w:pPr>
      <w:adjustRightInd w:val="0"/>
      <w:snapToGrid w:val="0"/>
      <w:spacing w:line="320" w:lineRule="exact"/>
      <w:jc w:val="center"/>
    </w:pPr>
    <w:rPr>
      <w:rFonts w:ascii="Calibri" w:hAnsi="Calibri"/>
      <w:color w:val="000000"/>
      <w:kern w:val="0"/>
      <w:sz w:val="24"/>
      <w:szCs w:val="20"/>
    </w:rPr>
  </w:style>
  <w:style w:type="paragraph" w:customStyle="1" w:styleId="75">
    <w:name w:val="表标题"/>
    <w:basedOn w:val="1"/>
    <w:qFormat/>
    <w:uiPriority w:val="0"/>
    <w:pPr>
      <w:spacing w:line="360" w:lineRule="auto"/>
      <w:ind w:left="3420"/>
    </w:pPr>
    <w:rPr>
      <w:rFonts w:ascii="宋体" w:hAnsi="宋体"/>
      <w:sz w:val="24"/>
    </w:rPr>
  </w:style>
  <w:style w:type="paragraph" w:customStyle="1" w:styleId="76">
    <w:name w:val="Default"/>
    <w:next w:val="1"/>
    <w:link w:val="219"/>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77">
    <w:name w:val="标题 1 字符1"/>
    <w:link w:val="3"/>
    <w:qFormat/>
    <w:locked/>
    <w:uiPriority w:val="0"/>
    <w:rPr>
      <w:rFonts w:eastAsia="黑体"/>
      <w:b/>
      <w:bCs/>
      <w:color w:val="000000"/>
      <w:kern w:val="44"/>
      <w:sz w:val="30"/>
      <w:szCs w:val="30"/>
    </w:rPr>
  </w:style>
  <w:style w:type="character" w:customStyle="1" w:styleId="78">
    <w:name w:val="正文缩进 字符1"/>
    <w:link w:val="2"/>
    <w:qFormat/>
    <w:locked/>
    <w:uiPriority w:val="0"/>
  </w:style>
  <w:style w:type="character" w:customStyle="1" w:styleId="79">
    <w:name w:val="标题 2 字符1"/>
    <w:link w:val="4"/>
    <w:qFormat/>
    <w:uiPriority w:val="99"/>
    <w:rPr>
      <w:rFonts w:ascii="Arial" w:hAnsi="Arial" w:eastAsia="黑体"/>
      <w:b/>
      <w:kern w:val="2"/>
      <w:sz w:val="36"/>
    </w:rPr>
  </w:style>
  <w:style w:type="character" w:customStyle="1" w:styleId="80">
    <w:name w:val="标题 3 字符2"/>
    <w:link w:val="5"/>
    <w:qFormat/>
    <w:uiPriority w:val="0"/>
    <w:rPr>
      <w:rFonts w:ascii="Arial" w:hAnsi="Arial" w:eastAsia="黑体"/>
      <w:b/>
      <w:kern w:val="2"/>
      <w:sz w:val="30"/>
    </w:rPr>
  </w:style>
  <w:style w:type="character" w:customStyle="1" w:styleId="81">
    <w:name w:val="标题 4 字符1"/>
    <w:link w:val="6"/>
    <w:qFormat/>
    <w:uiPriority w:val="99"/>
    <w:rPr>
      <w:rFonts w:ascii="Arial" w:hAnsi="Arial" w:eastAsia="黑体"/>
      <w:b/>
      <w:kern w:val="2"/>
      <w:sz w:val="28"/>
    </w:rPr>
  </w:style>
  <w:style w:type="character" w:customStyle="1" w:styleId="82">
    <w:name w:val="标题 5 字符2"/>
    <w:link w:val="7"/>
    <w:qFormat/>
    <w:uiPriority w:val="0"/>
    <w:rPr>
      <w:rFonts w:ascii="Arial" w:hAnsi="Arial"/>
      <w:b/>
      <w:kern w:val="2"/>
      <w:sz w:val="28"/>
    </w:rPr>
  </w:style>
  <w:style w:type="character" w:customStyle="1" w:styleId="83">
    <w:name w:val="标题 6 字符1"/>
    <w:link w:val="8"/>
    <w:qFormat/>
    <w:uiPriority w:val="0"/>
    <w:rPr>
      <w:rFonts w:eastAsia="楷体_GB2312"/>
      <w:b/>
    </w:rPr>
  </w:style>
  <w:style w:type="character" w:customStyle="1" w:styleId="84">
    <w:name w:val="标题 7 字符1"/>
    <w:link w:val="9"/>
    <w:qFormat/>
    <w:uiPriority w:val="0"/>
    <w:rPr>
      <w:rFonts w:eastAsia="仿宋_GB2312"/>
      <w:b/>
      <w:sz w:val="24"/>
      <w:szCs w:val="24"/>
      <w:lang w:val="zh-CN" w:eastAsia="zh-CN"/>
    </w:rPr>
  </w:style>
  <w:style w:type="character" w:customStyle="1" w:styleId="85">
    <w:name w:val="标题 8 字符1"/>
    <w:link w:val="10"/>
    <w:qFormat/>
    <w:uiPriority w:val="0"/>
    <w:rPr>
      <w:rFonts w:ascii="Arial" w:hAnsi="Arial" w:eastAsia="黑体"/>
      <w:bCs/>
      <w:sz w:val="24"/>
      <w:szCs w:val="24"/>
      <w:lang w:val="zh-CN" w:eastAsia="zh-CN"/>
    </w:rPr>
  </w:style>
  <w:style w:type="character" w:customStyle="1" w:styleId="86">
    <w:name w:val="标题 9 字符1"/>
    <w:link w:val="11"/>
    <w:qFormat/>
    <w:uiPriority w:val="0"/>
    <w:rPr>
      <w:rFonts w:ascii="Arial" w:hAnsi="Arial" w:eastAsia="黑体"/>
      <w:bCs/>
      <w:sz w:val="24"/>
      <w:szCs w:val="24"/>
      <w:lang w:val="zh-CN" w:eastAsia="zh-CN"/>
    </w:rPr>
  </w:style>
  <w:style w:type="character" w:customStyle="1" w:styleId="87">
    <w:name w:val="注释标题 字符1"/>
    <w:link w:val="14"/>
    <w:qFormat/>
    <w:uiPriority w:val="0"/>
    <w:rPr>
      <w:rFonts w:ascii="宋体"/>
      <w:kern w:val="2"/>
      <w:sz w:val="21"/>
    </w:rPr>
  </w:style>
  <w:style w:type="character" w:customStyle="1" w:styleId="88">
    <w:name w:val="文档结构图 字符1"/>
    <w:link w:val="18"/>
    <w:qFormat/>
    <w:locked/>
    <w:uiPriority w:val="99"/>
    <w:rPr>
      <w:rFonts w:ascii="宋体"/>
      <w:sz w:val="18"/>
    </w:rPr>
  </w:style>
  <w:style w:type="character" w:customStyle="1" w:styleId="89">
    <w:name w:val="批注文字 字符"/>
    <w:link w:val="20"/>
    <w:qFormat/>
    <w:locked/>
    <w:uiPriority w:val="0"/>
    <w:rPr>
      <w:rFonts w:ascii="Times New Roman" w:hAnsi="Times New Roman" w:eastAsia="宋体"/>
      <w:sz w:val="24"/>
    </w:rPr>
  </w:style>
  <w:style w:type="character" w:customStyle="1" w:styleId="90">
    <w:name w:val="称呼 字符"/>
    <w:basedOn w:val="65"/>
    <w:link w:val="22"/>
    <w:qFormat/>
    <w:uiPriority w:val="0"/>
    <w:rPr>
      <w:rFonts w:ascii="宋体" w:hAnsi="华文宋体"/>
      <w:kern w:val="2"/>
      <w:sz w:val="28"/>
      <w:szCs w:val="24"/>
    </w:rPr>
  </w:style>
  <w:style w:type="character" w:customStyle="1" w:styleId="91">
    <w:name w:val="正文文本 3 字符1"/>
    <w:link w:val="23"/>
    <w:qFormat/>
    <w:locked/>
    <w:uiPriority w:val="99"/>
    <w:rPr>
      <w:rFonts w:ascii="宋体" w:hAnsi="宋体"/>
      <w:kern w:val="2"/>
      <w:sz w:val="16"/>
      <w:szCs w:val="16"/>
    </w:rPr>
  </w:style>
  <w:style w:type="character" w:customStyle="1" w:styleId="92">
    <w:name w:val="正文文本 字符"/>
    <w:link w:val="24"/>
    <w:qFormat/>
    <w:locked/>
    <w:uiPriority w:val="0"/>
    <w:rPr>
      <w:sz w:val="18"/>
    </w:rPr>
  </w:style>
  <w:style w:type="character" w:customStyle="1" w:styleId="93">
    <w:name w:val="正文文本缩进 字符"/>
    <w:link w:val="25"/>
    <w:qFormat/>
    <w:locked/>
    <w:uiPriority w:val="0"/>
    <w:rPr>
      <w:rFonts w:ascii="Times New Roman" w:hAnsi="Times New Roman" w:eastAsia="宋体"/>
      <w:sz w:val="24"/>
    </w:rPr>
  </w:style>
  <w:style w:type="character" w:customStyle="1" w:styleId="94">
    <w:name w:val="纯文本 字符2"/>
    <w:link w:val="32"/>
    <w:qFormat/>
    <w:locked/>
    <w:uiPriority w:val="0"/>
    <w:rPr>
      <w:rFonts w:ascii="宋体" w:hAnsi="Courier New"/>
      <w:sz w:val="21"/>
    </w:rPr>
  </w:style>
  <w:style w:type="character" w:customStyle="1" w:styleId="95">
    <w:name w:val="日期 字符1"/>
    <w:link w:val="35"/>
    <w:qFormat/>
    <w:locked/>
    <w:uiPriority w:val="0"/>
    <w:rPr>
      <w:rFonts w:ascii="Times New Roman" w:hAnsi="Times New Roman" w:eastAsia="宋体"/>
      <w:sz w:val="24"/>
    </w:rPr>
  </w:style>
  <w:style w:type="character" w:customStyle="1" w:styleId="96">
    <w:name w:val="正文文本缩进 2 字符1"/>
    <w:link w:val="36"/>
    <w:qFormat/>
    <w:locked/>
    <w:uiPriority w:val="99"/>
    <w:rPr>
      <w:rFonts w:eastAsia="仿宋_GB2312"/>
      <w:b/>
    </w:rPr>
  </w:style>
  <w:style w:type="character" w:customStyle="1" w:styleId="97">
    <w:name w:val="尾注文本 字符1"/>
    <w:link w:val="37"/>
    <w:qFormat/>
    <w:uiPriority w:val="99"/>
    <w:rPr>
      <w:sz w:val="21"/>
      <w:lang w:val="zh-CN" w:eastAsia="zh-CN"/>
    </w:rPr>
  </w:style>
  <w:style w:type="character" w:customStyle="1" w:styleId="98">
    <w:name w:val="批注框文本 字符"/>
    <w:link w:val="38"/>
    <w:qFormat/>
    <w:locked/>
    <w:uiPriority w:val="0"/>
    <w:rPr>
      <w:rFonts w:ascii="Times New Roman" w:hAnsi="Times New Roman" w:eastAsia="宋体"/>
      <w:sz w:val="18"/>
    </w:rPr>
  </w:style>
  <w:style w:type="character" w:customStyle="1" w:styleId="99">
    <w:name w:val="页脚 字符1"/>
    <w:link w:val="39"/>
    <w:qFormat/>
    <w:locked/>
    <w:uiPriority w:val="99"/>
    <w:rPr>
      <w:sz w:val="18"/>
    </w:rPr>
  </w:style>
  <w:style w:type="character" w:customStyle="1" w:styleId="100">
    <w:name w:val="页眉 字符"/>
    <w:link w:val="40"/>
    <w:qFormat/>
    <w:locked/>
    <w:uiPriority w:val="0"/>
    <w:rPr>
      <w:sz w:val="18"/>
    </w:rPr>
  </w:style>
  <w:style w:type="character" w:customStyle="1" w:styleId="101">
    <w:name w:val="副标题 字符1"/>
    <w:link w:val="45"/>
    <w:qFormat/>
    <w:locked/>
    <w:uiPriority w:val="0"/>
    <w:rPr>
      <w:rFonts w:ascii="Cambria" w:hAnsi="Cambria"/>
      <w:sz w:val="24"/>
      <w:lang w:eastAsia="en-US"/>
    </w:rPr>
  </w:style>
  <w:style w:type="character" w:customStyle="1" w:styleId="102">
    <w:name w:val="正文文本缩进 3 字符1"/>
    <w:link w:val="48"/>
    <w:qFormat/>
    <w:locked/>
    <w:uiPriority w:val="0"/>
    <w:rPr>
      <w:rFonts w:eastAsia="楷体_GB2312"/>
      <w:b/>
    </w:rPr>
  </w:style>
  <w:style w:type="character" w:customStyle="1" w:styleId="103">
    <w:name w:val="正文文本 2 字符1"/>
    <w:link w:val="52"/>
    <w:qFormat/>
    <w:locked/>
    <w:uiPriority w:val="99"/>
  </w:style>
  <w:style w:type="character" w:customStyle="1" w:styleId="104">
    <w:name w:val="HTML 预设格式 字符1"/>
    <w:link w:val="53"/>
    <w:qFormat/>
    <w:uiPriority w:val="99"/>
    <w:rPr>
      <w:rFonts w:ascii="Arial" w:hAnsi="Arial"/>
      <w:sz w:val="23"/>
      <w:szCs w:val="23"/>
      <w:lang w:val="zh-CN" w:eastAsia="zh-CN"/>
    </w:rPr>
  </w:style>
  <w:style w:type="character" w:customStyle="1" w:styleId="105">
    <w:name w:val="普通(网站) 字符1"/>
    <w:link w:val="54"/>
    <w:qFormat/>
    <w:locked/>
    <w:uiPriority w:val="0"/>
    <w:rPr>
      <w:rFonts w:ascii="宋体" w:hAnsi="宋体" w:eastAsia="宋体"/>
      <w:sz w:val="24"/>
    </w:rPr>
  </w:style>
  <w:style w:type="character" w:customStyle="1" w:styleId="106">
    <w:name w:val="标题 字符1"/>
    <w:link w:val="55"/>
    <w:qFormat/>
    <w:locked/>
    <w:uiPriority w:val="0"/>
    <w:rPr>
      <w:rFonts w:ascii="宋体"/>
      <w:sz w:val="24"/>
    </w:rPr>
  </w:style>
  <w:style w:type="character" w:customStyle="1" w:styleId="107">
    <w:name w:val="批注主题 字符"/>
    <w:link w:val="56"/>
    <w:qFormat/>
    <w:locked/>
    <w:uiPriority w:val="0"/>
    <w:rPr>
      <w:rFonts w:ascii="Times New Roman" w:hAnsi="Times New Roman" w:eastAsia="宋体"/>
      <w:b/>
      <w:kern w:val="2"/>
      <w:sz w:val="24"/>
    </w:rPr>
  </w:style>
  <w:style w:type="character" w:customStyle="1" w:styleId="108">
    <w:name w:val="正文首行缩进 字符"/>
    <w:link w:val="57"/>
    <w:qFormat/>
    <w:locked/>
    <w:uiPriority w:val="99"/>
  </w:style>
  <w:style w:type="character" w:customStyle="1" w:styleId="109">
    <w:name w:val="正文首行缩进 2 字符"/>
    <w:basedOn w:val="93"/>
    <w:link w:val="58"/>
    <w:qFormat/>
    <w:uiPriority w:val="0"/>
    <w:rPr>
      <w:rFonts w:ascii="Times New Roman" w:hAnsi="Times New Roman" w:eastAsia="宋体"/>
      <w:sz w:val="24"/>
    </w:rPr>
  </w:style>
  <w:style w:type="character" w:customStyle="1" w:styleId="110">
    <w:name w:val="批注文字 字符1"/>
    <w:semiHidden/>
    <w:qFormat/>
    <w:uiPriority w:val="0"/>
    <w:rPr>
      <w:rFonts w:ascii="Times New Roman" w:hAnsi="Times New Roman" w:eastAsia="宋体"/>
      <w:sz w:val="24"/>
    </w:rPr>
  </w:style>
  <w:style w:type="character" w:customStyle="1" w:styleId="111">
    <w:name w:val="页脚 字符"/>
    <w:basedOn w:val="65"/>
    <w:qFormat/>
    <w:uiPriority w:val="99"/>
  </w:style>
  <w:style w:type="character" w:customStyle="1" w:styleId="112">
    <w:name w:val="正文文本 字符1"/>
    <w:semiHidden/>
    <w:qFormat/>
    <w:uiPriority w:val="0"/>
    <w:rPr>
      <w:rFonts w:ascii="Times New Roman" w:hAnsi="Times New Roman" w:eastAsia="宋体"/>
      <w:sz w:val="24"/>
    </w:rPr>
  </w:style>
  <w:style w:type="character" w:customStyle="1" w:styleId="113">
    <w:name w:val="表格 Char"/>
    <w:link w:val="114"/>
    <w:qFormat/>
    <w:locked/>
    <w:uiPriority w:val="0"/>
    <w:rPr>
      <w:rFonts w:ascii="宋体"/>
      <w:sz w:val="21"/>
    </w:rPr>
  </w:style>
  <w:style w:type="paragraph" w:customStyle="1" w:styleId="114">
    <w:name w:val="表格"/>
    <w:basedOn w:val="1"/>
    <w:next w:val="1"/>
    <w:link w:val="113"/>
    <w:qFormat/>
    <w:uiPriority w:val="0"/>
    <w:pPr>
      <w:adjustRightInd w:val="0"/>
      <w:snapToGrid w:val="0"/>
      <w:spacing w:beforeLines="10" w:afterLines="10" w:line="259" w:lineRule="auto"/>
      <w:jc w:val="center"/>
    </w:pPr>
    <w:rPr>
      <w:rFonts w:ascii="宋体"/>
      <w:kern w:val="0"/>
      <w:szCs w:val="20"/>
    </w:rPr>
  </w:style>
  <w:style w:type="character" w:customStyle="1" w:styleId="115">
    <w:name w:val="日期 字符"/>
    <w:qFormat/>
    <w:uiPriority w:val="0"/>
    <w:rPr>
      <w:rFonts w:ascii="Times New Roman" w:hAnsi="Times New Roman" w:eastAsia="宋体"/>
      <w:sz w:val="24"/>
    </w:rPr>
  </w:style>
  <w:style w:type="paragraph" w:customStyle="1" w:styleId="11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7">
    <w:name w:val="普通(网站)2"/>
    <w:basedOn w:val="1"/>
    <w:qFormat/>
    <w:uiPriority w:val="0"/>
    <w:pPr>
      <w:widowControl/>
      <w:spacing w:before="100" w:beforeAutospacing="1" w:after="100" w:afterAutospacing="1"/>
      <w:jc w:val="left"/>
    </w:pPr>
    <w:rPr>
      <w:rFonts w:ascii="宋体" w:hAnsi="宋体"/>
      <w:sz w:val="24"/>
      <w:szCs w:val="20"/>
    </w:rPr>
  </w:style>
  <w:style w:type="character" w:customStyle="1" w:styleId="118">
    <w:name w:val="纯文本 Char"/>
    <w:qFormat/>
    <w:uiPriority w:val="0"/>
    <w:rPr>
      <w:rFonts w:ascii="宋体" w:hAnsi="Courier New" w:eastAsia="宋体"/>
      <w:kern w:val="0"/>
      <w:sz w:val="21"/>
    </w:rPr>
  </w:style>
  <w:style w:type="character" w:customStyle="1" w:styleId="119">
    <w:name w:val="height"/>
    <w:qFormat/>
    <w:uiPriority w:val="99"/>
    <w:rPr>
      <w:rFonts w:cs="Times New Roman"/>
    </w:rPr>
  </w:style>
  <w:style w:type="character" w:customStyle="1" w:styleId="120">
    <w:name w:val="apple-converted-space"/>
    <w:qFormat/>
    <w:uiPriority w:val="0"/>
  </w:style>
  <w:style w:type="character" w:customStyle="1" w:styleId="121">
    <w:name w:val="表格内文字 Char Char"/>
    <w:qFormat/>
    <w:uiPriority w:val="0"/>
    <w:rPr>
      <w:rFonts w:eastAsia="仿宋_GB2312"/>
      <w:kern w:val="2"/>
      <w:sz w:val="24"/>
    </w:rPr>
  </w:style>
  <w:style w:type="character" w:customStyle="1" w:styleId="122">
    <w:name w:val="表格文字 Char"/>
    <w:link w:val="123"/>
    <w:qFormat/>
    <w:locked/>
    <w:uiPriority w:val="0"/>
    <w:rPr>
      <w:rFonts w:ascii="仿宋_GB2312" w:hAnsi="Arial Black" w:eastAsia="仿宋_GB2312"/>
      <w:kern w:val="44"/>
      <w:sz w:val="24"/>
    </w:rPr>
  </w:style>
  <w:style w:type="paragraph" w:customStyle="1" w:styleId="123">
    <w:name w:val="表格文字"/>
    <w:basedOn w:val="1"/>
    <w:link w:val="122"/>
    <w:qFormat/>
    <w:uiPriority w:val="0"/>
    <w:pPr>
      <w:jc w:val="center"/>
    </w:pPr>
    <w:rPr>
      <w:rFonts w:ascii="仿宋_GB2312" w:hAnsi="Arial Black" w:eastAsia="仿宋_GB2312"/>
      <w:kern w:val="44"/>
      <w:sz w:val="24"/>
      <w:szCs w:val="20"/>
    </w:rPr>
  </w:style>
  <w:style w:type="character" w:customStyle="1" w:styleId="124">
    <w:name w:val="谏壁正文chen Char Char"/>
    <w:link w:val="125"/>
    <w:qFormat/>
    <w:locked/>
    <w:uiPriority w:val="99"/>
    <w:rPr>
      <w:kern w:val="2"/>
      <w:sz w:val="24"/>
    </w:rPr>
  </w:style>
  <w:style w:type="paragraph" w:customStyle="1" w:styleId="125">
    <w:name w:val="谏壁正文chen"/>
    <w:basedOn w:val="1"/>
    <w:link w:val="124"/>
    <w:qFormat/>
    <w:uiPriority w:val="0"/>
    <w:pPr>
      <w:spacing w:line="360" w:lineRule="auto"/>
      <w:ind w:firstLine="200" w:firstLineChars="200"/>
    </w:pPr>
    <w:rPr>
      <w:sz w:val="24"/>
      <w:szCs w:val="20"/>
    </w:rPr>
  </w:style>
  <w:style w:type="character" w:customStyle="1" w:styleId="126">
    <w:name w:val="正文文本 Char"/>
    <w:qFormat/>
    <w:locked/>
    <w:uiPriority w:val="0"/>
    <w:rPr>
      <w:rFonts w:ascii="Times New Roman" w:hAnsi="Times New Roman" w:eastAsia="宋体" w:cs="Times New Roman"/>
      <w:kern w:val="0"/>
      <w:sz w:val="20"/>
    </w:rPr>
  </w:style>
  <w:style w:type="character" w:customStyle="1" w:styleId="127">
    <w:name w:val="批注主题 Char"/>
    <w:qFormat/>
    <w:locked/>
    <w:uiPriority w:val="99"/>
    <w:rPr>
      <w:rFonts w:ascii="Times New Roman" w:hAnsi="Times New Roman" w:cs="Times New Roman"/>
      <w:b/>
    </w:rPr>
  </w:style>
  <w:style w:type="character" w:customStyle="1" w:styleId="128">
    <w:name w:val="price_unline"/>
    <w:qFormat/>
    <w:uiPriority w:val="99"/>
    <w:rPr>
      <w:rFonts w:cs="Times New Roman"/>
    </w:rPr>
  </w:style>
  <w:style w:type="character" w:customStyle="1" w:styleId="129">
    <w:name w:val="表格样式 Char"/>
    <w:link w:val="130"/>
    <w:qFormat/>
    <w:locked/>
    <w:uiPriority w:val="99"/>
    <w:rPr>
      <w:rFonts w:ascii="宋体"/>
      <w:kern w:val="2"/>
      <w:sz w:val="21"/>
    </w:rPr>
  </w:style>
  <w:style w:type="paragraph" w:customStyle="1" w:styleId="130">
    <w:name w:val="表格样式"/>
    <w:basedOn w:val="1"/>
    <w:link w:val="129"/>
    <w:qFormat/>
    <w:uiPriority w:val="99"/>
    <w:pPr>
      <w:jc w:val="center"/>
    </w:pPr>
    <w:rPr>
      <w:rFonts w:ascii="宋体"/>
      <w:szCs w:val="20"/>
    </w:rPr>
  </w:style>
  <w:style w:type="character" w:customStyle="1" w:styleId="131">
    <w:name w:val="表文字 Char1"/>
    <w:link w:val="132"/>
    <w:qFormat/>
    <w:locked/>
    <w:uiPriority w:val="99"/>
  </w:style>
  <w:style w:type="paragraph" w:customStyle="1" w:styleId="132">
    <w:name w:val="表文字"/>
    <w:basedOn w:val="1"/>
    <w:link w:val="131"/>
    <w:qFormat/>
    <w:uiPriority w:val="0"/>
    <w:pPr>
      <w:overflowPunct w:val="0"/>
      <w:autoSpaceDE w:val="0"/>
      <w:autoSpaceDN w:val="0"/>
      <w:adjustRightInd w:val="0"/>
      <w:spacing w:line="240" w:lineRule="atLeast"/>
      <w:jc w:val="center"/>
      <w:textAlignment w:val="baseline"/>
    </w:pPr>
    <w:rPr>
      <w:kern w:val="0"/>
      <w:sz w:val="20"/>
      <w:szCs w:val="20"/>
    </w:rPr>
  </w:style>
  <w:style w:type="character" w:customStyle="1" w:styleId="133">
    <w:name w:val="aspmaker1"/>
    <w:qFormat/>
    <w:uiPriority w:val="0"/>
    <w:rPr>
      <w:sz w:val="20"/>
    </w:rPr>
  </w:style>
  <w:style w:type="character" w:customStyle="1" w:styleId="134">
    <w:name w:val="正文（首行缩进2字） Char1"/>
    <w:link w:val="135"/>
    <w:qFormat/>
    <w:locked/>
    <w:uiPriority w:val="99"/>
    <w:rPr>
      <w:kern w:val="2"/>
      <w:sz w:val="30"/>
    </w:rPr>
  </w:style>
  <w:style w:type="paragraph" w:customStyle="1" w:styleId="135">
    <w:name w:val="正文（首行缩进2字）"/>
    <w:basedOn w:val="1"/>
    <w:link w:val="134"/>
    <w:qFormat/>
    <w:uiPriority w:val="99"/>
    <w:pPr>
      <w:spacing w:line="440" w:lineRule="exact"/>
      <w:ind w:firstLine="480" w:firstLineChars="200"/>
    </w:pPr>
    <w:rPr>
      <w:sz w:val="30"/>
      <w:szCs w:val="20"/>
    </w:rPr>
  </w:style>
  <w:style w:type="character" w:customStyle="1" w:styleId="136">
    <w:name w:val="正文文本 + MingLiU7"/>
    <w:qFormat/>
    <w:uiPriority w:val="99"/>
    <w:rPr>
      <w:rFonts w:ascii="MingLiU" w:hAnsi="宋体" w:eastAsia="MingLiU"/>
      <w:i/>
      <w:sz w:val="19"/>
    </w:rPr>
  </w:style>
  <w:style w:type="character" w:customStyle="1" w:styleId="137">
    <w:name w:val="表格标题博泵 Char"/>
    <w:link w:val="138"/>
    <w:qFormat/>
    <w:locked/>
    <w:uiPriority w:val="99"/>
    <w:rPr>
      <w:b/>
      <w:color w:val="000000"/>
    </w:rPr>
  </w:style>
  <w:style w:type="paragraph" w:customStyle="1" w:styleId="138">
    <w:name w:val="表格标题博泵"/>
    <w:basedOn w:val="1"/>
    <w:link w:val="137"/>
    <w:qFormat/>
    <w:uiPriority w:val="99"/>
    <w:pPr>
      <w:adjustRightInd w:val="0"/>
      <w:snapToGrid w:val="0"/>
      <w:jc w:val="center"/>
      <w:textAlignment w:val="baseline"/>
    </w:pPr>
    <w:rPr>
      <w:b/>
      <w:color w:val="000000"/>
      <w:kern w:val="0"/>
      <w:sz w:val="20"/>
      <w:szCs w:val="20"/>
    </w:rPr>
  </w:style>
  <w:style w:type="character" w:customStyle="1" w:styleId="139">
    <w:name w:val="正文文本 (6)_"/>
    <w:link w:val="140"/>
    <w:qFormat/>
    <w:locked/>
    <w:uiPriority w:val="99"/>
    <w:rPr>
      <w:rFonts w:ascii="宋体"/>
      <w:shd w:val="clear" w:color="auto" w:fill="FFFFFF"/>
    </w:rPr>
  </w:style>
  <w:style w:type="paragraph" w:customStyle="1" w:styleId="140">
    <w:name w:val="正文文本 (6)"/>
    <w:basedOn w:val="1"/>
    <w:link w:val="139"/>
    <w:qFormat/>
    <w:uiPriority w:val="99"/>
    <w:pPr>
      <w:widowControl/>
      <w:shd w:val="clear" w:color="auto" w:fill="FFFFFF"/>
      <w:spacing w:before="120" w:line="307" w:lineRule="exact"/>
      <w:jc w:val="right"/>
    </w:pPr>
    <w:rPr>
      <w:rFonts w:ascii="宋体"/>
      <w:kern w:val="0"/>
      <w:sz w:val="20"/>
      <w:szCs w:val="20"/>
      <w:shd w:val="clear" w:color="auto" w:fill="FFFFFF"/>
    </w:rPr>
  </w:style>
  <w:style w:type="character" w:customStyle="1" w:styleId="141">
    <w:name w:val="日期 Char"/>
    <w:qFormat/>
    <w:locked/>
    <w:uiPriority w:val="99"/>
    <w:rPr>
      <w:rFonts w:ascii="Times New Roman" w:hAnsi="Times New Roman" w:eastAsia="宋体" w:cs="Times New Roman"/>
      <w:sz w:val="20"/>
    </w:rPr>
  </w:style>
  <w:style w:type="character" w:customStyle="1" w:styleId="142">
    <w:name w:val="博泵1 Char"/>
    <w:link w:val="143"/>
    <w:qFormat/>
    <w:locked/>
    <w:uiPriority w:val="0"/>
    <w:rPr>
      <w:rFonts w:hAnsi="宋体"/>
      <w:color w:val="000000"/>
      <w:sz w:val="24"/>
    </w:rPr>
  </w:style>
  <w:style w:type="paragraph" w:customStyle="1" w:styleId="143">
    <w:name w:val="博泵1"/>
    <w:basedOn w:val="1"/>
    <w:link w:val="142"/>
    <w:qFormat/>
    <w:uiPriority w:val="0"/>
    <w:pPr>
      <w:adjustRightInd w:val="0"/>
      <w:spacing w:line="480" w:lineRule="exact"/>
      <w:ind w:firstLine="200" w:firstLineChars="200"/>
      <w:jc w:val="left"/>
      <w:textAlignment w:val="baseline"/>
    </w:pPr>
    <w:rPr>
      <w:rFonts w:hAnsi="宋体"/>
      <w:color w:val="000000"/>
      <w:kern w:val="0"/>
      <w:sz w:val="24"/>
      <w:szCs w:val="20"/>
    </w:rPr>
  </w:style>
  <w:style w:type="character" w:customStyle="1" w:styleId="144">
    <w:name w:val="批注框文本 Char"/>
    <w:qFormat/>
    <w:locked/>
    <w:uiPriority w:val="99"/>
    <w:rPr>
      <w:rFonts w:ascii="Times New Roman" w:hAnsi="Times New Roman" w:eastAsia="宋体" w:cs="Times New Roman"/>
      <w:kern w:val="0"/>
      <w:sz w:val="18"/>
    </w:rPr>
  </w:style>
  <w:style w:type="character" w:customStyle="1" w:styleId="145">
    <w:name w:val="标题 Char1"/>
    <w:qFormat/>
    <w:uiPriority w:val="99"/>
    <w:rPr>
      <w:rFonts w:ascii="Cambria" w:hAnsi="Cambria" w:eastAsia="宋体"/>
      <w:b/>
      <w:kern w:val="0"/>
      <w:sz w:val="32"/>
    </w:rPr>
  </w:style>
  <w:style w:type="character" w:customStyle="1" w:styleId="146">
    <w:name w:val="正文文本缩进 Char"/>
    <w:qFormat/>
    <w:locked/>
    <w:uiPriority w:val="0"/>
    <w:rPr>
      <w:rFonts w:ascii="Times New Roman" w:hAnsi="Times New Roman" w:eastAsia="楷体_GB2312" w:cs="Times New Roman"/>
      <w:b/>
      <w:kern w:val="0"/>
      <w:sz w:val="20"/>
    </w:rPr>
  </w:style>
  <w:style w:type="character" w:customStyle="1" w:styleId="147">
    <w:name w:val="页眉 Char"/>
    <w:qFormat/>
    <w:locked/>
    <w:uiPriority w:val="99"/>
    <w:rPr>
      <w:rFonts w:cs="Times New Roman"/>
      <w:sz w:val="18"/>
    </w:rPr>
  </w:style>
  <w:style w:type="character" w:customStyle="1" w:styleId="148">
    <w:name w:val="表头 Char"/>
    <w:link w:val="149"/>
    <w:qFormat/>
    <w:locked/>
    <w:uiPriority w:val="0"/>
    <w:rPr>
      <w:rFonts w:eastAsia="黑体"/>
    </w:rPr>
  </w:style>
  <w:style w:type="paragraph" w:customStyle="1" w:styleId="149">
    <w:name w:val="表头"/>
    <w:basedOn w:val="57"/>
    <w:link w:val="148"/>
    <w:qFormat/>
    <w:uiPriority w:val="0"/>
    <w:pPr>
      <w:overflowPunct w:val="0"/>
      <w:autoSpaceDE w:val="0"/>
      <w:autoSpaceDN w:val="0"/>
      <w:adjustRightInd w:val="0"/>
      <w:spacing w:before="60" w:after="60" w:line="360" w:lineRule="auto"/>
      <w:ind w:firstLine="539" w:firstLineChars="0"/>
      <w:jc w:val="center"/>
      <w:textAlignment w:val="baseline"/>
    </w:pPr>
    <w:rPr>
      <w:rFonts w:eastAsia="黑体"/>
    </w:rPr>
  </w:style>
  <w:style w:type="character" w:customStyle="1" w:styleId="150">
    <w:name w:val="1正文段落 Char"/>
    <w:link w:val="151"/>
    <w:qFormat/>
    <w:locked/>
    <w:uiPriority w:val="0"/>
    <w:rPr>
      <w:snapToGrid w:val="0"/>
      <w:sz w:val="24"/>
    </w:rPr>
  </w:style>
  <w:style w:type="paragraph" w:customStyle="1" w:styleId="151">
    <w:name w:val="1正文段落"/>
    <w:basedOn w:val="1"/>
    <w:link w:val="150"/>
    <w:qFormat/>
    <w:uiPriority w:val="0"/>
    <w:pPr>
      <w:spacing w:line="360" w:lineRule="auto"/>
      <w:ind w:firstLine="480" w:firstLineChars="200"/>
      <w:jc w:val="left"/>
    </w:pPr>
    <w:rPr>
      <w:snapToGrid w:val="0"/>
      <w:kern w:val="0"/>
      <w:sz w:val="24"/>
      <w:szCs w:val="20"/>
    </w:rPr>
  </w:style>
  <w:style w:type="character" w:customStyle="1" w:styleId="152">
    <w:name w:val="批注文字 Char"/>
    <w:qFormat/>
    <w:locked/>
    <w:uiPriority w:val="99"/>
    <w:rPr>
      <w:rFonts w:ascii="Times New Roman" w:hAnsi="Times New Roman" w:cs="Times New Roman"/>
    </w:rPr>
  </w:style>
  <w:style w:type="character" w:customStyle="1" w:styleId="153">
    <w:name w:val="环评正文 Char1"/>
    <w:link w:val="154"/>
    <w:qFormat/>
    <w:locked/>
    <w:uiPriority w:val="99"/>
    <w:rPr>
      <w:rFonts w:ascii="仿宋_GB2312" w:eastAsia="仿宋_GB2312"/>
      <w:kern w:val="2"/>
      <w:sz w:val="28"/>
      <w:lang w:val="zh-CN"/>
    </w:rPr>
  </w:style>
  <w:style w:type="paragraph" w:customStyle="1" w:styleId="154">
    <w:name w:val="环评正文"/>
    <w:basedOn w:val="35"/>
    <w:link w:val="153"/>
    <w:qFormat/>
    <w:uiPriority w:val="0"/>
    <w:pPr>
      <w:spacing w:line="500" w:lineRule="exact"/>
      <w:ind w:left="0" w:leftChars="0" w:firstLine="560" w:firstLineChars="200"/>
    </w:pPr>
    <w:rPr>
      <w:rFonts w:ascii="仿宋_GB2312" w:eastAsia="仿宋_GB2312"/>
      <w:kern w:val="2"/>
      <w:sz w:val="28"/>
      <w:lang w:val="zh-CN"/>
    </w:rPr>
  </w:style>
  <w:style w:type="character" w:customStyle="1" w:styleId="155">
    <w:name w:val="正文(首行缩进) Char Char"/>
    <w:link w:val="156"/>
    <w:qFormat/>
    <w:locked/>
    <w:uiPriority w:val="99"/>
    <w:rPr>
      <w:snapToGrid w:val="0"/>
      <w:sz w:val="24"/>
    </w:rPr>
  </w:style>
  <w:style w:type="paragraph" w:customStyle="1" w:styleId="156">
    <w:name w:val="正文(首行缩进)"/>
    <w:basedOn w:val="1"/>
    <w:link w:val="155"/>
    <w:qFormat/>
    <w:uiPriority w:val="0"/>
    <w:pPr>
      <w:spacing w:line="360" w:lineRule="auto"/>
      <w:ind w:firstLine="480" w:firstLineChars="200"/>
    </w:pPr>
    <w:rPr>
      <w:snapToGrid w:val="0"/>
      <w:kern w:val="0"/>
      <w:sz w:val="24"/>
      <w:szCs w:val="20"/>
    </w:rPr>
  </w:style>
  <w:style w:type="character" w:customStyle="1" w:styleId="157">
    <w:name w:val="正文01 Char1"/>
    <w:link w:val="158"/>
    <w:qFormat/>
    <w:locked/>
    <w:uiPriority w:val="0"/>
    <w:rPr>
      <w:kern w:val="2"/>
      <w:sz w:val="24"/>
    </w:rPr>
  </w:style>
  <w:style w:type="paragraph" w:customStyle="1" w:styleId="158">
    <w:name w:val="正文01"/>
    <w:basedOn w:val="1"/>
    <w:link w:val="157"/>
    <w:qFormat/>
    <w:uiPriority w:val="0"/>
    <w:pPr>
      <w:adjustRightInd w:val="0"/>
      <w:snapToGrid w:val="0"/>
      <w:spacing w:before="60" w:line="460" w:lineRule="exact"/>
      <w:ind w:firstLine="200" w:firstLineChars="200"/>
    </w:pPr>
    <w:rPr>
      <w:sz w:val="24"/>
      <w:szCs w:val="20"/>
    </w:rPr>
  </w:style>
  <w:style w:type="character" w:customStyle="1" w:styleId="159">
    <w:name w:val="我的样式（正文） Char"/>
    <w:link w:val="160"/>
    <w:qFormat/>
    <w:locked/>
    <w:uiPriority w:val="99"/>
    <w:rPr>
      <w:rFonts w:ascii="宋体"/>
      <w:kern w:val="2"/>
      <w:sz w:val="24"/>
    </w:rPr>
  </w:style>
  <w:style w:type="paragraph" w:customStyle="1" w:styleId="160">
    <w:name w:val="我的样式（正文）"/>
    <w:basedOn w:val="1"/>
    <w:link w:val="159"/>
    <w:qFormat/>
    <w:uiPriority w:val="0"/>
    <w:pPr>
      <w:adjustRightInd w:val="0"/>
      <w:snapToGrid w:val="0"/>
      <w:spacing w:line="360" w:lineRule="auto"/>
      <w:ind w:firstLine="200" w:firstLineChars="200"/>
    </w:pPr>
    <w:rPr>
      <w:rFonts w:ascii="宋体"/>
      <w:sz w:val="24"/>
      <w:szCs w:val="20"/>
    </w:rPr>
  </w:style>
  <w:style w:type="character" w:customStyle="1" w:styleId="161">
    <w:name w:val="页脚 Char"/>
    <w:qFormat/>
    <w:locked/>
    <w:uiPriority w:val="99"/>
    <w:rPr>
      <w:rFonts w:cs="Times New Roman"/>
      <w:sz w:val="18"/>
    </w:rPr>
  </w:style>
  <w:style w:type="character" w:customStyle="1" w:styleId="162">
    <w:name w:val="正文(首行缩进) Char"/>
    <w:qFormat/>
    <w:uiPriority w:val="0"/>
    <w:rPr>
      <w:rFonts w:eastAsia="宋体"/>
      <w:snapToGrid w:val="0"/>
      <w:sz w:val="24"/>
      <w:lang w:val="en-US" w:eastAsia="zh-CN"/>
    </w:rPr>
  </w:style>
  <w:style w:type="character" w:customStyle="1" w:styleId="163">
    <w:name w:val="表格内文字 Char"/>
    <w:link w:val="164"/>
    <w:qFormat/>
    <w:locked/>
    <w:uiPriority w:val="0"/>
    <w:rPr>
      <w:rFonts w:eastAsia="仿宋_GB2312"/>
      <w:sz w:val="24"/>
    </w:rPr>
  </w:style>
  <w:style w:type="paragraph" w:customStyle="1" w:styleId="164">
    <w:name w:val="表格内文字"/>
    <w:basedOn w:val="1"/>
    <w:link w:val="163"/>
    <w:qFormat/>
    <w:uiPriority w:val="0"/>
    <w:pPr>
      <w:tabs>
        <w:tab w:val="left" w:pos="0"/>
      </w:tabs>
      <w:adjustRightInd w:val="0"/>
      <w:snapToGrid w:val="0"/>
      <w:jc w:val="center"/>
    </w:pPr>
    <w:rPr>
      <w:rFonts w:eastAsia="仿宋_GB2312"/>
      <w:kern w:val="0"/>
      <w:sz w:val="24"/>
      <w:szCs w:val="20"/>
    </w:rPr>
  </w:style>
  <w:style w:type="character" w:customStyle="1" w:styleId="165">
    <w:name w:val="crumb"/>
    <w:qFormat/>
    <w:uiPriority w:val="99"/>
  </w:style>
  <w:style w:type="character" w:customStyle="1" w:styleId="166">
    <w:name w:val="样式1 Char"/>
    <w:link w:val="74"/>
    <w:qFormat/>
    <w:locked/>
    <w:uiPriority w:val="0"/>
    <w:rPr>
      <w:rFonts w:ascii="Calibri" w:hAnsi="Calibri"/>
      <w:color w:val="000000"/>
      <w:sz w:val="24"/>
    </w:rPr>
  </w:style>
  <w:style w:type="character" w:customStyle="1" w:styleId="167">
    <w:name w:val="报告正文-连续目录 Char Char"/>
    <w:link w:val="168"/>
    <w:qFormat/>
    <w:locked/>
    <w:uiPriority w:val="99"/>
    <w:rPr>
      <w:rFonts w:ascii="Arial" w:hAnsi="Arial"/>
      <w:snapToGrid w:val="0"/>
      <w:sz w:val="24"/>
    </w:rPr>
  </w:style>
  <w:style w:type="paragraph" w:customStyle="1" w:styleId="168">
    <w:name w:val="报告正文-连续目录"/>
    <w:basedOn w:val="1"/>
    <w:link w:val="167"/>
    <w:qFormat/>
    <w:uiPriority w:val="99"/>
    <w:pPr>
      <w:spacing w:line="440" w:lineRule="exact"/>
      <w:ind w:firstLine="200" w:firstLineChars="200"/>
    </w:pPr>
    <w:rPr>
      <w:rFonts w:ascii="Arial" w:hAnsi="Arial"/>
      <w:snapToGrid w:val="0"/>
      <w:kern w:val="0"/>
      <w:sz w:val="24"/>
      <w:szCs w:val="20"/>
    </w:rPr>
  </w:style>
  <w:style w:type="character" w:customStyle="1" w:styleId="169">
    <w:name w:val="表格 普通文字 Char"/>
    <w:link w:val="170"/>
    <w:qFormat/>
    <w:uiPriority w:val="0"/>
    <w:rPr>
      <w:rFonts w:eastAsia="仿宋_GB2312"/>
      <w:kern w:val="2"/>
      <w:sz w:val="21"/>
      <w:szCs w:val="21"/>
    </w:rPr>
  </w:style>
  <w:style w:type="paragraph" w:customStyle="1" w:styleId="170">
    <w:name w:val="表格 普通文字"/>
    <w:link w:val="169"/>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71">
    <w:name w:val="文档结构图 Char1"/>
    <w:qFormat/>
    <w:uiPriority w:val="99"/>
    <w:rPr>
      <w:rFonts w:ascii="宋体"/>
      <w:kern w:val="2"/>
      <w:sz w:val="18"/>
      <w:szCs w:val="18"/>
    </w:rPr>
  </w:style>
  <w:style w:type="paragraph" w:customStyle="1" w:styleId="172">
    <w:name w:val="海尔正文"/>
    <w:basedOn w:val="1"/>
    <w:qFormat/>
    <w:uiPriority w:val="0"/>
    <w:pPr>
      <w:spacing w:line="360" w:lineRule="auto"/>
      <w:ind w:firstLine="200" w:firstLineChars="200"/>
    </w:pPr>
    <w:rPr>
      <w:rFonts w:ascii="宋体" w:cs="宋体"/>
      <w:sz w:val="28"/>
    </w:rPr>
  </w:style>
  <w:style w:type="character" w:customStyle="1" w:styleId="173">
    <w:name w:val="正文文本缩进 3 Char1"/>
    <w:qFormat/>
    <w:uiPriority w:val="0"/>
    <w:rPr>
      <w:kern w:val="2"/>
      <w:sz w:val="16"/>
      <w:szCs w:val="16"/>
    </w:rPr>
  </w:style>
  <w:style w:type="paragraph" w:customStyle="1" w:styleId="174">
    <w:name w:val="样式 (中文) 仿宋_GB2312 四号 首行缩进:  0.98 厘米 行距: 固定值 25 磅"/>
    <w:basedOn w:val="1"/>
    <w:qFormat/>
    <w:uiPriority w:val="99"/>
    <w:pPr>
      <w:spacing w:line="360" w:lineRule="auto"/>
      <w:ind w:firstLine="556"/>
    </w:pPr>
    <w:rPr>
      <w:rFonts w:cs="宋体"/>
      <w:sz w:val="24"/>
      <w:szCs w:val="20"/>
    </w:rPr>
  </w:style>
  <w:style w:type="paragraph" w:customStyle="1" w:styleId="175">
    <w:name w:val="正文文本 (8)1"/>
    <w:basedOn w:val="1"/>
    <w:qFormat/>
    <w:uiPriority w:val="99"/>
    <w:pPr>
      <w:widowControl/>
      <w:shd w:val="clear" w:color="auto" w:fill="FFFFFF"/>
      <w:spacing w:before="120" w:line="307" w:lineRule="exact"/>
      <w:jc w:val="right"/>
    </w:pPr>
    <w:rPr>
      <w:rFonts w:ascii="MingLiU" w:eastAsia="MingLiU"/>
      <w:kern w:val="0"/>
      <w:sz w:val="19"/>
      <w:szCs w:val="19"/>
    </w:rPr>
  </w:style>
  <w:style w:type="paragraph" w:customStyle="1" w:styleId="176">
    <w:name w:val="列出段落1"/>
    <w:basedOn w:val="1"/>
    <w:link w:val="177"/>
    <w:qFormat/>
    <w:uiPriority w:val="0"/>
    <w:pPr>
      <w:widowControl/>
      <w:ind w:firstLine="420" w:firstLineChars="200"/>
      <w:jc w:val="left"/>
    </w:pPr>
    <w:rPr>
      <w:kern w:val="0"/>
      <w:sz w:val="20"/>
      <w:szCs w:val="20"/>
    </w:rPr>
  </w:style>
  <w:style w:type="character" w:customStyle="1" w:styleId="177">
    <w:name w:val="List Paragraph Char"/>
    <w:link w:val="176"/>
    <w:qFormat/>
    <w:locked/>
    <w:uiPriority w:val="0"/>
  </w:style>
  <w:style w:type="paragraph" w:customStyle="1" w:styleId="178">
    <w:name w:val="Char Char Char Char Char Char Char Char Char Char Char Char Char Char Char Char"/>
    <w:basedOn w:val="1"/>
    <w:qFormat/>
    <w:uiPriority w:val="0"/>
    <w:pPr>
      <w:autoSpaceDE w:val="0"/>
      <w:autoSpaceDN w:val="0"/>
      <w:adjustRightInd w:val="0"/>
      <w:textAlignment w:val="baseline"/>
    </w:pPr>
    <w:rPr>
      <w:szCs w:val="20"/>
    </w:rPr>
  </w:style>
  <w:style w:type="character" w:customStyle="1" w:styleId="179">
    <w:name w:val="正文文本缩进 2 Char1"/>
    <w:qFormat/>
    <w:uiPriority w:val="0"/>
    <w:rPr>
      <w:kern w:val="2"/>
      <w:sz w:val="21"/>
      <w:szCs w:val="24"/>
    </w:rPr>
  </w:style>
  <w:style w:type="paragraph" w:customStyle="1" w:styleId="180">
    <w:name w:val="Char Char Char1 Char Char Char"/>
    <w:basedOn w:val="1"/>
    <w:qFormat/>
    <w:uiPriority w:val="99"/>
    <w:rPr>
      <w:rFonts w:ascii="Courier New" w:hAnsi="Courier New" w:eastAsia="仿宋" w:cs="Courier New"/>
      <w:sz w:val="24"/>
    </w:rPr>
  </w:style>
  <w:style w:type="character" w:customStyle="1" w:styleId="181">
    <w:name w:val="纯文本 Char2"/>
    <w:qFormat/>
    <w:uiPriority w:val="0"/>
    <w:rPr>
      <w:rFonts w:ascii="宋体" w:hAnsi="Courier New" w:cs="Courier New"/>
      <w:kern w:val="2"/>
      <w:sz w:val="21"/>
      <w:szCs w:val="21"/>
    </w:rPr>
  </w:style>
  <w:style w:type="paragraph" w:customStyle="1" w:styleId="182">
    <w:name w:val="a4"/>
    <w:basedOn w:val="1"/>
    <w:qFormat/>
    <w:uiPriority w:val="99"/>
    <w:pPr>
      <w:widowControl/>
      <w:spacing w:before="100" w:beforeAutospacing="1" w:after="100" w:afterAutospacing="1" w:line="270" w:lineRule="atLeast"/>
      <w:jc w:val="left"/>
    </w:pPr>
    <w:rPr>
      <w:rFonts w:ascii="宋体" w:hAnsi="宋体" w:cs="宋体"/>
      <w:color w:val="000000"/>
      <w:kern w:val="0"/>
      <w:sz w:val="20"/>
      <w:szCs w:val="20"/>
    </w:rPr>
  </w:style>
  <w:style w:type="paragraph" w:customStyle="1" w:styleId="183">
    <w:name w:val="Char Char Char Char1"/>
    <w:basedOn w:val="1"/>
    <w:qFormat/>
    <w:uiPriority w:val="99"/>
    <w:pPr>
      <w:spacing w:line="360" w:lineRule="auto"/>
      <w:ind w:firstLine="200" w:firstLineChars="200"/>
    </w:pPr>
    <w:rPr>
      <w:rFonts w:ascii="宋体" w:hAnsi="宋体" w:cs="宋体"/>
      <w:sz w:val="24"/>
    </w:rPr>
  </w:style>
  <w:style w:type="paragraph" w:customStyle="1" w:styleId="184">
    <w:name w:val="xl4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Cs w:val="21"/>
    </w:rPr>
  </w:style>
  <w:style w:type="paragraph" w:customStyle="1" w:styleId="185">
    <w:name w:val="表格正文"/>
    <w:basedOn w:val="1"/>
    <w:qFormat/>
    <w:uiPriority w:val="0"/>
    <w:pPr>
      <w:spacing w:line="360" w:lineRule="exact"/>
      <w:jc w:val="center"/>
    </w:pPr>
    <w:rPr>
      <w:szCs w:val="20"/>
    </w:rPr>
  </w:style>
  <w:style w:type="paragraph" w:customStyle="1" w:styleId="186">
    <w:name w:val="Char Char4 Char Char"/>
    <w:basedOn w:val="1"/>
    <w:qFormat/>
    <w:uiPriority w:val="99"/>
    <w:rPr>
      <w:szCs w:val="20"/>
    </w:rPr>
  </w:style>
  <w:style w:type="paragraph" w:customStyle="1" w:styleId="187">
    <w:name w:val="Char Char Char Char Char Char Char Char Char1"/>
    <w:basedOn w:val="1"/>
    <w:qFormat/>
    <w:uiPriority w:val="99"/>
    <w:pPr>
      <w:snapToGrid w:val="0"/>
      <w:spacing w:line="360" w:lineRule="auto"/>
      <w:ind w:firstLine="529" w:firstLineChars="200"/>
    </w:pPr>
    <w:rPr>
      <w:rFonts w:ascii="宋体" w:hAnsi="宋体"/>
      <w:b/>
    </w:rPr>
  </w:style>
  <w:style w:type="paragraph" w:customStyle="1" w:styleId="188">
    <w:name w:val="列出段落2"/>
    <w:basedOn w:val="1"/>
    <w:qFormat/>
    <w:uiPriority w:val="99"/>
    <w:pPr>
      <w:widowControl/>
      <w:ind w:firstLine="420" w:firstLineChars="200"/>
      <w:jc w:val="left"/>
    </w:pPr>
    <w:rPr>
      <w:kern w:val="0"/>
      <w:sz w:val="20"/>
      <w:szCs w:val="20"/>
    </w:rPr>
  </w:style>
  <w:style w:type="character" w:customStyle="1" w:styleId="189">
    <w:name w:val="标题 Char2"/>
    <w:qFormat/>
    <w:uiPriority w:val="0"/>
    <w:rPr>
      <w:rFonts w:ascii="Cambria" w:hAnsi="Cambria" w:cs="Times New Roman"/>
      <w:b/>
      <w:bCs/>
      <w:kern w:val="2"/>
      <w:sz w:val="32"/>
      <w:szCs w:val="32"/>
    </w:rPr>
  </w:style>
  <w:style w:type="paragraph" w:customStyle="1" w:styleId="190">
    <w:name w:val="表格下方正文"/>
    <w:basedOn w:val="1"/>
    <w:qFormat/>
    <w:uiPriority w:val="99"/>
    <w:pPr>
      <w:adjustRightInd w:val="0"/>
      <w:snapToGrid w:val="0"/>
      <w:spacing w:before="300" w:line="460" w:lineRule="exact"/>
      <w:ind w:firstLine="482"/>
    </w:pPr>
    <w:rPr>
      <w:sz w:val="24"/>
    </w:rPr>
  </w:style>
  <w:style w:type="paragraph" w:customStyle="1" w:styleId="191">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2">
    <w:name w:val="Char Char Char1 Char Char Char Char Char Char Char Char Char Char Char Char Char 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193">
    <w:name w:val="样式 样式 正文首行缩进 + 首行缩进:  2 字符 + 首行缩进:  2 字符"/>
    <w:basedOn w:val="1"/>
    <w:qFormat/>
    <w:uiPriority w:val="99"/>
    <w:pPr>
      <w:topLinePunct/>
      <w:adjustRightInd w:val="0"/>
      <w:snapToGrid w:val="0"/>
      <w:spacing w:line="360" w:lineRule="auto"/>
      <w:ind w:firstLine="480"/>
      <w:textAlignment w:val="baseline"/>
    </w:pPr>
    <w:rPr>
      <w:rFonts w:hAnsi="宋体" w:eastAsia="Times New Roman"/>
      <w:kern w:val="0"/>
      <w:sz w:val="24"/>
      <w:szCs w:val="20"/>
    </w:rPr>
  </w:style>
  <w:style w:type="paragraph" w:customStyle="1" w:styleId="194">
    <w:name w:val="二级无标题条"/>
    <w:basedOn w:val="1"/>
    <w:qFormat/>
    <w:uiPriority w:val="0"/>
  </w:style>
  <w:style w:type="paragraph" w:customStyle="1" w:styleId="195">
    <w:name w:val="框图"/>
    <w:basedOn w:val="1"/>
    <w:qFormat/>
    <w:uiPriority w:val="99"/>
    <w:pPr>
      <w:adjustRightInd w:val="0"/>
      <w:snapToGrid w:val="0"/>
      <w:jc w:val="center"/>
    </w:pPr>
    <w:rPr>
      <w:rFonts w:ascii="仿宋_GB2312" w:hAnsi="宋体" w:eastAsia="仿宋_GB2312"/>
      <w:szCs w:val="21"/>
    </w:rPr>
  </w:style>
  <w:style w:type="paragraph" w:customStyle="1" w:styleId="196">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7">
    <w:name w:val="默认段落字体 Para Char Char Char Char"/>
    <w:basedOn w:val="1"/>
    <w:qFormat/>
    <w:uiPriority w:val="0"/>
    <w:rPr>
      <w:sz w:val="24"/>
    </w:rPr>
  </w:style>
  <w:style w:type="paragraph" w:customStyle="1" w:styleId="198">
    <w:name w:val="正文文本 (13)"/>
    <w:basedOn w:val="1"/>
    <w:qFormat/>
    <w:uiPriority w:val="99"/>
    <w:pPr>
      <w:widowControl/>
      <w:shd w:val="clear" w:color="auto" w:fill="FFFFFF"/>
      <w:spacing w:line="240" w:lineRule="atLeast"/>
      <w:jc w:val="left"/>
    </w:pPr>
    <w:rPr>
      <w:rFonts w:ascii="Batang" w:eastAsia="Batang"/>
      <w:kern w:val="0"/>
      <w:sz w:val="14"/>
      <w:szCs w:val="14"/>
    </w:rPr>
  </w:style>
  <w:style w:type="paragraph" w:customStyle="1" w:styleId="199">
    <w:name w:val="Char Char Char Char"/>
    <w:basedOn w:val="1"/>
    <w:qFormat/>
    <w:uiPriority w:val="0"/>
    <w:rPr>
      <w:szCs w:val="20"/>
    </w:rPr>
  </w:style>
  <w:style w:type="paragraph" w:customStyle="1" w:styleId="200">
    <w:name w:val="样式 表中文字 +"/>
    <w:basedOn w:val="1"/>
    <w:qFormat/>
    <w:uiPriority w:val="99"/>
    <w:pPr>
      <w:adjustRightInd w:val="0"/>
      <w:snapToGrid w:val="0"/>
      <w:spacing w:line="400" w:lineRule="exact"/>
      <w:jc w:val="center"/>
    </w:pPr>
    <w:rPr>
      <w:kern w:val="0"/>
      <w:szCs w:val="21"/>
    </w:rPr>
  </w:style>
  <w:style w:type="paragraph" w:customStyle="1" w:styleId="201">
    <w:name w:val="无间隔1"/>
    <w:basedOn w:val="1"/>
    <w:qFormat/>
    <w:uiPriority w:val="99"/>
    <w:pPr>
      <w:widowControl/>
      <w:jc w:val="left"/>
    </w:pPr>
    <w:rPr>
      <w:rFonts w:ascii="宋体" w:hAnsi="宋体"/>
      <w:kern w:val="0"/>
      <w:sz w:val="20"/>
      <w:szCs w:val="20"/>
    </w:rPr>
  </w:style>
  <w:style w:type="paragraph" w:customStyle="1" w:styleId="202">
    <w:name w:val="样式 xl27 + (西文) 楷体_GB2312 (符号) Courier New 小四 段前: 0 磅 段后: 0 磅..."/>
    <w:basedOn w:val="1"/>
    <w:qFormat/>
    <w:uiPriority w:val="99"/>
    <w:pPr>
      <w:widowControl/>
      <w:jc w:val="center"/>
    </w:pPr>
    <w:rPr>
      <w:rFonts w:cs="宋体"/>
      <w:sz w:val="24"/>
      <w:szCs w:val="20"/>
    </w:rPr>
  </w:style>
  <w:style w:type="paragraph" w:customStyle="1" w:styleId="203">
    <w:name w:val="表格文字（对中）"/>
    <w:basedOn w:val="2"/>
    <w:qFormat/>
    <w:uiPriority w:val="0"/>
    <w:pPr>
      <w:spacing w:line="480" w:lineRule="exact"/>
      <w:ind w:firstLine="0"/>
      <w:jc w:val="center"/>
    </w:pPr>
    <w:rPr>
      <w:rFonts w:ascii="黑体" w:hAnsi="Calibri" w:eastAsia="黑体"/>
      <w:color w:val="000000"/>
      <w:sz w:val="24"/>
      <w:szCs w:val="21"/>
    </w:rPr>
  </w:style>
  <w:style w:type="character" w:customStyle="1" w:styleId="204">
    <w:name w:val="正文首行缩进 Char1"/>
    <w:qFormat/>
    <w:uiPriority w:val="99"/>
    <w:rPr>
      <w:kern w:val="2"/>
      <w:sz w:val="21"/>
      <w:szCs w:val="24"/>
    </w:rPr>
  </w:style>
  <w:style w:type="character" w:customStyle="1" w:styleId="205">
    <w:name w:val="正文文本 2 Char1"/>
    <w:qFormat/>
    <w:uiPriority w:val="99"/>
    <w:rPr>
      <w:kern w:val="2"/>
      <w:sz w:val="21"/>
      <w:szCs w:val="24"/>
    </w:rPr>
  </w:style>
  <w:style w:type="character" w:customStyle="1" w:styleId="206">
    <w:name w:val="副标题 Char1"/>
    <w:qFormat/>
    <w:uiPriority w:val="11"/>
    <w:rPr>
      <w:rFonts w:ascii="Cambria" w:hAnsi="Cambria" w:cs="Times New Roman"/>
      <w:b/>
      <w:bCs/>
      <w:kern w:val="28"/>
      <w:sz w:val="32"/>
      <w:szCs w:val="32"/>
    </w:rPr>
  </w:style>
  <w:style w:type="paragraph" w:customStyle="1" w:styleId="207">
    <w:name w:val="默认段落字体 Para Char"/>
    <w:basedOn w:val="1"/>
    <w:qFormat/>
    <w:uiPriority w:val="0"/>
  </w:style>
  <w:style w:type="paragraph" w:customStyle="1" w:styleId="208">
    <w:name w:val="标准样式"/>
    <w:qFormat/>
    <w:uiPriority w:val="99"/>
    <w:pPr>
      <w:widowControl w:val="0"/>
      <w:ind w:firstLine="480" w:firstLineChars="200"/>
      <w:jc w:val="both"/>
    </w:pPr>
    <w:rPr>
      <w:rFonts w:ascii="Times New Roman" w:hAnsi="Times New Roman" w:eastAsia="宋体" w:cs="Times New Roman"/>
      <w:b/>
      <w:sz w:val="24"/>
      <w:lang w:val="en-US" w:eastAsia="zh-CN" w:bidi="ar-SA"/>
    </w:rPr>
  </w:style>
  <w:style w:type="paragraph" w:customStyle="1" w:styleId="209">
    <w:name w:val="Char Char Char Char Char Char"/>
    <w:basedOn w:val="1"/>
    <w:qFormat/>
    <w:uiPriority w:val="0"/>
    <w:rPr>
      <w:sz w:val="24"/>
    </w:rPr>
  </w:style>
  <w:style w:type="paragraph" w:customStyle="1" w:styleId="210">
    <w:name w:val="样式 样式 首行缩进:  2 字符 + 首行缩进:  2 字符"/>
    <w:qFormat/>
    <w:uiPriority w:val="0"/>
    <w:pPr>
      <w:spacing w:line="500" w:lineRule="exact"/>
      <w:ind w:firstLine="200" w:firstLineChars="200"/>
    </w:pPr>
    <w:rPr>
      <w:rFonts w:ascii="Times New Roman" w:hAnsi="Times New Roman" w:eastAsia="宋体" w:cs="宋体"/>
      <w:spacing w:val="30"/>
      <w:sz w:val="28"/>
      <w:lang w:val="en-US" w:eastAsia="zh-CN" w:bidi="ar-SA"/>
    </w:rPr>
  </w:style>
  <w:style w:type="paragraph" w:customStyle="1" w:styleId="211">
    <w:name w:val="正文文本 (11)"/>
    <w:basedOn w:val="1"/>
    <w:qFormat/>
    <w:uiPriority w:val="99"/>
    <w:pPr>
      <w:widowControl/>
      <w:shd w:val="clear" w:color="auto" w:fill="FFFFFF"/>
      <w:spacing w:after="120" w:line="240" w:lineRule="atLeast"/>
      <w:jc w:val="left"/>
    </w:pPr>
    <w:rPr>
      <w:rFonts w:ascii="MingLiU" w:eastAsia="MingLiU"/>
      <w:kern w:val="0"/>
      <w:sz w:val="19"/>
      <w:szCs w:val="19"/>
    </w:rPr>
  </w:style>
  <w:style w:type="paragraph" w:customStyle="1" w:styleId="212">
    <w:name w:val="1 Char Char Char Char"/>
    <w:basedOn w:val="1"/>
    <w:qFormat/>
    <w:uiPriority w:val="0"/>
    <w:pPr>
      <w:spacing w:line="360" w:lineRule="auto"/>
      <w:ind w:firstLine="200" w:firstLineChars="200"/>
    </w:pPr>
    <w:rPr>
      <w:rFonts w:ascii="宋体" w:hAnsi="宋体" w:cs="宋体"/>
      <w:sz w:val="24"/>
    </w:rPr>
  </w:style>
  <w:style w:type="paragraph" w:customStyle="1" w:styleId="213">
    <w:name w:val="正文文本 (9)1"/>
    <w:basedOn w:val="1"/>
    <w:qFormat/>
    <w:uiPriority w:val="99"/>
    <w:pPr>
      <w:widowControl/>
      <w:shd w:val="clear" w:color="auto" w:fill="FFFFFF"/>
      <w:spacing w:line="240" w:lineRule="atLeast"/>
      <w:jc w:val="left"/>
    </w:pPr>
    <w:rPr>
      <w:rFonts w:ascii="MingLiU" w:eastAsia="MingLiU"/>
      <w:kern w:val="0"/>
      <w:sz w:val="16"/>
      <w:szCs w:val="16"/>
    </w:rPr>
  </w:style>
  <w:style w:type="paragraph" w:customStyle="1" w:styleId="214">
    <w:name w:val="新格式表"/>
    <w:basedOn w:val="1"/>
    <w:qFormat/>
    <w:uiPriority w:val="99"/>
    <w:pPr>
      <w:spacing w:line="240" w:lineRule="exact"/>
      <w:jc w:val="center"/>
    </w:pPr>
    <w:rPr>
      <w:bCs/>
      <w:szCs w:val="21"/>
    </w:rPr>
  </w:style>
  <w:style w:type="paragraph" w:customStyle="1" w:styleId="215">
    <w:name w:val="Char"/>
    <w:basedOn w:val="1"/>
    <w:qFormat/>
    <w:uiPriority w:val="99"/>
    <w:rPr>
      <w:sz w:val="24"/>
    </w:rPr>
  </w:style>
  <w:style w:type="paragraph" w:customStyle="1" w:styleId="216">
    <w:name w:val="表格内容自定"/>
    <w:basedOn w:val="1"/>
    <w:qFormat/>
    <w:uiPriority w:val="0"/>
    <w:pPr>
      <w:spacing w:line="280" w:lineRule="exact"/>
      <w:jc w:val="center"/>
    </w:pPr>
    <w:rPr>
      <w:kern w:val="0"/>
      <w:sz w:val="18"/>
      <w:szCs w:val="21"/>
    </w:rPr>
  </w:style>
  <w:style w:type="paragraph" w:customStyle="1" w:styleId="217">
    <w:name w:val="Char Char Char1 Char Char Char1"/>
    <w:basedOn w:val="1"/>
    <w:qFormat/>
    <w:uiPriority w:val="99"/>
    <w:rPr>
      <w:rFonts w:ascii="Courier New" w:hAnsi="Courier New" w:eastAsia="仿宋" w:cs="Courier New"/>
      <w:sz w:val="24"/>
    </w:rPr>
  </w:style>
  <w:style w:type="paragraph" w:customStyle="1" w:styleId="218">
    <w:name w:val="WPS Plain"/>
    <w:qFormat/>
    <w:uiPriority w:val="0"/>
    <w:rPr>
      <w:rFonts w:ascii="Times New Roman" w:hAnsi="Times New Roman" w:eastAsia="宋体" w:cs="Times New Roman"/>
      <w:sz w:val="24"/>
      <w:szCs w:val="24"/>
      <w:lang w:val="en-US" w:eastAsia="zh-CN" w:bidi="ar-SA"/>
    </w:rPr>
  </w:style>
  <w:style w:type="character" w:customStyle="1" w:styleId="219">
    <w:name w:val="Default Char"/>
    <w:link w:val="76"/>
    <w:qFormat/>
    <w:uiPriority w:val="0"/>
    <w:rPr>
      <w:rFonts w:ascii="宋体" w:cs="宋体"/>
      <w:color w:val="000000"/>
      <w:sz w:val="24"/>
      <w:szCs w:val="24"/>
    </w:rPr>
  </w:style>
  <w:style w:type="paragraph" w:customStyle="1" w:styleId="220">
    <w:name w:val="码头正文"/>
    <w:basedOn w:val="2"/>
    <w:qFormat/>
    <w:uiPriority w:val="99"/>
    <w:pPr>
      <w:adjustRightInd w:val="0"/>
      <w:snapToGrid w:val="0"/>
      <w:spacing w:line="360" w:lineRule="auto"/>
      <w:ind w:firstLine="480" w:firstLineChars="200"/>
      <w:textAlignment w:val="baseline"/>
    </w:pPr>
    <w:rPr>
      <w:rFonts w:hAnsi="宋体"/>
      <w:bCs/>
      <w:color w:val="FF00FF"/>
      <w:sz w:val="24"/>
      <w:szCs w:val="24"/>
    </w:rPr>
  </w:style>
  <w:style w:type="paragraph" w:customStyle="1" w:styleId="221">
    <w:name w:val="Char Char Char Char Char Char Char"/>
    <w:basedOn w:val="1"/>
    <w:qFormat/>
    <w:uiPriority w:val="0"/>
    <w:rPr>
      <w:sz w:val="24"/>
    </w:rPr>
  </w:style>
  <w:style w:type="paragraph" w:customStyle="1" w:styleId="222">
    <w:name w:val="xl23"/>
    <w:basedOn w:val="1"/>
    <w:qFormat/>
    <w:uiPriority w:val="99"/>
    <w:pPr>
      <w:widowControl/>
      <w:spacing w:before="100" w:beforeAutospacing="1" w:after="100" w:afterAutospacing="1"/>
      <w:jc w:val="center"/>
    </w:pPr>
    <w:rPr>
      <w:rFonts w:ascii="Arial Unicode MS" w:hAnsi="Arial Unicode MS"/>
      <w:kern w:val="0"/>
      <w:sz w:val="24"/>
    </w:rPr>
  </w:style>
  <w:style w:type="table" w:customStyle="1" w:styleId="223">
    <w:name w:val="网格型-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24">
    <w:name w:val="ylf"/>
    <w:basedOn w:val="61"/>
    <w:qFormat/>
    <w:uiPriority w:val="99"/>
    <w:pPr>
      <w:widowControl w:val="0"/>
      <w:jc w:val="center"/>
    </w:pPr>
    <w:rPr>
      <w:sz w:val="21"/>
      <w:szCs w:val="21"/>
    </w:rPr>
    <w:tblPr>
      <w:tblBorders>
        <w:top w:val="single" w:color="auto" w:sz="12" w:space="0"/>
        <w:bottom w:val="single" w:color="auto" w:sz="12" w:space="0"/>
      </w:tblBorders>
    </w:tblPr>
  </w:style>
  <w:style w:type="paragraph" w:customStyle="1" w:styleId="225">
    <w:name w:val="表格文字2"/>
    <w:basedOn w:val="1"/>
    <w:qFormat/>
    <w:uiPriority w:val="0"/>
    <w:pPr>
      <w:tabs>
        <w:tab w:val="left" w:pos="277"/>
        <w:tab w:val="left" w:pos="600"/>
        <w:tab w:val="left" w:pos="780"/>
        <w:tab w:val="left" w:pos="2517"/>
      </w:tabs>
      <w:adjustRightInd w:val="0"/>
      <w:spacing w:before="60"/>
      <w:jc w:val="center"/>
      <w:textAlignment w:val="baseline"/>
    </w:pPr>
    <w:rPr>
      <w:rFonts w:ascii="仿宋_GB2312" w:eastAsia="仿宋_GB2312"/>
      <w:color w:val="000000"/>
      <w:kern w:val="0"/>
      <w:szCs w:val="21"/>
    </w:rPr>
  </w:style>
  <w:style w:type="paragraph" w:customStyle="1" w:styleId="226">
    <w:name w:val="Table Paragraph"/>
    <w:basedOn w:val="1"/>
    <w:qFormat/>
    <w:uiPriority w:val="1"/>
    <w:pPr>
      <w:autoSpaceDE w:val="0"/>
      <w:autoSpaceDN w:val="0"/>
      <w:spacing w:before="58"/>
      <w:jc w:val="center"/>
    </w:pPr>
    <w:rPr>
      <w:rFonts w:ascii="宋体" w:hAnsi="宋体" w:cs="宋体"/>
      <w:kern w:val="0"/>
      <w:sz w:val="22"/>
      <w:szCs w:val="22"/>
      <w:lang w:val="zh-CN" w:bidi="zh-CN"/>
    </w:rPr>
  </w:style>
  <w:style w:type="paragraph" w:styleId="227">
    <w:name w:val="List Paragraph"/>
    <w:basedOn w:val="1"/>
    <w:qFormat/>
    <w:uiPriority w:val="1"/>
    <w:pPr>
      <w:widowControl/>
      <w:ind w:firstLine="420" w:firstLineChars="200"/>
      <w:jc w:val="left"/>
    </w:pPr>
    <w:rPr>
      <w:kern w:val="0"/>
      <w:sz w:val="20"/>
      <w:szCs w:val="20"/>
    </w:rPr>
  </w:style>
  <w:style w:type="character" w:styleId="228">
    <w:name w:val="Placeholder Text"/>
    <w:unhideWhenUsed/>
    <w:qFormat/>
    <w:uiPriority w:val="99"/>
    <w:rPr>
      <w:color w:val="808080"/>
    </w:rPr>
  </w:style>
  <w:style w:type="character" w:customStyle="1" w:styleId="229">
    <w:name w:val="报告表正文 Char"/>
    <w:link w:val="230"/>
    <w:qFormat/>
    <w:uiPriority w:val="0"/>
    <w:rPr>
      <w:sz w:val="24"/>
    </w:rPr>
  </w:style>
  <w:style w:type="paragraph" w:customStyle="1" w:styleId="230">
    <w:name w:val="报告表正文"/>
    <w:basedOn w:val="1"/>
    <w:link w:val="229"/>
    <w:qFormat/>
    <w:uiPriority w:val="0"/>
    <w:pPr>
      <w:adjustRightInd w:val="0"/>
      <w:spacing w:line="300" w:lineRule="auto"/>
      <w:ind w:left="113" w:right="113"/>
      <w:textAlignment w:val="baseline"/>
    </w:pPr>
    <w:rPr>
      <w:kern w:val="0"/>
      <w:sz w:val="24"/>
      <w:szCs w:val="20"/>
    </w:rPr>
  </w:style>
  <w:style w:type="character" w:customStyle="1" w:styleId="231">
    <w:name w:val="Char Char29"/>
    <w:qFormat/>
    <w:uiPriority w:val="0"/>
    <w:rPr>
      <w:rFonts w:eastAsia="宋体"/>
      <w:b/>
      <w:bCs/>
      <w:kern w:val="2"/>
      <w:sz w:val="32"/>
      <w:szCs w:val="32"/>
      <w:lang w:val="en-US" w:eastAsia="zh-CN" w:bidi="ar-SA"/>
    </w:rPr>
  </w:style>
  <w:style w:type="character" w:customStyle="1" w:styleId="232">
    <w:name w:val="tt"/>
    <w:qFormat/>
    <w:uiPriority w:val="0"/>
  </w:style>
  <w:style w:type="character" w:customStyle="1" w:styleId="233">
    <w:name w:val="3zw1"/>
    <w:qFormat/>
    <w:uiPriority w:val="0"/>
    <w:rPr>
      <w:color w:val="000000"/>
      <w:sz w:val="21"/>
      <w:szCs w:val="21"/>
    </w:rPr>
  </w:style>
  <w:style w:type="character" w:customStyle="1" w:styleId="234">
    <w:name w:val="Char Char11"/>
    <w:qFormat/>
    <w:uiPriority w:val="0"/>
    <w:rPr>
      <w:rFonts w:ascii="Calibri" w:hAnsi="Tahoma" w:eastAsia="Calibri" w:cs="Tahoma"/>
      <w:kern w:val="2"/>
      <w:sz w:val="21"/>
      <w:szCs w:val="21"/>
      <w:lang w:val="en-US" w:eastAsia="zh-CN" w:bidi="ar-SA"/>
    </w:rPr>
  </w:style>
  <w:style w:type="character" w:customStyle="1" w:styleId="235">
    <w:name w:val="未命名11"/>
    <w:qFormat/>
    <w:uiPriority w:val="0"/>
    <w:rPr>
      <w:rFonts w:hint="eastAsia" w:ascii="宋体" w:hAnsi="宋体" w:eastAsia="宋体"/>
      <w:sz w:val="18"/>
      <w:szCs w:val="18"/>
    </w:rPr>
  </w:style>
  <w:style w:type="character" w:customStyle="1" w:styleId="236">
    <w:name w:val="正文文本 + 10 pt8"/>
    <w:qFormat/>
    <w:uiPriority w:val="0"/>
    <w:rPr>
      <w:rFonts w:ascii="宋体" w:eastAsia="宋体" w:cs="宋体"/>
      <w:b/>
      <w:bCs/>
      <w:sz w:val="20"/>
      <w:szCs w:val="20"/>
    </w:rPr>
  </w:style>
  <w:style w:type="character" w:customStyle="1" w:styleId="237">
    <w:name w:val="p18-hei"/>
    <w:qFormat/>
    <w:uiPriority w:val="0"/>
  </w:style>
  <w:style w:type="character" w:customStyle="1" w:styleId="238">
    <w:name w:val="表格内容1 Char"/>
    <w:link w:val="239"/>
    <w:qFormat/>
    <w:uiPriority w:val="0"/>
    <w:rPr>
      <w:kern w:val="24"/>
      <w:sz w:val="21"/>
      <w:szCs w:val="21"/>
    </w:rPr>
  </w:style>
  <w:style w:type="paragraph" w:customStyle="1" w:styleId="239">
    <w:name w:val="表格内容1"/>
    <w:basedOn w:val="1"/>
    <w:link w:val="238"/>
    <w:qFormat/>
    <w:uiPriority w:val="0"/>
    <w:pPr>
      <w:widowControl/>
      <w:jc w:val="center"/>
    </w:pPr>
    <w:rPr>
      <w:kern w:val="24"/>
      <w:szCs w:val="21"/>
    </w:rPr>
  </w:style>
  <w:style w:type="character" w:customStyle="1" w:styleId="240">
    <w:name w:val="正文文本 + 10 pt5"/>
    <w:qFormat/>
    <w:uiPriority w:val="0"/>
    <w:rPr>
      <w:rFonts w:ascii="宋体" w:eastAsia="宋体" w:cs="宋体"/>
      <w:b/>
      <w:bCs/>
      <w:sz w:val="20"/>
      <w:szCs w:val="20"/>
    </w:rPr>
  </w:style>
  <w:style w:type="character" w:customStyle="1" w:styleId="241">
    <w:name w:val="edit_font_color"/>
    <w:qFormat/>
    <w:uiPriority w:val="0"/>
  </w:style>
  <w:style w:type="character" w:customStyle="1" w:styleId="242">
    <w:name w:val="keyword1"/>
    <w:qFormat/>
    <w:uiPriority w:val="0"/>
  </w:style>
  <w:style w:type="character" w:customStyle="1" w:styleId="243">
    <w:name w:val="报告 Char"/>
    <w:link w:val="244"/>
    <w:qFormat/>
    <w:uiPriority w:val="0"/>
    <w:rPr>
      <w:rFonts w:ascii="TimesNewRoman" w:hAnsi="TimesNewRoman"/>
      <w:sz w:val="24"/>
    </w:rPr>
  </w:style>
  <w:style w:type="paragraph" w:customStyle="1" w:styleId="244">
    <w:name w:val="报告"/>
    <w:basedOn w:val="1"/>
    <w:link w:val="243"/>
    <w:qFormat/>
    <w:uiPriority w:val="0"/>
    <w:pPr>
      <w:adjustRightInd w:val="0"/>
      <w:spacing w:line="360" w:lineRule="auto"/>
      <w:ind w:firstLine="505"/>
      <w:textAlignment w:val="center"/>
    </w:pPr>
    <w:rPr>
      <w:rFonts w:ascii="TimesNewRoman" w:hAnsi="TimesNewRoman"/>
      <w:kern w:val="0"/>
      <w:sz w:val="24"/>
      <w:szCs w:val="20"/>
    </w:rPr>
  </w:style>
  <w:style w:type="character" w:customStyle="1" w:styleId="245">
    <w:name w:val="px141"/>
    <w:qFormat/>
    <w:uiPriority w:val="0"/>
    <w:rPr>
      <w:rFonts w:hint="default" w:ascii="ˎ̥" w:hAnsi="ˎ̥"/>
      <w:sz w:val="21"/>
      <w:szCs w:val="21"/>
    </w:rPr>
  </w:style>
  <w:style w:type="character" w:customStyle="1" w:styleId="246">
    <w:name w:val="标题1"/>
    <w:qFormat/>
    <w:uiPriority w:val="0"/>
  </w:style>
  <w:style w:type="character" w:customStyle="1" w:styleId="247">
    <w:name w:val="spelle"/>
    <w:qFormat/>
    <w:uiPriority w:val="0"/>
  </w:style>
  <w:style w:type="character" w:customStyle="1" w:styleId="248">
    <w:name w:val="css"/>
    <w:qFormat/>
    <w:uiPriority w:val="0"/>
  </w:style>
  <w:style w:type="character" w:customStyle="1" w:styleId="249">
    <w:name w:val="正文B Char"/>
    <w:link w:val="250"/>
    <w:qFormat/>
    <w:locked/>
    <w:uiPriority w:val="0"/>
    <w:rPr>
      <w:rFonts w:ascii="楷体_GB2312" w:eastAsia="楷体_GB2312"/>
      <w:kern w:val="2"/>
      <w:sz w:val="28"/>
    </w:rPr>
  </w:style>
  <w:style w:type="paragraph" w:customStyle="1" w:styleId="250">
    <w:name w:val="正文B"/>
    <w:basedOn w:val="1"/>
    <w:link w:val="249"/>
    <w:qFormat/>
    <w:uiPriority w:val="0"/>
    <w:pPr>
      <w:spacing w:line="500" w:lineRule="exact"/>
    </w:pPr>
    <w:rPr>
      <w:rFonts w:ascii="楷体_GB2312" w:eastAsia="楷体_GB2312"/>
      <w:sz w:val="28"/>
      <w:szCs w:val="20"/>
    </w:rPr>
  </w:style>
  <w:style w:type="character" w:customStyle="1" w:styleId="251">
    <w:name w:val="标题 3 Char Char2"/>
    <w:qFormat/>
    <w:uiPriority w:val="0"/>
    <w:rPr>
      <w:rFonts w:eastAsia="宋体"/>
      <w:b/>
      <w:bCs/>
      <w:kern w:val="2"/>
      <w:sz w:val="32"/>
      <w:szCs w:val="32"/>
      <w:lang w:val="en-US" w:eastAsia="zh-CN" w:bidi="ar-SA"/>
    </w:rPr>
  </w:style>
  <w:style w:type="character" w:customStyle="1" w:styleId="252">
    <w:name w:val="Char Char4"/>
    <w:qFormat/>
    <w:uiPriority w:val="0"/>
    <w:rPr>
      <w:rFonts w:ascii="宋体" w:hAnsi="Courier New" w:eastAsia="宋体"/>
      <w:kern w:val="2"/>
      <w:sz w:val="21"/>
      <w:lang w:val="en-US" w:eastAsia="zh-CN" w:bidi="ar-SA"/>
    </w:rPr>
  </w:style>
  <w:style w:type="character" w:customStyle="1" w:styleId="253">
    <w:name w:val="正文文本 + 6.5 pt3"/>
    <w:qFormat/>
    <w:uiPriority w:val="0"/>
    <w:rPr>
      <w:rFonts w:ascii="宋体" w:hAnsi="宋体" w:eastAsia="宋体" w:cs="宋体"/>
      <w:b/>
      <w:bCs/>
      <w:sz w:val="13"/>
      <w:szCs w:val="13"/>
      <w:lang w:val="en-US" w:eastAsia="zh-CN"/>
    </w:rPr>
  </w:style>
  <w:style w:type="character" w:customStyle="1" w:styleId="254">
    <w:name w:val="t_tag"/>
    <w:qFormat/>
    <w:uiPriority w:val="0"/>
  </w:style>
  <w:style w:type="character" w:customStyle="1" w:styleId="255">
    <w:name w:val="style31"/>
    <w:qFormat/>
    <w:uiPriority w:val="0"/>
    <w:rPr>
      <w:color w:val="000000"/>
      <w:sz w:val="21"/>
      <w:szCs w:val="21"/>
    </w:rPr>
  </w:style>
  <w:style w:type="character" w:customStyle="1" w:styleId="256">
    <w:name w:val="链接"/>
    <w:qFormat/>
    <w:uiPriority w:val="0"/>
    <w:rPr>
      <w:color w:val="0000FF"/>
      <w:u w:val="single" w:color="0000FF"/>
    </w:rPr>
  </w:style>
  <w:style w:type="character" w:customStyle="1" w:styleId="257">
    <w:name w:val="Char Char9"/>
    <w:qFormat/>
    <w:uiPriority w:val="0"/>
    <w:rPr>
      <w:rFonts w:ascii="宋体" w:hAnsi="宋体" w:eastAsia="宋体"/>
      <w:kern w:val="2"/>
      <w:sz w:val="24"/>
      <w:szCs w:val="24"/>
      <w:lang w:val="en-US" w:eastAsia="zh-CN" w:bidi="ar-SA"/>
    </w:rPr>
  </w:style>
  <w:style w:type="character" w:customStyle="1" w:styleId="258">
    <w:name w:val="表1 Char"/>
    <w:link w:val="259"/>
    <w:qFormat/>
    <w:uiPriority w:val="0"/>
    <w:rPr>
      <w:rFonts w:eastAsia="Times New Roman"/>
      <w:sz w:val="21"/>
    </w:rPr>
  </w:style>
  <w:style w:type="paragraph" w:customStyle="1" w:styleId="259">
    <w:name w:val="表1"/>
    <w:next w:val="1"/>
    <w:link w:val="258"/>
    <w:qFormat/>
    <w:uiPriority w:val="0"/>
    <w:pPr>
      <w:adjustRightInd w:val="0"/>
      <w:snapToGrid w:val="0"/>
      <w:jc w:val="center"/>
    </w:pPr>
    <w:rPr>
      <w:rFonts w:ascii="Times New Roman" w:hAnsi="Times New Roman" w:eastAsia="Times New Roman" w:cs="Times New Roman"/>
      <w:sz w:val="21"/>
      <w:lang w:val="en-US" w:eastAsia="zh-CN" w:bidi="ar-SA"/>
    </w:rPr>
  </w:style>
  <w:style w:type="character" w:customStyle="1" w:styleId="260">
    <w:name w:val="标题 2 Char3"/>
    <w:qFormat/>
    <w:uiPriority w:val="0"/>
    <w:rPr>
      <w:rFonts w:eastAsia="宋体"/>
      <w:b/>
      <w:bCs/>
      <w:kern w:val="2"/>
      <w:sz w:val="21"/>
      <w:szCs w:val="24"/>
      <w:lang w:val="en-US" w:eastAsia="zh-CN" w:bidi="ar-SA"/>
    </w:rPr>
  </w:style>
  <w:style w:type="character" w:customStyle="1" w:styleId="261">
    <w:name w:val="grame"/>
    <w:qFormat/>
    <w:uiPriority w:val="0"/>
  </w:style>
  <w:style w:type="character" w:customStyle="1" w:styleId="262">
    <w:name w:val="纯文本1"/>
    <w:qFormat/>
    <w:uiPriority w:val="0"/>
    <w:rPr>
      <w:rFonts w:ascii="宋体" w:hAnsi="Courier New" w:eastAsia="宋体" w:cs="Courier New"/>
      <w:kern w:val="2"/>
      <w:sz w:val="21"/>
      <w:szCs w:val="21"/>
      <w:lang w:val="en-US" w:eastAsia="zh-CN" w:bidi="ar-SA"/>
    </w:rPr>
  </w:style>
  <w:style w:type="character" w:customStyle="1" w:styleId="263">
    <w:name w:val="ddd"/>
    <w:qFormat/>
    <w:uiPriority w:val="0"/>
  </w:style>
  <w:style w:type="character" w:customStyle="1" w:styleId="264">
    <w:name w:val="表格 Char1"/>
    <w:qFormat/>
    <w:uiPriority w:val="0"/>
    <w:rPr>
      <w:rFonts w:ascii="Times New Roman" w:hAnsi="Times New Roman" w:eastAsia="仿宋_GB2312"/>
      <w:color w:val="auto"/>
      <w:kern w:val="2"/>
      <w:sz w:val="21"/>
      <w:szCs w:val="24"/>
    </w:rPr>
  </w:style>
  <w:style w:type="character" w:customStyle="1" w:styleId="265">
    <w:name w:val="表 Char1"/>
    <w:qFormat/>
    <w:uiPriority w:val="0"/>
    <w:rPr>
      <w:rFonts w:eastAsia="仿宋_GB2312" w:cs="仿宋_GB2312"/>
      <w:kern w:val="2"/>
      <w:sz w:val="21"/>
      <w:szCs w:val="21"/>
      <w:lang w:val="en-US" w:eastAsia="zh-CN" w:bidi="ar-SA"/>
    </w:rPr>
  </w:style>
  <w:style w:type="character" w:customStyle="1" w:styleId="266">
    <w:name w:val="正文1 Char"/>
    <w:link w:val="267"/>
    <w:qFormat/>
    <w:uiPriority w:val="0"/>
    <w:rPr>
      <w:rFonts w:ascii="宋体" w:hAnsi="宋体"/>
      <w:color w:val="000000"/>
      <w:kern w:val="2"/>
      <w:sz w:val="24"/>
    </w:rPr>
  </w:style>
  <w:style w:type="paragraph" w:customStyle="1" w:styleId="267">
    <w:name w:val="正文1"/>
    <w:basedOn w:val="1"/>
    <w:link w:val="266"/>
    <w:qFormat/>
    <w:uiPriority w:val="0"/>
    <w:pPr>
      <w:snapToGrid w:val="0"/>
      <w:spacing w:beforeLines="20" w:afterLines="20" w:line="312" w:lineRule="auto"/>
      <w:ind w:firstLine="475" w:firstLineChars="198"/>
    </w:pPr>
    <w:rPr>
      <w:rFonts w:ascii="宋体" w:hAnsi="宋体"/>
      <w:color w:val="000000"/>
      <w:sz w:val="24"/>
      <w:szCs w:val="20"/>
    </w:rPr>
  </w:style>
  <w:style w:type="character" w:customStyle="1" w:styleId="268">
    <w:name w:val="正文调整 Char"/>
    <w:link w:val="269"/>
    <w:qFormat/>
    <w:uiPriority w:val="0"/>
    <w:rPr>
      <w:kern w:val="2"/>
      <w:sz w:val="24"/>
      <w:szCs w:val="24"/>
    </w:rPr>
  </w:style>
  <w:style w:type="paragraph" w:customStyle="1" w:styleId="269">
    <w:name w:val="正文调整"/>
    <w:basedOn w:val="1"/>
    <w:link w:val="268"/>
    <w:qFormat/>
    <w:uiPriority w:val="0"/>
    <w:pPr>
      <w:spacing w:before="60" w:line="460" w:lineRule="atLeast"/>
      <w:ind w:firstLine="200" w:firstLineChars="200"/>
    </w:pPr>
    <w:rPr>
      <w:sz w:val="24"/>
    </w:rPr>
  </w:style>
  <w:style w:type="character" w:customStyle="1" w:styleId="270">
    <w:name w:val="表格标题 Char Char"/>
    <w:qFormat/>
    <w:uiPriority w:val="0"/>
    <w:rPr>
      <w:rFonts w:eastAsia="方正魏碑简体"/>
      <w:kern w:val="2"/>
      <w:sz w:val="24"/>
    </w:rPr>
  </w:style>
  <w:style w:type="paragraph" w:customStyle="1" w:styleId="271">
    <w:name w:val="表格标题"/>
    <w:basedOn w:val="17"/>
    <w:link w:val="570"/>
    <w:qFormat/>
    <w:uiPriority w:val="0"/>
    <w:pPr>
      <w:spacing w:before="120"/>
      <w:jc w:val="center"/>
    </w:pPr>
    <w:rPr>
      <w:rFonts w:eastAsia="方正魏碑简体"/>
      <w:sz w:val="24"/>
      <w:szCs w:val="20"/>
    </w:rPr>
  </w:style>
  <w:style w:type="paragraph" w:customStyle="1" w:styleId="272">
    <w:name w:val="居中正文"/>
    <w:basedOn w:val="57"/>
    <w:qFormat/>
    <w:uiPriority w:val="0"/>
    <w:pPr>
      <w:adjustRightInd w:val="0"/>
      <w:spacing w:before="120" w:after="0" w:line="360" w:lineRule="auto"/>
      <w:ind w:firstLine="0" w:firstLineChars="0"/>
      <w:jc w:val="center"/>
      <w:textAlignment w:val="baseline"/>
    </w:pPr>
    <w:rPr>
      <w:rFonts w:ascii="宋体"/>
      <w:kern w:val="28"/>
      <w:sz w:val="24"/>
      <w:szCs w:val="24"/>
      <w:lang w:val="zh-CN"/>
    </w:rPr>
  </w:style>
  <w:style w:type="character" w:customStyle="1" w:styleId="273">
    <w:name w:val="注释标题 Char1"/>
    <w:qFormat/>
    <w:uiPriority w:val="99"/>
    <w:rPr>
      <w:kern w:val="2"/>
      <w:sz w:val="21"/>
      <w:szCs w:val="24"/>
    </w:rPr>
  </w:style>
  <w:style w:type="paragraph" w:customStyle="1" w:styleId="274">
    <w:name w:val="正文首行缩进 2 + Times New Roman"/>
    <w:basedOn w:val="1"/>
    <w:qFormat/>
    <w:uiPriority w:val="0"/>
    <w:pPr>
      <w:tabs>
        <w:tab w:val="left" w:pos="0"/>
        <w:tab w:val="left" w:pos="1080"/>
      </w:tabs>
      <w:autoSpaceDE w:val="0"/>
      <w:autoSpaceDN w:val="0"/>
      <w:spacing w:line="540" w:lineRule="exact"/>
      <w:ind w:firstLine="480" w:firstLineChars="200"/>
    </w:pPr>
    <w:rPr>
      <w:sz w:val="24"/>
    </w:rPr>
  </w:style>
  <w:style w:type="paragraph" w:customStyle="1" w:styleId="275">
    <w:name w:val="CM11"/>
    <w:basedOn w:val="76"/>
    <w:next w:val="76"/>
    <w:qFormat/>
    <w:uiPriority w:val="0"/>
    <w:pPr>
      <w:spacing w:line="460" w:lineRule="atLeast"/>
    </w:pPr>
    <w:rPr>
      <w:rFonts w:ascii="黑体" w:eastAsia="黑体" w:cs="Times New Roman"/>
      <w:color w:val="auto"/>
      <w:sz w:val="20"/>
    </w:rPr>
  </w:style>
  <w:style w:type="character" w:customStyle="1" w:styleId="276">
    <w:name w:val="正文文本 3 Char1"/>
    <w:qFormat/>
    <w:uiPriority w:val="99"/>
    <w:rPr>
      <w:kern w:val="2"/>
      <w:sz w:val="16"/>
      <w:szCs w:val="16"/>
    </w:rPr>
  </w:style>
  <w:style w:type="paragraph" w:customStyle="1" w:styleId="277">
    <w:name w:val="IDC A-Head (2nd Line)"/>
    <w:basedOn w:val="1"/>
    <w:next w:val="1"/>
    <w:qFormat/>
    <w:uiPriority w:val="0"/>
    <w:pPr>
      <w:widowControl/>
      <w:jc w:val="center"/>
    </w:pPr>
    <w:rPr>
      <w:caps/>
      <w:kern w:val="0"/>
      <w:sz w:val="24"/>
      <w:szCs w:val="20"/>
    </w:rPr>
  </w:style>
  <w:style w:type="paragraph" w:customStyle="1" w:styleId="278">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279">
    <w:name w:val="默认段落字体 Para Char Char Char Char Char Char Char Char Char Char Char Char Char"/>
    <w:basedOn w:val="1"/>
    <w:qFormat/>
    <w:uiPriority w:val="0"/>
    <w:rPr>
      <w:sz w:val="24"/>
    </w:rPr>
  </w:style>
  <w:style w:type="paragraph" w:customStyle="1" w:styleId="280">
    <w:name w:val="1 Char Char Char Char Char Char Char Char Char Char Char Char Char Char Char Char"/>
    <w:basedOn w:val="1"/>
    <w:qFormat/>
    <w:uiPriority w:val="0"/>
  </w:style>
  <w:style w:type="paragraph" w:customStyle="1" w:styleId="281">
    <w:name w:val="css1"/>
    <w:basedOn w:val="1"/>
    <w:qFormat/>
    <w:uiPriority w:val="0"/>
    <w:pPr>
      <w:widowControl/>
      <w:spacing w:before="100" w:beforeAutospacing="1" w:after="100" w:afterAutospacing="1"/>
      <w:jc w:val="left"/>
    </w:pPr>
    <w:rPr>
      <w:rFonts w:ascii="宋体" w:hAnsi="宋体" w:cs="宋体"/>
      <w:kern w:val="0"/>
      <w:sz w:val="24"/>
    </w:rPr>
  </w:style>
  <w:style w:type="paragraph" w:customStyle="1" w:styleId="282">
    <w:name w:val="表2"/>
    <w:basedOn w:val="2"/>
    <w:qFormat/>
    <w:uiPriority w:val="0"/>
    <w:pPr>
      <w:snapToGrid w:val="0"/>
      <w:ind w:firstLine="0"/>
      <w:jc w:val="center"/>
      <w:textAlignment w:val="baseline"/>
      <w:outlineLvl w:val="7"/>
    </w:pPr>
    <w:rPr>
      <w:rFonts w:eastAsia="仿宋_GB2312"/>
      <w:snapToGrid w:val="0"/>
      <w:color w:val="000000"/>
      <w:sz w:val="21"/>
      <w:szCs w:val="21"/>
    </w:rPr>
  </w:style>
  <w:style w:type="paragraph" w:customStyle="1" w:styleId="283">
    <w:name w:val="xl34"/>
    <w:basedOn w:val="1"/>
    <w:qFormat/>
    <w:uiPriority w:val="0"/>
    <w:pPr>
      <w:widowControl/>
      <w:spacing w:before="100" w:beforeAutospacing="1" w:after="100" w:afterAutospacing="1"/>
      <w:jc w:val="center"/>
    </w:pPr>
    <w:rPr>
      <w:rFonts w:ascii="Arial Unicode MS" w:hAnsi="Arial Unicode MS" w:eastAsia="Arial Unicode MS"/>
      <w:kern w:val="0"/>
      <w:sz w:val="24"/>
    </w:rPr>
  </w:style>
  <w:style w:type="paragraph" w:customStyle="1" w:styleId="284">
    <w:name w:val="码头表"/>
    <w:basedOn w:val="1"/>
    <w:qFormat/>
    <w:uiPriority w:val="0"/>
    <w:pPr>
      <w:jc w:val="center"/>
    </w:pPr>
    <w:rPr>
      <w:rFonts w:ascii="宋体" w:hAnsi="宋体"/>
      <w:color w:val="FF0000"/>
      <w:sz w:val="24"/>
    </w:rPr>
  </w:style>
  <w:style w:type="paragraph" w:customStyle="1" w:styleId="285">
    <w:name w:val="表内式样"/>
    <w:qFormat/>
    <w:uiPriority w:val="0"/>
    <w:pPr>
      <w:widowControl w:val="0"/>
      <w:adjustRightInd w:val="0"/>
      <w:jc w:val="center"/>
      <w:textAlignment w:val="baseline"/>
    </w:pPr>
    <w:rPr>
      <w:rFonts w:ascii="宋体" w:hAnsi="宋体" w:eastAsia="宋体" w:cs="Times New Roman"/>
      <w:kern w:val="2"/>
      <w:sz w:val="21"/>
      <w:lang w:val="en-US" w:eastAsia="zh-CN" w:bidi="ar-SA"/>
    </w:rPr>
  </w:style>
  <w:style w:type="paragraph" w:customStyle="1" w:styleId="286">
    <w:name w:val="Char1"/>
    <w:basedOn w:val="1"/>
    <w:qFormat/>
    <w:uiPriority w:val="0"/>
    <w:rPr>
      <w:sz w:val="24"/>
    </w:rPr>
  </w:style>
  <w:style w:type="paragraph" w:customStyle="1" w:styleId="287">
    <w:name w:val="正文2"/>
    <w:basedOn w:val="1"/>
    <w:qFormat/>
    <w:uiPriority w:val="0"/>
    <w:pPr>
      <w:spacing w:line="500" w:lineRule="exact"/>
      <w:ind w:firstLine="560" w:firstLineChars="200"/>
    </w:pPr>
    <w:rPr>
      <w:rFonts w:ascii="楷体_GB2312" w:eastAsia="楷体_GB2312" w:cs="宋体"/>
      <w:sz w:val="28"/>
      <w:szCs w:val="20"/>
    </w:rPr>
  </w:style>
  <w:style w:type="paragraph" w:customStyle="1" w:styleId="288">
    <w:name w:val="xl37"/>
    <w:basedOn w:val="1"/>
    <w:qFormat/>
    <w:uiPriority w:val="0"/>
    <w:pPr>
      <w:widowControl/>
      <w:pBdr>
        <w:left w:val="single" w:color="auto" w:sz="8" w:space="0"/>
        <w:bottom w:val="single" w:color="auto" w:sz="8"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89">
    <w:name w:val="样式 标题 3ReHead 3 WSAh3标题 3 Char标题 32标题 311Re11Head 3 WSA1..."/>
    <w:basedOn w:val="5"/>
    <w:qFormat/>
    <w:uiPriority w:val="0"/>
    <w:pPr>
      <w:keepNext w:val="0"/>
      <w:keepLines w:val="0"/>
      <w:widowControl/>
      <w:tabs>
        <w:tab w:val="clear" w:pos="567"/>
      </w:tabs>
      <w:spacing w:before="260" w:beforeLines="50" w:after="0"/>
      <w:ind w:left="0" w:firstLine="0"/>
      <w:jc w:val="left"/>
    </w:pPr>
    <w:rPr>
      <w:rFonts w:ascii="宋体" w:hAnsi="宋体" w:eastAsia="宋体" w:cs="宋体"/>
      <w:bCs/>
      <w:color w:val="000000"/>
      <w:kern w:val="0"/>
      <w:sz w:val="24"/>
    </w:rPr>
  </w:style>
  <w:style w:type="paragraph" w:customStyle="1" w:styleId="290">
    <w:name w:val="1 Char Char Char Char Char Char Char Char Char Char"/>
    <w:basedOn w:val="1"/>
    <w:qFormat/>
    <w:uiPriority w:val="0"/>
  </w:style>
  <w:style w:type="paragraph" w:customStyle="1" w:styleId="291">
    <w:name w:val="Char Char Char Char Char Char Char1"/>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2">
    <w:name w:val="xl26"/>
    <w:basedOn w:val="1"/>
    <w:qFormat/>
    <w:uiPriority w:val="99"/>
    <w:pPr>
      <w:widowControl/>
      <w:pBdr>
        <w:left w:val="single" w:color="auto" w:sz="4" w:space="0"/>
        <w:right w:val="single" w:color="auto" w:sz="4" w:space="0"/>
      </w:pBdr>
      <w:spacing w:before="100" w:beforeAutospacing="1" w:after="100" w:afterAutospacing="1"/>
      <w:jc w:val="center"/>
      <w:textAlignment w:val="top"/>
    </w:pPr>
    <w:rPr>
      <w:rFonts w:eastAsia="Arial Unicode MS"/>
      <w:kern w:val="0"/>
      <w:sz w:val="18"/>
      <w:szCs w:val="18"/>
    </w:rPr>
  </w:style>
  <w:style w:type="paragraph" w:customStyle="1" w:styleId="293">
    <w:name w:val="正文两端对齐"/>
    <w:basedOn w:val="1"/>
    <w:qFormat/>
    <w:uiPriority w:val="0"/>
    <w:pPr>
      <w:spacing w:line="480" w:lineRule="exact"/>
    </w:pPr>
    <w:rPr>
      <w:rFonts w:ascii="宋体"/>
      <w:sz w:val="24"/>
    </w:rPr>
  </w:style>
  <w:style w:type="paragraph" w:customStyle="1" w:styleId="294">
    <w:name w:val="Char2"/>
    <w:basedOn w:val="1"/>
    <w:qFormat/>
    <w:uiPriority w:val="0"/>
    <w:pPr>
      <w:ind w:firstLine="200" w:firstLineChars="200"/>
    </w:pPr>
    <w:rPr>
      <w:rFonts w:ascii="宋体" w:hAnsi="宋体" w:cs="宋体"/>
    </w:rPr>
  </w:style>
  <w:style w:type="paragraph" w:customStyle="1" w:styleId="295">
    <w:name w:val="1 Char Char Char Char Char Char Char Char Char Char Char Char Char"/>
    <w:basedOn w:val="1"/>
    <w:qFormat/>
    <w:uiPriority w:val="0"/>
  </w:style>
  <w:style w:type="paragraph" w:customStyle="1" w:styleId="296">
    <w:name w:val="表格1"/>
    <w:basedOn w:val="1"/>
    <w:qFormat/>
    <w:uiPriority w:val="0"/>
    <w:pPr>
      <w:spacing w:before="120" w:line="360" w:lineRule="auto"/>
    </w:pPr>
    <w:rPr>
      <w:sz w:val="24"/>
      <w:szCs w:val="20"/>
    </w:rPr>
  </w:style>
  <w:style w:type="paragraph" w:customStyle="1" w:styleId="297">
    <w:name w:val="中文报告书样式"/>
    <w:basedOn w:val="1"/>
    <w:qFormat/>
    <w:uiPriority w:val="0"/>
    <w:pPr>
      <w:adjustRightInd w:val="0"/>
      <w:spacing w:line="480" w:lineRule="atLeast"/>
      <w:ind w:firstLine="482"/>
      <w:textAlignment w:val="baseline"/>
    </w:pPr>
    <w:rPr>
      <w:rFonts w:ascii="Lucida Console" w:hAnsi="Lucida Console" w:eastAsia="华文中宋" w:cs="Lucida Console"/>
      <w:kern w:val="24"/>
      <w:sz w:val="24"/>
      <w:szCs w:val="20"/>
    </w:rPr>
  </w:style>
  <w:style w:type="paragraph" w:customStyle="1" w:styleId="298">
    <w:name w:val="大表内容"/>
    <w:qFormat/>
    <w:uiPriority w:val="0"/>
    <w:pPr>
      <w:snapToGrid w:val="0"/>
      <w:jc w:val="center"/>
    </w:pPr>
    <w:rPr>
      <w:rFonts w:ascii="Times New Roman" w:hAnsi="Times New Roman" w:eastAsia="宋体" w:cs="Times New Roman"/>
      <w:sz w:val="21"/>
      <w:szCs w:val="21"/>
      <w:lang w:val="en-US" w:eastAsia="zh-CN" w:bidi="ar-SA"/>
    </w:rPr>
  </w:style>
  <w:style w:type="paragraph" w:customStyle="1" w:styleId="299">
    <w:name w:val="简单回函地址"/>
    <w:basedOn w:val="1"/>
    <w:qFormat/>
    <w:uiPriority w:val="0"/>
    <w:rPr>
      <w:szCs w:val="20"/>
    </w:rPr>
  </w:style>
  <w:style w:type="paragraph" w:customStyle="1" w:styleId="300">
    <w:name w:val="Char Char2"/>
    <w:basedOn w:val="1"/>
    <w:qFormat/>
    <w:uiPriority w:val="0"/>
    <w:pPr>
      <w:adjustRightInd w:val="0"/>
      <w:spacing w:line="360" w:lineRule="auto"/>
    </w:pPr>
    <w:rPr>
      <w:kern w:val="0"/>
      <w:sz w:val="24"/>
    </w:rPr>
  </w:style>
  <w:style w:type="paragraph" w:customStyle="1" w:styleId="301">
    <w:name w:val="二级条标题"/>
    <w:basedOn w:val="302"/>
    <w:next w:val="1"/>
    <w:qFormat/>
    <w:uiPriority w:val="0"/>
    <w:pPr>
      <w:tabs>
        <w:tab w:val="left" w:pos="360"/>
        <w:tab w:val="left" w:pos="903"/>
      </w:tabs>
      <w:outlineLvl w:val="3"/>
    </w:pPr>
  </w:style>
  <w:style w:type="paragraph" w:customStyle="1" w:styleId="302">
    <w:name w:val="一级条标题"/>
    <w:basedOn w:val="303"/>
    <w:next w:val="1"/>
    <w:qFormat/>
    <w:uiPriority w:val="0"/>
    <w:pPr>
      <w:tabs>
        <w:tab w:val="left" w:pos="360"/>
        <w:tab w:val="left" w:pos="903"/>
      </w:tabs>
      <w:spacing w:before="0" w:after="0"/>
      <w:ind w:left="0" w:firstLine="0"/>
      <w:outlineLvl w:val="2"/>
    </w:pPr>
  </w:style>
  <w:style w:type="paragraph" w:customStyle="1" w:styleId="303">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304">
    <w:name w:val="正文缩进1"/>
    <w:basedOn w:val="1"/>
    <w:qFormat/>
    <w:uiPriority w:val="0"/>
    <w:pPr>
      <w:spacing w:beforeLines="50" w:afterLines="50" w:line="360" w:lineRule="auto"/>
      <w:ind w:firstLine="482" w:firstLineChars="200"/>
      <w:jc w:val="center"/>
    </w:pPr>
    <w:rPr>
      <w:b/>
      <w:sz w:val="24"/>
      <w:szCs w:val="20"/>
    </w:rPr>
  </w:style>
  <w:style w:type="paragraph" w:customStyle="1" w:styleId="305">
    <w:name w:val="xl27"/>
    <w:basedOn w:val="1"/>
    <w:qFormat/>
    <w:uiPriority w:val="0"/>
    <w:pPr>
      <w:widowControl/>
      <w:pBdr>
        <w:left w:val="single" w:color="auto" w:sz="4" w:space="0"/>
        <w:right w:val="single" w:color="auto" w:sz="4" w:space="0"/>
      </w:pBdr>
      <w:spacing w:before="100" w:beforeAutospacing="1" w:after="100" w:afterAutospacing="1"/>
      <w:jc w:val="center"/>
    </w:pPr>
    <w:rPr>
      <w:rFonts w:eastAsia="Arial Unicode MS"/>
      <w:kern w:val="0"/>
      <w:sz w:val="24"/>
    </w:rPr>
  </w:style>
  <w:style w:type="paragraph" w:customStyle="1" w:styleId="306">
    <w:name w:val="标准"/>
    <w:basedOn w:val="1"/>
    <w:qFormat/>
    <w:uiPriority w:val="0"/>
    <w:pPr>
      <w:adjustRightInd w:val="0"/>
      <w:spacing w:line="360" w:lineRule="auto"/>
      <w:textAlignment w:val="baseline"/>
    </w:pPr>
    <w:rPr>
      <w:rFonts w:ascii="楷体_GB2312" w:eastAsia="楷体_GB2312"/>
      <w:kern w:val="0"/>
      <w:sz w:val="28"/>
      <w:szCs w:val="20"/>
    </w:rPr>
  </w:style>
  <w:style w:type="paragraph" w:customStyle="1" w:styleId="307">
    <w:name w:val="表格001"/>
    <w:basedOn w:val="1"/>
    <w:qFormat/>
    <w:uiPriority w:val="0"/>
    <w:pPr>
      <w:jc w:val="center"/>
    </w:pPr>
    <w:rPr>
      <w:rFonts w:ascii="宋体" w:hAnsi="宋体"/>
      <w:sz w:val="24"/>
      <w:szCs w:val="20"/>
    </w:rPr>
  </w:style>
  <w:style w:type="paragraph" w:customStyle="1" w:styleId="308">
    <w:name w:val="三级标题"/>
    <w:basedOn w:val="1"/>
    <w:next w:val="58"/>
    <w:qFormat/>
    <w:uiPriority w:val="0"/>
    <w:pPr>
      <w:spacing w:line="360" w:lineRule="exact"/>
      <w:jc w:val="center"/>
    </w:pPr>
    <w:rPr>
      <w:sz w:val="24"/>
    </w:rPr>
  </w:style>
  <w:style w:type="paragraph" w:customStyle="1" w:styleId="309">
    <w:name w:val="表格内容"/>
    <w:basedOn w:val="1"/>
    <w:link w:val="310"/>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character" w:customStyle="1" w:styleId="310">
    <w:name w:val="表格内容 Char Char"/>
    <w:link w:val="309"/>
    <w:qFormat/>
    <w:locked/>
    <w:uiPriority w:val="0"/>
    <w:rPr>
      <w:rFonts w:ascii="Arial" w:hAnsi="Arial" w:eastAsia="仿宋_GB2312"/>
      <w:sz w:val="24"/>
    </w:rPr>
  </w:style>
  <w:style w:type="paragraph" w:customStyle="1" w:styleId="311">
    <w:name w:val="1文章"/>
    <w:basedOn w:val="1"/>
    <w:qFormat/>
    <w:uiPriority w:val="0"/>
    <w:pPr>
      <w:snapToGrid w:val="0"/>
      <w:spacing w:line="420" w:lineRule="auto"/>
      <w:ind w:firstLine="454"/>
      <w:outlineLvl w:val="4"/>
    </w:pPr>
    <w:rPr>
      <w:spacing w:val="4"/>
      <w:sz w:val="24"/>
    </w:rPr>
  </w:style>
  <w:style w:type="paragraph" w:customStyle="1" w:styleId="312">
    <w:name w:val="本文正文"/>
    <w:basedOn w:val="1"/>
    <w:qFormat/>
    <w:uiPriority w:val="0"/>
    <w:pPr>
      <w:autoSpaceDE w:val="0"/>
      <w:autoSpaceDN w:val="0"/>
      <w:adjustRightInd w:val="0"/>
      <w:spacing w:line="300" w:lineRule="auto"/>
      <w:ind w:firstLine="560" w:firstLineChars="200"/>
      <w:textAlignment w:val="baseline"/>
    </w:pPr>
    <w:rPr>
      <w:sz w:val="28"/>
      <w:szCs w:val="20"/>
    </w:rPr>
  </w:style>
  <w:style w:type="paragraph" w:customStyle="1" w:styleId="313">
    <w:name w:val="Char Char Char"/>
    <w:basedOn w:val="1"/>
    <w:qFormat/>
    <w:uiPriority w:val="0"/>
  </w:style>
  <w:style w:type="paragraph" w:customStyle="1" w:styleId="314">
    <w:name w:val="样式"/>
    <w:basedOn w:val="1"/>
    <w:next w:val="32"/>
    <w:qFormat/>
    <w:uiPriority w:val="0"/>
    <w:rPr>
      <w:rFonts w:ascii="宋体" w:hAnsi="Courier New"/>
      <w:sz w:val="24"/>
    </w:rPr>
  </w:style>
  <w:style w:type="paragraph" w:customStyle="1" w:styleId="315">
    <w:name w:val="4级标题"/>
    <w:basedOn w:val="151"/>
    <w:qFormat/>
    <w:uiPriority w:val="0"/>
    <w:pPr>
      <w:ind w:firstLine="0" w:firstLineChars="0"/>
    </w:pPr>
    <w:rPr>
      <w:b/>
      <w:szCs w:val="24"/>
      <w:lang w:val="zh-CN"/>
    </w:rPr>
  </w:style>
  <w:style w:type="paragraph" w:customStyle="1" w:styleId="316">
    <w:name w:val="Char Char Char Char Char Char1 Char"/>
    <w:basedOn w:val="1"/>
    <w:qFormat/>
    <w:uiPriority w:val="0"/>
    <w:pPr>
      <w:spacing w:line="360" w:lineRule="auto"/>
    </w:pPr>
    <w:rPr>
      <w:sz w:val="24"/>
    </w:rPr>
  </w:style>
  <w:style w:type="paragraph" w:customStyle="1" w:styleId="317">
    <w:name w:val="样式2"/>
    <w:basedOn w:val="1"/>
    <w:link w:val="318"/>
    <w:qFormat/>
    <w:uiPriority w:val="0"/>
    <w:pPr>
      <w:spacing w:line="240" w:lineRule="exact"/>
      <w:jc w:val="left"/>
      <w:outlineLvl w:val="0"/>
    </w:pPr>
    <w:rPr>
      <w:sz w:val="24"/>
    </w:rPr>
  </w:style>
  <w:style w:type="character" w:customStyle="1" w:styleId="318">
    <w:name w:val="样式2 Char"/>
    <w:link w:val="317"/>
    <w:qFormat/>
    <w:uiPriority w:val="0"/>
    <w:rPr>
      <w:kern w:val="2"/>
      <w:sz w:val="24"/>
      <w:szCs w:val="24"/>
    </w:rPr>
  </w:style>
  <w:style w:type="paragraph" w:customStyle="1" w:styleId="319">
    <w:name w:val="表文"/>
    <w:basedOn w:val="149"/>
    <w:qFormat/>
    <w:uiPriority w:val="0"/>
    <w:pPr>
      <w:overflowPunct/>
      <w:autoSpaceDE/>
      <w:autoSpaceDN/>
      <w:adjustRightInd/>
      <w:spacing w:before="0" w:beforeLines="20" w:after="0" w:afterLines="20" w:line="240" w:lineRule="auto"/>
      <w:ind w:firstLine="0"/>
      <w:textAlignment w:val="auto"/>
    </w:pPr>
    <w:rPr>
      <w:rFonts w:eastAsia="宋体"/>
      <w:b/>
      <w:bCs/>
      <w:kern w:val="2"/>
      <w:sz w:val="24"/>
    </w:rPr>
  </w:style>
  <w:style w:type="paragraph" w:customStyle="1" w:styleId="320">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321">
    <w:name w:val="xl22"/>
    <w:basedOn w:val="1"/>
    <w:qFormat/>
    <w:uiPriority w:val="0"/>
    <w:pPr>
      <w:widowControl/>
      <w:spacing w:before="100" w:after="100"/>
      <w:jc w:val="center"/>
    </w:pPr>
    <w:rPr>
      <w:kern w:val="0"/>
      <w:sz w:val="24"/>
    </w:rPr>
  </w:style>
  <w:style w:type="paragraph" w:customStyle="1" w:styleId="322">
    <w:name w:val="xl29"/>
    <w:basedOn w:val="1"/>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323">
    <w:name w:val="三级条标题"/>
    <w:basedOn w:val="301"/>
    <w:next w:val="1"/>
    <w:qFormat/>
    <w:uiPriority w:val="0"/>
    <w:pPr>
      <w:tabs>
        <w:tab w:val="clear" w:pos="360"/>
      </w:tabs>
      <w:outlineLvl w:val="4"/>
    </w:pPr>
  </w:style>
  <w:style w:type="paragraph" w:customStyle="1" w:styleId="324">
    <w:name w:val="xl28"/>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325">
    <w:name w:val="CM2"/>
    <w:basedOn w:val="76"/>
    <w:next w:val="76"/>
    <w:qFormat/>
    <w:uiPriority w:val="0"/>
    <w:pPr>
      <w:spacing w:line="460" w:lineRule="atLeast"/>
    </w:pPr>
    <w:rPr>
      <w:rFonts w:ascii="黑体" w:eastAsia="黑体" w:cs="Times New Roman"/>
      <w:color w:val="auto"/>
      <w:sz w:val="20"/>
    </w:rPr>
  </w:style>
  <w:style w:type="paragraph" w:customStyle="1" w:styleId="326">
    <w:name w:val="表序号"/>
    <w:basedOn w:val="7"/>
    <w:qFormat/>
    <w:uiPriority w:val="0"/>
    <w:pPr>
      <w:keepLines/>
      <w:tabs>
        <w:tab w:val="clear" w:pos="1080"/>
      </w:tabs>
      <w:spacing w:line="360" w:lineRule="auto"/>
      <w:ind w:left="1134" w:hanging="1134"/>
      <w:jc w:val="center"/>
    </w:pPr>
    <w:rPr>
      <w:rFonts w:ascii="宋体" w:hAnsi="宋体"/>
      <w:sz w:val="24"/>
    </w:rPr>
  </w:style>
  <w:style w:type="paragraph" w:customStyle="1" w:styleId="327">
    <w:name w:val="2"/>
    <w:basedOn w:val="1"/>
    <w:next w:val="48"/>
    <w:qFormat/>
    <w:uiPriority w:val="0"/>
    <w:pPr>
      <w:spacing w:line="360" w:lineRule="auto"/>
      <w:ind w:firstLine="480"/>
    </w:pPr>
    <w:rPr>
      <w:sz w:val="24"/>
      <w:szCs w:val="20"/>
    </w:rPr>
  </w:style>
  <w:style w:type="paragraph" w:customStyle="1" w:styleId="328">
    <w:name w:val="标准文本 首行缩进:2 字符 行距1倍"/>
    <w:basedOn w:val="1"/>
    <w:qFormat/>
    <w:uiPriority w:val="0"/>
    <w:pPr>
      <w:adjustRightInd w:val="0"/>
      <w:snapToGrid w:val="0"/>
      <w:spacing w:line="480" w:lineRule="exact"/>
      <w:textAlignment w:val="center"/>
    </w:pPr>
    <w:rPr>
      <w:rFonts w:cs="宋体"/>
      <w:sz w:val="24"/>
      <w:szCs w:val="20"/>
    </w:rPr>
  </w:style>
  <w:style w:type="paragraph" w:customStyle="1" w:styleId="329">
    <w:name w:val="1"/>
    <w:basedOn w:val="1"/>
    <w:next w:val="2"/>
    <w:qFormat/>
    <w:uiPriority w:val="0"/>
    <w:pPr>
      <w:ind w:firstLine="420"/>
    </w:pPr>
    <w:rPr>
      <w:sz w:val="24"/>
    </w:rPr>
  </w:style>
  <w:style w:type="paragraph" w:customStyle="1" w:styleId="330">
    <w:name w:val="正文样式2"/>
    <w:basedOn w:val="1"/>
    <w:qFormat/>
    <w:uiPriority w:val="0"/>
    <w:pPr>
      <w:adjustRightInd w:val="0"/>
      <w:snapToGrid w:val="0"/>
      <w:spacing w:line="360" w:lineRule="auto"/>
      <w:ind w:firstLine="510"/>
      <w:textAlignment w:val="baseline"/>
    </w:pPr>
    <w:rPr>
      <w:rFonts w:ascii="宋体"/>
      <w:kern w:val="24"/>
      <w:sz w:val="24"/>
      <w:szCs w:val="20"/>
    </w:rPr>
  </w:style>
  <w:style w:type="paragraph" w:customStyle="1" w:styleId="331">
    <w:name w:val="y表格"/>
    <w:basedOn w:val="24"/>
    <w:qFormat/>
    <w:uiPriority w:val="0"/>
    <w:pPr>
      <w:adjustRightInd w:val="0"/>
      <w:spacing w:before="0" w:after="0" w:line="240" w:lineRule="auto"/>
      <w:ind w:right="0"/>
      <w:jc w:val="center"/>
      <w:textAlignment w:val="baseline"/>
    </w:pPr>
    <w:rPr>
      <w:rFonts w:hint="eastAsia" w:ascii="宋体" w:hAnsi="宋体"/>
      <w:sz w:val="24"/>
      <w:lang w:val="zh-CN"/>
    </w:rPr>
  </w:style>
  <w:style w:type="paragraph" w:customStyle="1" w:styleId="332">
    <w:name w:val="四级条标题"/>
    <w:basedOn w:val="323"/>
    <w:next w:val="1"/>
    <w:qFormat/>
    <w:uiPriority w:val="0"/>
    <w:pPr>
      <w:outlineLvl w:val="5"/>
    </w:pPr>
  </w:style>
  <w:style w:type="paragraph" w:customStyle="1" w:styleId="333">
    <w:name w:val="五级条标题"/>
    <w:basedOn w:val="332"/>
    <w:next w:val="1"/>
    <w:qFormat/>
    <w:uiPriority w:val="0"/>
    <w:pPr>
      <w:outlineLvl w:val="6"/>
    </w:pPr>
  </w:style>
  <w:style w:type="paragraph" w:customStyle="1" w:styleId="334">
    <w:name w:val="标题b"/>
    <w:basedOn w:val="1"/>
    <w:next w:val="1"/>
    <w:qFormat/>
    <w:uiPriority w:val="0"/>
    <w:pPr>
      <w:spacing w:line="700" w:lineRule="exact"/>
    </w:pPr>
    <w:rPr>
      <w:rFonts w:ascii="楷体_GB2312" w:hAnsi="楷体_GB2312" w:eastAsia="楷体_GB2312"/>
      <w:b/>
      <w:sz w:val="30"/>
      <w:szCs w:val="20"/>
    </w:rPr>
  </w:style>
  <w:style w:type="paragraph" w:customStyle="1" w:styleId="335">
    <w:name w:val="iw_poi_title"/>
    <w:basedOn w:val="1"/>
    <w:qFormat/>
    <w:uiPriority w:val="0"/>
    <w:pPr>
      <w:widowControl/>
      <w:jc w:val="left"/>
    </w:pPr>
    <w:rPr>
      <w:rFonts w:ascii="宋体" w:hAnsi="宋体" w:cs="宋体"/>
      <w:b/>
      <w:bCs/>
      <w:color w:val="CC5522"/>
      <w:kern w:val="0"/>
      <w:szCs w:val="21"/>
    </w:rPr>
  </w:style>
  <w:style w:type="paragraph" w:customStyle="1" w:styleId="336">
    <w:name w:val="表格 32"/>
    <w:basedOn w:val="1"/>
    <w:qFormat/>
    <w:uiPriority w:val="0"/>
    <w:pPr>
      <w:autoSpaceDE w:val="0"/>
      <w:autoSpaceDN w:val="0"/>
      <w:adjustRightInd w:val="0"/>
      <w:spacing w:line="240" w:lineRule="atLeast"/>
      <w:jc w:val="center"/>
      <w:textAlignment w:val="baseline"/>
    </w:pPr>
    <w:rPr>
      <w:kern w:val="0"/>
      <w:sz w:val="24"/>
    </w:rPr>
  </w:style>
  <w:style w:type="paragraph" w:customStyle="1" w:styleId="337">
    <w:name w:val="正文3"/>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338">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339">
    <w:name w:val="wpsplain"/>
    <w:basedOn w:val="1"/>
    <w:qFormat/>
    <w:uiPriority w:val="0"/>
    <w:pPr>
      <w:widowControl/>
      <w:spacing w:before="100" w:beforeAutospacing="1" w:after="100" w:afterAutospacing="1"/>
      <w:jc w:val="left"/>
    </w:pPr>
    <w:rPr>
      <w:rFonts w:ascii="宋体" w:hAnsi="宋体" w:cs="宋体"/>
      <w:kern w:val="0"/>
      <w:sz w:val="24"/>
    </w:rPr>
  </w:style>
  <w:style w:type="paragraph" w:customStyle="1" w:styleId="340">
    <w:name w:val="_Style 10"/>
    <w:basedOn w:val="1"/>
    <w:qFormat/>
    <w:uiPriority w:val="0"/>
    <w:rPr>
      <w:sz w:val="24"/>
    </w:rPr>
  </w:style>
  <w:style w:type="paragraph" w:customStyle="1" w:styleId="341">
    <w:name w:val="xl21"/>
    <w:basedOn w:val="1"/>
    <w:qFormat/>
    <w:uiPriority w:val="0"/>
    <w:pPr>
      <w:widowControl/>
      <w:spacing w:before="100" w:beforeAutospacing="1" w:after="100" w:afterAutospacing="1"/>
      <w:jc w:val="center"/>
    </w:pPr>
    <w:rPr>
      <w:rFonts w:ascii="宋体" w:hAnsi="宋体"/>
      <w:kern w:val="0"/>
      <w:sz w:val="24"/>
    </w:rPr>
  </w:style>
  <w:style w:type="paragraph" w:customStyle="1" w:styleId="342">
    <w:name w:val="表前文字"/>
    <w:basedOn w:val="1"/>
    <w:qFormat/>
    <w:uiPriority w:val="0"/>
    <w:pPr>
      <w:jc w:val="center"/>
    </w:pPr>
    <w:rPr>
      <w:sz w:val="24"/>
      <w:szCs w:val="21"/>
    </w:rPr>
  </w:style>
  <w:style w:type="paragraph" w:customStyle="1" w:styleId="343">
    <w:name w:val="表内5号居中"/>
    <w:qFormat/>
    <w:uiPriority w:val="0"/>
    <w:pPr>
      <w:widowControl w:val="0"/>
      <w:ind w:firstLine="1134"/>
      <w:jc w:val="center"/>
    </w:pPr>
    <w:rPr>
      <w:rFonts w:ascii="Times New Roman" w:hAnsi="Times New Roman" w:eastAsia="宋体" w:cs="Times New Roman"/>
      <w:kern w:val="2"/>
      <w:sz w:val="24"/>
      <w:szCs w:val="24"/>
      <w:lang w:val="en-US" w:eastAsia="zh-CN" w:bidi="ar-SA"/>
    </w:rPr>
  </w:style>
  <w:style w:type="paragraph" w:customStyle="1" w:styleId="344">
    <w:name w:val="样式 正文文字缩进 + 小四 首行缩进:  2 字符1"/>
    <w:basedOn w:val="25"/>
    <w:qFormat/>
    <w:uiPriority w:val="0"/>
    <w:pPr>
      <w:spacing w:afterLines="50" w:line="400" w:lineRule="exact"/>
      <w:ind w:left="0" w:leftChars="0" w:firstLine="200" w:firstLineChars="200"/>
    </w:pPr>
    <w:rPr>
      <w:rFonts w:eastAsia="华文楷体" w:cs="宋体"/>
      <w:kern w:val="2"/>
      <w:sz w:val="28"/>
    </w:rPr>
  </w:style>
  <w:style w:type="paragraph" w:customStyle="1" w:styleId="345">
    <w:name w:val="3 Char Char Char Char"/>
    <w:basedOn w:val="1"/>
    <w:next w:val="1"/>
    <w:qFormat/>
    <w:uiPriority w:val="0"/>
    <w:pPr>
      <w:spacing w:line="360" w:lineRule="auto"/>
      <w:ind w:firstLine="200" w:firstLineChars="200"/>
    </w:pPr>
    <w:rPr>
      <w:rFonts w:ascii="宋体" w:hAnsi="宋体" w:eastAsia="汉鼎简书宋" w:cs="宋体"/>
      <w:sz w:val="24"/>
    </w:rPr>
  </w:style>
  <w:style w:type="paragraph" w:customStyle="1" w:styleId="346">
    <w:name w:val="表格 23"/>
    <w:basedOn w:val="1"/>
    <w:qFormat/>
    <w:uiPriority w:val="0"/>
    <w:pPr>
      <w:autoSpaceDE w:val="0"/>
      <w:autoSpaceDN w:val="0"/>
      <w:adjustRightInd w:val="0"/>
      <w:jc w:val="center"/>
    </w:pPr>
    <w:rPr>
      <w:rFonts w:ascii="宋体" w:hAnsi="宋体" w:eastAsia="仿宋体"/>
      <w:kern w:val="0"/>
      <w:sz w:val="24"/>
      <w:szCs w:val="21"/>
    </w:rPr>
  </w:style>
  <w:style w:type="paragraph" w:customStyle="1" w:styleId="347">
    <w:name w:val="引言"/>
    <w:basedOn w:val="1"/>
    <w:next w:val="1"/>
    <w:qFormat/>
    <w:uiPriority w:val="0"/>
    <w:pPr>
      <w:jc w:val="center"/>
    </w:pPr>
    <w:rPr>
      <w:bCs/>
      <w:color w:val="000000"/>
      <w:szCs w:val="20"/>
    </w:rPr>
  </w:style>
  <w:style w:type="paragraph" w:customStyle="1" w:styleId="348">
    <w:name w:val="正文楷体"/>
    <w:basedOn w:val="1"/>
    <w:qFormat/>
    <w:uiPriority w:val="0"/>
    <w:rPr>
      <w:rFonts w:eastAsia="楷体_GB2312"/>
    </w:rPr>
  </w:style>
  <w:style w:type="paragraph" w:customStyle="1" w:styleId="349">
    <w:name w:val="文本正文"/>
    <w:basedOn w:val="1"/>
    <w:qFormat/>
    <w:uiPriority w:val="0"/>
    <w:pPr>
      <w:spacing w:line="480" w:lineRule="exact"/>
      <w:ind w:firstLine="560" w:firstLineChars="200"/>
    </w:pPr>
    <w:rPr>
      <w:rFonts w:ascii="仿宋_GB2312" w:hAnsi="宋体" w:eastAsia="仿宋_GB2312" w:cs="Courier New"/>
      <w:sz w:val="28"/>
      <w:szCs w:val="28"/>
    </w:rPr>
  </w:style>
  <w:style w:type="paragraph" w:customStyle="1" w:styleId="350">
    <w:name w:val="正文文本缩进 31"/>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351">
    <w:name w:val="body"/>
    <w:basedOn w:val="1"/>
    <w:qFormat/>
    <w:uiPriority w:val="0"/>
    <w:pPr>
      <w:spacing w:line="360" w:lineRule="auto"/>
    </w:pPr>
    <w:rPr>
      <w:rFonts w:ascii="宋体" w:hAnsi="宋体" w:cs="宋体"/>
      <w:sz w:val="24"/>
    </w:rPr>
  </w:style>
  <w:style w:type="paragraph" w:customStyle="1" w:styleId="352">
    <w:name w:val="小四表文左齐"/>
    <w:basedOn w:val="1"/>
    <w:qFormat/>
    <w:uiPriority w:val="0"/>
    <w:pPr>
      <w:jc w:val="center"/>
    </w:pPr>
    <w:rPr>
      <w:rFonts w:ascii="宋体" w:hAnsi="宋体"/>
      <w:color w:val="000000"/>
      <w:szCs w:val="21"/>
    </w:rPr>
  </w:style>
  <w:style w:type="paragraph" w:customStyle="1" w:styleId="353">
    <w:name w:val="表1表2"/>
    <w:basedOn w:val="1"/>
    <w:qFormat/>
    <w:uiPriority w:val="0"/>
    <w:pPr>
      <w:autoSpaceDE w:val="0"/>
      <w:autoSpaceDN w:val="0"/>
      <w:adjustRightInd w:val="0"/>
      <w:spacing w:line="360" w:lineRule="auto"/>
      <w:jc w:val="center"/>
      <w:textAlignment w:val="center"/>
    </w:pPr>
    <w:rPr>
      <w:rFonts w:ascii="宋体" w:hAnsi="宋体" w:eastAsia="仿宋体"/>
      <w:kern w:val="0"/>
      <w:sz w:val="24"/>
    </w:rPr>
  </w:style>
  <w:style w:type="paragraph" w:customStyle="1" w:styleId="354">
    <w:name w:val="新正文样式"/>
    <w:basedOn w:val="1"/>
    <w:qFormat/>
    <w:uiPriority w:val="0"/>
    <w:pPr>
      <w:tabs>
        <w:tab w:val="left" w:pos="567"/>
      </w:tabs>
      <w:spacing w:line="360" w:lineRule="auto"/>
      <w:ind w:firstLine="567"/>
    </w:pPr>
    <w:rPr>
      <w:spacing w:val="20"/>
      <w:sz w:val="24"/>
      <w:szCs w:val="20"/>
    </w:rPr>
  </w:style>
  <w:style w:type="paragraph" w:customStyle="1" w:styleId="355">
    <w:name w:val="标题11"/>
    <w:basedOn w:val="1"/>
    <w:qFormat/>
    <w:uiPriority w:val="0"/>
    <w:pPr>
      <w:spacing w:line="360" w:lineRule="auto"/>
    </w:pPr>
    <w:rPr>
      <w:b/>
      <w:bCs/>
      <w:sz w:val="28"/>
    </w:rPr>
  </w:style>
  <w:style w:type="paragraph" w:customStyle="1" w:styleId="356">
    <w:name w:val="字元 字元"/>
    <w:basedOn w:val="1"/>
    <w:qFormat/>
    <w:uiPriority w:val="0"/>
    <w:rPr>
      <w:sz w:val="24"/>
    </w:rPr>
  </w:style>
  <w:style w:type="paragraph" w:customStyle="1" w:styleId="357">
    <w:name w:val="Char Char Char Char Char Char1 Char Char Char Char Char Char Char Char Char"/>
    <w:basedOn w:val="1"/>
    <w:qFormat/>
    <w:uiPriority w:val="0"/>
    <w:rPr>
      <w:sz w:val="24"/>
    </w:rPr>
  </w:style>
  <w:style w:type="paragraph" w:customStyle="1" w:styleId="358">
    <w:name w:val="默认段落字体 Para Char Char Char1 Char Char Char Char Char Char Char Char Char Char"/>
    <w:basedOn w:val="1"/>
    <w:qFormat/>
    <w:uiPriority w:val="0"/>
    <w:rPr>
      <w:sz w:val="24"/>
    </w:rPr>
  </w:style>
  <w:style w:type="paragraph" w:customStyle="1" w:styleId="359">
    <w:name w:val="Char3"/>
    <w:basedOn w:val="1"/>
    <w:qFormat/>
    <w:uiPriority w:val="0"/>
    <w:pPr>
      <w:tabs>
        <w:tab w:val="left" w:pos="794"/>
        <w:tab w:val="left" w:pos="1191"/>
        <w:tab w:val="left" w:pos="1588"/>
        <w:tab w:val="left" w:pos="1985"/>
      </w:tabs>
      <w:autoSpaceDE w:val="0"/>
      <w:autoSpaceDN w:val="0"/>
      <w:adjustRightInd w:val="0"/>
      <w:spacing w:line="360" w:lineRule="auto"/>
    </w:pPr>
    <w:rPr>
      <w:rFonts w:ascii="Tahoma" w:hAnsi="Tahoma"/>
      <w:kern w:val="0"/>
      <w:sz w:val="24"/>
      <w:lang w:val="en-GB"/>
    </w:rPr>
  </w:style>
  <w:style w:type="paragraph" w:customStyle="1" w:styleId="360">
    <w:name w:val="正文 1"/>
    <w:basedOn w:val="1"/>
    <w:qFormat/>
    <w:uiPriority w:val="0"/>
    <w:pPr>
      <w:spacing w:line="480" w:lineRule="exact"/>
      <w:ind w:firstLine="567"/>
    </w:pPr>
    <w:rPr>
      <w:sz w:val="28"/>
    </w:rPr>
  </w:style>
  <w:style w:type="paragraph" w:customStyle="1" w:styleId="361">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table" w:customStyle="1" w:styleId="362">
    <w:name w:val="表格主题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3">
    <w:name w:val="网格型 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364">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5">
    <w:name w:val="左右无边框"/>
    <w:basedOn w:val="61"/>
    <w:qFormat/>
    <w:uiPriority w:val="0"/>
    <w:pPr>
      <w:widowControl w:val="0"/>
      <w:jc w:val="both"/>
    </w:pPr>
    <w:tblPr>
      <w:tblBorders>
        <w:top w:val="single" w:color="auto" w:sz="12" w:space="0"/>
        <w:bottom w:val="single" w:color="auto" w:sz="12" w:space="0"/>
      </w:tblBorders>
    </w:tblPr>
  </w:style>
  <w:style w:type="table" w:customStyle="1" w:styleId="366">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7">
    <w:name w:val="无左右边框型"/>
    <w:basedOn w:val="60"/>
    <w:qFormat/>
    <w:uiPriority w:val="0"/>
    <w:pPr>
      <w:widowControl w:val="0"/>
      <w:jc w:val="both"/>
    </w:pPr>
  </w:style>
  <w:style w:type="table" w:customStyle="1" w:styleId="368">
    <w:name w:val="典雅型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369">
    <w:name w:val="左右无边表格"/>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370">
    <w:name w:val="典雅型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paragraph" w:customStyle="1" w:styleId="371">
    <w:name w:val="Char Char Char1 Char1 Char Char Char"/>
    <w:basedOn w:val="1"/>
    <w:qFormat/>
    <w:uiPriority w:val="0"/>
    <w:pPr>
      <w:spacing w:line="500" w:lineRule="exact"/>
      <w:ind w:firstLine="480" w:firstLineChars="200"/>
    </w:pPr>
    <w:rPr>
      <w:sz w:val="24"/>
      <w:szCs w:val="20"/>
    </w:rPr>
  </w:style>
  <w:style w:type="character" w:customStyle="1" w:styleId="372">
    <w:name w:val="A标准格式 Char Char"/>
    <w:link w:val="373"/>
    <w:qFormat/>
    <w:uiPriority w:val="0"/>
    <w:rPr>
      <w:kern w:val="2"/>
      <w:sz w:val="24"/>
      <w:szCs w:val="24"/>
    </w:rPr>
  </w:style>
  <w:style w:type="paragraph" w:customStyle="1" w:styleId="373">
    <w:name w:val="A标准格式"/>
    <w:basedOn w:val="1"/>
    <w:link w:val="372"/>
    <w:qFormat/>
    <w:uiPriority w:val="0"/>
    <w:pPr>
      <w:spacing w:line="440" w:lineRule="exact"/>
      <w:ind w:firstLine="480" w:firstLineChars="200"/>
    </w:pPr>
    <w:rPr>
      <w:sz w:val="24"/>
    </w:rPr>
  </w:style>
  <w:style w:type="paragraph" w:customStyle="1" w:styleId="374">
    <w:name w:val="reader-word-layer reader-word-s16-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75">
    <w:name w:val="reader-word-layer reader-word-s17-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76">
    <w:name w:val="reader-word-layer reader-word-s17-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77">
    <w:name w:val="reader-word-layer reader-word-s17-11 reader-word-s17-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78">
    <w:name w:val="reader-word-layer reader-word-s17-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79">
    <w:name w:val="reader-word-layer reader-word-s17-15"/>
    <w:basedOn w:val="1"/>
    <w:qFormat/>
    <w:uiPriority w:val="0"/>
    <w:pPr>
      <w:widowControl/>
      <w:spacing w:before="100" w:beforeAutospacing="1" w:after="100" w:afterAutospacing="1"/>
      <w:jc w:val="left"/>
    </w:pPr>
    <w:rPr>
      <w:rFonts w:ascii="宋体" w:hAnsi="宋体" w:cs="宋体"/>
      <w:kern w:val="0"/>
      <w:sz w:val="24"/>
    </w:rPr>
  </w:style>
  <w:style w:type="paragraph" w:customStyle="1" w:styleId="380">
    <w:name w:val="reader-word-layer reader-word-s18-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1">
    <w:name w:val="reader-word-layer reader-word-s18-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2">
    <w:name w:val="reader-word-layer reader-word-s18-12"/>
    <w:basedOn w:val="1"/>
    <w:qFormat/>
    <w:uiPriority w:val="0"/>
    <w:pPr>
      <w:widowControl/>
      <w:spacing w:before="100" w:beforeAutospacing="1" w:after="100" w:afterAutospacing="1"/>
      <w:jc w:val="left"/>
    </w:pPr>
    <w:rPr>
      <w:rFonts w:ascii="宋体" w:hAnsi="宋体" w:cs="宋体"/>
      <w:kern w:val="0"/>
      <w:sz w:val="24"/>
    </w:rPr>
  </w:style>
  <w:style w:type="paragraph" w:customStyle="1" w:styleId="383">
    <w:name w:val="reader-word-layer reader-word-s18-26"/>
    <w:basedOn w:val="1"/>
    <w:qFormat/>
    <w:uiPriority w:val="0"/>
    <w:pPr>
      <w:widowControl/>
      <w:spacing w:before="100" w:beforeAutospacing="1" w:after="100" w:afterAutospacing="1"/>
      <w:jc w:val="left"/>
    </w:pPr>
    <w:rPr>
      <w:rFonts w:ascii="宋体" w:hAnsi="宋体" w:cs="宋体"/>
      <w:kern w:val="0"/>
      <w:sz w:val="24"/>
    </w:rPr>
  </w:style>
  <w:style w:type="paragraph" w:customStyle="1" w:styleId="384">
    <w:name w:val="reader-word-layer reader-word-s19-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85">
    <w:name w:val="reader-word-layer reader-word-s19-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86">
    <w:name w:val="reader-word-layer reader-word-s19-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87">
    <w:name w:val="Normal+3"/>
    <w:basedOn w:val="76"/>
    <w:next w:val="76"/>
    <w:qFormat/>
    <w:uiPriority w:val="0"/>
    <w:rPr>
      <w:rFonts w:cs="Times New Roman"/>
      <w:color w:val="auto"/>
    </w:rPr>
  </w:style>
  <w:style w:type="character" w:customStyle="1" w:styleId="388">
    <w:name w:val="地理段落 Char"/>
    <w:link w:val="389"/>
    <w:qFormat/>
    <w:uiPriority w:val="0"/>
    <w:rPr>
      <w:rFonts w:ascii="仿宋_GB2312" w:eastAsia="仿宋_GB2312"/>
      <w:kern w:val="2"/>
      <w:sz w:val="28"/>
      <w:szCs w:val="28"/>
    </w:rPr>
  </w:style>
  <w:style w:type="paragraph" w:customStyle="1" w:styleId="389">
    <w:name w:val="地理段落"/>
    <w:basedOn w:val="1"/>
    <w:link w:val="388"/>
    <w:qFormat/>
    <w:uiPriority w:val="0"/>
    <w:pPr>
      <w:adjustRightInd w:val="0"/>
      <w:snapToGrid w:val="0"/>
      <w:spacing w:line="360" w:lineRule="auto"/>
      <w:ind w:firstLine="200" w:firstLineChars="200"/>
    </w:pPr>
    <w:rPr>
      <w:rFonts w:ascii="仿宋_GB2312" w:eastAsia="仿宋_GB2312"/>
      <w:sz w:val="28"/>
      <w:szCs w:val="28"/>
    </w:rPr>
  </w:style>
  <w:style w:type="paragraph" w:customStyle="1" w:styleId="390">
    <w:name w:val="报告正文"/>
    <w:basedOn w:val="1"/>
    <w:link w:val="391"/>
    <w:qFormat/>
    <w:uiPriority w:val="0"/>
    <w:pPr>
      <w:spacing w:line="360" w:lineRule="auto"/>
      <w:ind w:firstLine="482"/>
    </w:pPr>
    <w:rPr>
      <w:sz w:val="24"/>
      <w:szCs w:val="21"/>
    </w:rPr>
  </w:style>
  <w:style w:type="character" w:customStyle="1" w:styleId="391">
    <w:name w:val="报告正文 Char"/>
    <w:link w:val="390"/>
    <w:qFormat/>
    <w:uiPriority w:val="0"/>
    <w:rPr>
      <w:kern w:val="2"/>
      <w:sz w:val="24"/>
      <w:szCs w:val="21"/>
    </w:rPr>
  </w:style>
  <w:style w:type="character" w:customStyle="1" w:styleId="392">
    <w:name w:val="Char Char30"/>
    <w:qFormat/>
    <w:uiPriority w:val="0"/>
    <w:rPr>
      <w:rFonts w:eastAsia="宋体"/>
      <w:b/>
      <w:bCs/>
      <w:kern w:val="2"/>
      <w:sz w:val="21"/>
      <w:szCs w:val="24"/>
      <w:lang w:val="en-US" w:eastAsia="zh-CN" w:bidi="ar-SA"/>
    </w:rPr>
  </w:style>
  <w:style w:type="character" w:customStyle="1" w:styleId="393">
    <w:name w:val="Char Char17"/>
    <w:qFormat/>
    <w:locked/>
    <w:uiPriority w:val="0"/>
    <w:rPr>
      <w:rFonts w:eastAsia="宋体"/>
      <w:b/>
      <w:bCs/>
      <w:kern w:val="2"/>
      <w:sz w:val="32"/>
      <w:szCs w:val="32"/>
      <w:lang w:val="en-US" w:eastAsia="zh-CN" w:bidi="ar-SA"/>
    </w:rPr>
  </w:style>
  <w:style w:type="character" w:customStyle="1" w:styleId="394">
    <w:name w:val="Char Char6"/>
    <w:qFormat/>
    <w:locked/>
    <w:uiPriority w:val="0"/>
    <w:rPr>
      <w:rFonts w:eastAsia="宋体"/>
      <w:kern w:val="2"/>
      <w:sz w:val="21"/>
      <w:szCs w:val="24"/>
      <w:lang w:val="en-US" w:eastAsia="zh-CN" w:bidi="ar-SA"/>
    </w:rPr>
  </w:style>
  <w:style w:type="character" w:customStyle="1" w:styleId="395">
    <w:name w:val="Char Char1"/>
    <w:qFormat/>
    <w:uiPriority w:val="0"/>
    <w:rPr>
      <w:rFonts w:eastAsia="宋体"/>
      <w:kern w:val="2"/>
      <w:sz w:val="18"/>
      <w:szCs w:val="18"/>
      <w:lang w:val="en-US" w:eastAsia="zh-CN" w:bidi="ar-SA"/>
    </w:rPr>
  </w:style>
  <w:style w:type="character" w:customStyle="1" w:styleId="396">
    <w:name w:val="text06"/>
    <w:qFormat/>
    <w:uiPriority w:val="0"/>
  </w:style>
  <w:style w:type="character" w:customStyle="1" w:styleId="397">
    <w:name w:val="标题 4 Char1"/>
    <w:qFormat/>
    <w:locked/>
    <w:uiPriority w:val="0"/>
    <w:rPr>
      <w:rFonts w:ascii="Arial" w:hAnsi="Arial" w:eastAsia="黑体"/>
      <w:b/>
      <w:bCs/>
      <w:kern w:val="2"/>
      <w:sz w:val="28"/>
      <w:szCs w:val="28"/>
      <w:lang w:val="en-US" w:eastAsia="zh-CN" w:bidi="ar-SA"/>
    </w:rPr>
  </w:style>
  <w:style w:type="character" w:customStyle="1" w:styleId="398">
    <w:name w:val="表 标题 Char"/>
    <w:link w:val="399"/>
    <w:qFormat/>
    <w:uiPriority w:val="0"/>
    <w:rPr>
      <w:rFonts w:hAnsi="宋体" w:cs="宋体"/>
      <w:b/>
      <w:smallCaps/>
      <w:kern w:val="2"/>
      <w:sz w:val="24"/>
    </w:rPr>
  </w:style>
  <w:style w:type="paragraph" w:customStyle="1" w:styleId="399">
    <w:name w:val="表 标题"/>
    <w:basedOn w:val="49"/>
    <w:next w:val="1"/>
    <w:link w:val="398"/>
    <w:qFormat/>
    <w:uiPriority w:val="0"/>
    <w:pPr>
      <w:spacing w:beforeLines="50"/>
      <w:ind w:left="420" w:leftChars="0" w:firstLine="0" w:firstLineChars="0"/>
      <w:jc w:val="center"/>
    </w:pPr>
    <w:rPr>
      <w:rFonts w:hAnsi="宋体" w:cs="宋体"/>
      <w:b/>
      <w:smallCaps/>
      <w:sz w:val="24"/>
      <w:szCs w:val="20"/>
    </w:rPr>
  </w:style>
  <w:style w:type="character" w:customStyle="1" w:styleId="400">
    <w:name w:val="文本 Char"/>
    <w:link w:val="401"/>
    <w:qFormat/>
    <w:uiPriority w:val="0"/>
    <w:rPr>
      <w:rFonts w:eastAsia="Times New Roman"/>
      <w:kern w:val="2"/>
      <w:sz w:val="24"/>
      <w:szCs w:val="24"/>
    </w:rPr>
  </w:style>
  <w:style w:type="paragraph" w:customStyle="1" w:styleId="401">
    <w:name w:val="文本"/>
    <w:link w:val="400"/>
    <w:qFormat/>
    <w:uiPriority w:val="0"/>
    <w:pPr>
      <w:widowControl w:val="0"/>
      <w:spacing w:line="440" w:lineRule="exact"/>
      <w:ind w:firstLine="200" w:firstLineChars="200"/>
    </w:pPr>
    <w:rPr>
      <w:rFonts w:ascii="Times New Roman" w:hAnsi="Times New Roman" w:eastAsia="Times New Roman" w:cs="Times New Roman"/>
      <w:kern w:val="2"/>
      <w:sz w:val="24"/>
      <w:szCs w:val="24"/>
      <w:lang w:val="en-US" w:eastAsia="zh-CN" w:bidi="ar-SA"/>
    </w:rPr>
  </w:style>
  <w:style w:type="paragraph" w:customStyle="1" w:styleId="402">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cs="宋体"/>
      <w:kern w:val="0"/>
      <w:sz w:val="24"/>
      <w:szCs w:val="28"/>
    </w:rPr>
  </w:style>
  <w:style w:type="paragraph" w:customStyle="1" w:styleId="403">
    <w:name w:val="表格1+ 五号"/>
    <w:basedOn w:val="1"/>
    <w:qFormat/>
    <w:uiPriority w:val="0"/>
    <w:pPr>
      <w:widowControl/>
      <w:spacing w:line="300" w:lineRule="exact"/>
      <w:jc w:val="center"/>
    </w:pPr>
    <w:rPr>
      <w:rFonts w:ascii="宋体" w:hAnsi="宋体" w:cs="宋体"/>
      <w:color w:val="000000"/>
      <w:spacing w:val="8"/>
      <w:kern w:val="0"/>
      <w:szCs w:val="20"/>
      <w:lang w:val="en-GB"/>
    </w:rPr>
  </w:style>
  <w:style w:type="character" w:customStyle="1" w:styleId="404">
    <w:name w:val="表格中文字 Char"/>
    <w:link w:val="405"/>
    <w:qFormat/>
    <w:uiPriority w:val="0"/>
    <w:rPr>
      <w:kern w:val="18"/>
      <w:sz w:val="21"/>
      <w:szCs w:val="21"/>
    </w:rPr>
  </w:style>
  <w:style w:type="paragraph" w:customStyle="1" w:styleId="405">
    <w:name w:val="表格中文字"/>
    <w:basedOn w:val="1"/>
    <w:link w:val="404"/>
    <w:qFormat/>
    <w:uiPriority w:val="0"/>
    <w:pPr>
      <w:adjustRightInd w:val="0"/>
      <w:snapToGrid w:val="0"/>
      <w:jc w:val="center"/>
    </w:pPr>
    <w:rPr>
      <w:kern w:val="18"/>
      <w:szCs w:val="21"/>
    </w:rPr>
  </w:style>
  <w:style w:type="character" w:customStyle="1" w:styleId="406">
    <w:name w:val="正本文字 Char"/>
    <w:link w:val="407"/>
    <w:qFormat/>
    <w:uiPriority w:val="0"/>
    <w:rPr>
      <w:kern w:val="18"/>
      <w:sz w:val="24"/>
    </w:rPr>
  </w:style>
  <w:style w:type="paragraph" w:customStyle="1" w:styleId="407">
    <w:name w:val="正本文字"/>
    <w:basedOn w:val="1"/>
    <w:link w:val="406"/>
    <w:qFormat/>
    <w:uiPriority w:val="0"/>
    <w:pPr>
      <w:adjustRightInd w:val="0"/>
      <w:snapToGrid w:val="0"/>
      <w:spacing w:line="360" w:lineRule="auto"/>
      <w:ind w:firstLine="480" w:firstLineChars="200"/>
      <w:jc w:val="left"/>
    </w:pPr>
    <w:rPr>
      <w:kern w:val="18"/>
      <w:sz w:val="24"/>
      <w:szCs w:val="20"/>
    </w:rPr>
  </w:style>
  <w:style w:type="paragraph" w:customStyle="1" w:styleId="408">
    <w:name w:val="Char Char1 Char Char Char Char"/>
    <w:basedOn w:val="1"/>
    <w:qFormat/>
    <w:uiPriority w:val="0"/>
    <w:pPr>
      <w:spacing w:line="360" w:lineRule="auto"/>
    </w:pPr>
    <w:rPr>
      <w:sz w:val="32"/>
    </w:rPr>
  </w:style>
  <w:style w:type="paragraph" w:customStyle="1" w:styleId="409">
    <w:name w:val="正文首行缩进＋湿地"/>
    <w:basedOn w:val="1"/>
    <w:qFormat/>
    <w:uiPriority w:val="0"/>
    <w:pPr>
      <w:spacing w:line="440" w:lineRule="exact"/>
      <w:ind w:firstLine="540" w:firstLineChars="225"/>
    </w:pPr>
    <w:rPr>
      <w:rFonts w:ascii="仿宋_GB2312" w:hAnsi="宋体" w:eastAsia="仿宋_GB2312"/>
      <w:kern w:val="0"/>
      <w:sz w:val="28"/>
      <w:szCs w:val="20"/>
    </w:rPr>
  </w:style>
  <w:style w:type="paragraph" w:customStyle="1" w:styleId="410">
    <w:name w:val="a"/>
    <w:basedOn w:val="1"/>
    <w:qFormat/>
    <w:uiPriority w:val="0"/>
    <w:pPr>
      <w:widowControl/>
      <w:spacing w:before="100" w:beforeAutospacing="1" w:after="100" w:afterAutospacing="1"/>
      <w:jc w:val="left"/>
    </w:pPr>
    <w:rPr>
      <w:rFonts w:ascii="宋体" w:hAnsi="宋体" w:cs="宋体"/>
      <w:kern w:val="0"/>
      <w:sz w:val="24"/>
    </w:rPr>
  </w:style>
  <w:style w:type="character" w:customStyle="1" w:styleId="411">
    <w:name w:val="普通(网站) Char"/>
    <w:qFormat/>
    <w:uiPriority w:val="0"/>
    <w:rPr>
      <w:rFonts w:ascii="宋体" w:hAnsi="宋体" w:cs="宋体"/>
      <w:sz w:val="24"/>
      <w:szCs w:val="24"/>
    </w:rPr>
  </w:style>
  <w:style w:type="character" w:customStyle="1" w:styleId="412">
    <w:name w:val="表格标题新 Char Char Char"/>
    <w:qFormat/>
    <w:uiPriority w:val="0"/>
    <w:rPr>
      <w:rFonts w:ascii="仿宋_GB2312" w:eastAsia="仿宋_GB2312"/>
      <w:kern w:val="2"/>
      <w:sz w:val="24"/>
      <w:szCs w:val="24"/>
      <w:lang w:val="en-US" w:eastAsia="zh-CN" w:bidi="ar-SA"/>
    </w:rPr>
  </w:style>
  <w:style w:type="character" w:customStyle="1" w:styleId="413">
    <w:name w:val="Char Char15"/>
    <w:qFormat/>
    <w:uiPriority w:val="0"/>
    <w:rPr>
      <w:rFonts w:ascii="宋体" w:hAnsi="Courier New" w:eastAsia="宋体"/>
      <w:kern w:val="2"/>
      <w:sz w:val="21"/>
      <w:lang w:val="en-US" w:eastAsia="zh-CN" w:bidi="ar-SA"/>
    </w:rPr>
  </w:style>
  <w:style w:type="character" w:customStyle="1" w:styleId="414">
    <w:name w:val="霍尼韦尔 Char Char"/>
    <w:link w:val="415"/>
    <w:qFormat/>
    <w:uiPriority w:val="0"/>
    <w:rPr>
      <w:rFonts w:cs="宋体"/>
      <w:kern w:val="2"/>
      <w:sz w:val="24"/>
    </w:rPr>
  </w:style>
  <w:style w:type="paragraph" w:customStyle="1" w:styleId="415">
    <w:name w:val="霍尼韦尔"/>
    <w:basedOn w:val="1"/>
    <w:link w:val="414"/>
    <w:qFormat/>
    <w:uiPriority w:val="0"/>
    <w:pPr>
      <w:spacing w:line="480" w:lineRule="exact"/>
      <w:ind w:firstLine="480" w:firstLineChars="200"/>
      <w:jc w:val="left"/>
    </w:pPr>
    <w:rPr>
      <w:rFonts w:cs="宋体"/>
      <w:sz w:val="24"/>
      <w:szCs w:val="20"/>
    </w:rPr>
  </w:style>
  <w:style w:type="character" w:customStyle="1" w:styleId="416">
    <w:name w:val="条标题1.1.1 Char2"/>
    <w:qFormat/>
    <w:uiPriority w:val="0"/>
    <w:rPr>
      <w:rFonts w:eastAsia="宋体"/>
      <w:b/>
      <w:bCs/>
      <w:kern w:val="2"/>
      <w:sz w:val="32"/>
      <w:szCs w:val="32"/>
      <w:lang w:val="en-US" w:eastAsia="zh-CN" w:bidi="ar-SA"/>
    </w:rPr>
  </w:style>
  <w:style w:type="character" w:customStyle="1" w:styleId="417">
    <w:name w:val="z101"/>
    <w:qFormat/>
    <w:uiPriority w:val="0"/>
    <w:rPr>
      <w:color w:val="000000"/>
      <w:sz w:val="21"/>
      <w:szCs w:val="21"/>
    </w:rPr>
  </w:style>
  <w:style w:type="character" w:customStyle="1" w:styleId="418">
    <w:name w:val="正文文本 (2)"/>
    <w:qFormat/>
    <w:uiPriority w:val="0"/>
    <w:rPr>
      <w:rFonts w:ascii="宋体" w:hAnsi="宋体" w:eastAsia="宋体" w:cs="宋体"/>
      <w:color w:val="000000"/>
      <w:spacing w:val="0"/>
      <w:w w:val="100"/>
      <w:position w:val="0"/>
      <w:sz w:val="21"/>
      <w:szCs w:val="21"/>
      <w:u w:val="none"/>
      <w:lang w:val="zh-CN" w:eastAsia="zh-CN" w:bidi="zh-CN"/>
    </w:rPr>
  </w:style>
  <w:style w:type="character" w:customStyle="1" w:styleId="419">
    <w:name w:val="正文文本 (2) + Georgia"/>
    <w:qFormat/>
    <w:uiPriority w:val="0"/>
    <w:rPr>
      <w:rFonts w:ascii="Georgia" w:hAnsi="Georgia" w:eastAsia="Georgia" w:cs="Georgia"/>
      <w:color w:val="000000"/>
      <w:spacing w:val="0"/>
      <w:w w:val="100"/>
      <w:position w:val="0"/>
      <w:sz w:val="22"/>
      <w:szCs w:val="22"/>
      <w:u w:val="none"/>
      <w:lang w:val="en-US" w:eastAsia="en-US" w:bidi="en-US"/>
    </w:rPr>
  </w:style>
  <w:style w:type="character" w:customStyle="1" w:styleId="420">
    <w:name w:val="正文4号 Char Char"/>
    <w:link w:val="421"/>
    <w:qFormat/>
    <w:uiPriority w:val="0"/>
    <w:rPr>
      <w:kern w:val="2"/>
      <w:sz w:val="24"/>
      <w:szCs w:val="24"/>
    </w:rPr>
  </w:style>
  <w:style w:type="paragraph" w:customStyle="1" w:styleId="421">
    <w:name w:val="正文4号"/>
    <w:link w:val="420"/>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422">
    <w:name w:val="图表文字"/>
    <w:basedOn w:val="1"/>
    <w:qFormat/>
    <w:uiPriority w:val="0"/>
    <w:pPr>
      <w:spacing w:line="300" w:lineRule="exact"/>
      <w:jc w:val="center"/>
    </w:pPr>
    <w:rPr>
      <w:bCs/>
      <w:szCs w:val="20"/>
    </w:rPr>
  </w:style>
  <w:style w:type="paragraph" w:customStyle="1" w:styleId="423">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styleId="424">
    <w:name w:val="No Spacing"/>
    <w:link w:val="425"/>
    <w:qFormat/>
    <w:uiPriority w:val="1"/>
    <w:pPr>
      <w:jc w:val="center"/>
    </w:pPr>
    <w:rPr>
      <w:rFonts w:ascii="Times New Roman" w:hAnsi="Times New Roman" w:eastAsia="宋体" w:cs="Times New Roman"/>
      <w:color w:val="000000"/>
      <w:kern w:val="2"/>
      <w:sz w:val="24"/>
      <w:szCs w:val="24"/>
      <w:lang w:val="en-US" w:eastAsia="zh-CN" w:bidi="ar-SA"/>
    </w:rPr>
  </w:style>
  <w:style w:type="character" w:customStyle="1" w:styleId="425">
    <w:name w:val="无间隔 字符"/>
    <w:basedOn w:val="65"/>
    <w:link w:val="424"/>
    <w:qFormat/>
    <w:uiPriority w:val="1"/>
    <w:rPr>
      <w:color w:val="000000"/>
      <w:kern w:val="2"/>
      <w:sz w:val="24"/>
      <w:szCs w:val="24"/>
    </w:rPr>
  </w:style>
  <w:style w:type="paragraph" w:customStyle="1" w:styleId="426">
    <w:name w:val="二级标题"/>
    <w:basedOn w:val="45"/>
    <w:qFormat/>
    <w:uiPriority w:val="0"/>
    <w:pPr>
      <w:spacing w:before="240" w:after="60" w:line="312" w:lineRule="auto"/>
      <w:ind w:firstLine="200" w:firstLineChars="200"/>
      <w:jc w:val="left"/>
      <w:outlineLvl w:val="1"/>
    </w:pPr>
    <w:rPr>
      <w:b/>
      <w:bCs/>
      <w:kern w:val="28"/>
      <w:sz w:val="32"/>
      <w:szCs w:val="32"/>
      <w:lang w:eastAsia="zh-CN"/>
    </w:rPr>
  </w:style>
  <w:style w:type="character" w:customStyle="1" w:styleId="427">
    <w:name w:val="五号表格 Char Char"/>
    <w:link w:val="428"/>
    <w:qFormat/>
    <w:locked/>
    <w:uiPriority w:val="0"/>
    <w:rPr>
      <w:rFonts w:ascii="宋体" w:hAnsi="宋体"/>
      <w:color w:val="000000"/>
      <w:kern w:val="2"/>
      <w:sz w:val="21"/>
      <w:szCs w:val="21"/>
      <w:lang w:val="en-GB"/>
    </w:rPr>
  </w:style>
  <w:style w:type="paragraph" w:customStyle="1" w:styleId="428">
    <w:name w:val="五号表格"/>
    <w:next w:val="1"/>
    <w:link w:val="427"/>
    <w:qFormat/>
    <w:uiPriority w:val="0"/>
    <w:pPr>
      <w:widowControl w:val="0"/>
      <w:adjustRightInd w:val="0"/>
      <w:snapToGrid w:val="0"/>
      <w:spacing w:line="320" w:lineRule="exact"/>
      <w:jc w:val="both"/>
      <w:textAlignment w:val="center"/>
    </w:pPr>
    <w:rPr>
      <w:rFonts w:ascii="宋体" w:hAnsi="宋体" w:eastAsia="宋体" w:cs="Times New Roman"/>
      <w:color w:val="000000"/>
      <w:kern w:val="2"/>
      <w:sz w:val="21"/>
      <w:szCs w:val="21"/>
      <w:lang w:val="en-GB" w:eastAsia="zh-CN" w:bidi="ar-SA"/>
    </w:rPr>
  </w:style>
  <w:style w:type="character" w:customStyle="1" w:styleId="429">
    <w:name w:val="占位符文本1"/>
    <w:semiHidden/>
    <w:qFormat/>
    <w:uiPriority w:val="99"/>
    <w:rPr>
      <w:rFonts w:cs="Times New Roman"/>
      <w:color w:val="808080"/>
    </w:rPr>
  </w:style>
  <w:style w:type="character" w:customStyle="1" w:styleId="430">
    <w:name w:val="宗兴正文 Char Char"/>
    <w:link w:val="431"/>
    <w:qFormat/>
    <w:locked/>
    <w:uiPriority w:val="0"/>
    <w:rPr>
      <w:sz w:val="24"/>
    </w:rPr>
  </w:style>
  <w:style w:type="paragraph" w:customStyle="1" w:styleId="431">
    <w:name w:val="宗兴正文"/>
    <w:basedOn w:val="1"/>
    <w:link w:val="430"/>
    <w:qFormat/>
    <w:uiPriority w:val="0"/>
    <w:pPr>
      <w:adjustRightInd w:val="0"/>
      <w:spacing w:before="93" w:after="93" w:line="360" w:lineRule="auto"/>
      <w:ind w:firstLine="480" w:firstLineChars="200"/>
      <w:jc w:val="left"/>
      <w:textAlignment w:val="baseline"/>
    </w:pPr>
    <w:rPr>
      <w:kern w:val="0"/>
      <w:sz w:val="24"/>
      <w:szCs w:val="20"/>
    </w:rPr>
  </w:style>
  <w:style w:type="character" w:customStyle="1" w:styleId="432">
    <w:name w:val="表题 Char Char"/>
    <w:link w:val="433"/>
    <w:qFormat/>
    <w:locked/>
    <w:uiPriority w:val="0"/>
    <w:rPr>
      <w:rFonts w:ascii="宋体"/>
      <w:b/>
      <w:sz w:val="24"/>
      <w:lang w:eastAsia="en-US"/>
    </w:rPr>
  </w:style>
  <w:style w:type="paragraph" w:customStyle="1" w:styleId="433">
    <w:name w:val="表题"/>
    <w:basedOn w:val="1"/>
    <w:link w:val="432"/>
    <w:qFormat/>
    <w:uiPriority w:val="0"/>
    <w:pPr>
      <w:widowControl/>
      <w:adjustRightInd w:val="0"/>
      <w:spacing w:before="120" w:line="360" w:lineRule="auto"/>
      <w:jc w:val="center"/>
      <w:textAlignment w:val="baseline"/>
    </w:pPr>
    <w:rPr>
      <w:rFonts w:ascii="宋体"/>
      <w:b/>
      <w:kern w:val="0"/>
      <w:sz w:val="24"/>
      <w:szCs w:val="20"/>
      <w:lang w:eastAsia="en-US"/>
    </w:rPr>
  </w:style>
  <w:style w:type="paragraph" w:customStyle="1" w:styleId="434">
    <w:name w:val="3"/>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435">
    <w:name w:val="样式 样式 标题 2节 + (西文) Times New Roman (中文) 宋体 四号 段前: 0.5 行 段后: 0...... Char Char"/>
    <w:link w:val="436"/>
    <w:qFormat/>
    <w:locked/>
    <w:uiPriority w:val="0"/>
    <w:rPr>
      <w:rFonts w:ascii="宋体"/>
      <w:b/>
      <w:sz w:val="30"/>
    </w:rPr>
  </w:style>
  <w:style w:type="paragraph" w:customStyle="1" w:styleId="436">
    <w:name w:val="样式 样式 标题 2节 + (西文) Times New Roman (中文) 宋体 四号 段前: 0.5 行 段后: 0......"/>
    <w:basedOn w:val="1"/>
    <w:link w:val="435"/>
    <w:qFormat/>
    <w:uiPriority w:val="0"/>
    <w:pPr>
      <w:keepNext/>
      <w:keepLines/>
      <w:adjustRightInd w:val="0"/>
      <w:snapToGrid w:val="0"/>
      <w:spacing w:beforeLines="90" w:afterLines="90" w:line="312" w:lineRule="atLeast"/>
      <w:ind w:left="1260" w:hanging="420"/>
      <w:textAlignment w:val="baseline"/>
      <w:outlineLvl w:val="1"/>
    </w:pPr>
    <w:rPr>
      <w:rFonts w:ascii="宋体"/>
      <w:b/>
      <w:kern w:val="0"/>
      <w:sz w:val="30"/>
      <w:szCs w:val="20"/>
    </w:rPr>
  </w:style>
  <w:style w:type="character" w:customStyle="1" w:styleId="437">
    <w:name w:val="纯文本1 Char1"/>
    <w:qFormat/>
    <w:uiPriority w:val="0"/>
    <w:rPr>
      <w:rFonts w:ascii="宋体" w:hAnsi="Courier New" w:eastAsia="宋体"/>
      <w:kern w:val="2"/>
      <w:sz w:val="21"/>
      <w:lang w:val="en-US" w:eastAsia="zh-CN"/>
    </w:rPr>
  </w:style>
  <w:style w:type="character" w:customStyle="1" w:styleId="438">
    <w:name w:val="表格 Char Char"/>
    <w:qFormat/>
    <w:locked/>
    <w:uiPriority w:val="0"/>
    <w:rPr>
      <w:rFonts w:ascii="Times New Roman" w:hAnsi="Times New Roman"/>
      <w:b/>
      <w:sz w:val="24"/>
    </w:rPr>
  </w:style>
  <w:style w:type="character" w:customStyle="1" w:styleId="439">
    <w:name w:val="正文文本缩进 2 Char Char"/>
    <w:qFormat/>
    <w:uiPriority w:val="0"/>
    <w:rPr>
      <w:rFonts w:eastAsia="宋体"/>
      <w:kern w:val="2"/>
      <w:sz w:val="24"/>
      <w:lang w:val="en-US" w:eastAsia="zh-CN"/>
    </w:rPr>
  </w:style>
  <w:style w:type="character" w:customStyle="1" w:styleId="440">
    <w:name w:val="表格的字 Char Char"/>
    <w:link w:val="441"/>
    <w:qFormat/>
    <w:locked/>
    <w:uiPriority w:val="0"/>
    <w:rPr>
      <w:sz w:val="24"/>
    </w:rPr>
  </w:style>
  <w:style w:type="paragraph" w:customStyle="1" w:styleId="441">
    <w:name w:val="表格的字"/>
    <w:basedOn w:val="1"/>
    <w:link w:val="440"/>
    <w:qFormat/>
    <w:uiPriority w:val="0"/>
    <w:pPr>
      <w:adjustRightInd w:val="0"/>
      <w:spacing w:line="312" w:lineRule="atLeast"/>
      <w:jc w:val="center"/>
      <w:textAlignment w:val="baseline"/>
    </w:pPr>
    <w:rPr>
      <w:kern w:val="0"/>
      <w:sz w:val="24"/>
      <w:szCs w:val="20"/>
    </w:rPr>
  </w:style>
  <w:style w:type="character" w:customStyle="1" w:styleId="442">
    <w:name w:val="表名图名 Char Char"/>
    <w:link w:val="443"/>
    <w:qFormat/>
    <w:locked/>
    <w:uiPriority w:val="0"/>
    <w:rPr>
      <w:rFonts w:ascii="宋体"/>
      <w:b/>
      <w:sz w:val="24"/>
      <w:lang w:eastAsia="en-US"/>
    </w:rPr>
  </w:style>
  <w:style w:type="paragraph" w:customStyle="1" w:styleId="443">
    <w:name w:val="表名图名"/>
    <w:basedOn w:val="1"/>
    <w:link w:val="442"/>
    <w:qFormat/>
    <w:uiPriority w:val="0"/>
    <w:pPr>
      <w:widowControl/>
      <w:adjustRightInd w:val="0"/>
      <w:spacing w:before="120" w:line="360" w:lineRule="auto"/>
      <w:jc w:val="center"/>
      <w:textAlignment w:val="baseline"/>
    </w:pPr>
    <w:rPr>
      <w:rFonts w:ascii="宋体"/>
      <w:b/>
      <w:kern w:val="0"/>
      <w:sz w:val="24"/>
      <w:szCs w:val="20"/>
      <w:lang w:eastAsia="en-US"/>
    </w:rPr>
  </w:style>
  <w:style w:type="character" w:customStyle="1" w:styleId="444">
    <w:name w:val="表、图名 Char Char"/>
    <w:link w:val="445"/>
    <w:qFormat/>
    <w:locked/>
    <w:uiPriority w:val="0"/>
    <w:rPr>
      <w:b/>
      <w:kern w:val="2"/>
      <w:sz w:val="21"/>
      <w:szCs w:val="24"/>
    </w:rPr>
  </w:style>
  <w:style w:type="paragraph" w:customStyle="1" w:styleId="445">
    <w:name w:val="表、图名"/>
    <w:link w:val="444"/>
    <w:qFormat/>
    <w:uiPriority w:val="0"/>
    <w:pPr>
      <w:spacing w:before="120" w:line="360" w:lineRule="auto"/>
      <w:jc w:val="center"/>
    </w:pPr>
    <w:rPr>
      <w:rFonts w:ascii="Times New Roman" w:hAnsi="Times New Roman" w:eastAsia="宋体" w:cs="Times New Roman"/>
      <w:b/>
      <w:kern w:val="2"/>
      <w:sz w:val="21"/>
      <w:szCs w:val="24"/>
      <w:lang w:val="en-US" w:eastAsia="zh-CN" w:bidi="ar-SA"/>
    </w:rPr>
  </w:style>
  <w:style w:type="character" w:customStyle="1" w:styleId="446">
    <w:name w:val="Body Text Indent Char"/>
    <w:qFormat/>
    <w:locked/>
    <w:uiPriority w:val="0"/>
    <w:rPr>
      <w:sz w:val="24"/>
    </w:rPr>
  </w:style>
  <w:style w:type="character" w:customStyle="1" w:styleId="447">
    <w:name w:val="样式 标题 2节标题标题21.1H2h2第一层条4.1二级标题标题 lxb2二级标题 Char表标题单位... Char"/>
    <w:qFormat/>
    <w:uiPriority w:val="0"/>
    <w:rPr>
      <w:rFonts w:ascii="Verdana" w:hAnsi="Verdana" w:eastAsia="宋体"/>
      <w:b/>
      <w:kern w:val="32"/>
      <w:sz w:val="28"/>
      <w:lang w:val="en-US" w:eastAsia="zh-CN"/>
    </w:rPr>
  </w:style>
  <w:style w:type="character" w:customStyle="1" w:styleId="448">
    <w:name w:val="Document Map Char"/>
    <w:qFormat/>
    <w:locked/>
    <w:uiPriority w:val="0"/>
    <w:rPr>
      <w:rFonts w:ascii="宋体"/>
      <w:sz w:val="18"/>
    </w:rPr>
  </w:style>
  <w:style w:type="character" w:customStyle="1" w:styleId="449">
    <w:name w:val="Body Text First Indent Char"/>
    <w:qFormat/>
    <w:locked/>
    <w:uiPriority w:val="0"/>
    <w:rPr>
      <w:rFonts w:ascii="Calibri" w:hAnsi="Calibri" w:eastAsia="宋体"/>
      <w:sz w:val="24"/>
    </w:rPr>
  </w:style>
  <w:style w:type="character" w:customStyle="1" w:styleId="450">
    <w:name w:val="表头 Char2"/>
    <w:qFormat/>
    <w:locked/>
    <w:uiPriority w:val="0"/>
    <w:rPr>
      <w:rFonts w:eastAsia="黑体"/>
      <w:color w:val="000000"/>
      <w:spacing w:val="-10"/>
    </w:rPr>
  </w:style>
  <w:style w:type="character" w:customStyle="1" w:styleId="451">
    <w:name w:val="图名 Char Char"/>
    <w:link w:val="452"/>
    <w:qFormat/>
    <w:locked/>
    <w:uiPriority w:val="0"/>
    <w:rPr>
      <w:b/>
      <w:kern w:val="2"/>
      <w:sz w:val="24"/>
      <w:szCs w:val="24"/>
      <w:lang w:eastAsia="en-US"/>
    </w:rPr>
  </w:style>
  <w:style w:type="paragraph" w:customStyle="1" w:styleId="452">
    <w:name w:val="图名"/>
    <w:link w:val="451"/>
    <w:qFormat/>
    <w:uiPriority w:val="0"/>
    <w:pPr>
      <w:spacing w:before="80" w:after="120" w:line="360" w:lineRule="auto"/>
      <w:jc w:val="center"/>
    </w:pPr>
    <w:rPr>
      <w:rFonts w:ascii="Times New Roman" w:hAnsi="Times New Roman" w:eastAsia="宋体" w:cs="Times New Roman"/>
      <w:b/>
      <w:kern w:val="2"/>
      <w:sz w:val="24"/>
      <w:szCs w:val="24"/>
      <w:lang w:val="en-US" w:eastAsia="en-US" w:bidi="ar-SA"/>
    </w:rPr>
  </w:style>
  <w:style w:type="character" w:customStyle="1" w:styleId="453">
    <w:name w:val="样式 标题 3 + (西文) Times New Roman (中文) 宋体 小四 加粗 Char Char"/>
    <w:link w:val="454"/>
    <w:qFormat/>
    <w:locked/>
    <w:uiPriority w:val="0"/>
    <w:rPr>
      <w:sz w:val="24"/>
    </w:rPr>
  </w:style>
  <w:style w:type="paragraph" w:customStyle="1" w:styleId="454">
    <w:name w:val="样式 标题 3 + (西文) Times New Roman (中文) 宋体 小四 加粗"/>
    <w:basedOn w:val="1"/>
    <w:link w:val="453"/>
    <w:qFormat/>
    <w:uiPriority w:val="0"/>
    <w:pPr>
      <w:adjustRightInd w:val="0"/>
      <w:spacing w:line="312" w:lineRule="atLeast"/>
      <w:textAlignment w:val="baseline"/>
    </w:pPr>
    <w:rPr>
      <w:kern w:val="0"/>
      <w:sz w:val="24"/>
      <w:szCs w:val="20"/>
    </w:rPr>
  </w:style>
  <w:style w:type="character" w:customStyle="1" w:styleId="455">
    <w:name w:val="1-正文样式 Char Char"/>
    <w:link w:val="456"/>
    <w:qFormat/>
    <w:locked/>
    <w:uiPriority w:val="0"/>
    <w:rPr>
      <w:sz w:val="24"/>
    </w:rPr>
  </w:style>
  <w:style w:type="paragraph" w:customStyle="1" w:styleId="456">
    <w:name w:val="1-正文样式"/>
    <w:basedOn w:val="1"/>
    <w:link w:val="455"/>
    <w:qFormat/>
    <w:uiPriority w:val="0"/>
    <w:pPr>
      <w:adjustRightInd w:val="0"/>
      <w:spacing w:afterLines="50" w:line="360" w:lineRule="auto"/>
      <w:ind w:firstLine="200" w:firstLineChars="200"/>
      <w:textAlignment w:val="baseline"/>
    </w:pPr>
    <w:rPr>
      <w:kern w:val="0"/>
      <w:sz w:val="24"/>
      <w:szCs w:val="20"/>
    </w:rPr>
  </w:style>
  <w:style w:type="character" w:customStyle="1" w:styleId="457">
    <w:name w:val="我的正文 Char Char"/>
    <w:link w:val="458"/>
    <w:qFormat/>
    <w:locked/>
    <w:uiPriority w:val="0"/>
    <w:rPr>
      <w:kern w:val="2"/>
      <w:sz w:val="24"/>
      <w:szCs w:val="24"/>
    </w:rPr>
  </w:style>
  <w:style w:type="paragraph" w:customStyle="1" w:styleId="458">
    <w:name w:val="我的正文"/>
    <w:link w:val="457"/>
    <w:qFormat/>
    <w:uiPriority w:val="0"/>
    <w:pPr>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459">
    <w:name w:val="样式1 Char Char"/>
    <w:qFormat/>
    <w:locked/>
    <w:uiPriority w:val="0"/>
    <w:rPr>
      <w:rFonts w:ascii="Calibri" w:hAnsi="Calibri"/>
      <w:color w:val="000000"/>
      <w:sz w:val="24"/>
    </w:rPr>
  </w:style>
  <w:style w:type="character" w:customStyle="1" w:styleId="460">
    <w:name w:val="正文1 Char Char"/>
    <w:qFormat/>
    <w:locked/>
    <w:uiPriority w:val="0"/>
    <w:rPr>
      <w:color w:val="000000"/>
      <w:sz w:val="24"/>
    </w:rPr>
  </w:style>
  <w:style w:type="character" w:customStyle="1" w:styleId="461">
    <w:name w:val="正文（小四） Char Char"/>
    <w:link w:val="462"/>
    <w:qFormat/>
    <w:locked/>
    <w:uiPriority w:val="0"/>
    <w:rPr>
      <w:bCs/>
      <w:kern w:val="2"/>
      <w:sz w:val="24"/>
      <w:szCs w:val="32"/>
    </w:rPr>
  </w:style>
  <w:style w:type="paragraph" w:customStyle="1" w:styleId="462">
    <w:name w:val="正文（小四）"/>
    <w:link w:val="461"/>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character" w:customStyle="1" w:styleId="463">
    <w:name w:val="表格文字 Char Char"/>
    <w:qFormat/>
    <w:locked/>
    <w:uiPriority w:val="0"/>
    <w:rPr>
      <w:kern w:val="2"/>
      <w:sz w:val="21"/>
      <w:szCs w:val="24"/>
    </w:rPr>
  </w:style>
  <w:style w:type="character" w:customStyle="1" w:styleId="464">
    <w:name w:val="我的正文 Char Char Char"/>
    <w:qFormat/>
    <w:uiPriority w:val="0"/>
    <w:rPr>
      <w:kern w:val="2"/>
      <w:sz w:val="24"/>
      <w:lang w:val="en-US" w:eastAsia="zh-CN"/>
    </w:rPr>
  </w:style>
  <w:style w:type="character" w:customStyle="1" w:styleId="465">
    <w:name w:val="样式4 Char"/>
    <w:link w:val="466"/>
    <w:qFormat/>
    <w:locked/>
    <w:uiPriority w:val="0"/>
    <w:rPr>
      <w:rFonts w:eastAsia="仿宋_GB2312"/>
      <w:color w:val="0000FF"/>
      <w:spacing w:val="4"/>
      <w:sz w:val="24"/>
    </w:rPr>
  </w:style>
  <w:style w:type="paragraph" w:customStyle="1" w:styleId="466">
    <w:name w:val="样式4"/>
    <w:basedOn w:val="24"/>
    <w:link w:val="465"/>
    <w:qFormat/>
    <w:uiPriority w:val="0"/>
    <w:pPr>
      <w:widowControl w:val="0"/>
      <w:adjustRightInd w:val="0"/>
      <w:snapToGrid/>
      <w:spacing w:before="0" w:after="0" w:line="360" w:lineRule="auto"/>
      <w:ind w:right="-119" w:firstLine="496" w:firstLineChars="200"/>
      <w:jc w:val="left"/>
      <w:textAlignment w:val="baseline"/>
    </w:pPr>
    <w:rPr>
      <w:rFonts w:eastAsia="仿宋_GB2312"/>
      <w:color w:val="0000FF"/>
      <w:spacing w:val="4"/>
      <w:sz w:val="24"/>
    </w:rPr>
  </w:style>
  <w:style w:type="character" w:customStyle="1" w:styleId="467">
    <w:name w:val="表格文字nana Char Char"/>
    <w:link w:val="468"/>
    <w:qFormat/>
    <w:locked/>
    <w:uiPriority w:val="0"/>
    <w:rPr>
      <w:rFonts w:ascii="宋体" w:hAnsi="宋体" w:eastAsia="仿宋_GB2312"/>
      <w:snapToGrid w:val="0"/>
      <w:color w:val="000000"/>
      <w:sz w:val="21"/>
    </w:rPr>
  </w:style>
  <w:style w:type="paragraph" w:customStyle="1" w:styleId="468">
    <w:name w:val="表格文字nana"/>
    <w:basedOn w:val="1"/>
    <w:link w:val="467"/>
    <w:qFormat/>
    <w:uiPriority w:val="0"/>
    <w:pPr>
      <w:widowControl/>
      <w:adjustRightInd w:val="0"/>
      <w:spacing w:line="300" w:lineRule="auto"/>
      <w:jc w:val="center"/>
      <w:textAlignment w:val="baseline"/>
    </w:pPr>
    <w:rPr>
      <w:rFonts w:ascii="宋体" w:hAnsi="宋体" w:eastAsia="仿宋_GB2312"/>
      <w:snapToGrid w:val="0"/>
      <w:color w:val="000000"/>
      <w:kern w:val="0"/>
      <w:szCs w:val="20"/>
    </w:rPr>
  </w:style>
  <w:style w:type="character" w:customStyle="1" w:styleId="469">
    <w:name w:val="样式2 Char Char"/>
    <w:qFormat/>
    <w:locked/>
    <w:uiPriority w:val="0"/>
    <w:rPr>
      <w:rFonts w:ascii="Calibri" w:hAnsi="Calibri"/>
      <w:sz w:val="24"/>
    </w:rPr>
  </w:style>
  <w:style w:type="character" w:customStyle="1" w:styleId="470">
    <w:name w:val="注释 Char Char"/>
    <w:link w:val="471"/>
    <w:qFormat/>
    <w:locked/>
    <w:uiPriority w:val="0"/>
    <w:rPr>
      <w:rFonts w:ascii="宋体"/>
      <w:snapToGrid w:val="0"/>
      <w:spacing w:val="4"/>
      <w:sz w:val="24"/>
    </w:rPr>
  </w:style>
  <w:style w:type="paragraph" w:customStyle="1" w:styleId="471">
    <w:name w:val="注释"/>
    <w:basedOn w:val="1"/>
    <w:link w:val="470"/>
    <w:qFormat/>
    <w:uiPriority w:val="0"/>
    <w:pPr>
      <w:adjustRightInd w:val="0"/>
      <w:snapToGrid w:val="0"/>
      <w:spacing w:line="360" w:lineRule="auto"/>
      <w:textAlignment w:val="baseline"/>
    </w:pPr>
    <w:rPr>
      <w:rFonts w:ascii="宋体"/>
      <w:snapToGrid w:val="0"/>
      <w:spacing w:val="4"/>
      <w:kern w:val="0"/>
      <w:sz w:val="24"/>
      <w:szCs w:val="20"/>
    </w:rPr>
  </w:style>
  <w:style w:type="character" w:customStyle="1" w:styleId="472">
    <w:name w:val="表格字体 Char Char"/>
    <w:link w:val="473"/>
    <w:qFormat/>
    <w:locked/>
    <w:uiPriority w:val="0"/>
    <w:rPr>
      <w:sz w:val="21"/>
    </w:rPr>
  </w:style>
  <w:style w:type="paragraph" w:customStyle="1" w:styleId="473">
    <w:name w:val="表格字体"/>
    <w:basedOn w:val="1"/>
    <w:link w:val="472"/>
    <w:qFormat/>
    <w:uiPriority w:val="0"/>
    <w:pPr>
      <w:adjustRightInd w:val="0"/>
      <w:spacing w:beforeLines="20" w:afterLines="20" w:line="360" w:lineRule="auto"/>
      <w:jc w:val="center"/>
      <w:textAlignment w:val="baseline"/>
    </w:pPr>
    <w:rPr>
      <w:kern w:val="0"/>
      <w:szCs w:val="20"/>
    </w:rPr>
  </w:style>
  <w:style w:type="character" w:customStyle="1" w:styleId="474">
    <w:name w:val="Char Char18"/>
    <w:qFormat/>
    <w:uiPriority w:val="0"/>
    <w:rPr>
      <w:rFonts w:ascii="Cambria" w:hAnsi="Cambria" w:eastAsia="宋体"/>
      <w:sz w:val="24"/>
      <w:lang w:val="en-US" w:eastAsia="en-US"/>
    </w:rPr>
  </w:style>
  <w:style w:type="character" w:customStyle="1" w:styleId="475">
    <w:name w:val="1正文段落 Char Char"/>
    <w:qFormat/>
    <w:locked/>
    <w:uiPriority w:val="0"/>
    <w:rPr>
      <w:snapToGrid w:val="0"/>
      <w:sz w:val="24"/>
      <w:szCs w:val="24"/>
    </w:rPr>
  </w:style>
  <w:style w:type="character" w:customStyle="1" w:styleId="476">
    <w:name w:val="正文B Char Char"/>
    <w:qFormat/>
    <w:locked/>
    <w:uiPriority w:val="0"/>
    <w:rPr>
      <w:rFonts w:ascii="宋体" w:hAnsi="宋体" w:eastAsia="宋体"/>
      <w:sz w:val="24"/>
    </w:rPr>
  </w:style>
  <w:style w:type="character" w:customStyle="1" w:styleId="477">
    <w:name w:val="正文加粗 Char Char"/>
    <w:link w:val="478"/>
    <w:qFormat/>
    <w:locked/>
    <w:uiPriority w:val="0"/>
    <w:rPr>
      <w:rFonts w:eastAsia="仿宋_GB2312"/>
      <w:b/>
      <w:kern w:val="2"/>
      <w:sz w:val="24"/>
      <w:szCs w:val="24"/>
    </w:rPr>
  </w:style>
  <w:style w:type="paragraph" w:customStyle="1" w:styleId="478">
    <w:name w:val="正文加粗"/>
    <w:next w:val="1"/>
    <w:link w:val="477"/>
    <w:qFormat/>
    <w:uiPriority w:val="0"/>
    <w:pPr>
      <w:spacing w:line="360" w:lineRule="auto"/>
      <w:ind w:firstLine="480"/>
    </w:pPr>
    <w:rPr>
      <w:rFonts w:ascii="Times New Roman" w:hAnsi="Times New Roman" w:eastAsia="仿宋_GB2312" w:cs="Times New Roman"/>
      <w:b/>
      <w:kern w:val="2"/>
      <w:sz w:val="24"/>
      <w:szCs w:val="24"/>
      <w:lang w:val="en-US" w:eastAsia="zh-CN" w:bidi="ar-SA"/>
    </w:rPr>
  </w:style>
  <w:style w:type="character" w:customStyle="1" w:styleId="479">
    <w:name w:val="表头 Char1"/>
    <w:qFormat/>
    <w:uiPriority w:val="0"/>
    <w:rPr>
      <w:rFonts w:eastAsia="仿宋_GB2312"/>
      <w:b/>
      <w:snapToGrid w:val="0"/>
      <w:color w:val="000000"/>
      <w:sz w:val="21"/>
    </w:rPr>
  </w:style>
  <w:style w:type="character" w:customStyle="1" w:styleId="480">
    <w:name w:val="正文(首行缩进) Char1"/>
    <w:qFormat/>
    <w:locked/>
    <w:uiPriority w:val="0"/>
    <w:rPr>
      <w:rFonts w:ascii="宋体" w:eastAsia="宋体"/>
      <w:snapToGrid w:val="0"/>
      <w:color w:val="000000"/>
      <w:sz w:val="24"/>
    </w:rPr>
  </w:style>
  <w:style w:type="character" w:customStyle="1" w:styleId="481">
    <w:name w:val="nr"/>
    <w:qFormat/>
    <w:uiPriority w:val="0"/>
    <w:rPr>
      <w:rFonts w:cs="Times New Roman"/>
    </w:rPr>
  </w:style>
  <w:style w:type="character" w:customStyle="1" w:styleId="482">
    <w:name w:val="批注文字 Char1"/>
    <w:qFormat/>
    <w:locked/>
    <w:uiPriority w:val="99"/>
    <w:rPr>
      <w:kern w:val="2"/>
      <w:sz w:val="21"/>
      <w:szCs w:val="24"/>
    </w:rPr>
  </w:style>
  <w:style w:type="paragraph" w:customStyle="1" w:styleId="483">
    <w:name w:val="表格内容格式"/>
    <w:basedOn w:val="1"/>
    <w:qFormat/>
    <w:uiPriority w:val="0"/>
    <w:pPr>
      <w:adjustRightInd w:val="0"/>
      <w:spacing w:line="312" w:lineRule="atLeast"/>
      <w:jc w:val="center"/>
      <w:textAlignment w:val="baseline"/>
    </w:pPr>
    <w:rPr>
      <w:rFonts w:ascii="宋体" w:hAnsi="宋体"/>
      <w:color w:val="FF0000"/>
      <w:kern w:val="0"/>
      <w:szCs w:val="20"/>
    </w:rPr>
  </w:style>
  <w:style w:type="paragraph" w:customStyle="1" w:styleId="484">
    <w:name w:val="表字居中O"/>
    <w:basedOn w:val="1"/>
    <w:qFormat/>
    <w:uiPriority w:val="0"/>
    <w:pPr>
      <w:tabs>
        <w:tab w:val="left" w:pos="3626"/>
      </w:tabs>
      <w:adjustRightInd w:val="0"/>
      <w:spacing w:line="240" w:lineRule="atLeast"/>
      <w:jc w:val="center"/>
      <w:textAlignment w:val="baseline"/>
    </w:pPr>
    <w:rPr>
      <w:spacing w:val="-4"/>
      <w:kern w:val="0"/>
      <w:szCs w:val="21"/>
    </w:rPr>
  </w:style>
  <w:style w:type="character" w:customStyle="1" w:styleId="485">
    <w:name w:val="正文文本缩进 Char1"/>
    <w:semiHidden/>
    <w:qFormat/>
    <w:uiPriority w:val="99"/>
    <w:rPr>
      <w:rFonts w:ascii="Times New Roman" w:hAnsi="Times New Roman" w:eastAsia="宋体" w:cs="Times New Roman"/>
      <w:sz w:val="24"/>
      <w:szCs w:val="24"/>
    </w:rPr>
  </w:style>
  <w:style w:type="paragraph" w:customStyle="1" w:styleId="486">
    <w:name w:val="公参2"/>
    <w:basedOn w:val="1"/>
    <w:qFormat/>
    <w:uiPriority w:val="0"/>
    <w:pPr>
      <w:tabs>
        <w:tab w:val="left" w:pos="-2848"/>
      </w:tabs>
      <w:adjustRightInd w:val="0"/>
      <w:spacing w:line="360" w:lineRule="atLeast"/>
      <w:textAlignment w:val="baseline"/>
    </w:pPr>
    <w:rPr>
      <w:rFonts w:cs="宋体"/>
      <w:kern w:val="0"/>
      <w:position w:val="-10"/>
      <w:szCs w:val="20"/>
    </w:rPr>
  </w:style>
  <w:style w:type="paragraph" w:customStyle="1" w:styleId="487">
    <w:name w:val="a表格"/>
    <w:basedOn w:val="1"/>
    <w:qFormat/>
    <w:uiPriority w:val="0"/>
    <w:pPr>
      <w:adjustRightInd w:val="0"/>
      <w:snapToGrid w:val="0"/>
      <w:spacing w:line="312" w:lineRule="atLeast"/>
      <w:jc w:val="center"/>
      <w:textAlignment w:val="baseline"/>
    </w:pPr>
    <w:rPr>
      <w:kern w:val="0"/>
      <w:szCs w:val="20"/>
    </w:rPr>
  </w:style>
  <w:style w:type="paragraph" w:customStyle="1" w:styleId="488">
    <w:name w:val="Char Char Char Char Char Char Char Char Char Char Char Char Char Char Char Char Char Char Char Char Char Char Char Char Char Char Char Char Char Char Char Char Char Char Char Char Char Char Char Char Char Char Char Char Char Char"/>
    <w:basedOn w:val="1"/>
    <w:next w:val="1"/>
    <w:qFormat/>
    <w:uiPriority w:val="0"/>
    <w:pPr>
      <w:pBdr>
        <w:right w:val="single" w:color="auto" w:sz="12" w:space="4"/>
      </w:pBdr>
      <w:adjustRightInd w:val="0"/>
      <w:spacing w:line="360" w:lineRule="auto"/>
      <w:ind w:firstLine="200" w:firstLineChars="200"/>
      <w:textAlignment w:val="baseline"/>
    </w:pPr>
    <w:rPr>
      <w:rFonts w:ascii="宋体" w:hAnsi="宋体" w:cs="宋体"/>
      <w:kern w:val="0"/>
      <w:sz w:val="28"/>
      <w:szCs w:val="20"/>
    </w:rPr>
  </w:style>
  <w:style w:type="paragraph" w:customStyle="1" w:styleId="489">
    <w:name w:val="我的表格"/>
    <w:qFormat/>
    <w:uiPriority w:val="0"/>
    <w:pPr>
      <w:adjustRightInd w:val="0"/>
      <w:snapToGrid w:val="0"/>
      <w:spacing w:line="300" w:lineRule="exact"/>
      <w:jc w:val="center"/>
    </w:pPr>
    <w:rPr>
      <w:rFonts w:ascii="Times New Roman" w:hAnsi="Times New Roman" w:eastAsia="宋体" w:cs="Times New Roman"/>
      <w:spacing w:val="4"/>
      <w:sz w:val="21"/>
      <w:szCs w:val="24"/>
      <w:lang w:val="en-US" w:eastAsia="zh-CN" w:bidi="th-TH"/>
    </w:rPr>
  </w:style>
  <w:style w:type="character" w:customStyle="1" w:styleId="490">
    <w:name w:val="正文文本 Char1"/>
    <w:qFormat/>
    <w:locked/>
    <w:uiPriority w:val="0"/>
    <w:rPr>
      <w:kern w:val="2"/>
      <w:sz w:val="44"/>
      <w:szCs w:val="24"/>
    </w:rPr>
  </w:style>
  <w:style w:type="paragraph" w:customStyle="1" w:styleId="491">
    <w:name w:val="样式 首行缩进:  0.99 厘米 行距: 1.5 倍行距2"/>
    <w:basedOn w:val="1"/>
    <w:qFormat/>
    <w:uiPriority w:val="0"/>
    <w:pPr>
      <w:adjustRightInd w:val="0"/>
      <w:snapToGrid w:val="0"/>
      <w:spacing w:line="312" w:lineRule="atLeast"/>
      <w:jc w:val="center"/>
      <w:textAlignment w:val="baseline"/>
    </w:pPr>
    <w:rPr>
      <w:rFonts w:ascii="宋体" w:hAnsi="宋体"/>
      <w:color w:val="FF0000"/>
      <w:kern w:val="0"/>
      <w:szCs w:val="21"/>
    </w:rPr>
  </w:style>
  <w:style w:type="paragraph" w:customStyle="1" w:styleId="492">
    <w:name w:val="样式 正文首行缩进 + 首行缩进:  1 字符"/>
    <w:basedOn w:val="57"/>
    <w:qFormat/>
    <w:uiPriority w:val="0"/>
    <w:pPr>
      <w:adjustRightInd w:val="0"/>
      <w:spacing w:after="0" w:line="480" w:lineRule="exact"/>
      <w:ind w:firstLine="200" w:firstLineChars="200"/>
      <w:textAlignment w:val="baseline"/>
    </w:pPr>
    <w:rPr>
      <w:rFonts w:ascii="Calibri" w:hAnsi="Calibri" w:cs="宋体"/>
      <w:bCs/>
      <w:sz w:val="28"/>
      <w:lang w:val="zh-CN"/>
    </w:rPr>
  </w:style>
  <w:style w:type="paragraph" w:customStyle="1" w:styleId="493">
    <w:name w:val="正文文字1"/>
    <w:basedOn w:val="1"/>
    <w:qFormat/>
    <w:uiPriority w:val="0"/>
    <w:pPr>
      <w:adjustRightInd w:val="0"/>
      <w:spacing w:line="500" w:lineRule="exact"/>
      <w:ind w:firstLine="480" w:firstLineChars="200"/>
      <w:textAlignment w:val="baseline"/>
    </w:pPr>
    <w:rPr>
      <w:kern w:val="0"/>
      <w:sz w:val="24"/>
      <w:szCs w:val="20"/>
    </w:rPr>
  </w:style>
  <w:style w:type="paragraph" w:customStyle="1" w:styleId="494">
    <w:name w:val="环表头"/>
    <w:basedOn w:val="1"/>
    <w:link w:val="495"/>
    <w:qFormat/>
    <w:uiPriority w:val="0"/>
    <w:pPr>
      <w:adjustRightInd w:val="0"/>
      <w:spacing w:line="480" w:lineRule="exact"/>
      <w:jc w:val="center"/>
      <w:textAlignment w:val="baseline"/>
    </w:pPr>
    <w:rPr>
      <w:rFonts w:ascii="黑体" w:hAnsi="宋体" w:eastAsia="黑体"/>
      <w:iCs/>
      <w:color w:val="000000"/>
      <w:kern w:val="0"/>
      <w:sz w:val="24"/>
      <w:szCs w:val="20"/>
      <w:lang w:val="zh-CN"/>
    </w:rPr>
  </w:style>
  <w:style w:type="character" w:customStyle="1" w:styleId="495">
    <w:name w:val="环表头 Char Char"/>
    <w:link w:val="494"/>
    <w:qFormat/>
    <w:uiPriority w:val="0"/>
    <w:rPr>
      <w:rFonts w:ascii="黑体" w:hAnsi="宋体" w:eastAsia="黑体"/>
      <w:iCs/>
      <w:color w:val="000000"/>
      <w:sz w:val="24"/>
      <w:lang w:val="zh-CN" w:eastAsia="zh-CN"/>
    </w:rPr>
  </w:style>
  <w:style w:type="paragraph" w:customStyle="1" w:styleId="496">
    <w:name w:val="样式 标题 2标题 2 Char + (西文) Times New Roman (中文) 宋体 小四"/>
    <w:basedOn w:val="4"/>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bCs/>
      <w:spacing w:val="1"/>
      <w:kern w:val="0"/>
      <w:sz w:val="28"/>
      <w:szCs w:val="28"/>
    </w:rPr>
  </w:style>
  <w:style w:type="paragraph" w:customStyle="1" w:styleId="497">
    <w:name w:val="Char Char1 Char Char Char Char Char Char Char Char Char Char Char Char Char Char Char Char Char Char Char Char1 Char"/>
    <w:basedOn w:val="1"/>
    <w:qFormat/>
    <w:uiPriority w:val="0"/>
    <w:pPr>
      <w:adjustRightInd w:val="0"/>
      <w:spacing w:line="360" w:lineRule="auto"/>
      <w:ind w:firstLine="200" w:firstLineChars="200"/>
      <w:textAlignment w:val="baseline"/>
    </w:pPr>
    <w:rPr>
      <w:kern w:val="0"/>
      <w:szCs w:val="20"/>
    </w:rPr>
  </w:style>
  <w:style w:type="paragraph" w:customStyle="1" w:styleId="49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9">
    <w:name w:val="zhang正文"/>
    <w:basedOn w:val="25"/>
    <w:qFormat/>
    <w:uiPriority w:val="0"/>
    <w:pPr>
      <w:autoSpaceDE w:val="0"/>
      <w:autoSpaceDN w:val="0"/>
      <w:adjustRightInd w:val="0"/>
      <w:snapToGrid w:val="0"/>
      <w:spacing w:after="0" w:line="500" w:lineRule="exact"/>
      <w:ind w:left="0" w:leftChars="0" w:firstLine="539"/>
      <w:textAlignment w:val="baseline"/>
    </w:pPr>
    <w:rPr>
      <w:rFonts w:ascii="Calibri" w:hAnsi="Calibri" w:eastAsia="楷体_GB2312"/>
      <w:sz w:val="28"/>
    </w:rPr>
  </w:style>
  <w:style w:type="paragraph" w:customStyle="1" w:styleId="500">
    <w:name w:val="样式 正文首行缩进正文首行缩进 Char + 首行缩进:  1 字符1"/>
    <w:basedOn w:val="57"/>
    <w:qFormat/>
    <w:uiPriority w:val="0"/>
    <w:pPr>
      <w:widowControl/>
      <w:adjustRightInd w:val="0"/>
      <w:spacing w:line="360" w:lineRule="auto"/>
      <w:ind w:firstLine="100"/>
      <w:jc w:val="left"/>
      <w:textAlignment w:val="baseline"/>
    </w:pPr>
    <w:rPr>
      <w:rFonts w:ascii="Calibri" w:hAnsi="Calibri" w:cs="宋体"/>
      <w:sz w:val="24"/>
      <w:lang w:val="zh-CN"/>
    </w:rPr>
  </w:style>
  <w:style w:type="paragraph" w:customStyle="1" w:styleId="501">
    <w:name w:val="p19"/>
    <w:basedOn w:val="1"/>
    <w:qFormat/>
    <w:uiPriority w:val="0"/>
    <w:pPr>
      <w:widowControl/>
      <w:adjustRightInd w:val="0"/>
      <w:spacing w:line="360" w:lineRule="atLeast"/>
      <w:jc w:val="center"/>
      <w:textAlignment w:val="baseline"/>
    </w:pPr>
    <w:rPr>
      <w:kern w:val="0"/>
      <w:szCs w:val="21"/>
    </w:rPr>
  </w:style>
  <w:style w:type="paragraph" w:customStyle="1" w:styleId="502">
    <w:name w:val="1表格头"/>
    <w:basedOn w:val="1"/>
    <w:qFormat/>
    <w:uiPriority w:val="0"/>
    <w:pPr>
      <w:adjustRightInd w:val="0"/>
      <w:snapToGrid w:val="0"/>
      <w:spacing w:line="160" w:lineRule="atLeast"/>
      <w:jc w:val="center"/>
      <w:textAlignment w:val="baseline"/>
    </w:pPr>
    <w:rPr>
      <w:rFonts w:eastAsia="仿宋_GB2312"/>
      <w:kern w:val="0"/>
      <w:sz w:val="24"/>
      <w:szCs w:val="20"/>
    </w:rPr>
  </w:style>
  <w:style w:type="paragraph" w:customStyle="1" w:styleId="503">
    <w:name w:val="样式3"/>
    <w:basedOn w:val="4"/>
    <w:qFormat/>
    <w:uiPriority w:val="0"/>
    <w:pPr>
      <w:tabs>
        <w:tab w:val="left" w:pos="-1980"/>
        <w:tab w:val="clear" w:pos="425"/>
      </w:tabs>
      <w:adjustRightInd w:val="0"/>
      <w:spacing w:before="0" w:after="0" w:line="500" w:lineRule="exact"/>
      <w:ind w:left="0" w:firstLine="0"/>
      <w:textAlignment w:val="baseline"/>
    </w:pPr>
    <w:rPr>
      <w:rFonts w:ascii="Times New Roman" w:hAnsi="Times New Roman"/>
      <w:b w:val="0"/>
      <w:color w:val="000000"/>
      <w:kern w:val="0"/>
      <w:sz w:val="28"/>
      <w:szCs w:val="28"/>
    </w:rPr>
  </w:style>
  <w:style w:type="paragraph" w:customStyle="1" w:styleId="504">
    <w:name w:val="样式 标题 1 + 黑体 小二 居中 首行缩进:  0 厘米 段前: 12 磅"/>
    <w:basedOn w:val="3"/>
    <w:qFormat/>
    <w:uiPriority w:val="0"/>
    <w:pPr>
      <w:overflowPunct/>
      <w:adjustRightInd w:val="0"/>
      <w:snapToGrid/>
      <w:spacing w:before="240" w:after="0" w:line="520" w:lineRule="exact"/>
      <w:ind w:left="0" w:firstLine="0"/>
      <w:jc w:val="center"/>
      <w:textAlignment w:val="baseline"/>
    </w:pPr>
    <w:rPr>
      <w:rFonts w:ascii="黑体"/>
      <w:bCs w:val="0"/>
      <w:color w:val="auto"/>
      <w:kern w:val="2"/>
      <w:sz w:val="36"/>
      <w:szCs w:val="36"/>
    </w:rPr>
  </w:style>
  <w:style w:type="paragraph" w:customStyle="1" w:styleId="505">
    <w:name w:val="样式 标题 2 + 首行缩进:  2 字符"/>
    <w:basedOn w:val="4"/>
    <w:qFormat/>
    <w:uiPriority w:val="0"/>
    <w:pPr>
      <w:tabs>
        <w:tab w:val="left" w:pos="-1980"/>
        <w:tab w:val="clear" w:pos="425"/>
      </w:tabs>
      <w:adjustRightInd w:val="0"/>
      <w:spacing w:before="0" w:after="0" w:afterLines="50" w:line="240" w:lineRule="auto"/>
      <w:ind w:left="0" w:firstLine="0"/>
      <w:textAlignment w:val="baseline"/>
    </w:pPr>
    <w:rPr>
      <w:bCs/>
      <w:spacing w:val="1"/>
      <w:kern w:val="0"/>
      <w:sz w:val="28"/>
      <w:szCs w:val="28"/>
    </w:rPr>
  </w:style>
  <w:style w:type="paragraph" w:customStyle="1" w:styleId="506">
    <w:name w:val="样式 标题 4 + (西文) Times New Roman (中文) 宋体 小四"/>
    <w:basedOn w:val="6"/>
    <w:qFormat/>
    <w:uiPriority w:val="0"/>
    <w:pPr>
      <w:tabs>
        <w:tab w:val="left" w:pos="1397"/>
        <w:tab w:val="clear" w:pos="1080"/>
      </w:tabs>
      <w:snapToGrid w:val="0"/>
      <w:spacing w:before="280" w:beforeLines="25" w:after="290" w:afterLines="25" w:line="360" w:lineRule="auto"/>
      <w:ind w:left="1114" w:hanging="964"/>
      <w:textAlignment w:val="baseline"/>
    </w:pPr>
    <w:rPr>
      <w:rFonts w:ascii="宋体" w:hAnsi="宋体" w:eastAsia="宋体"/>
      <w:b w:val="0"/>
      <w:sz w:val="24"/>
      <w:szCs w:val="24"/>
    </w:rPr>
  </w:style>
  <w:style w:type="paragraph" w:customStyle="1" w:styleId="507">
    <w:name w:val="正文11"/>
    <w:basedOn w:val="1"/>
    <w:qFormat/>
    <w:uiPriority w:val="0"/>
    <w:pPr>
      <w:adjustRightInd w:val="0"/>
      <w:spacing w:before="120" w:after="120" w:line="360" w:lineRule="auto"/>
      <w:ind w:firstLine="539"/>
      <w:textAlignment w:val="baseline"/>
    </w:pPr>
    <w:rPr>
      <w:rFonts w:ascii="宋体" w:hAnsi="宋体"/>
      <w:kern w:val="0"/>
      <w:sz w:val="28"/>
      <w:szCs w:val="20"/>
    </w:rPr>
  </w:style>
  <w:style w:type="paragraph" w:customStyle="1" w:styleId="508">
    <w:name w:val="样式 标题 3 + 段前: 0 磅 段后: 8 磅 行距: 固定值 22 磅1"/>
    <w:basedOn w:val="5"/>
    <w:qFormat/>
    <w:uiPriority w:val="0"/>
    <w:pPr>
      <w:tabs>
        <w:tab w:val="left" w:pos="720"/>
        <w:tab w:val="clear" w:pos="567"/>
      </w:tabs>
      <w:adjustRightInd w:val="0"/>
      <w:snapToGrid w:val="0"/>
      <w:spacing w:before="0" w:after="0" w:line="360" w:lineRule="auto"/>
      <w:ind w:left="720" w:hanging="720"/>
      <w:textAlignment w:val="baseline"/>
    </w:pPr>
    <w:rPr>
      <w:rFonts w:eastAsia="宋体" w:cs="Arial"/>
      <w:sz w:val="24"/>
      <w:szCs w:val="30"/>
    </w:rPr>
  </w:style>
  <w:style w:type="paragraph" w:customStyle="1" w:styleId="509">
    <w:name w:val="表目"/>
    <w:basedOn w:val="1"/>
    <w:qFormat/>
    <w:uiPriority w:val="0"/>
    <w:pPr>
      <w:adjustRightInd w:val="0"/>
      <w:spacing w:line="480" w:lineRule="atLeast"/>
      <w:ind w:left="-105" w:leftChars="-50" w:right="-105" w:rightChars="-50"/>
      <w:jc w:val="center"/>
      <w:textAlignment w:val="baseline"/>
    </w:pPr>
    <w:rPr>
      <w:rFonts w:ascii="Arial" w:hAnsi="Arial" w:eastAsia="仿宋_GB2312" w:cs="Arial"/>
      <w:kern w:val="0"/>
      <w:sz w:val="24"/>
      <w:szCs w:val="20"/>
    </w:rPr>
  </w:style>
  <w:style w:type="paragraph" w:customStyle="1" w:styleId="510">
    <w:name w:val="Char Char Char1"/>
    <w:basedOn w:val="1"/>
    <w:qFormat/>
    <w:uiPriority w:val="0"/>
    <w:pPr>
      <w:widowControl/>
      <w:adjustRightInd w:val="0"/>
      <w:spacing w:after="160" w:line="240" w:lineRule="exact"/>
      <w:jc w:val="left"/>
      <w:textAlignment w:val="baseline"/>
    </w:pPr>
    <w:rPr>
      <w:rFonts w:ascii="Verdana" w:hAnsi="Verdana" w:eastAsia="仿宋_GB2312"/>
      <w:kern w:val="0"/>
      <w:sz w:val="24"/>
      <w:szCs w:val="20"/>
      <w:lang w:eastAsia="en-US"/>
    </w:rPr>
  </w:style>
  <w:style w:type="paragraph" w:customStyle="1" w:styleId="511">
    <w:name w:val="5"/>
    <w:basedOn w:val="1"/>
    <w:next w:val="48"/>
    <w:qFormat/>
    <w:uiPriority w:val="0"/>
    <w:pPr>
      <w:adjustRightInd w:val="0"/>
      <w:snapToGrid w:val="0"/>
      <w:spacing w:line="312" w:lineRule="auto"/>
      <w:ind w:firstLine="480" w:firstLineChars="200"/>
      <w:textAlignment w:val="baseline"/>
    </w:pPr>
    <w:rPr>
      <w:rFonts w:ascii="仿宋_GB2312" w:eastAsia="仿宋_GB2312"/>
      <w:kern w:val="0"/>
      <w:sz w:val="24"/>
      <w:szCs w:val="20"/>
    </w:rPr>
  </w:style>
  <w:style w:type="paragraph" w:customStyle="1" w:styleId="512">
    <w:name w:val="2级标题"/>
    <w:basedOn w:val="1"/>
    <w:qFormat/>
    <w:uiPriority w:val="0"/>
    <w:pPr>
      <w:adjustRightInd w:val="0"/>
      <w:spacing w:before="60" w:line="460" w:lineRule="exact"/>
      <w:textAlignment w:val="baseline"/>
      <w:outlineLvl w:val="1"/>
    </w:pPr>
    <w:rPr>
      <w:b/>
      <w:kern w:val="0"/>
      <w:sz w:val="28"/>
      <w:szCs w:val="20"/>
    </w:rPr>
  </w:style>
  <w:style w:type="paragraph" w:customStyle="1" w:styleId="513">
    <w:name w:val="图居中"/>
    <w:basedOn w:val="1"/>
    <w:next w:val="1"/>
    <w:qFormat/>
    <w:uiPriority w:val="0"/>
    <w:pPr>
      <w:tabs>
        <w:tab w:val="left" w:pos="3626"/>
      </w:tabs>
      <w:adjustRightInd w:val="0"/>
      <w:spacing w:line="480" w:lineRule="exact"/>
      <w:jc w:val="center"/>
      <w:textAlignment w:val="baseline"/>
    </w:pPr>
    <w:rPr>
      <w:rFonts w:ascii="黑体" w:eastAsia="黑体"/>
      <w:kern w:val="0"/>
      <w:sz w:val="24"/>
      <w:szCs w:val="20"/>
    </w:rPr>
  </w:style>
  <w:style w:type="paragraph" w:customStyle="1" w:styleId="514">
    <w:name w:val="样式 标题 3H3h33rd level第二层条Re标题 3 Char3条标题1.1.1 Char标题 3 Ch..."/>
    <w:basedOn w:val="5"/>
    <w:qFormat/>
    <w:uiPriority w:val="0"/>
    <w:pPr>
      <w:tabs>
        <w:tab w:val="clear" w:pos="567"/>
      </w:tabs>
      <w:adjustRightInd w:val="0"/>
      <w:snapToGrid w:val="0"/>
      <w:spacing w:before="0" w:after="0"/>
      <w:ind w:left="0" w:firstLine="0"/>
      <w:jc w:val="left"/>
      <w:textAlignment w:val="baseline"/>
    </w:pPr>
    <w:rPr>
      <w:rFonts w:ascii="Times New Roman" w:hAnsi="Times New Roman"/>
      <w:b w:val="0"/>
      <w:kern w:val="20"/>
      <w:sz w:val="24"/>
      <w:szCs w:val="32"/>
    </w:rPr>
  </w:style>
  <w:style w:type="paragraph" w:customStyle="1" w:styleId="515">
    <w:name w:val="样式 首行缩进:  0.85 厘米1"/>
    <w:basedOn w:val="1"/>
    <w:qFormat/>
    <w:uiPriority w:val="0"/>
    <w:pPr>
      <w:adjustRightInd w:val="0"/>
      <w:spacing w:line="360" w:lineRule="auto"/>
      <w:ind w:firstLine="567" w:firstLineChars="200"/>
      <w:textAlignment w:val="baseline"/>
    </w:pPr>
    <w:rPr>
      <w:rFonts w:cs="PMingLiU"/>
      <w:kern w:val="0"/>
      <w:sz w:val="24"/>
      <w:szCs w:val="20"/>
    </w:rPr>
  </w:style>
  <w:style w:type="paragraph" w:customStyle="1" w:styleId="516">
    <w:name w:val="正文001"/>
    <w:qFormat/>
    <w:uiPriority w:val="0"/>
    <w:pPr>
      <w:spacing w:before="60" w:line="460" w:lineRule="exact"/>
      <w:ind w:firstLine="482"/>
    </w:pPr>
    <w:rPr>
      <w:rFonts w:ascii="Times New Roman" w:hAnsi="Times New Roman" w:eastAsia="宋体" w:cs="Times New Roman"/>
      <w:sz w:val="24"/>
      <w:lang w:val="en-US" w:eastAsia="zh-CN" w:bidi="ar-SA"/>
    </w:rPr>
  </w:style>
  <w:style w:type="paragraph" w:customStyle="1" w:styleId="517">
    <w:name w:val="报告1"/>
    <w:basedOn w:val="1"/>
    <w:qFormat/>
    <w:uiPriority w:val="0"/>
    <w:pPr>
      <w:adjustRightInd w:val="0"/>
      <w:spacing w:line="360" w:lineRule="auto"/>
      <w:ind w:firstLine="505"/>
      <w:jc w:val="left"/>
      <w:textAlignment w:val="baseline"/>
    </w:pPr>
    <w:rPr>
      <w:kern w:val="0"/>
      <w:sz w:val="24"/>
      <w:szCs w:val="20"/>
    </w:rPr>
  </w:style>
  <w:style w:type="paragraph" w:customStyle="1" w:styleId="518">
    <w:name w:val="样式 标题 1-*+章标题 11.标题 1h11st levelSection Headl1b1H1Head..."/>
    <w:basedOn w:val="3"/>
    <w:qFormat/>
    <w:uiPriority w:val="0"/>
    <w:pPr>
      <w:keepLines/>
      <w:tabs>
        <w:tab w:val="left" w:pos="432"/>
      </w:tabs>
      <w:overflowPunct/>
      <w:adjustRightInd w:val="0"/>
      <w:snapToGrid/>
      <w:spacing w:before="0" w:after="0" w:line="360" w:lineRule="auto"/>
      <w:jc w:val="left"/>
      <w:textAlignment w:val="baseline"/>
    </w:pPr>
    <w:rPr>
      <w:rFonts w:ascii="宋体" w:hAnsi="宋体" w:cs="宋体"/>
      <w:b w:val="0"/>
      <w:kern w:val="2"/>
      <w:sz w:val="32"/>
      <w:szCs w:val="20"/>
    </w:rPr>
  </w:style>
  <w:style w:type="paragraph" w:customStyle="1" w:styleId="519">
    <w:name w:val="表名（标题）"/>
    <w:basedOn w:val="1"/>
    <w:qFormat/>
    <w:uiPriority w:val="0"/>
    <w:pPr>
      <w:adjustRightInd w:val="0"/>
      <w:spacing w:line="460" w:lineRule="exact"/>
      <w:jc w:val="left"/>
      <w:textAlignment w:val="baseline"/>
    </w:pPr>
    <w:rPr>
      <w:kern w:val="0"/>
      <w:sz w:val="24"/>
      <w:szCs w:val="20"/>
    </w:rPr>
  </w:style>
  <w:style w:type="paragraph" w:customStyle="1" w:styleId="520">
    <w:name w:val="Char11"/>
    <w:basedOn w:val="1"/>
    <w:qFormat/>
    <w:uiPriority w:val="0"/>
    <w:pPr>
      <w:adjustRightInd w:val="0"/>
      <w:spacing w:line="312" w:lineRule="atLeast"/>
      <w:textAlignment w:val="baseline"/>
    </w:pPr>
    <w:rPr>
      <w:kern w:val="0"/>
      <w:szCs w:val="20"/>
    </w:rPr>
  </w:style>
  <w:style w:type="paragraph" w:customStyle="1" w:styleId="521">
    <w:name w:val="样式 标题 2节节标题 1.1H2（一）Underrubrik1prop2Heading 2 HiddenHea...1"/>
    <w:basedOn w:val="4"/>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eastAsia="宋体"/>
      <w:b w:val="0"/>
      <w:bCs/>
      <w:color w:val="000000"/>
      <w:kern w:val="0"/>
      <w:sz w:val="30"/>
      <w:szCs w:val="28"/>
    </w:rPr>
  </w:style>
  <w:style w:type="paragraph" w:customStyle="1" w:styleId="522">
    <w:name w:val="图目"/>
    <w:basedOn w:val="1"/>
    <w:qFormat/>
    <w:uiPriority w:val="0"/>
    <w:pPr>
      <w:adjustRightInd w:val="0"/>
      <w:snapToGrid w:val="0"/>
      <w:spacing w:before="360" w:after="360" w:line="440" w:lineRule="atLeast"/>
      <w:jc w:val="center"/>
      <w:textAlignment w:val="baseline"/>
    </w:pPr>
    <w:rPr>
      <w:rFonts w:ascii="黑体" w:hAnsi="Arial" w:eastAsia="黑体"/>
      <w:kern w:val="0"/>
      <w:sz w:val="24"/>
      <w:szCs w:val="20"/>
    </w:rPr>
  </w:style>
  <w:style w:type="paragraph" w:customStyle="1" w:styleId="523">
    <w:name w:val="xl36"/>
    <w:basedOn w:val="1"/>
    <w:qFormat/>
    <w:uiPriority w:val="0"/>
    <w:pPr>
      <w:widowControl/>
      <w:pBdr>
        <w:bottom w:val="single" w:color="auto" w:sz="4" w:space="0"/>
        <w:right w:val="single" w:color="auto" w:sz="4" w:space="0"/>
      </w:pBdr>
      <w:adjustRightInd w:val="0"/>
      <w:spacing w:before="100" w:beforeAutospacing="1" w:after="100" w:afterAutospacing="1" w:line="312" w:lineRule="atLeast"/>
      <w:jc w:val="center"/>
      <w:textAlignment w:val="center"/>
    </w:pPr>
    <w:rPr>
      <w:rFonts w:ascii="Arial Unicode MS" w:hAnsi="Arial Unicode MS"/>
      <w:kern w:val="0"/>
      <w:sz w:val="24"/>
      <w:szCs w:val="20"/>
    </w:rPr>
  </w:style>
  <w:style w:type="paragraph" w:customStyle="1" w:styleId="524">
    <w:name w:val="CM16"/>
    <w:basedOn w:val="76"/>
    <w:next w:val="76"/>
    <w:qFormat/>
    <w:uiPriority w:val="0"/>
    <w:pPr>
      <w:spacing w:line="566" w:lineRule="atLeast"/>
    </w:pPr>
    <w:rPr>
      <w:rFonts w:ascii="华文中宋" w:eastAsia="华文中宋" w:cs="华文中宋"/>
      <w:color w:val="auto"/>
    </w:rPr>
  </w:style>
  <w:style w:type="paragraph" w:customStyle="1" w:styleId="525">
    <w:name w:val="样式 标题 2 + 黑体 小四 非加粗 段前: 0 磅 段后: 0 磅 行距: 固定值 22 磅"/>
    <w:basedOn w:val="4"/>
    <w:qFormat/>
    <w:uiPriority w:val="0"/>
    <w:pPr>
      <w:tabs>
        <w:tab w:val="left" w:pos="-1980"/>
        <w:tab w:val="clear" w:pos="425"/>
      </w:tabs>
      <w:adjustRightInd w:val="0"/>
      <w:spacing w:before="0" w:after="0" w:line="500" w:lineRule="exact"/>
      <w:ind w:left="0" w:firstLine="363" w:firstLineChars="150"/>
      <w:textAlignment w:val="baseline"/>
    </w:pPr>
    <w:rPr>
      <w:rFonts w:ascii="Times New Roman" w:hAnsi="Times New Roman"/>
      <w:b w:val="0"/>
      <w:bCs/>
      <w:spacing w:val="1"/>
      <w:kern w:val="0"/>
      <w:sz w:val="28"/>
      <w:szCs w:val="28"/>
    </w:rPr>
  </w:style>
  <w:style w:type="paragraph" w:customStyle="1" w:styleId="526">
    <w:name w:val="样式 标题 1 + (中文) 宋体 小三 行距: 多倍行距 1.35 字行"/>
    <w:basedOn w:val="3"/>
    <w:qFormat/>
    <w:uiPriority w:val="0"/>
    <w:pPr>
      <w:keepLines/>
      <w:overflowPunct/>
      <w:adjustRightInd w:val="0"/>
      <w:spacing w:before="0" w:beforeLines="150" w:after="0" w:afterLines="150" w:line="240" w:lineRule="auto"/>
      <w:ind w:left="840" w:hanging="420"/>
      <w:jc w:val="center"/>
      <w:textAlignment w:val="baseline"/>
    </w:pPr>
    <w:rPr>
      <w:rFonts w:ascii="宋体" w:hAnsi="宋体"/>
      <w:b w:val="0"/>
      <w:color w:val="auto"/>
      <w:kern w:val="0"/>
      <w:sz w:val="32"/>
      <w:szCs w:val="32"/>
    </w:rPr>
  </w:style>
  <w:style w:type="paragraph" w:customStyle="1" w:styleId="527">
    <w:name w:val="正文（1）"/>
    <w:basedOn w:val="1"/>
    <w:qFormat/>
    <w:uiPriority w:val="0"/>
    <w:pPr>
      <w:autoSpaceDE w:val="0"/>
      <w:autoSpaceDN w:val="0"/>
      <w:adjustRightInd w:val="0"/>
      <w:snapToGrid w:val="0"/>
      <w:spacing w:line="480" w:lineRule="exact"/>
      <w:ind w:left="-17" w:firstLine="540" w:firstLineChars="225"/>
      <w:textAlignment w:val="baseline"/>
    </w:pPr>
    <w:rPr>
      <w:rFonts w:ascii="宋体" w:hAnsi="宋体" w:cs="宋体"/>
      <w:color w:val="FF0000"/>
      <w:kern w:val="0"/>
      <w:sz w:val="24"/>
      <w:szCs w:val="20"/>
      <w:lang w:val="zh-CN"/>
    </w:rPr>
  </w:style>
  <w:style w:type="paragraph" w:customStyle="1" w:styleId="528">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529">
    <w:name w:val="正文标准样式"/>
    <w:basedOn w:val="1"/>
    <w:qFormat/>
    <w:uiPriority w:val="0"/>
    <w:pPr>
      <w:adjustRightInd w:val="0"/>
      <w:spacing w:line="300" w:lineRule="auto"/>
      <w:ind w:firstLine="482"/>
      <w:textAlignment w:val="baseline"/>
    </w:pPr>
    <w:rPr>
      <w:kern w:val="0"/>
      <w:sz w:val="24"/>
      <w:szCs w:val="20"/>
    </w:rPr>
  </w:style>
  <w:style w:type="paragraph" w:customStyle="1" w:styleId="530">
    <w:name w:val="p18"/>
    <w:basedOn w:val="1"/>
    <w:qFormat/>
    <w:uiPriority w:val="0"/>
    <w:pPr>
      <w:widowControl/>
      <w:adjustRightInd w:val="0"/>
      <w:spacing w:after="120" w:line="312" w:lineRule="atLeast"/>
      <w:textAlignment w:val="baseline"/>
    </w:pPr>
    <w:rPr>
      <w:kern w:val="0"/>
      <w:szCs w:val="21"/>
    </w:rPr>
  </w:style>
  <w:style w:type="paragraph" w:customStyle="1" w:styleId="531">
    <w:name w:val="样式 正文文本缩进 3 + 12 磅 左侧:  2 字符"/>
    <w:basedOn w:val="48"/>
    <w:qFormat/>
    <w:uiPriority w:val="0"/>
    <w:pPr>
      <w:adjustRightInd w:val="0"/>
      <w:spacing w:after="120" w:line="360" w:lineRule="auto"/>
      <w:ind w:firstLine="200"/>
      <w:jc w:val="left"/>
      <w:textAlignment w:val="baseline"/>
    </w:pPr>
    <w:rPr>
      <w:rFonts w:eastAsia="宋体" w:cs="PMingLiU"/>
      <w:b w:val="0"/>
      <w:sz w:val="24"/>
    </w:rPr>
  </w:style>
  <w:style w:type="paragraph" w:customStyle="1" w:styleId="532">
    <w:name w:val="表格2"/>
    <w:basedOn w:val="1"/>
    <w:qFormat/>
    <w:uiPriority w:val="0"/>
    <w:pPr>
      <w:adjustRightInd w:val="0"/>
      <w:spacing w:line="360" w:lineRule="auto"/>
      <w:textAlignment w:val="baseline"/>
    </w:pPr>
    <w:rPr>
      <w:rFonts w:ascii="Calibri" w:hAnsi="Calibri"/>
      <w:kern w:val="0"/>
      <w:sz w:val="24"/>
      <w:szCs w:val="21"/>
    </w:rPr>
  </w:style>
  <w:style w:type="paragraph" w:customStyle="1" w:styleId="533">
    <w:name w:val="CM4"/>
    <w:basedOn w:val="76"/>
    <w:next w:val="76"/>
    <w:qFormat/>
    <w:uiPriority w:val="0"/>
    <w:pPr>
      <w:spacing w:line="566" w:lineRule="atLeast"/>
    </w:pPr>
    <w:rPr>
      <w:rFonts w:ascii="华文中宋" w:eastAsia="华文中宋" w:cs="华文中宋"/>
      <w:color w:val="auto"/>
    </w:rPr>
  </w:style>
  <w:style w:type="paragraph" w:customStyle="1" w:styleId="534">
    <w:name w:val="缩进"/>
    <w:basedOn w:val="1"/>
    <w:qFormat/>
    <w:uiPriority w:val="0"/>
    <w:pPr>
      <w:autoSpaceDE w:val="0"/>
      <w:autoSpaceDN w:val="0"/>
      <w:adjustRightInd w:val="0"/>
      <w:spacing w:line="400" w:lineRule="atLeast"/>
      <w:ind w:firstLine="425"/>
      <w:textAlignment w:val="baseline"/>
    </w:pPr>
    <w:rPr>
      <w:kern w:val="0"/>
      <w:sz w:val="24"/>
      <w:szCs w:val="20"/>
    </w:rPr>
  </w:style>
  <w:style w:type="paragraph" w:customStyle="1" w:styleId="535">
    <w:name w:val="样式 样式 样式 样式 标题 3 + 左侧:  1.5 厘米 首行缩进:  0 厘米 + 行距: 单倍行距 + 段后: 1 行 ...2"/>
    <w:basedOn w:val="1"/>
    <w:qFormat/>
    <w:uiPriority w:val="0"/>
    <w:pPr>
      <w:keepNext/>
      <w:keepLines/>
      <w:adjustRightInd w:val="0"/>
      <w:spacing w:afterLines="100" w:line="312" w:lineRule="atLeast"/>
      <w:textAlignment w:val="baseline"/>
      <w:outlineLvl w:val="3"/>
    </w:pPr>
    <w:rPr>
      <w:rFonts w:ascii="Arial" w:hAnsi="Arial" w:eastAsia="仿宋_GB2312" w:cs="宋体"/>
      <w:kern w:val="0"/>
      <w:sz w:val="28"/>
      <w:szCs w:val="20"/>
    </w:rPr>
  </w:style>
  <w:style w:type="paragraph" w:customStyle="1" w:styleId="536">
    <w:name w:val="目录"/>
    <w:qFormat/>
    <w:uiPriority w:val="0"/>
    <w:pPr>
      <w:jc w:val="center"/>
    </w:pPr>
    <w:rPr>
      <w:rFonts w:ascii="Times New Roman" w:hAnsi="Times New Roman" w:eastAsia="黑体" w:cs="Times New Roman"/>
      <w:b/>
      <w:bCs/>
      <w:kern w:val="44"/>
      <w:sz w:val="32"/>
      <w:szCs w:val="44"/>
      <w:lang w:val="en-US" w:eastAsia="zh-CN" w:bidi="ar-SA"/>
    </w:rPr>
  </w:style>
  <w:style w:type="paragraph" w:customStyle="1" w:styleId="537">
    <w:name w:val="表格头"/>
    <w:basedOn w:val="1"/>
    <w:qFormat/>
    <w:uiPriority w:val="0"/>
    <w:pPr>
      <w:adjustRightInd w:val="0"/>
      <w:spacing w:beforeLines="50" w:line="500" w:lineRule="exact"/>
      <w:jc w:val="center"/>
      <w:textAlignment w:val="baseline"/>
    </w:pPr>
    <w:rPr>
      <w:rFonts w:ascii="黑体" w:hAnsi="宋体" w:eastAsia="黑体"/>
      <w:kern w:val="0"/>
      <w:sz w:val="24"/>
      <w:szCs w:val="20"/>
    </w:rPr>
  </w:style>
  <w:style w:type="paragraph" w:customStyle="1" w:styleId="538">
    <w:name w:val="风玫瑰图"/>
    <w:qFormat/>
    <w:uiPriority w:val="0"/>
    <w:pPr>
      <w:autoSpaceDE w:val="0"/>
      <w:autoSpaceDN w:val="0"/>
      <w:adjustRightInd w:val="0"/>
      <w:snapToGrid w:val="0"/>
      <w:spacing w:line="500" w:lineRule="exact"/>
      <w:ind w:firstLine="539"/>
      <w:textAlignment w:val="baseline"/>
    </w:pPr>
    <w:rPr>
      <w:rFonts w:ascii="Times New Roman" w:hAnsi="Times New Roman" w:eastAsia="楷体_GB2312" w:cs="Times New Roman"/>
      <w:sz w:val="28"/>
      <w:lang w:val="en-US" w:eastAsia="zh-CN" w:bidi="ar-SA"/>
    </w:rPr>
  </w:style>
  <w:style w:type="paragraph" w:customStyle="1" w:styleId="539">
    <w:name w:val="xl24"/>
    <w:basedOn w:val="1"/>
    <w:qFormat/>
    <w:uiPriority w:val="0"/>
    <w:pPr>
      <w:widowControl/>
      <w:pBdr>
        <w:right w:val="single" w:color="auto" w:sz="4" w:space="0"/>
      </w:pBdr>
      <w:adjustRightInd w:val="0"/>
      <w:spacing w:before="100" w:beforeAutospacing="1" w:after="100" w:afterAutospacing="1" w:line="312" w:lineRule="atLeast"/>
      <w:jc w:val="center"/>
      <w:textAlignment w:val="baseline"/>
    </w:pPr>
    <w:rPr>
      <w:rFonts w:ascii="仿宋_GB2312" w:hAnsi="宋体" w:eastAsia="仿宋_GB2312"/>
      <w:kern w:val="0"/>
      <w:szCs w:val="21"/>
    </w:rPr>
  </w:style>
  <w:style w:type="paragraph" w:customStyle="1" w:styleId="540">
    <w:name w:val="样式 标题 2节节标题 1.1H2（一）Underrubrik1prop2Heading 2 HiddenHea...2"/>
    <w:basedOn w:val="4"/>
    <w:qFormat/>
    <w:uiPriority w:val="0"/>
    <w:pPr>
      <w:tabs>
        <w:tab w:val="left" w:pos="-1980"/>
        <w:tab w:val="left" w:pos="576"/>
        <w:tab w:val="clear" w:pos="425"/>
      </w:tabs>
      <w:adjustRightInd w:val="0"/>
      <w:spacing w:before="0" w:beforeLines="50" w:after="0" w:line="360" w:lineRule="auto"/>
      <w:ind w:left="0" w:firstLine="0"/>
      <w:jc w:val="left"/>
      <w:textAlignment w:val="baseline"/>
    </w:pPr>
    <w:rPr>
      <w:rFonts w:ascii="宋体" w:hAnsi="Times New Roman" w:eastAsia="宋体"/>
      <w:b w:val="0"/>
      <w:bCs/>
      <w:color w:val="000000"/>
      <w:kern w:val="0"/>
      <w:sz w:val="30"/>
      <w:szCs w:val="28"/>
    </w:rPr>
  </w:style>
  <w:style w:type="paragraph" w:customStyle="1" w:styleId="541">
    <w:name w:val="表名"/>
    <w:qFormat/>
    <w:uiPriority w:val="0"/>
    <w:pPr>
      <w:spacing w:before="120" w:line="360" w:lineRule="auto"/>
      <w:jc w:val="center"/>
    </w:pPr>
    <w:rPr>
      <w:rFonts w:ascii="Times New Roman" w:hAnsi="Times New Roman" w:eastAsia="宋体" w:cs="Times New Roman"/>
      <w:b/>
      <w:bCs/>
      <w:kern w:val="2"/>
      <w:sz w:val="21"/>
      <w:szCs w:val="32"/>
      <w:lang w:val="en-US" w:eastAsia="zh-CN" w:bidi="ar-SA"/>
    </w:rPr>
  </w:style>
  <w:style w:type="paragraph" w:customStyle="1" w:styleId="542">
    <w:name w:val="1char"/>
    <w:basedOn w:val="1"/>
    <w:qFormat/>
    <w:uiPriority w:val="0"/>
    <w:pPr>
      <w:widowControl/>
      <w:adjustRightInd w:val="0"/>
      <w:spacing w:before="100" w:beforeAutospacing="1" w:after="100" w:afterAutospacing="1" w:line="312" w:lineRule="atLeast"/>
      <w:jc w:val="left"/>
      <w:textAlignment w:val="baseline"/>
    </w:pPr>
    <w:rPr>
      <w:rFonts w:ascii="Arial Unicode MS" w:hAnsi="Arial Unicode MS"/>
      <w:kern w:val="0"/>
      <w:sz w:val="24"/>
      <w:szCs w:val="20"/>
    </w:rPr>
  </w:style>
  <w:style w:type="character" w:customStyle="1" w:styleId="543">
    <w:name w:val="javascript1"/>
    <w:qFormat/>
    <w:uiPriority w:val="0"/>
    <w:rPr>
      <w:rFonts w:ascii="Tahoma" w:hAnsi="Tahoma" w:eastAsia="宋体"/>
      <w:kern w:val="2"/>
      <w:sz w:val="24"/>
      <w:lang w:val="en-US" w:eastAsia="zh-CN"/>
    </w:rPr>
  </w:style>
  <w:style w:type="paragraph" w:customStyle="1" w:styleId="544">
    <w:name w:val="A正文"/>
    <w:basedOn w:val="1"/>
    <w:qFormat/>
    <w:uiPriority w:val="0"/>
    <w:pPr>
      <w:snapToGrid w:val="0"/>
      <w:spacing w:line="500" w:lineRule="exact"/>
      <w:ind w:firstLine="480"/>
    </w:pPr>
    <w:rPr>
      <w:sz w:val="24"/>
    </w:rPr>
  </w:style>
  <w:style w:type="paragraph" w:customStyle="1" w:styleId="545">
    <w:name w:val="1.1.1"/>
    <w:basedOn w:val="1"/>
    <w:qFormat/>
    <w:uiPriority w:val="0"/>
    <w:pPr>
      <w:spacing w:line="360" w:lineRule="auto"/>
      <w:ind w:firstLine="200" w:firstLineChars="200"/>
    </w:pPr>
    <w:rPr>
      <w:rFonts w:ascii="黑体"/>
      <w:sz w:val="24"/>
      <w:szCs w:val="20"/>
    </w:rPr>
  </w:style>
  <w:style w:type="paragraph" w:customStyle="1" w:styleId="546">
    <w:name w:val="小表"/>
    <w:basedOn w:val="1"/>
    <w:qFormat/>
    <w:uiPriority w:val="0"/>
    <w:pPr>
      <w:widowControl/>
      <w:tabs>
        <w:tab w:val="left" w:pos="352"/>
      </w:tabs>
      <w:overflowPunct w:val="0"/>
      <w:autoSpaceDE w:val="0"/>
      <w:autoSpaceDN w:val="0"/>
      <w:adjustRightInd w:val="0"/>
      <w:spacing w:line="360" w:lineRule="auto"/>
      <w:ind w:firstLine="200" w:firstLineChars="200"/>
      <w:jc w:val="center"/>
      <w:textAlignment w:val="bottom"/>
    </w:pPr>
    <w:rPr>
      <w:rFonts w:ascii="宋体" w:hAnsi="宋体"/>
      <w:kern w:val="0"/>
      <w:sz w:val="24"/>
      <w:szCs w:val="20"/>
    </w:rPr>
  </w:style>
  <w:style w:type="character" w:customStyle="1" w:styleId="547">
    <w:name w:val="apple-style-span"/>
    <w:qFormat/>
    <w:uiPriority w:val="0"/>
  </w:style>
  <w:style w:type="paragraph" w:customStyle="1" w:styleId="548">
    <w:name w:val="Char6"/>
    <w:basedOn w:val="1"/>
    <w:qFormat/>
    <w:uiPriority w:val="0"/>
  </w:style>
  <w:style w:type="table" w:customStyle="1" w:styleId="549">
    <w:name w:val="网格型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0">
    <w:name w:val="网格型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1">
    <w:name w:val="Char5"/>
    <w:basedOn w:val="1"/>
    <w:qFormat/>
    <w:uiPriority w:val="0"/>
  </w:style>
  <w:style w:type="table" w:customStyle="1" w:styleId="552">
    <w:name w:val="网格型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3">
    <w:name w:val="Char4"/>
    <w:basedOn w:val="1"/>
    <w:qFormat/>
    <w:uiPriority w:val="0"/>
  </w:style>
  <w:style w:type="paragraph" w:customStyle="1" w:styleId="554">
    <w:name w:val="Char Char Char Char Char Char Char Char Char1 Char Char Char Char"/>
    <w:basedOn w:val="1"/>
    <w:qFormat/>
    <w:uiPriority w:val="0"/>
    <w:rPr>
      <w:sz w:val="24"/>
    </w:rPr>
  </w:style>
  <w:style w:type="paragraph" w:customStyle="1" w:styleId="555">
    <w:name w:val="Char Char Char Char Char Char Char Char Char1 Char Char Char Char1"/>
    <w:basedOn w:val="1"/>
    <w:qFormat/>
    <w:uiPriority w:val="0"/>
    <w:rPr>
      <w:sz w:val="24"/>
    </w:rPr>
  </w:style>
  <w:style w:type="paragraph" w:customStyle="1" w:styleId="556">
    <w:name w:val="新正文"/>
    <w:basedOn w:val="1"/>
    <w:link w:val="557"/>
    <w:qFormat/>
    <w:uiPriority w:val="0"/>
    <w:pPr>
      <w:adjustRightInd w:val="0"/>
      <w:snapToGrid w:val="0"/>
      <w:spacing w:line="480" w:lineRule="exact"/>
      <w:ind w:firstLine="482" w:firstLineChars="200"/>
    </w:pPr>
    <w:rPr>
      <w:rFonts w:ascii="仿宋_GB2312" w:eastAsia="仿宋_GB2312"/>
      <w:kern w:val="0"/>
      <w:sz w:val="20"/>
      <w:szCs w:val="20"/>
      <w:lang w:val="zh-CN"/>
    </w:rPr>
  </w:style>
  <w:style w:type="character" w:customStyle="1" w:styleId="557">
    <w:name w:val="新正文 Char"/>
    <w:link w:val="556"/>
    <w:qFormat/>
    <w:locked/>
    <w:uiPriority w:val="0"/>
    <w:rPr>
      <w:rFonts w:ascii="仿宋_GB2312" w:eastAsia="仿宋_GB2312"/>
      <w:lang w:val="zh-CN" w:eastAsia="zh-CN"/>
    </w:rPr>
  </w:style>
  <w:style w:type="table" w:customStyle="1" w:styleId="558">
    <w:name w:val="网格型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59">
    <w:name w:val="Char21"/>
    <w:basedOn w:val="1"/>
    <w:qFormat/>
    <w:uiPriority w:val="0"/>
  </w:style>
  <w:style w:type="paragraph" w:customStyle="1" w:styleId="560">
    <w:name w:val="TOC 标题1"/>
    <w:basedOn w:val="3"/>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561">
    <w:name w:val="网格型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62">
    <w:name w:val="show-img-bd"/>
    <w:qFormat/>
    <w:uiPriority w:val="0"/>
  </w:style>
  <w:style w:type="character" w:customStyle="1" w:styleId="563">
    <w:name w:val="图 标题 Char"/>
    <w:link w:val="564"/>
    <w:qFormat/>
    <w:uiPriority w:val="0"/>
    <w:rPr>
      <w:b/>
      <w:kern w:val="2"/>
      <w:sz w:val="24"/>
    </w:rPr>
  </w:style>
  <w:style w:type="paragraph" w:customStyle="1" w:styleId="564">
    <w:name w:val="图 标题"/>
    <w:basedOn w:val="1"/>
    <w:link w:val="563"/>
    <w:qFormat/>
    <w:uiPriority w:val="0"/>
    <w:pPr>
      <w:adjustRightInd w:val="0"/>
      <w:snapToGrid w:val="0"/>
      <w:spacing w:line="360" w:lineRule="auto"/>
      <w:jc w:val="center"/>
    </w:pPr>
    <w:rPr>
      <w:b/>
      <w:sz w:val="24"/>
      <w:szCs w:val="20"/>
    </w:rPr>
  </w:style>
  <w:style w:type="character" w:customStyle="1" w:styleId="565">
    <w:name w:val="aa正文 Char"/>
    <w:link w:val="566"/>
    <w:qFormat/>
    <w:uiPriority w:val="0"/>
    <w:rPr>
      <w:sz w:val="24"/>
      <w:szCs w:val="24"/>
    </w:rPr>
  </w:style>
  <w:style w:type="paragraph" w:customStyle="1" w:styleId="566">
    <w:name w:val="aa正文"/>
    <w:basedOn w:val="1"/>
    <w:link w:val="565"/>
    <w:qFormat/>
    <w:uiPriority w:val="0"/>
    <w:pPr>
      <w:spacing w:line="360" w:lineRule="auto"/>
      <w:ind w:firstLine="200" w:firstLineChars="200"/>
    </w:pPr>
    <w:rPr>
      <w:kern w:val="0"/>
      <w:sz w:val="24"/>
    </w:rPr>
  </w:style>
  <w:style w:type="character" w:customStyle="1" w:styleId="567">
    <w:name w:val="words-outer-wrap"/>
    <w:qFormat/>
    <w:uiPriority w:val="0"/>
  </w:style>
  <w:style w:type="character" w:customStyle="1" w:styleId="568">
    <w:name w:val="split-word"/>
    <w:qFormat/>
    <w:uiPriority w:val="0"/>
  </w:style>
  <w:style w:type="paragraph" w:customStyle="1" w:styleId="569">
    <w:name w:val="List Paragraph1"/>
    <w:basedOn w:val="1"/>
    <w:qFormat/>
    <w:uiPriority w:val="0"/>
    <w:pPr>
      <w:widowControl/>
      <w:spacing w:after="160" w:line="259" w:lineRule="auto"/>
      <w:ind w:left="720"/>
      <w:contextualSpacing/>
      <w:jc w:val="left"/>
    </w:pPr>
    <w:rPr>
      <w:rFonts w:ascii="Calibri" w:hAnsi="Calibri"/>
      <w:kern w:val="0"/>
      <w:sz w:val="22"/>
      <w:szCs w:val="22"/>
    </w:rPr>
  </w:style>
  <w:style w:type="character" w:customStyle="1" w:styleId="570">
    <w:name w:val="表格标题 Char"/>
    <w:link w:val="271"/>
    <w:qFormat/>
    <w:uiPriority w:val="0"/>
    <w:rPr>
      <w:rFonts w:ascii="TimesNewRoman" w:hAnsi="TimesNewRoman"/>
      <w:b/>
      <w:sz w:val="24"/>
    </w:rPr>
  </w:style>
  <w:style w:type="paragraph" w:customStyle="1" w:styleId="571">
    <w:name w:val="Char Char21"/>
    <w:basedOn w:val="1"/>
    <w:qFormat/>
    <w:uiPriority w:val="0"/>
    <w:rPr>
      <w:szCs w:val="21"/>
    </w:rPr>
  </w:style>
  <w:style w:type="paragraph" w:customStyle="1" w:styleId="572">
    <w:name w:val="333333333333333"/>
    <w:basedOn w:val="5"/>
    <w:qFormat/>
    <w:uiPriority w:val="0"/>
    <w:pPr>
      <w:tabs>
        <w:tab w:val="clear" w:pos="567"/>
      </w:tabs>
      <w:spacing w:before="0" w:after="0" w:line="360" w:lineRule="auto"/>
      <w:ind w:left="0" w:firstLine="0"/>
    </w:pPr>
    <w:rPr>
      <w:rFonts w:ascii="宋体" w:hAnsi="宋体" w:eastAsia="宋体" w:cs="宋体"/>
      <w:bCs/>
      <w:sz w:val="28"/>
    </w:rPr>
  </w:style>
  <w:style w:type="paragraph" w:customStyle="1" w:styleId="573">
    <w:name w:val="正文图"/>
    <w:basedOn w:val="1"/>
    <w:qFormat/>
    <w:uiPriority w:val="0"/>
    <w:pPr>
      <w:adjustRightInd w:val="0"/>
      <w:snapToGrid w:val="0"/>
      <w:spacing w:before="40"/>
      <w:jc w:val="center"/>
    </w:pPr>
    <w:rPr>
      <w:rFonts w:hint="eastAsia" w:ascii="宋体"/>
      <w:kern w:val="0"/>
      <w:sz w:val="24"/>
      <w:szCs w:val="20"/>
    </w:rPr>
  </w:style>
  <w:style w:type="paragraph" w:customStyle="1" w:styleId="574">
    <w:name w:val="Default Paragraph Font Para Char Char Char"/>
    <w:basedOn w:val="1"/>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575">
    <w:name w:val="表的标题 Char"/>
    <w:link w:val="576"/>
    <w:qFormat/>
    <w:uiPriority w:val="0"/>
    <w:rPr>
      <w:rFonts w:eastAsia="黑体" w:cs="宋体"/>
      <w:kern w:val="2"/>
      <w:sz w:val="24"/>
    </w:rPr>
  </w:style>
  <w:style w:type="paragraph" w:customStyle="1" w:styleId="576">
    <w:name w:val="表的标题"/>
    <w:basedOn w:val="1"/>
    <w:next w:val="1"/>
    <w:link w:val="575"/>
    <w:qFormat/>
    <w:uiPriority w:val="0"/>
    <w:pPr>
      <w:adjustRightInd w:val="0"/>
      <w:snapToGrid w:val="0"/>
      <w:spacing w:beforeLines="50"/>
      <w:jc w:val="center"/>
    </w:pPr>
    <w:rPr>
      <w:rFonts w:eastAsia="黑体" w:cs="宋体"/>
      <w:sz w:val="24"/>
      <w:szCs w:val="20"/>
    </w:rPr>
  </w:style>
  <w:style w:type="character" w:customStyle="1" w:styleId="577">
    <w:name w:val="4正文 Char"/>
    <w:link w:val="578"/>
    <w:qFormat/>
    <w:uiPriority w:val="0"/>
    <w:rPr>
      <w:kern w:val="2"/>
      <w:sz w:val="24"/>
    </w:rPr>
  </w:style>
  <w:style w:type="paragraph" w:customStyle="1" w:styleId="578">
    <w:name w:val="4正文"/>
    <w:basedOn w:val="1"/>
    <w:link w:val="577"/>
    <w:qFormat/>
    <w:uiPriority w:val="0"/>
    <w:pPr>
      <w:spacing w:line="360" w:lineRule="auto"/>
      <w:ind w:firstLine="480" w:firstLineChars="200"/>
    </w:pPr>
    <w:rPr>
      <w:sz w:val="24"/>
      <w:szCs w:val="20"/>
    </w:rPr>
  </w:style>
  <w:style w:type="paragraph" w:customStyle="1" w:styleId="579">
    <w:name w:val="目录1"/>
    <w:basedOn w:val="1"/>
    <w:qFormat/>
    <w:uiPriority w:val="0"/>
    <w:pPr>
      <w:tabs>
        <w:tab w:val="left" w:pos="2850"/>
        <w:tab w:val="center" w:pos="4649"/>
      </w:tabs>
      <w:spacing w:line="480" w:lineRule="exact"/>
      <w:jc w:val="center"/>
    </w:pPr>
    <w:rPr>
      <w:rFonts w:ascii="黑体" w:eastAsia="黑体"/>
      <w:sz w:val="36"/>
      <w:szCs w:val="36"/>
    </w:rPr>
  </w:style>
  <w:style w:type="character" w:customStyle="1" w:styleId="580">
    <w:name w:val="Char Char291"/>
    <w:qFormat/>
    <w:uiPriority w:val="0"/>
    <w:rPr>
      <w:rFonts w:eastAsia="宋体"/>
      <w:b/>
      <w:bCs/>
      <w:kern w:val="2"/>
      <w:sz w:val="32"/>
      <w:szCs w:val="32"/>
      <w:lang w:val="en-US" w:eastAsia="zh-CN" w:bidi="ar-SA"/>
    </w:rPr>
  </w:style>
  <w:style w:type="character" w:customStyle="1" w:styleId="581">
    <w:name w:val="Char Char111"/>
    <w:qFormat/>
    <w:uiPriority w:val="0"/>
    <w:rPr>
      <w:rFonts w:ascii="Calibri" w:hAnsi="Tahoma" w:eastAsia="Calibri" w:cs="Tahoma"/>
      <w:kern w:val="2"/>
      <w:sz w:val="21"/>
      <w:szCs w:val="21"/>
      <w:lang w:val="en-US" w:eastAsia="zh-CN" w:bidi="ar-SA"/>
    </w:rPr>
  </w:style>
  <w:style w:type="character" w:customStyle="1" w:styleId="582">
    <w:name w:val="Char Char41"/>
    <w:qFormat/>
    <w:uiPriority w:val="0"/>
    <w:rPr>
      <w:rFonts w:ascii="宋体" w:hAnsi="Courier New" w:eastAsia="宋体"/>
      <w:kern w:val="2"/>
      <w:sz w:val="21"/>
      <w:lang w:val="en-US" w:eastAsia="zh-CN" w:bidi="ar-SA"/>
    </w:rPr>
  </w:style>
  <w:style w:type="character" w:customStyle="1" w:styleId="583">
    <w:name w:val="Char Char91"/>
    <w:qFormat/>
    <w:uiPriority w:val="0"/>
    <w:rPr>
      <w:rFonts w:ascii="宋体" w:hAnsi="宋体" w:eastAsia="宋体"/>
      <w:kern w:val="2"/>
      <w:sz w:val="24"/>
      <w:szCs w:val="24"/>
      <w:lang w:val="en-US" w:eastAsia="zh-CN" w:bidi="ar-SA"/>
    </w:rPr>
  </w:style>
  <w:style w:type="character" w:customStyle="1" w:styleId="584">
    <w:name w:val="正文文本缩进 2 Char2"/>
    <w:semiHidden/>
    <w:qFormat/>
    <w:uiPriority w:val="99"/>
    <w:rPr>
      <w:kern w:val="2"/>
      <w:sz w:val="21"/>
      <w:szCs w:val="24"/>
    </w:rPr>
  </w:style>
  <w:style w:type="character" w:customStyle="1" w:styleId="585">
    <w:name w:val="页脚 Char1"/>
    <w:qFormat/>
    <w:uiPriority w:val="0"/>
    <w:rPr>
      <w:kern w:val="2"/>
      <w:sz w:val="18"/>
      <w:szCs w:val="18"/>
    </w:rPr>
  </w:style>
  <w:style w:type="paragraph" w:customStyle="1" w:styleId="586">
    <w:name w:val="Char Char Char Char Char Char Char2"/>
    <w:basedOn w:val="1"/>
    <w:qFormat/>
    <w:uiPriority w:val="0"/>
    <w:pPr>
      <w:adjustRightInd w:val="0"/>
      <w:spacing w:line="360" w:lineRule="auto"/>
    </w:pPr>
    <w:rPr>
      <w:kern w:val="0"/>
      <w:sz w:val="24"/>
      <w:szCs w:val="20"/>
    </w:rPr>
  </w:style>
  <w:style w:type="character" w:customStyle="1" w:styleId="587">
    <w:name w:val="批注框文本 Char1"/>
    <w:semiHidden/>
    <w:qFormat/>
    <w:uiPriority w:val="99"/>
    <w:rPr>
      <w:kern w:val="2"/>
      <w:sz w:val="18"/>
      <w:szCs w:val="18"/>
    </w:rPr>
  </w:style>
  <w:style w:type="character" w:customStyle="1" w:styleId="588">
    <w:name w:val="正文首行缩进 2 Char1"/>
    <w:semiHidden/>
    <w:qFormat/>
    <w:uiPriority w:val="99"/>
    <w:rPr>
      <w:rFonts w:ascii="Times New Roman" w:hAnsi="Times New Roman" w:eastAsia="宋体" w:cs="Times New Roman"/>
      <w:kern w:val="2"/>
      <w:sz w:val="21"/>
      <w:szCs w:val="24"/>
    </w:rPr>
  </w:style>
  <w:style w:type="paragraph" w:customStyle="1" w:styleId="589">
    <w:name w:val="Char12"/>
    <w:basedOn w:val="1"/>
    <w:qFormat/>
    <w:uiPriority w:val="0"/>
    <w:rPr>
      <w:sz w:val="24"/>
    </w:rPr>
  </w:style>
  <w:style w:type="paragraph" w:customStyle="1" w:styleId="590">
    <w:name w:val="Char22"/>
    <w:basedOn w:val="1"/>
    <w:qFormat/>
    <w:uiPriority w:val="0"/>
    <w:pPr>
      <w:ind w:firstLine="200" w:firstLineChars="200"/>
    </w:pPr>
    <w:rPr>
      <w:rFonts w:ascii="宋体" w:hAnsi="宋体" w:cs="宋体"/>
    </w:rPr>
  </w:style>
  <w:style w:type="paragraph" w:customStyle="1" w:styleId="591">
    <w:name w:val="Char Char Char2"/>
    <w:basedOn w:val="1"/>
    <w:qFormat/>
    <w:uiPriority w:val="0"/>
  </w:style>
  <w:style w:type="paragraph" w:customStyle="1" w:styleId="592">
    <w:name w:val="正文4"/>
    <w:qFormat/>
    <w:uiPriority w:val="0"/>
    <w:pPr>
      <w:widowControl w:val="0"/>
      <w:adjustRightInd w:val="0"/>
      <w:spacing w:line="360" w:lineRule="atLeast"/>
    </w:pPr>
    <w:rPr>
      <w:rFonts w:hint="eastAsia" w:ascii="宋体" w:hAnsi="Times New Roman" w:eastAsia="宋体" w:cs="Times New Roman"/>
      <w:sz w:val="24"/>
      <w:lang w:val="en-US" w:eastAsia="zh-CN" w:bidi="ar-SA"/>
    </w:rPr>
  </w:style>
  <w:style w:type="paragraph" w:customStyle="1" w:styleId="593">
    <w:name w:val="正文文本缩进 32"/>
    <w:basedOn w:val="1"/>
    <w:qFormat/>
    <w:uiPriority w:val="0"/>
    <w:pPr>
      <w:adjustRightInd w:val="0"/>
      <w:spacing w:line="400" w:lineRule="exact"/>
      <w:ind w:firstLine="570"/>
      <w:jc w:val="left"/>
      <w:textAlignment w:val="baseline"/>
    </w:pPr>
    <w:rPr>
      <w:rFonts w:ascii="宋体" w:hAnsi="宋体"/>
      <w:spacing w:val="10"/>
      <w:sz w:val="24"/>
      <w:szCs w:val="20"/>
    </w:rPr>
  </w:style>
  <w:style w:type="paragraph" w:customStyle="1" w:styleId="594">
    <w:name w:val="字元 字元1"/>
    <w:basedOn w:val="1"/>
    <w:qFormat/>
    <w:uiPriority w:val="0"/>
    <w:rPr>
      <w:sz w:val="24"/>
    </w:rPr>
  </w:style>
  <w:style w:type="paragraph" w:customStyle="1" w:styleId="595">
    <w:name w:val="Char Char Char Char Char Char1 Char Char Char Char Char Char Char Char Char1"/>
    <w:basedOn w:val="1"/>
    <w:qFormat/>
    <w:uiPriority w:val="0"/>
    <w:rPr>
      <w:sz w:val="24"/>
    </w:rPr>
  </w:style>
  <w:style w:type="paragraph" w:customStyle="1" w:styleId="596">
    <w:name w:val="Char Char Char1 Char1 Char Char Char1"/>
    <w:basedOn w:val="1"/>
    <w:qFormat/>
    <w:uiPriority w:val="0"/>
    <w:pPr>
      <w:spacing w:line="500" w:lineRule="exact"/>
      <w:ind w:firstLine="480" w:firstLineChars="200"/>
    </w:pPr>
    <w:rPr>
      <w:sz w:val="24"/>
      <w:szCs w:val="20"/>
    </w:rPr>
  </w:style>
  <w:style w:type="character" w:customStyle="1" w:styleId="597">
    <w:name w:val="Char Char301"/>
    <w:qFormat/>
    <w:uiPriority w:val="0"/>
    <w:rPr>
      <w:rFonts w:eastAsia="宋体"/>
      <w:b/>
      <w:bCs/>
      <w:kern w:val="2"/>
      <w:sz w:val="21"/>
      <w:szCs w:val="24"/>
      <w:lang w:val="en-US" w:eastAsia="zh-CN" w:bidi="ar-SA"/>
    </w:rPr>
  </w:style>
  <w:style w:type="character" w:customStyle="1" w:styleId="598">
    <w:name w:val="Char Char171"/>
    <w:qFormat/>
    <w:locked/>
    <w:uiPriority w:val="0"/>
    <w:rPr>
      <w:rFonts w:eastAsia="宋体"/>
      <w:b/>
      <w:bCs/>
      <w:kern w:val="2"/>
      <w:sz w:val="32"/>
      <w:szCs w:val="32"/>
      <w:lang w:val="en-US" w:eastAsia="zh-CN" w:bidi="ar-SA"/>
    </w:rPr>
  </w:style>
  <w:style w:type="character" w:customStyle="1" w:styleId="599">
    <w:name w:val="Char Char61"/>
    <w:qFormat/>
    <w:locked/>
    <w:uiPriority w:val="0"/>
    <w:rPr>
      <w:rFonts w:eastAsia="宋体"/>
      <w:kern w:val="2"/>
      <w:sz w:val="21"/>
      <w:szCs w:val="24"/>
      <w:lang w:val="en-US" w:eastAsia="zh-CN" w:bidi="ar-SA"/>
    </w:rPr>
  </w:style>
  <w:style w:type="character" w:customStyle="1" w:styleId="600">
    <w:name w:val="Char Char12"/>
    <w:qFormat/>
    <w:uiPriority w:val="0"/>
    <w:rPr>
      <w:rFonts w:eastAsia="宋体"/>
      <w:kern w:val="2"/>
      <w:sz w:val="18"/>
      <w:szCs w:val="18"/>
      <w:lang w:val="en-US" w:eastAsia="zh-CN" w:bidi="ar-SA"/>
    </w:rPr>
  </w:style>
  <w:style w:type="character" w:customStyle="1" w:styleId="601">
    <w:name w:val="Char Char151"/>
    <w:qFormat/>
    <w:uiPriority w:val="0"/>
    <w:rPr>
      <w:rFonts w:ascii="宋体" w:hAnsi="Courier New" w:eastAsia="宋体"/>
      <w:kern w:val="2"/>
      <w:sz w:val="21"/>
      <w:lang w:val="en-US" w:eastAsia="zh-CN" w:bidi="ar-SA"/>
    </w:rPr>
  </w:style>
  <w:style w:type="character" w:customStyle="1" w:styleId="602">
    <w:name w:val="占位符文本2"/>
    <w:semiHidden/>
    <w:qFormat/>
    <w:uiPriority w:val="99"/>
    <w:rPr>
      <w:rFonts w:cs="Times New Roman"/>
      <w:color w:val="808080"/>
    </w:rPr>
  </w:style>
  <w:style w:type="paragraph" w:customStyle="1" w:styleId="603">
    <w:name w:val="TOC 标题2"/>
    <w:basedOn w:val="3"/>
    <w:next w:val="1"/>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character" w:customStyle="1" w:styleId="604">
    <w:name w:val="description"/>
    <w:qFormat/>
    <w:uiPriority w:val="0"/>
  </w:style>
  <w:style w:type="character" w:customStyle="1" w:styleId="605">
    <w:name w:val="Char Char1 Char"/>
    <w:qFormat/>
    <w:uiPriority w:val="0"/>
    <w:rPr>
      <w:rFonts w:ascii="宋体" w:hAnsi="宋体" w:cs="宋体"/>
      <w:kern w:val="2"/>
      <w:sz w:val="24"/>
      <w:szCs w:val="24"/>
    </w:rPr>
  </w:style>
  <w:style w:type="character" w:customStyle="1" w:styleId="606">
    <w:name w:val="5文章(治) Char Char"/>
    <w:link w:val="607"/>
    <w:qFormat/>
    <w:uiPriority w:val="0"/>
    <w:rPr>
      <w:kern w:val="2"/>
      <w:sz w:val="24"/>
    </w:rPr>
  </w:style>
  <w:style w:type="paragraph" w:customStyle="1" w:styleId="607">
    <w:name w:val="5文章(治)"/>
    <w:basedOn w:val="1"/>
    <w:link w:val="606"/>
    <w:qFormat/>
    <w:uiPriority w:val="0"/>
    <w:pPr>
      <w:spacing w:line="360" w:lineRule="auto"/>
      <w:ind w:firstLine="560" w:firstLineChars="200"/>
    </w:pPr>
    <w:rPr>
      <w:sz w:val="24"/>
      <w:szCs w:val="20"/>
    </w:rPr>
  </w:style>
  <w:style w:type="character" w:customStyle="1" w:styleId="608">
    <w:name w:val="bjh-p"/>
    <w:qFormat/>
    <w:uiPriority w:val="0"/>
  </w:style>
  <w:style w:type="paragraph" w:customStyle="1" w:styleId="609">
    <w:name w:val="正文我要"/>
    <w:basedOn w:val="1"/>
    <w:qFormat/>
    <w:uiPriority w:val="0"/>
    <w:pPr>
      <w:tabs>
        <w:tab w:val="left" w:pos="320"/>
        <w:tab w:val="center" w:pos="709"/>
      </w:tabs>
      <w:spacing w:line="360" w:lineRule="auto"/>
      <w:ind w:firstLine="200" w:firstLineChars="200"/>
      <w:jc w:val="left"/>
      <w:textAlignment w:val="baseline"/>
    </w:pPr>
    <w:rPr>
      <w:color w:val="000000"/>
      <w:sz w:val="24"/>
      <w:szCs w:val="21"/>
    </w:rPr>
  </w:style>
  <w:style w:type="character" w:customStyle="1" w:styleId="610">
    <w:name w:val="002"/>
    <w:qFormat/>
    <w:uiPriority w:val="0"/>
    <w:rPr>
      <w:rFonts w:ascii="黑体" w:hAnsi="黑体" w:eastAsia="黑体"/>
      <w:sz w:val="28"/>
    </w:rPr>
  </w:style>
  <w:style w:type="character" w:customStyle="1" w:styleId="611">
    <w:name w:val="表格标题新 Char"/>
    <w:link w:val="612"/>
    <w:qFormat/>
    <w:uiPriority w:val="0"/>
    <w:rPr>
      <w:rFonts w:ascii="仿宋_GB2312" w:eastAsia="黑体"/>
      <w:b/>
      <w:snapToGrid w:val="0"/>
      <w:spacing w:val="4"/>
      <w:sz w:val="24"/>
      <w:szCs w:val="24"/>
    </w:rPr>
  </w:style>
  <w:style w:type="paragraph" w:customStyle="1" w:styleId="612">
    <w:name w:val="表格标题新"/>
    <w:basedOn w:val="164"/>
    <w:link w:val="611"/>
    <w:qFormat/>
    <w:uiPriority w:val="0"/>
    <w:pPr>
      <w:spacing w:before="120" w:beforeLines="50"/>
      <w:ind w:firstLine="562"/>
    </w:pPr>
    <w:rPr>
      <w:rFonts w:ascii="仿宋_GB2312" w:eastAsia="黑体"/>
      <w:b/>
      <w:snapToGrid w:val="0"/>
      <w:spacing w:val="4"/>
      <w:szCs w:val="24"/>
    </w:rPr>
  </w:style>
  <w:style w:type="character" w:customStyle="1" w:styleId="613">
    <w:name w:val="书籍标题1"/>
    <w:qFormat/>
    <w:uiPriority w:val="33"/>
    <w:rPr>
      <w:b/>
      <w:bCs/>
      <w:smallCaps/>
      <w:spacing w:val="5"/>
    </w:rPr>
  </w:style>
  <w:style w:type="character" w:customStyle="1" w:styleId="614">
    <w:name w:val="large1"/>
    <w:qFormat/>
    <w:uiPriority w:val="0"/>
    <w:rPr>
      <w:rFonts w:hint="eastAsia" w:ascii="宋体" w:hAnsi="宋体" w:eastAsia="宋体"/>
      <w:sz w:val="22"/>
      <w:szCs w:val="22"/>
    </w:rPr>
  </w:style>
  <w:style w:type="character" w:customStyle="1" w:styleId="615">
    <w:name w:val="fontstyle11"/>
    <w:qFormat/>
    <w:uiPriority w:val="0"/>
    <w:rPr>
      <w:rFonts w:hint="eastAsia" w:ascii="宋体" w:hAnsi="宋体" w:eastAsia="宋体"/>
      <w:color w:val="000000"/>
      <w:sz w:val="22"/>
      <w:szCs w:val="22"/>
    </w:rPr>
  </w:style>
  <w:style w:type="character" w:customStyle="1" w:styleId="616">
    <w:name w:val="3级 Char"/>
    <w:link w:val="617"/>
    <w:qFormat/>
    <w:uiPriority w:val="0"/>
    <w:rPr>
      <w:rFonts w:eastAsia="仿宋_GB2312"/>
      <w:bCs/>
      <w:kern w:val="2"/>
      <w:sz w:val="28"/>
      <w:szCs w:val="32"/>
    </w:rPr>
  </w:style>
  <w:style w:type="paragraph" w:customStyle="1" w:styleId="617">
    <w:name w:val="3级"/>
    <w:basedOn w:val="1"/>
    <w:link w:val="616"/>
    <w:qFormat/>
    <w:uiPriority w:val="0"/>
    <w:pPr>
      <w:keepNext/>
      <w:keepLines/>
      <w:numPr>
        <w:ilvl w:val="2"/>
        <w:numId w:val="1"/>
      </w:numPr>
      <w:tabs>
        <w:tab w:val="left" w:pos="560"/>
        <w:tab w:val="left" w:pos="840"/>
        <w:tab w:val="left" w:pos="1260"/>
      </w:tabs>
      <w:adjustRightInd w:val="0"/>
      <w:snapToGrid w:val="0"/>
      <w:spacing w:before="20" w:after="20" w:line="324" w:lineRule="auto"/>
      <w:jc w:val="left"/>
      <w:outlineLvl w:val="2"/>
    </w:pPr>
    <w:rPr>
      <w:rFonts w:eastAsia="仿宋_GB2312"/>
      <w:bCs/>
      <w:sz w:val="28"/>
      <w:szCs w:val="32"/>
    </w:rPr>
  </w:style>
  <w:style w:type="character" w:customStyle="1" w:styleId="618">
    <w:name w:val="表题前1后0.5行 Char"/>
    <w:link w:val="619"/>
    <w:qFormat/>
    <w:uiPriority w:val="0"/>
    <w:rPr>
      <w:rFonts w:ascii="宋体"/>
      <w:kern w:val="2"/>
      <w:sz w:val="26"/>
      <w:szCs w:val="24"/>
    </w:rPr>
  </w:style>
  <w:style w:type="paragraph" w:customStyle="1" w:styleId="619">
    <w:name w:val="表题前1后0.5行"/>
    <w:basedOn w:val="1"/>
    <w:link w:val="618"/>
    <w:qFormat/>
    <w:uiPriority w:val="0"/>
    <w:pPr>
      <w:keepNext/>
      <w:overflowPunct w:val="0"/>
      <w:topLinePunct/>
      <w:autoSpaceDE w:val="0"/>
      <w:autoSpaceDN w:val="0"/>
      <w:adjustRightInd w:val="0"/>
      <w:spacing w:beforeLines="30" w:afterLines="30"/>
      <w:jc w:val="center"/>
    </w:pPr>
    <w:rPr>
      <w:rFonts w:ascii="宋体"/>
      <w:sz w:val="26"/>
    </w:rPr>
  </w:style>
  <w:style w:type="character" w:customStyle="1" w:styleId="620">
    <w:name w:val="height21"/>
    <w:qFormat/>
    <w:uiPriority w:val="0"/>
    <w:rPr>
      <w:sz w:val="18"/>
      <w:szCs w:val="18"/>
    </w:rPr>
  </w:style>
  <w:style w:type="character" w:customStyle="1" w:styleId="621">
    <w:name w:val="fontstyle21"/>
    <w:qFormat/>
    <w:uiPriority w:val="0"/>
    <w:rPr>
      <w:rFonts w:hint="default" w:ascii="TimesNewRomanPSMT" w:hAnsi="TimesNewRomanPSMT"/>
      <w:color w:val="000000"/>
      <w:sz w:val="28"/>
      <w:szCs w:val="28"/>
    </w:rPr>
  </w:style>
  <w:style w:type="character" w:customStyle="1" w:styleId="622">
    <w:name w:val="正文01 Char Char"/>
    <w:qFormat/>
    <w:uiPriority w:val="0"/>
    <w:rPr>
      <w:kern w:val="2"/>
      <w:sz w:val="24"/>
      <w:szCs w:val="24"/>
    </w:rPr>
  </w:style>
  <w:style w:type="character" w:customStyle="1" w:styleId="623">
    <w:name w:val="fontstyle01"/>
    <w:qFormat/>
    <w:uiPriority w:val="0"/>
    <w:rPr>
      <w:rFonts w:hint="default" w:ascii="Times New Roman" w:hAnsi="Times New Roman" w:cs="Times New Roman"/>
      <w:color w:val="000000"/>
      <w:sz w:val="22"/>
      <w:szCs w:val="22"/>
    </w:rPr>
  </w:style>
  <w:style w:type="paragraph" w:customStyle="1" w:styleId="624">
    <w:name w:val="Char33"/>
    <w:basedOn w:val="1"/>
    <w:qFormat/>
    <w:uiPriority w:val="0"/>
    <w:rPr>
      <w:sz w:val="24"/>
    </w:rPr>
  </w:style>
  <w:style w:type="paragraph" w:customStyle="1" w:styleId="625">
    <w:name w:val="Hu表内"/>
    <w:basedOn w:val="626"/>
    <w:qFormat/>
    <w:uiPriority w:val="0"/>
    <w:rPr>
      <w:sz w:val="24"/>
    </w:rPr>
  </w:style>
  <w:style w:type="paragraph" w:customStyle="1" w:styleId="626">
    <w:name w:val="表内"/>
    <w:basedOn w:val="1"/>
    <w:qFormat/>
    <w:uiPriority w:val="0"/>
    <w:pPr>
      <w:adjustRightInd w:val="0"/>
      <w:spacing w:line="240" w:lineRule="atLeast"/>
      <w:jc w:val="center"/>
      <w:textAlignment w:val="baseline"/>
    </w:pPr>
    <w:rPr>
      <w:rFonts w:ascii="宋体" w:hAnsi="宋体"/>
      <w:kern w:val="0"/>
      <w:szCs w:val="20"/>
    </w:rPr>
  </w:style>
  <w:style w:type="paragraph" w:customStyle="1" w:styleId="627">
    <w:name w:val="中等深浅网格 1 - 强调文字颜色 21"/>
    <w:basedOn w:val="1"/>
    <w:qFormat/>
    <w:uiPriority w:val="34"/>
    <w:pPr>
      <w:ind w:firstLine="420" w:firstLineChars="200"/>
    </w:pPr>
    <w:rPr>
      <w:rFonts w:ascii="Calibri" w:hAnsi="Calibri"/>
      <w:szCs w:val="22"/>
    </w:rPr>
  </w:style>
  <w:style w:type="paragraph" w:customStyle="1" w:styleId="628">
    <w:name w:val="纯文本2"/>
    <w:basedOn w:val="1"/>
    <w:qFormat/>
    <w:uiPriority w:val="0"/>
    <w:pPr>
      <w:adjustRightInd w:val="0"/>
      <w:textAlignment w:val="baseline"/>
    </w:pPr>
    <w:rPr>
      <w:rFonts w:ascii="宋体" w:hAnsi="Courier New" w:eastAsia="仿宋_GB2312"/>
      <w:sz w:val="28"/>
      <w:szCs w:val="28"/>
    </w:rPr>
  </w:style>
  <w:style w:type="paragraph" w:customStyle="1" w:styleId="629">
    <w:name w:val="二级大标题"/>
    <w:basedOn w:val="4"/>
    <w:qFormat/>
    <w:uiPriority w:val="0"/>
    <w:pPr>
      <w:keepNext w:val="0"/>
      <w:keepLines w:val="0"/>
      <w:tabs>
        <w:tab w:val="left" w:pos="720"/>
        <w:tab w:val="clear" w:pos="425"/>
      </w:tabs>
      <w:adjustRightInd w:val="0"/>
      <w:snapToGrid w:val="0"/>
      <w:spacing w:before="0" w:after="0" w:line="360" w:lineRule="auto"/>
    </w:pPr>
    <w:rPr>
      <w:rFonts w:ascii="Times New Roman" w:hAnsi="Times New Roman" w:eastAsia="仿宋_GB2312"/>
      <w:sz w:val="28"/>
      <w:szCs w:val="28"/>
    </w:rPr>
  </w:style>
  <w:style w:type="paragraph" w:customStyle="1" w:styleId="630">
    <w:name w:val="Char Char Char5"/>
    <w:basedOn w:val="1"/>
    <w:qFormat/>
    <w:uiPriority w:val="0"/>
    <w:pPr>
      <w:spacing w:line="360" w:lineRule="auto"/>
    </w:pPr>
    <w:rPr>
      <w:rFonts w:ascii="Tahoma" w:hAnsi="Tahoma"/>
      <w:sz w:val="24"/>
      <w:szCs w:val="20"/>
    </w:rPr>
  </w:style>
  <w:style w:type="paragraph" w:customStyle="1" w:styleId="631">
    <w:name w:val="Char Char1 Char Char Char Char Char Char Char Char Char Char Char Char Char"/>
    <w:basedOn w:val="1"/>
    <w:qFormat/>
    <w:uiPriority w:val="0"/>
    <w:pPr>
      <w:spacing w:line="360" w:lineRule="auto"/>
    </w:pPr>
    <w:rPr>
      <w:rFonts w:ascii="Tahoma" w:hAnsi="Tahoma"/>
      <w:sz w:val="24"/>
      <w:szCs w:val="20"/>
    </w:rPr>
  </w:style>
  <w:style w:type="paragraph" w:customStyle="1" w:styleId="632">
    <w:name w:val="项目编号"/>
    <w:basedOn w:val="1"/>
    <w:next w:val="1"/>
    <w:qFormat/>
    <w:uiPriority w:val="0"/>
    <w:pPr>
      <w:spacing w:before="120" w:after="120" w:line="360" w:lineRule="auto"/>
    </w:pPr>
    <w:rPr>
      <w:rFonts w:ascii="仿宋_GB2312" w:eastAsia="仿宋_GB2312"/>
      <w:sz w:val="24"/>
      <w:szCs w:val="20"/>
    </w:rPr>
  </w:style>
  <w:style w:type="paragraph" w:customStyle="1" w:styleId="633">
    <w:name w:val="默认段落字体 Para Char Char Char Char Char Char Char Char Char Char"/>
    <w:basedOn w:val="5"/>
    <w:qFormat/>
    <w:uiPriority w:val="0"/>
    <w:pPr>
      <w:framePr w:wrap="around" w:vAnchor="margin" w:hAnchor="text" w:yAlign="top"/>
      <w:tabs>
        <w:tab w:val="left" w:pos="360"/>
        <w:tab w:val="left" w:pos="900"/>
        <w:tab w:val="clear" w:pos="567"/>
      </w:tabs>
      <w:snapToGrid w:val="0"/>
      <w:spacing w:line="360" w:lineRule="auto"/>
      <w:ind w:left="542" w:leftChars="-12" w:firstLine="200" w:firstLineChars="200"/>
    </w:pPr>
    <w:rPr>
      <w:rFonts w:ascii="Times New Roman" w:hAnsi="Times New Roman"/>
      <w:snapToGrid w:val="0"/>
      <w:sz w:val="21"/>
    </w:rPr>
  </w:style>
  <w:style w:type="paragraph" w:customStyle="1" w:styleId="634">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szCs w:val="20"/>
    </w:rPr>
  </w:style>
  <w:style w:type="paragraph" w:customStyle="1" w:styleId="635">
    <w:name w:val="标题06"/>
    <w:basedOn w:val="1"/>
    <w:qFormat/>
    <w:uiPriority w:val="0"/>
    <w:pPr>
      <w:adjustRightInd w:val="0"/>
      <w:spacing w:before="2040" w:line="400" w:lineRule="atLeast"/>
      <w:textAlignment w:val="baseline"/>
    </w:pPr>
    <w:rPr>
      <w:rFonts w:eastAsia="黑体"/>
      <w:spacing w:val="10"/>
      <w:kern w:val="0"/>
      <w:sz w:val="28"/>
    </w:rPr>
  </w:style>
  <w:style w:type="paragraph" w:customStyle="1" w:styleId="636">
    <w:name w:val="z-窗体底端1"/>
    <w:basedOn w:val="1"/>
    <w:next w:val="1"/>
    <w:link w:val="637"/>
    <w:qFormat/>
    <w:uiPriority w:val="0"/>
    <w:pPr>
      <w:pBdr>
        <w:top w:val="single" w:color="auto" w:sz="6" w:space="1"/>
      </w:pBdr>
      <w:jc w:val="center"/>
    </w:pPr>
    <w:rPr>
      <w:rFonts w:ascii="Arial"/>
      <w:vanish/>
      <w:sz w:val="16"/>
    </w:rPr>
  </w:style>
  <w:style w:type="character" w:customStyle="1" w:styleId="637">
    <w:name w:val="z-窗体底端 字符1"/>
    <w:link w:val="636"/>
    <w:qFormat/>
    <w:uiPriority w:val="0"/>
    <w:rPr>
      <w:rFonts w:ascii="Arial"/>
      <w:vanish/>
      <w:kern w:val="2"/>
      <w:sz w:val="16"/>
      <w:szCs w:val="24"/>
    </w:rPr>
  </w:style>
  <w:style w:type="paragraph" w:customStyle="1" w:styleId="638">
    <w:name w:val="7表格(治)"/>
    <w:qFormat/>
    <w:uiPriority w:val="0"/>
    <w:pPr>
      <w:spacing w:line="240" w:lineRule="exact"/>
      <w:jc w:val="center"/>
    </w:pPr>
    <w:rPr>
      <w:rFonts w:ascii="Times New Roman" w:hAnsi="Times New Roman" w:eastAsia="楷体_GB2312" w:cs="Times New Roman"/>
      <w:sz w:val="21"/>
      <w:lang w:val="en-US" w:eastAsia="zh-CN" w:bidi="ar-SA"/>
    </w:rPr>
  </w:style>
  <w:style w:type="paragraph" w:customStyle="1" w:styleId="639">
    <w:name w:val="Char Char Char Char Char Char Char5"/>
    <w:basedOn w:val="1"/>
    <w:qFormat/>
    <w:uiPriority w:val="0"/>
    <w:rPr>
      <w:sz w:val="24"/>
    </w:rPr>
  </w:style>
  <w:style w:type="paragraph" w:customStyle="1" w:styleId="640">
    <w:name w:val="z-窗体顶端1"/>
    <w:basedOn w:val="1"/>
    <w:next w:val="1"/>
    <w:link w:val="641"/>
    <w:qFormat/>
    <w:uiPriority w:val="0"/>
    <w:pPr>
      <w:pBdr>
        <w:bottom w:val="single" w:color="auto" w:sz="6" w:space="1"/>
      </w:pBdr>
      <w:jc w:val="center"/>
    </w:pPr>
    <w:rPr>
      <w:rFonts w:ascii="Arial"/>
      <w:vanish/>
      <w:sz w:val="16"/>
    </w:rPr>
  </w:style>
  <w:style w:type="character" w:customStyle="1" w:styleId="641">
    <w:name w:val="z-窗体顶端 字符1"/>
    <w:link w:val="640"/>
    <w:qFormat/>
    <w:uiPriority w:val="0"/>
    <w:rPr>
      <w:rFonts w:ascii="Arial"/>
      <w:vanish/>
      <w:kern w:val="2"/>
      <w:sz w:val="16"/>
      <w:szCs w:val="24"/>
    </w:rPr>
  </w:style>
  <w:style w:type="paragraph" w:customStyle="1" w:styleId="642">
    <w:name w:val="Char15"/>
    <w:basedOn w:val="1"/>
    <w:qFormat/>
    <w:uiPriority w:val="0"/>
    <w:pPr>
      <w:widowControl/>
      <w:spacing w:line="360" w:lineRule="auto"/>
      <w:ind w:firstLine="200" w:firstLineChars="200"/>
      <w:jc w:val="left"/>
    </w:pPr>
    <w:rPr>
      <w:kern w:val="0"/>
      <w:sz w:val="24"/>
      <w:szCs w:val="20"/>
    </w:rPr>
  </w:style>
  <w:style w:type="paragraph" w:customStyle="1" w:styleId="643">
    <w:name w:val="_Style 5"/>
    <w:basedOn w:val="1"/>
    <w:qFormat/>
    <w:uiPriority w:val="0"/>
  </w:style>
  <w:style w:type="paragraph" w:customStyle="1" w:styleId="644">
    <w:name w:val="日期1"/>
    <w:basedOn w:val="1"/>
    <w:next w:val="1"/>
    <w:qFormat/>
    <w:uiPriority w:val="0"/>
    <w:pPr>
      <w:adjustRightInd w:val="0"/>
      <w:textAlignment w:val="baseline"/>
    </w:pPr>
    <w:rPr>
      <w:sz w:val="28"/>
      <w:szCs w:val="20"/>
    </w:rPr>
  </w:style>
  <w:style w:type="character" w:customStyle="1" w:styleId="645">
    <w:name w:val="4biaoge neibu Char"/>
    <w:link w:val="646"/>
    <w:qFormat/>
    <w:uiPriority w:val="0"/>
    <w:rPr>
      <w:rFonts w:cs="黑体"/>
      <w:kern w:val="2"/>
      <w:sz w:val="21"/>
      <w:szCs w:val="16"/>
    </w:rPr>
  </w:style>
  <w:style w:type="paragraph" w:customStyle="1" w:styleId="646">
    <w:name w:val="4biaoge neibu"/>
    <w:basedOn w:val="1"/>
    <w:link w:val="645"/>
    <w:qFormat/>
    <w:uiPriority w:val="0"/>
    <w:pPr>
      <w:jc w:val="center"/>
    </w:pPr>
    <w:rPr>
      <w:rFonts w:cs="黑体"/>
      <w:szCs w:val="16"/>
    </w:rPr>
  </w:style>
  <w:style w:type="paragraph" w:customStyle="1" w:styleId="647">
    <w:name w:val="图表标题"/>
    <w:basedOn w:val="1"/>
    <w:next w:val="1"/>
    <w:qFormat/>
    <w:uiPriority w:val="0"/>
    <w:pPr>
      <w:spacing w:line="360" w:lineRule="auto"/>
      <w:ind w:firstLine="640" w:firstLineChars="200"/>
      <w:jc w:val="center"/>
    </w:pPr>
    <w:rPr>
      <w:b/>
      <w:bCs/>
    </w:rPr>
  </w:style>
  <w:style w:type="paragraph" w:customStyle="1" w:styleId="648">
    <w:name w:val="1正文"/>
    <w:basedOn w:val="1"/>
    <w:qFormat/>
    <w:uiPriority w:val="0"/>
    <w:pPr>
      <w:widowControl/>
      <w:spacing w:line="360" w:lineRule="auto"/>
      <w:ind w:firstLine="200" w:firstLineChars="200"/>
    </w:pPr>
    <w:rPr>
      <w:kern w:val="0"/>
      <w:sz w:val="24"/>
      <w:szCs w:val="20"/>
      <w:lang w:val="en-GB"/>
    </w:rPr>
  </w:style>
  <w:style w:type="character" w:customStyle="1" w:styleId="649">
    <w:name w:val="doc_title"/>
    <w:qFormat/>
    <w:uiPriority w:val="0"/>
  </w:style>
  <w:style w:type="paragraph" w:customStyle="1" w:styleId="650">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651">
    <w:name w:val="表格内容 Char1"/>
    <w:qFormat/>
    <w:uiPriority w:val="0"/>
    <w:rPr>
      <w:kern w:val="20481"/>
      <w:sz w:val="21"/>
    </w:rPr>
  </w:style>
  <w:style w:type="table" w:customStyle="1" w:styleId="652">
    <w:name w:val="网格型6"/>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3">
    <w:name w:val="标题2"/>
    <w:qFormat/>
    <w:uiPriority w:val="0"/>
  </w:style>
  <w:style w:type="table" w:customStyle="1" w:styleId="654">
    <w:name w:val="表格主题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5">
    <w:name w:val="网格型-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6">
    <w:name w:val="网格型 5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7">
    <w:name w:val="典雅型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658">
    <w:name w:val="网格型 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659">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0">
    <w:name w:val="左右无边框1"/>
    <w:basedOn w:val="61"/>
    <w:qFormat/>
    <w:uiPriority w:val="0"/>
    <w:pPr>
      <w:widowControl w:val="0"/>
      <w:jc w:val="both"/>
    </w:pPr>
    <w:tblPr>
      <w:tblBorders>
        <w:top w:val="single" w:color="auto" w:sz="12" w:space="0"/>
        <w:bottom w:val="single" w:color="auto" w:sz="12" w:space="0"/>
      </w:tblBorders>
    </w:tblPr>
  </w:style>
  <w:style w:type="table" w:customStyle="1" w:styleId="661">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2">
    <w:name w:val="无左右边框型1"/>
    <w:basedOn w:val="60"/>
    <w:qFormat/>
    <w:uiPriority w:val="0"/>
    <w:pPr>
      <w:widowControl w:val="0"/>
      <w:jc w:val="both"/>
    </w:pPr>
  </w:style>
  <w:style w:type="table" w:customStyle="1" w:styleId="663">
    <w:name w:val="典雅型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4">
    <w:name w:val="左右无边表格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665">
    <w:name w:val="典雅型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666">
    <w:name w:val="网格型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7">
    <w:name w:val="网格型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8">
    <w:name w:val="网格型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69">
    <w:name w:val="网格型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70">
    <w:name w:val="网格型5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1">
    <w:name w:val="Char32"/>
    <w:basedOn w:val="1"/>
    <w:qFormat/>
    <w:uiPriority w:val="0"/>
    <w:rPr>
      <w:sz w:val="24"/>
    </w:rPr>
  </w:style>
  <w:style w:type="paragraph" w:customStyle="1" w:styleId="672">
    <w:name w:val="纯文本3"/>
    <w:basedOn w:val="1"/>
    <w:qFormat/>
    <w:uiPriority w:val="0"/>
    <w:pPr>
      <w:adjustRightInd w:val="0"/>
      <w:textAlignment w:val="baseline"/>
    </w:pPr>
    <w:rPr>
      <w:rFonts w:ascii="宋体" w:hAnsi="Courier New" w:eastAsia="仿宋_GB2312"/>
      <w:sz w:val="28"/>
      <w:szCs w:val="28"/>
    </w:rPr>
  </w:style>
  <w:style w:type="paragraph" w:customStyle="1" w:styleId="673">
    <w:name w:val="Char Char Char4"/>
    <w:basedOn w:val="1"/>
    <w:qFormat/>
    <w:uiPriority w:val="0"/>
    <w:pPr>
      <w:spacing w:line="360" w:lineRule="auto"/>
    </w:pPr>
    <w:rPr>
      <w:rFonts w:ascii="Tahoma" w:hAnsi="Tahoma"/>
      <w:sz w:val="24"/>
      <w:szCs w:val="20"/>
    </w:rPr>
  </w:style>
  <w:style w:type="paragraph" w:customStyle="1" w:styleId="674">
    <w:name w:val="Char Char1 Char Char Char Char Char Char Char Char Char Char Char Char Char2"/>
    <w:basedOn w:val="1"/>
    <w:qFormat/>
    <w:uiPriority w:val="0"/>
    <w:pPr>
      <w:spacing w:line="360" w:lineRule="auto"/>
    </w:pPr>
    <w:rPr>
      <w:rFonts w:ascii="Tahoma" w:hAnsi="Tahoma"/>
      <w:sz w:val="24"/>
      <w:szCs w:val="20"/>
    </w:rPr>
  </w:style>
  <w:style w:type="paragraph" w:customStyle="1" w:styleId="675">
    <w:name w:val="Char Char Char Char Char Char Char4"/>
    <w:basedOn w:val="1"/>
    <w:qFormat/>
    <w:uiPriority w:val="0"/>
    <w:rPr>
      <w:sz w:val="24"/>
    </w:rPr>
  </w:style>
  <w:style w:type="paragraph" w:customStyle="1" w:styleId="676">
    <w:name w:val="Char14"/>
    <w:basedOn w:val="1"/>
    <w:qFormat/>
    <w:uiPriority w:val="0"/>
    <w:pPr>
      <w:widowControl/>
      <w:spacing w:line="360" w:lineRule="auto"/>
      <w:ind w:firstLine="200" w:firstLineChars="200"/>
      <w:jc w:val="left"/>
    </w:pPr>
    <w:rPr>
      <w:kern w:val="0"/>
      <w:sz w:val="24"/>
      <w:szCs w:val="20"/>
    </w:rPr>
  </w:style>
  <w:style w:type="paragraph" w:customStyle="1" w:styleId="677">
    <w:name w:val="日期2"/>
    <w:basedOn w:val="1"/>
    <w:next w:val="1"/>
    <w:qFormat/>
    <w:uiPriority w:val="0"/>
    <w:pPr>
      <w:adjustRightInd w:val="0"/>
      <w:textAlignment w:val="baseline"/>
    </w:pPr>
    <w:rPr>
      <w:sz w:val="28"/>
      <w:szCs w:val="20"/>
    </w:rPr>
  </w:style>
  <w:style w:type="table" w:customStyle="1" w:styleId="678">
    <w:name w:val="网格型6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9">
    <w:name w:val="网格型7"/>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0">
    <w:name w:val="网格型8"/>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81">
    <w:name w:val="font01"/>
    <w:qFormat/>
    <w:uiPriority w:val="0"/>
    <w:rPr>
      <w:rFonts w:ascii="font-weight : 400" w:hAnsi="font-weight : 400" w:eastAsia="font-weight : 400" w:cs="font-weight : 400"/>
      <w:color w:val="000000"/>
      <w:sz w:val="22"/>
      <w:szCs w:val="22"/>
      <w:u w:val="none"/>
    </w:rPr>
  </w:style>
  <w:style w:type="table" w:customStyle="1" w:styleId="682">
    <w:name w:val="网格型9"/>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683">
    <w:name w:val="Pa17"/>
    <w:basedOn w:val="76"/>
    <w:next w:val="76"/>
    <w:qFormat/>
    <w:uiPriority w:val="99"/>
    <w:pPr>
      <w:spacing w:line="161" w:lineRule="atLeast"/>
    </w:pPr>
    <w:rPr>
      <w:rFonts w:ascii="黑体" w:eastAsia="黑体" w:cs="Times New Roman"/>
      <w:color w:val="auto"/>
    </w:rPr>
  </w:style>
  <w:style w:type="paragraph" w:customStyle="1" w:styleId="684">
    <w:name w:val="Pa29"/>
    <w:basedOn w:val="76"/>
    <w:next w:val="76"/>
    <w:qFormat/>
    <w:uiPriority w:val="99"/>
    <w:pPr>
      <w:spacing w:line="161" w:lineRule="atLeast"/>
    </w:pPr>
    <w:rPr>
      <w:rFonts w:ascii="黑体" w:eastAsia="黑体" w:cs="Times New Roman"/>
      <w:color w:val="auto"/>
    </w:rPr>
  </w:style>
  <w:style w:type="character" w:customStyle="1" w:styleId="685">
    <w:name w:val="A24"/>
    <w:qFormat/>
    <w:uiPriority w:val="99"/>
    <w:rPr>
      <w:rFonts w:ascii="Times New Roman"/>
      <w:i/>
      <w:iCs/>
      <w:color w:val="211D1E"/>
      <w:sz w:val="9"/>
      <w:szCs w:val="9"/>
    </w:rPr>
  </w:style>
  <w:style w:type="character" w:customStyle="1" w:styleId="686">
    <w:name w:val="A25"/>
    <w:qFormat/>
    <w:uiPriority w:val="99"/>
    <w:rPr>
      <w:rFonts w:ascii="FZShuSong-Z01" w:eastAsia="FZShuSong-Z01" w:cs="FZShuSong-Z01"/>
      <w:color w:val="211D1E"/>
      <w:sz w:val="20"/>
      <w:szCs w:val="20"/>
    </w:rPr>
  </w:style>
  <w:style w:type="character" w:customStyle="1" w:styleId="687">
    <w:name w:val="HTML 预设格式 字符"/>
    <w:qFormat/>
    <w:locked/>
    <w:uiPriority w:val="99"/>
    <w:rPr>
      <w:rFonts w:ascii="Arial" w:hAnsi="Arial" w:cs="Arial"/>
      <w:sz w:val="23"/>
      <w:szCs w:val="23"/>
    </w:rPr>
  </w:style>
  <w:style w:type="character" w:customStyle="1" w:styleId="688">
    <w:name w:val="标题 1 字符"/>
    <w:qFormat/>
    <w:uiPriority w:val="0"/>
    <w:rPr>
      <w:rFonts w:eastAsia="宋体"/>
      <w:b/>
      <w:bCs/>
      <w:kern w:val="2"/>
      <w:sz w:val="24"/>
      <w:szCs w:val="24"/>
      <w:lang w:val="en-US" w:eastAsia="zh-CN" w:bidi="ar-SA"/>
    </w:rPr>
  </w:style>
  <w:style w:type="character" w:customStyle="1" w:styleId="689">
    <w:name w:val="标题 3 字符"/>
    <w:qFormat/>
    <w:uiPriority w:val="0"/>
    <w:rPr>
      <w:rFonts w:eastAsia="宋体"/>
      <w:b/>
      <w:bCs/>
      <w:kern w:val="2"/>
      <w:sz w:val="32"/>
      <w:szCs w:val="32"/>
      <w:lang w:val="en-US" w:eastAsia="zh-CN" w:bidi="ar-SA"/>
    </w:rPr>
  </w:style>
  <w:style w:type="character" w:customStyle="1" w:styleId="690">
    <w:name w:val="标题 7 字符"/>
    <w:qFormat/>
    <w:locked/>
    <w:uiPriority w:val="0"/>
    <w:rPr>
      <w:rFonts w:eastAsia="仿宋_GB2312"/>
      <w:b/>
      <w:sz w:val="24"/>
      <w:szCs w:val="24"/>
    </w:rPr>
  </w:style>
  <w:style w:type="character" w:customStyle="1" w:styleId="691">
    <w:name w:val="尾注文本 字符"/>
    <w:qFormat/>
    <w:uiPriority w:val="99"/>
    <w:rPr>
      <w:sz w:val="21"/>
    </w:rPr>
  </w:style>
  <w:style w:type="character" w:customStyle="1" w:styleId="692">
    <w:name w:val="标题 8 字符"/>
    <w:qFormat/>
    <w:locked/>
    <w:uiPriority w:val="0"/>
    <w:rPr>
      <w:rFonts w:ascii="Arial" w:hAnsi="Arial" w:eastAsia="黑体"/>
      <w:bCs/>
      <w:sz w:val="24"/>
      <w:szCs w:val="24"/>
    </w:rPr>
  </w:style>
  <w:style w:type="character" w:customStyle="1" w:styleId="693">
    <w:name w:val="正文缩进 字符"/>
    <w:qFormat/>
    <w:uiPriority w:val="0"/>
    <w:rPr>
      <w:rFonts w:eastAsia="宋体"/>
      <w:kern w:val="2"/>
      <w:sz w:val="28"/>
      <w:szCs w:val="21"/>
      <w:lang w:val="en-US" w:eastAsia="zh-CN" w:bidi="ar-SA"/>
    </w:rPr>
  </w:style>
  <w:style w:type="character" w:customStyle="1" w:styleId="694">
    <w:name w:val="副标题 字符"/>
    <w:qFormat/>
    <w:uiPriority w:val="0"/>
    <w:rPr>
      <w:rFonts w:ascii="Cambria" w:hAnsi="Cambria" w:eastAsia="宋体"/>
      <w:sz w:val="21"/>
      <w:szCs w:val="24"/>
      <w:lang w:val="en-US" w:eastAsia="en-US" w:bidi="en-US"/>
    </w:rPr>
  </w:style>
  <w:style w:type="character" w:customStyle="1" w:styleId="695">
    <w:name w:val="正文文本 2 字符"/>
    <w:qFormat/>
    <w:locked/>
    <w:uiPriority w:val="99"/>
    <w:rPr>
      <w:rFonts w:eastAsia="宋体"/>
      <w:kern w:val="2"/>
      <w:sz w:val="24"/>
      <w:szCs w:val="24"/>
      <w:lang w:val="en-US" w:eastAsia="zh-CN" w:bidi="ar-SA"/>
    </w:rPr>
  </w:style>
  <w:style w:type="character" w:customStyle="1" w:styleId="696">
    <w:name w:val="正文文本缩进 2 字符"/>
    <w:qFormat/>
    <w:uiPriority w:val="0"/>
    <w:rPr>
      <w:rFonts w:eastAsia="宋体"/>
      <w:kern w:val="2"/>
      <w:sz w:val="21"/>
      <w:szCs w:val="24"/>
      <w:lang w:val="en-US" w:eastAsia="zh-CN" w:bidi="ar-SA"/>
    </w:rPr>
  </w:style>
  <w:style w:type="character" w:customStyle="1" w:styleId="697">
    <w:name w:val="z-窗体底端 字符"/>
    <w:qFormat/>
    <w:uiPriority w:val="0"/>
    <w:rPr>
      <w:rFonts w:ascii="Arial"/>
      <w:vanish/>
      <w:kern w:val="2"/>
      <w:sz w:val="16"/>
      <w:szCs w:val="24"/>
    </w:rPr>
  </w:style>
  <w:style w:type="character" w:customStyle="1" w:styleId="698">
    <w:name w:val="注释标题 字符"/>
    <w:qFormat/>
    <w:uiPriority w:val="0"/>
    <w:rPr>
      <w:rFonts w:ascii="宋体" w:eastAsia="宋体"/>
      <w:kern w:val="2"/>
      <w:sz w:val="21"/>
      <w:lang w:val="en-US" w:eastAsia="zh-CN" w:bidi="ar-SA"/>
    </w:rPr>
  </w:style>
  <w:style w:type="character" w:customStyle="1" w:styleId="699">
    <w:name w:val="标题 2 字符"/>
    <w:qFormat/>
    <w:uiPriority w:val="0"/>
    <w:rPr>
      <w:rFonts w:eastAsia="宋体"/>
      <w:b/>
      <w:bCs/>
      <w:kern w:val="2"/>
      <w:sz w:val="21"/>
      <w:szCs w:val="24"/>
      <w:lang w:val="en-US" w:eastAsia="zh-CN" w:bidi="ar-SA"/>
    </w:rPr>
  </w:style>
  <w:style w:type="character" w:customStyle="1" w:styleId="700">
    <w:name w:val="标题 字符"/>
    <w:qFormat/>
    <w:uiPriority w:val="0"/>
    <w:rPr>
      <w:rFonts w:ascii="Cambria" w:hAnsi="Cambria"/>
      <w:b/>
      <w:bCs/>
      <w:kern w:val="2"/>
      <w:sz w:val="32"/>
      <w:szCs w:val="32"/>
    </w:rPr>
  </w:style>
  <w:style w:type="character" w:customStyle="1" w:styleId="701">
    <w:name w:val="正文文本首行缩进 2 字符"/>
    <w:qFormat/>
    <w:locked/>
    <w:uiPriority w:val="0"/>
    <w:rPr>
      <w:rFonts w:eastAsia="宋体"/>
      <w:kern w:val="2"/>
      <w:sz w:val="21"/>
      <w:szCs w:val="24"/>
      <w:lang w:val="en-US" w:eastAsia="zh-CN" w:bidi="ar-SA"/>
    </w:rPr>
  </w:style>
  <w:style w:type="character" w:customStyle="1" w:styleId="702">
    <w:name w:val="标题 4 字符"/>
    <w:qFormat/>
    <w:locked/>
    <w:uiPriority w:val="0"/>
    <w:rPr>
      <w:rFonts w:ascii="Arial" w:hAnsi="Arial" w:eastAsia="黑体"/>
      <w:b/>
      <w:bCs/>
      <w:kern w:val="2"/>
      <w:sz w:val="28"/>
      <w:szCs w:val="28"/>
      <w:lang w:val="en-US" w:eastAsia="zh-CN" w:bidi="ar-SA"/>
    </w:rPr>
  </w:style>
  <w:style w:type="character" w:customStyle="1" w:styleId="703">
    <w:name w:val="标题 9 字符"/>
    <w:qFormat/>
    <w:locked/>
    <w:uiPriority w:val="0"/>
    <w:rPr>
      <w:rFonts w:ascii="Arial" w:hAnsi="Arial" w:eastAsia="黑体"/>
      <w:bCs/>
      <w:sz w:val="24"/>
      <w:szCs w:val="24"/>
    </w:rPr>
  </w:style>
  <w:style w:type="character" w:customStyle="1" w:styleId="704">
    <w:name w:val="文档结构图 字符"/>
    <w:qFormat/>
    <w:locked/>
    <w:uiPriority w:val="99"/>
    <w:rPr>
      <w:kern w:val="2"/>
      <w:sz w:val="21"/>
      <w:szCs w:val="24"/>
      <w:shd w:val="clear" w:color="auto" w:fill="000080"/>
    </w:rPr>
  </w:style>
  <w:style w:type="character" w:customStyle="1" w:styleId="705">
    <w:name w:val="正文文本缩进 3 字符"/>
    <w:qFormat/>
    <w:locked/>
    <w:uiPriority w:val="0"/>
    <w:rPr>
      <w:rFonts w:eastAsia="宋体"/>
      <w:kern w:val="2"/>
      <w:sz w:val="16"/>
      <w:szCs w:val="16"/>
      <w:lang w:val="en-US" w:eastAsia="zh-CN" w:bidi="ar-SA"/>
    </w:rPr>
  </w:style>
  <w:style w:type="character" w:customStyle="1" w:styleId="706">
    <w:name w:val="纯文本 字符"/>
    <w:qFormat/>
    <w:uiPriority w:val="0"/>
    <w:rPr>
      <w:rFonts w:ascii="宋体" w:hAnsi="Courier New" w:eastAsia="宋体" w:cs="Courier New"/>
      <w:kern w:val="2"/>
      <w:sz w:val="21"/>
      <w:szCs w:val="21"/>
      <w:lang w:val="en-US" w:eastAsia="zh-CN" w:bidi="ar-SA"/>
    </w:rPr>
  </w:style>
  <w:style w:type="character" w:customStyle="1" w:styleId="707">
    <w:name w:val="正文文本 3 字符"/>
    <w:qFormat/>
    <w:locked/>
    <w:uiPriority w:val="99"/>
    <w:rPr>
      <w:rFonts w:ascii="宋体" w:hAnsi="宋体" w:eastAsia="宋体"/>
      <w:kern w:val="2"/>
      <w:sz w:val="16"/>
      <w:szCs w:val="16"/>
      <w:lang w:val="en-US" w:eastAsia="zh-CN" w:bidi="ar-SA"/>
    </w:rPr>
  </w:style>
  <w:style w:type="character" w:customStyle="1" w:styleId="708">
    <w:name w:val="标题 6 字符"/>
    <w:qFormat/>
    <w:locked/>
    <w:uiPriority w:val="0"/>
    <w:rPr>
      <w:rFonts w:ascii="Arial" w:hAnsi="Arial" w:eastAsia="黑体"/>
      <w:b/>
      <w:sz w:val="24"/>
      <w:szCs w:val="24"/>
    </w:rPr>
  </w:style>
  <w:style w:type="character" w:customStyle="1" w:styleId="709">
    <w:name w:val="标题 5 字符"/>
    <w:qFormat/>
    <w:locked/>
    <w:uiPriority w:val="0"/>
    <w:rPr>
      <w:rFonts w:eastAsia="宋体"/>
      <w:b/>
      <w:bCs/>
      <w:kern w:val="2"/>
      <w:sz w:val="28"/>
      <w:szCs w:val="28"/>
      <w:lang w:val="en-US" w:eastAsia="zh-CN" w:bidi="ar-SA"/>
    </w:rPr>
  </w:style>
  <w:style w:type="character" w:customStyle="1" w:styleId="710">
    <w:name w:val="正文文本首行缩进 字符"/>
    <w:qFormat/>
    <w:locked/>
    <w:uiPriority w:val="99"/>
    <w:rPr>
      <w:kern w:val="2"/>
      <w:sz w:val="21"/>
      <w:szCs w:val="24"/>
    </w:rPr>
  </w:style>
  <w:style w:type="character" w:customStyle="1" w:styleId="711">
    <w:name w:val="z-窗体顶端 字符"/>
    <w:qFormat/>
    <w:uiPriority w:val="0"/>
    <w:rPr>
      <w:rFonts w:ascii="Arial"/>
      <w:vanish/>
      <w:kern w:val="2"/>
      <w:sz w:val="16"/>
      <w:szCs w:val="24"/>
    </w:rPr>
  </w:style>
  <w:style w:type="table" w:customStyle="1" w:styleId="712">
    <w:name w:val="网格型 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3">
    <w:name w:val="典雅型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14">
    <w:name w:val="网格型 5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15">
    <w:name w:val="典雅型2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6">
    <w:name w:val="典雅型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17">
    <w:name w:val="MFS表格"/>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character" w:customStyle="1" w:styleId="718">
    <w:name w:val="标题 5 字符1"/>
    <w:qFormat/>
    <w:locked/>
    <w:uiPriority w:val="0"/>
    <w:rPr>
      <w:rFonts w:eastAsia="宋体"/>
      <w:b/>
      <w:bCs/>
      <w:kern w:val="2"/>
      <w:sz w:val="28"/>
      <w:szCs w:val="28"/>
      <w:lang w:val="en-US" w:eastAsia="zh-CN" w:bidi="ar-SA"/>
    </w:rPr>
  </w:style>
  <w:style w:type="character" w:customStyle="1" w:styleId="719">
    <w:name w:val="纯文本 字符1"/>
    <w:qFormat/>
    <w:uiPriority w:val="0"/>
    <w:rPr>
      <w:rFonts w:ascii="宋体" w:hAnsi="Courier New" w:eastAsia="宋体" w:cs="Courier New"/>
      <w:kern w:val="2"/>
      <w:sz w:val="21"/>
      <w:szCs w:val="21"/>
      <w:lang w:val="en-US" w:eastAsia="zh-CN" w:bidi="ar-SA"/>
    </w:rPr>
  </w:style>
  <w:style w:type="table" w:customStyle="1" w:styleId="720">
    <w:name w:val="王新建"/>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character" w:customStyle="1" w:styleId="721">
    <w:name w:val="font141"/>
    <w:qFormat/>
    <w:uiPriority w:val="0"/>
    <w:rPr>
      <w:rFonts w:hint="default" w:ascii="Times New Roman" w:hAnsi="Times New Roman" w:cs="Times New Roman"/>
      <w:b/>
      <w:color w:val="000000"/>
      <w:sz w:val="21"/>
      <w:szCs w:val="21"/>
      <w:u w:val="none"/>
    </w:rPr>
  </w:style>
  <w:style w:type="character" w:customStyle="1" w:styleId="722">
    <w:name w:val="font91"/>
    <w:qFormat/>
    <w:uiPriority w:val="0"/>
    <w:rPr>
      <w:rFonts w:hint="eastAsia" w:ascii="宋体" w:hAnsi="宋体" w:eastAsia="宋体" w:cs="宋体"/>
      <w:color w:val="000000"/>
      <w:sz w:val="18"/>
      <w:szCs w:val="18"/>
      <w:u w:val="none"/>
    </w:rPr>
  </w:style>
  <w:style w:type="character" w:customStyle="1" w:styleId="723">
    <w:name w:val="font31"/>
    <w:qFormat/>
    <w:uiPriority w:val="0"/>
    <w:rPr>
      <w:rFonts w:hint="eastAsia" w:ascii="宋体" w:hAnsi="宋体" w:eastAsia="宋体" w:cs="宋体"/>
      <w:color w:val="000000"/>
      <w:sz w:val="21"/>
      <w:szCs w:val="21"/>
      <w:u w:val="none"/>
    </w:rPr>
  </w:style>
  <w:style w:type="character" w:customStyle="1" w:styleId="724">
    <w:name w:val="标题 1 Char Char"/>
    <w:qFormat/>
    <w:uiPriority w:val="0"/>
    <w:rPr>
      <w:rFonts w:eastAsia="宋体"/>
      <w:b/>
      <w:bCs/>
      <w:kern w:val="44"/>
      <w:sz w:val="44"/>
      <w:szCs w:val="44"/>
      <w:lang w:val="en-US" w:eastAsia="zh-CN" w:bidi="ar-SA"/>
    </w:rPr>
  </w:style>
  <w:style w:type="character" w:customStyle="1" w:styleId="725">
    <w:name w:val="font21"/>
    <w:qFormat/>
    <w:uiPriority w:val="0"/>
    <w:rPr>
      <w:rFonts w:hint="default" w:ascii="Times New Roman" w:hAnsi="Times New Roman" w:cs="Times New Roman"/>
      <w:color w:val="000000"/>
      <w:sz w:val="21"/>
      <w:szCs w:val="21"/>
      <w:u w:val="none"/>
      <w:vertAlign w:val="superscript"/>
    </w:rPr>
  </w:style>
  <w:style w:type="character" w:customStyle="1" w:styleId="726">
    <w:name w:val="font71"/>
    <w:qFormat/>
    <w:uiPriority w:val="0"/>
    <w:rPr>
      <w:rFonts w:hint="default" w:ascii="Times New Roman" w:hAnsi="Times New Roman" w:cs="Times New Roman"/>
      <w:color w:val="000000"/>
      <w:sz w:val="21"/>
      <w:szCs w:val="21"/>
      <w:u w:val="none"/>
      <w:vertAlign w:val="subscript"/>
    </w:rPr>
  </w:style>
  <w:style w:type="character" w:customStyle="1" w:styleId="727">
    <w:name w:val="font41"/>
    <w:qFormat/>
    <w:uiPriority w:val="0"/>
    <w:rPr>
      <w:rFonts w:hint="eastAsia" w:ascii="宋体" w:hAnsi="宋体" w:eastAsia="宋体" w:cs="宋体"/>
      <w:color w:val="000000"/>
      <w:sz w:val="18"/>
      <w:szCs w:val="18"/>
      <w:u w:val="none"/>
    </w:rPr>
  </w:style>
  <w:style w:type="character" w:customStyle="1" w:styleId="728">
    <w:name w:val="font51"/>
    <w:qFormat/>
    <w:uiPriority w:val="0"/>
    <w:rPr>
      <w:rFonts w:hint="default" w:ascii="Times New Roman" w:hAnsi="Times New Roman" w:cs="Times New Roman"/>
      <w:color w:val="000000"/>
      <w:sz w:val="21"/>
      <w:szCs w:val="21"/>
      <w:u w:val="none"/>
    </w:rPr>
  </w:style>
  <w:style w:type="character" w:customStyle="1" w:styleId="729">
    <w:name w:val="font101"/>
    <w:qFormat/>
    <w:uiPriority w:val="0"/>
    <w:rPr>
      <w:rFonts w:hint="default" w:ascii="Times New Roman" w:hAnsi="Times New Roman" w:cs="Times New Roman"/>
      <w:color w:val="000000"/>
      <w:sz w:val="18"/>
      <w:szCs w:val="18"/>
      <w:u w:val="none"/>
    </w:rPr>
  </w:style>
  <w:style w:type="character" w:customStyle="1" w:styleId="730">
    <w:name w:val="font131"/>
    <w:qFormat/>
    <w:uiPriority w:val="0"/>
    <w:rPr>
      <w:rFonts w:hint="eastAsia" w:ascii="宋体" w:hAnsi="宋体" w:eastAsia="宋体" w:cs="宋体"/>
      <w:b/>
      <w:color w:val="000000"/>
      <w:sz w:val="21"/>
      <w:szCs w:val="21"/>
      <w:u w:val="none"/>
    </w:rPr>
  </w:style>
  <w:style w:type="character" w:customStyle="1" w:styleId="731">
    <w:name w:val="2号标题 Char Char"/>
    <w:qFormat/>
    <w:uiPriority w:val="0"/>
    <w:rPr>
      <w:rFonts w:ascii="Arial" w:hAnsi="Arial" w:eastAsia="宋体"/>
      <w:b/>
      <w:bCs/>
      <w:kern w:val="2"/>
      <w:sz w:val="28"/>
      <w:szCs w:val="32"/>
      <w:lang w:val="en-US" w:eastAsia="zh-CN" w:bidi="ar-SA"/>
    </w:rPr>
  </w:style>
  <w:style w:type="character" w:customStyle="1" w:styleId="732">
    <w:name w:val="标题 3 Char Char Char Char Char Char"/>
    <w:qFormat/>
    <w:uiPriority w:val="0"/>
    <w:rPr>
      <w:rFonts w:eastAsia="宋体"/>
      <w:b/>
      <w:bCs/>
      <w:kern w:val="2"/>
      <w:sz w:val="32"/>
      <w:szCs w:val="32"/>
      <w:lang w:val="en-US" w:eastAsia="zh-CN" w:bidi="ar-SA"/>
    </w:rPr>
  </w:style>
  <w:style w:type="character" w:customStyle="1" w:styleId="733">
    <w:name w:val="font121"/>
    <w:qFormat/>
    <w:uiPriority w:val="0"/>
    <w:rPr>
      <w:rFonts w:hint="eastAsia" w:ascii="宋体" w:hAnsi="宋体" w:eastAsia="宋体" w:cs="宋体"/>
      <w:color w:val="000000"/>
      <w:sz w:val="21"/>
      <w:szCs w:val="21"/>
      <w:u w:val="none"/>
    </w:rPr>
  </w:style>
  <w:style w:type="character" w:customStyle="1" w:styleId="734">
    <w:name w:val="font11"/>
    <w:qFormat/>
    <w:uiPriority w:val="0"/>
    <w:rPr>
      <w:rFonts w:hint="default" w:ascii="Times New Roman" w:hAnsi="Times New Roman" w:cs="Times New Roman"/>
      <w:color w:val="000000"/>
      <w:sz w:val="21"/>
      <w:szCs w:val="21"/>
      <w:u w:val="none"/>
      <w:vertAlign w:val="subscript"/>
    </w:rPr>
  </w:style>
  <w:style w:type="paragraph" w:customStyle="1" w:styleId="735">
    <w:name w:val="WPSOffice手动目录 1"/>
    <w:qFormat/>
    <w:uiPriority w:val="0"/>
    <w:rPr>
      <w:rFonts w:ascii="Times New Roman" w:hAnsi="Times New Roman" w:eastAsia="宋体" w:cs="Times New Roman"/>
      <w:lang w:val="en-US" w:eastAsia="zh-CN" w:bidi="ar-SA"/>
    </w:rPr>
  </w:style>
  <w:style w:type="paragraph" w:customStyle="1" w:styleId="736">
    <w:name w:val="B2"/>
    <w:qFormat/>
    <w:uiPriority w:val="0"/>
    <w:pPr>
      <w:widowControl w:val="0"/>
      <w:spacing w:line="48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737">
    <w:name w:val="正文 首行缩进:  2 字符"/>
    <w:basedOn w:val="1"/>
    <w:qFormat/>
    <w:uiPriority w:val="0"/>
    <w:pPr>
      <w:ind w:firstLine="579" w:firstLineChars="200"/>
    </w:pPr>
    <w:rPr>
      <w:rFonts w:cs="宋体"/>
      <w:szCs w:val="20"/>
    </w:rPr>
  </w:style>
  <w:style w:type="paragraph" w:customStyle="1" w:styleId="738">
    <w:name w:val="默认 A"/>
    <w:qFormat/>
    <w:uiPriority w:val="0"/>
    <w:rPr>
      <w:rFonts w:ascii="Helvetica" w:hAnsi="Helvetica" w:eastAsia="Arial Unicode MS" w:cs="Arial Unicode MS"/>
      <w:color w:val="000000"/>
      <w:sz w:val="22"/>
      <w:szCs w:val="22"/>
      <w:lang w:val="en-US" w:eastAsia="zh-CN" w:bidi="ar-SA"/>
    </w:rPr>
  </w:style>
  <w:style w:type="paragraph" w:customStyle="1" w:styleId="739">
    <w:name w:val="正文王"/>
    <w:basedOn w:val="32"/>
    <w:qFormat/>
    <w:uiPriority w:val="0"/>
    <w:pPr>
      <w:spacing w:line="440" w:lineRule="exact"/>
    </w:pPr>
    <w:rPr>
      <w:rFonts w:ascii="Arial" w:hAnsi="Arial"/>
      <w:sz w:val="24"/>
    </w:rPr>
  </w:style>
  <w:style w:type="paragraph" w:customStyle="1" w:styleId="740">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741">
    <w:name w:val="一级目录 1"/>
    <w:basedOn w:val="1"/>
    <w:qFormat/>
    <w:uiPriority w:val="0"/>
    <w:pPr>
      <w:jc w:val="center"/>
    </w:pPr>
    <w:rPr>
      <w:rFonts w:eastAsia="黑体"/>
      <w:b/>
      <w:sz w:val="36"/>
      <w:szCs w:val="36"/>
    </w:rPr>
  </w:style>
  <w:style w:type="paragraph" w:customStyle="1" w:styleId="742">
    <w:name w:val="正文文本缩进1"/>
    <w:basedOn w:val="1"/>
    <w:qFormat/>
    <w:uiPriority w:val="0"/>
    <w:pPr>
      <w:spacing w:beforeLines="50" w:afterLines="50" w:line="360" w:lineRule="auto"/>
      <w:ind w:firstLine="480" w:firstLineChars="200"/>
    </w:pPr>
    <w:rPr>
      <w:rFonts w:ascii="Arial" w:hAnsi="Arial" w:cs="Arial"/>
      <w:sz w:val="24"/>
    </w:rPr>
  </w:style>
  <w:style w:type="paragraph" w:customStyle="1" w:styleId="743">
    <w:name w:val="1号标题"/>
    <w:basedOn w:val="1"/>
    <w:qFormat/>
    <w:uiPriority w:val="0"/>
    <w:pPr>
      <w:pageBreakBefore/>
      <w:spacing w:before="150" w:beforeLines="150" w:after="100" w:afterLines="100" w:line="360" w:lineRule="auto"/>
      <w:jc w:val="center"/>
      <w:outlineLvl w:val="0"/>
    </w:pPr>
    <w:rPr>
      <w:rFonts w:eastAsia="黑体" w:cs="Arial"/>
      <w:b/>
      <w:sz w:val="36"/>
    </w:rPr>
  </w:style>
  <w:style w:type="paragraph" w:customStyle="1" w:styleId="744">
    <w:name w:val="本文格式"/>
    <w:qFormat/>
    <w:uiPriority w:val="0"/>
    <w:pPr>
      <w:widowControl w:val="0"/>
      <w:spacing w:line="360" w:lineRule="exact"/>
      <w:ind w:firstLine="476"/>
      <w:jc w:val="both"/>
    </w:pPr>
    <w:rPr>
      <w:rFonts w:ascii="Arial Unicode MS" w:hAnsi="Arial Unicode MS" w:eastAsia="Arial Unicode MS" w:cs="Arial Unicode MS"/>
      <w:color w:val="000000"/>
      <w:sz w:val="24"/>
      <w:szCs w:val="24"/>
      <w:lang w:val="en-US" w:eastAsia="zh-CN" w:bidi="ar-SA"/>
    </w:rPr>
  </w:style>
  <w:style w:type="paragraph" w:customStyle="1" w:styleId="745">
    <w:name w:val="11111111111"/>
    <w:basedOn w:val="1"/>
    <w:qFormat/>
    <w:uiPriority w:val="0"/>
    <w:pPr>
      <w:spacing w:line="480" w:lineRule="exact"/>
      <w:ind w:firstLine="643" w:firstLineChars="200"/>
      <w:jc w:val="center"/>
    </w:pPr>
    <w:rPr>
      <w:rFonts w:eastAsia="黑体"/>
      <w:b/>
      <w:bCs/>
      <w:color w:val="000000"/>
      <w:sz w:val="44"/>
    </w:rPr>
  </w:style>
  <w:style w:type="paragraph" w:customStyle="1" w:styleId="746">
    <w:name w:val="33333333"/>
    <w:basedOn w:val="1"/>
    <w:qFormat/>
    <w:uiPriority w:val="0"/>
    <w:pPr>
      <w:spacing w:line="500" w:lineRule="exact"/>
    </w:pPr>
    <w:rPr>
      <w:sz w:val="28"/>
      <w:szCs w:val="28"/>
    </w:rPr>
  </w:style>
  <w:style w:type="paragraph" w:customStyle="1" w:styleId="747">
    <w:name w:val="表内格式"/>
    <w:basedOn w:val="1"/>
    <w:qFormat/>
    <w:uiPriority w:val="0"/>
    <w:pPr>
      <w:jc w:val="center"/>
    </w:pPr>
    <w:rPr>
      <w:sz w:val="18"/>
    </w:rPr>
  </w:style>
  <w:style w:type="paragraph" w:customStyle="1" w:styleId="748">
    <w:name w:val="_Style 158"/>
    <w:basedOn w:val="1"/>
    <w:next w:val="1"/>
    <w:qFormat/>
    <w:uiPriority w:val="0"/>
    <w:rPr>
      <w:sz w:val="24"/>
    </w:rPr>
  </w:style>
  <w:style w:type="paragraph" w:customStyle="1" w:styleId="749">
    <w:name w:val="22222"/>
    <w:basedOn w:val="1"/>
    <w:qFormat/>
    <w:uiPriority w:val="0"/>
    <w:pPr>
      <w:spacing w:before="240" w:beforeLines="100" w:line="360" w:lineRule="auto"/>
      <w:jc w:val="left"/>
      <w:outlineLvl w:val="1"/>
    </w:pPr>
    <w:rPr>
      <w:rFonts w:ascii="黑体" w:eastAsia="黑体"/>
      <w:b/>
      <w:sz w:val="30"/>
      <w:szCs w:val="30"/>
    </w:rPr>
  </w:style>
  <w:style w:type="paragraph" w:customStyle="1" w:styleId="75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51">
    <w:name w:val="君邦正文"/>
    <w:qFormat/>
    <w:uiPriority w:val="0"/>
    <w:pPr>
      <w:widowControl w:val="0"/>
      <w:adjustRightInd w:val="0"/>
      <w:spacing w:after="60" w:line="360" w:lineRule="auto"/>
      <w:ind w:firstLine="480" w:firstLineChars="200"/>
      <w:jc w:val="both"/>
      <w:textAlignment w:val="baseline"/>
    </w:pPr>
    <w:rPr>
      <w:rFonts w:ascii="Times New Roman" w:hAnsi="Times New Roman" w:eastAsia="Times New Roman" w:cs="Times New Roman"/>
      <w:bCs/>
      <w:snapToGrid w:val="0"/>
      <w:sz w:val="24"/>
      <w:szCs w:val="22"/>
      <w:lang w:val="en-US" w:eastAsia="zh-CN" w:bidi="ar-SA"/>
    </w:rPr>
  </w:style>
  <w:style w:type="paragraph" w:customStyle="1" w:styleId="752">
    <w:name w:val="Normal_144"/>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53">
    <w:name w:val="1级标题"/>
    <w:basedOn w:val="3"/>
    <w:qFormat/>
    <w:uiPriority w:val="0"/>
    <w:pPr>
      <w:keepNext w:val="0"/>
      <w:overflowPunct/>
      <w:snapToGrid/>
      <w:spacing w:before="0" w:after="0" w:line="360" w:lineRule="auto"/>
      <w:ind w:left="0" w:firstLine="0"/>
      <w:jc w:val="center"/>
    </w:pPr>
    <w:rPr>
      <w:rFonts w:ascii="黑体" w:hAnsi="宋体"/>
      <w:b w:val="0"/>
      <w:bCs w:val="0"/>
      <w:color w:val="auto"/>
      <w:kern w:val="2"/>
    </w:rPr>
  </w:style>
  <w:style w:type="paragraph" w:customStyle="1" w:styleId="754">
    <w:name w:val="样式 首行缩进:  1.04 厘米"/>
    <w:qFormat/>
    <w:uiPriority w:val="0"/>
    <w:pPr>
      <w:widowControl w:val="0"/>
      <w:spacing w:line="360" w:lineRule="auto"/>
    </w:pPr>
    <w:rPr>
      <w:rFonts w:ascii="Times New Roman" w:hAnsi="Times New Roman" w:eastAsia="Arial Unicode MS" w:cs="Arial Unicode MS"/>
      <w:color w:val="000000"/>
      <w:sz w:val="24"/>
      <w:szCs w:val="24"/>
      <w:lang w:val="en-US" w:eastAsia="zh-CN" w:bidi="ar-SA"/>
    </w:rPr>
  </w:style>
  <w:style w:type="paragraph" w:customStyle="1" w:styleId="755">
    <w:name w:val="表内小410"/>
    <w:basedOn w:val="1"/>
    <w:qFormat/>
    <w:uiPriority w:val="0"/>
    <w:pPr>
      <w:adjustRightInd w:val="0"/>
      <w:snapToGrid w:val="0"/>
      <w:ind w:left="240" w:hanging="240"/>
    </w:pPr>
    <w:rPr>
      <w:rFonts w:ascii="宋体" w:hAnsi="Times"/>
      <w:sz w:val="24"/>
      <w:szCs w:val="20"/>
    </w:rPr>
  </w:style>
  <w:style w:type="paragraph" w:customStyle="1" w:styleId="756">
    <w:name w:val="表头样式1"/>
    <w:basedOn w:val="1"/>
    <w:qFormat/>
    <w:uiPriority w:val="0"/>
    <w:pPr>
      <w:spacing w:before="156" w:beforeLines="50"/>
      <w:jc w:val="center"/>
    </w:pPr>
    <w:rPr>
      <w:rFonts w:eastAsia="黑体"/>
      <w:b/>
      <w:kern w:val="0"/>
      <w:sz w:val="24"/>
      <w:szCs w:val="20"/>
    </w:rPr>
  </w:style>
  <w:style w:type="paragraph" w:customStyle="1" w:styleId="757">
    <w:name w:val="3级标题"/>
    <w:basedOn w:val="5"/>
    <w:qFormat/>
    <w:uiPriority w:val="0"/>
    <w:pPr>
      <w:keepNext w:val="0"/>
      <w:keepLines w:val="0"/>
      <w:tabs>
        <w:tab w:val="clear" w:pos="567"/>
      </w:tabs>
      <w:spacing w:before="0" w:after="0" w:line="360" w:lineRule="auto"/>
      <w:ind w:left="0" w:firstLine="0"/>
      <w:jc w:val="left"/>
    </w:pPr>
    <w:rPr>
      <w:rFonts w:ascii="黑体" w:hAnsi="Times New Roman"/>
      <w:b w:val="0"/>
      <w:kern w:val="0"/>
      <w:sz w:val="24"/>
      <w:szCs w:val="32"/>
    </w:rPr>
  </w:style>
  <w:style w:type="paragraph" w:customStyle="1" w:styleId="758">
    <w:name w:val="reader-word-layer reader-word-s48-8"/>
    <w:basedOn w:val="1"/>
    <w:qFormat/>
    <w:uiPriority w:val="0"/>
    <w:pPr>
      <w:widowControl/>
      <w:spacing w:before="100" w:beforeAutospacing="1" w:after="100" w:afterAutospacing="1"/>
      <w:jc w:val="left"/>
    </w:pPr>
    <w:rPr>
      <w:rFonts w:ascii="宋体" w:hAnsi="宋体" w:cs="宋体"/>
      <w:kern w:val="0"/>
      <w:sz w:val="24"/>
    </w:rPr>
  </w:style>
  <w:style w:type="paragraph" w:customStyle="1" w:styleId="759">
    <w:name w:val="正文小四"/>
    <w:basedOn w:val="1"/>
    <w:qFormat/>
    <w:uiPriority w:val="0"/>
    <w:pPr>
      <w:adjustRightInd w:val="0"/>
      <w:snapToGrid w:val="0"/>
      <w:spacing w:line="360" w:lineRule="auto"/>
      <w:ind w:firstLine="482" w:firstLineChars="200"/>
      <w:textAlignment w:val="baseline"/>
    </w:pPr>
    <w:rPr>
      <w:kern w:val="0"/>
      <w:sz w:val="24"/>
      <w:szCs w:val="20"/>
    </w:rPr>
  </w:style>
  <w:style w:type="character" w:customStyle="1" w:styleId="760">
    <w:name w:val="标题3"/>
    <w:qFormat/>
    <w:uiPriority w:val="0"/>
  </w:style>
  <w:style w:type="table" w:customStyle="1" w:styleId="761">
    <w:name w:val="表格主题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2">
    <w:name w:val="网格型-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3">
    <w:name w:val="网格型 5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4">
    <w:name w:val="典雅型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65">
    <w:name w:val="网格型 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66">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7">
    <w:name w:val="左右无边框2"/>
    <w:basedOn w:val="61"/>
    <w:qFormat/>
    <w:uiPriority w:val="0"/>
    <w:pPr>
      <w:widowControl w:val="0"/>
      <w:jc w:val="both"/>
    </w:pPr>
    <w:tblPr>
      <w:tblBorders>
        <w:top w:val="single" w:color="auto" w:sz="12" w:space="0"/>
        <w:bottom w:val="single" w:color="auto" w:sz="12" w:space="0"/>
      </w:tblBorders>
    </w:tblPr>
  </w:style>
  <w:style w:type="table" w:customStyle="1" w:styleId="768">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69">
    <w:name w:val="无左右边框型2"/>
    <w:basedOn w:val="60"/>
    <w:qFormat/>
    <w:uiPriority w:val="0"/>
    <w:pPr>
      <w:widowControl w:val="0"/>
      <w:jc w:val="both"/>
    </w:pPr>
  </w:style>
  <w:style w:type="table" w:customStyle="1" w:styleId="770">
    <w:name w:val="典雅型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1">
    <w:name w:val="左右无边表格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772">
    <w:name w:val="典雅型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73">
    <w:name w:val="网格型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74">
    <w:name w:val="网格型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5">
    <w:name w:val="网格型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6">
    <w:name w:val="网格型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77">
    <w:name w:val="网格型5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8">
    <w:name w:val="Char31"/>
    <w:basedOn w:val="1"/>
    <w:qFormat/>
    <w:uiPriority w:val="0"/>
    <w:rPr>
      <w:sz w:val="24"/>
    </w:rPr>
  </w:style>
  <w:style w:type="paragraph" w:customStyle="1" w:styleId="779">
    <w:name w:val="纯文本4"/>
    <w:basedOn w:val="1"/>
    <w:qFormat/>
    <w:uiPriority w:val="0"/>
    <w:pPr>
      <w:adjustRightInd w:val="0"/>
      <w:textAlignment w:val="baseline"/>
    </w:pPr>
    <w:rPr>
      <w:rFonts w:ascii="宋体" w:hAnsi="Courier New" w:eastAsia="仿宋_GB2312"/>
      <w:sz w:val="28"/>
      <w:szCs w:val="28"/>
    </w:rPr>
  </w:style>
  <w:style w:type="paragraph" w:customStyle="1" w:styleId="780">
    <w:name w:val="Char Char Char3"/>
    <w:basedOn w:val="1"/>
    <w:qFormat/>
    <w:uiPriority w:val="0"/>
    <w:pPr>
      <w:spacing w:line="360" w:lineRule="auto"/>
    </w:pPr>
    <w:rPr>
      <w:rFonts w:ascii="Tahoma" w:hAnsi="Tahoma"/>
      <w:sz w:val="24"/>
      <w:szCs w:val="20"/>
    </w:rPr>
  </w:style>
  <w:style w:type="paragraph" w:customStyle="1" w:styleId="781">
    <w:name w:val="Char Char1 Char Char Char Char Char Char Char Char Char Char Char Char Char1"/>
    <w:basedOn w:val="1"/>
    <w:qFormat/>
    <w:uiPriority w:val="0"/>
    <w:pPr>
      <w:spacing w:line="360" w:lineRule="auto"/>
    </w:pPr>
    <w:rPr>
      <w:rFonts w:ascii="Tahoma" w:hAnsi="Tahoma"/>
      <w:sz w:val="24"/>
      <w:szCs w:val="20"/>
    </w:rPr>
  </w:style>
  <w:style w:type="paragraph" w:customStyle="1" w:styleId="782">
    <w:name w:val="Char Char Char Char Char Char Char3"/>
    <w:basedOn w:val="1"/>
    <w:qFormat/>
    <w:uiPriority w:val="0"/>
    <w:rPr>
      <w:sz w:val="24"/>
    </w:rPr>
  </w:style>
  <w:style w:type="paragraph" w:customStyle="1" w:styleId="783">
    <w:name w:val="Char13"/>
    <w:basedOn w:val="1"/>
    <w:qFormat/>
    <w:uiPriority w:val="0"/>
    <w:pPr>
      <w:widowControl/>
      <w:spacing w:line="360" w:lineRule="auto"/>
      <w:ind w:firstLine="200" w:firstLineChars="200"/>
      <w:jc w:val="left"/>
    </w:pPr>
    <w:rPr>
      <w:kern w:val="0"/>
      <w:sz w:val="24"/>
      <w:szCs w:val="20"/>
    </w:rPr>
  </w:style>
  <w:style w:type="paragraph" w:customStyle="1" w:styleId="784">
    <w:name w:val="日期3"/>
    <w:basedOn w:val="1"/>
    <w:next w:val="1"/>
    <w:qFormat/>
    <w:uiPriority w:val="0"/>
    <w:pPr>
      <w:adjustRightInd w:val="0"/>
      <w:textAlignment w:val="baseline"/>
    </w:pPr>
    <w:rPr>
      <w:sz w:val="28"/>
      <w:szCs w:val="20"/>
    </w:rPr>
  </w:style>
  <w:style w:type="table" w:customStyle="1" w:styleId="785">
    <w:name w:val="网格型6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6">
    <w:name w:val="网格型7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7">
    <w:name w:val="网格型8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8">
    <w:name w:val="网格型9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89">
    <w:name w:val="网格型 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0">
    <w:name w:val="典雅型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791">
    <w:name w:val="网格型 5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2">
    <w:name w:val="典雅型2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3">
    <w:name w:val="典雅型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794">
    <w:name w:val="MFS表格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795">
    <w:name w:val="王新建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796">
    <w:name w:val="表格主题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7">
    <w:name w:val="网格型-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8">
    <w:name w:val="网格型 5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799">
    <w:name w:val="典雅型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00">
    <w:name w:val="网格型 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01">
    <w:name w:val="网格型4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2">
    <w:name w:val="左右无边框3"/>
    <w:basedOn w:val="61"/>
    <w:qFormat/>
    <w:uiPriority w:val="0"/>
    <w:pPr>
      <w:widowControl w:val="0"/>
      <w:jc w:val="both"/>
    </w:pPr>
    <w:tblPr>
      <w:tblBorders>
        <w:top w:val="single" w:color="auto" w:sz="12" w:space="0"/>
        <w:bottom w:val="single" w:color="auto" w:sz="12" w:space="0"/>
      </w:tblBorders>
    </w:tblPr>
  </w:style>
  <w:style w:type="table" w:customStyle="1" w:styleId="803">
    <w:name w:val="网格型33"/>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4">
    <w:name w:val="无左右边框型3"/>
    <w:basedOn w:val="60"/>
    <w:qFormat/>
    <w:uiPriority w:val="0"/>
    <w:pPr>
      <w:widowControl w:val="0"/>
      <w:jc w:val="both"/>
    </w:pPr>
  </w:style>
  <w:style w:type="table" w:customStyle="1" w:styleId="805">
    <w:name w:val="典雅型2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6">
    <w:name w:val="左右无边表格3"/>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07">
    <w:name w:val="典雅型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08">
    <w:name w:val="网格型23"/>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网格型11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0">
    <w:name w:val="网格型12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1">
    <w:name w:val="网格型133"/>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2">
    <w:name w:val="网格型53"/>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3">
    <w:name w:val="网格型63"/>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4">
    <w:name w:val="网格型7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5">
    <w:name w:val="网格型8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6">
    <w:name w:val="网格型9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17">
    <w:name w:val="网格型 113"/>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18">
    <w:name w:val="典雅型3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19">
    <w:name w:val="网格型 513"/>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20">
    <w:name w:val="典雅型2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1">
    <w:name w:val="典雅型113"/>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22">
    <w:name w:val="MFS表格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23">
    <w:name w:val="王新建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824">
    <w:name w:val="TOC 标题3"/>
    <w:basedOn w:val="3"/>
    <w:next w:val="1"/>
    <w:unhideWhenUsed/>
    <w:qFormat/>
    <w:uiPriority w:val="39"/>
    <w:pPr>
      <w:keepLines/>
      <w:widowControl/>
      <w:overflowPunct/>
      <w:snapToGrid/>
      <w:spacing w:before="480" w:after="0" w:line="276" w:lineRule="auto"/>
      <w:ind w:left="0" w:firstLine="0"/>
      <w:jc w:val="left"/>
      <w:outlineLvl w:val="9"/>
    </w:pPr>
    <w:rPr>
      <w:rFonts w:ascii="Cambria" w:hAnsi="Cambria" w:eastAsia="宋体"/>
      <w:color w:val="365F91"/>
      <w:kern w:val="0"/>
      <w:sz w:val="28"/>
      <w:szCs w:val="28"/>
    </w:rPr>
  </w:style>
  <w:style w:type="table" w:customStyle="1" w:styleId="825">
    <w:name w:val="网格型 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826">
    <w:name w:val="网格型-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表格主题5"/>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8">
    <w:name w:val="ylf1"/>
    <w:basedOn w:val="61"/>
    <w:qFormat/>
    <w:uiPriority w:val="99"/>
    <w:pPr>
      <w:widowControl w:val="0"/>
      <w:jc w:val="center"/>
    </w:pPr>
    <w:rPr>
      <w:sz w:val="21"/>
      <w:szCs w:val="21"/>
    </w:rPr>
    <w:tblPr>
      <w:tblBorders>
        <w:top w:val="single" w:color="auto" w:sz="12" w:space="0"/>
        <w:bottom w:val="single" w:color="auto" w:sz="12" w:space="0"/>
      </w:tblBorders>
    </w:tblPr>
  </w:style>
  <w:style w:type="table" w:customStyle="1" w:styleId="829">
    <w:name w:val="表格主题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0">
    <w:name w:val="网格型-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1">
    <w:name w:val="网格型 54"/>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2">
    <w:name w:val="典雅型6"/>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33">
    <w:name w:val="网格型 114"/>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34">
    <w:name w:val="网格型4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5">
    <w:name w:val="左右无边框4"/>
    <w:basedOn w:val="61"/>
    <w:qFormat/>
    <w:uiPriority w:val="0"/>
    <w:pPr>
      <w:widowControl w:val="0"/>
      <w:jc w:val="both"/>
    </w:pPr>
    <w:tblPr>
      <w:tblBorders>
        <w:top w:val="single" w:color="auto" w:sz="12" w:space="0"/>
        <w:bottom w:val="single" w:color="auto" w:sz="12" w:space="0"/>
      </w:tblBorders>
    </w:tblPr>
  </w:style>
  <w:style w:type="table" w:customStyle="1" w:styleId="836">
    <w:name w:val="网格型34"/>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7">
    <w:name w:val="无左右边框型4"/>
    <w:basedOn w:val="60"/>
    <w:qFormat/>
    <w:uiPriority w:val="0"/>
    <w:pPr>
      <w:widowControl w:val="0"/>
      <w:jc w:val="both"/>
    </w:pPr>
  </w:style>
  <w:style w:type="table" w:customStyle="1" w:styleId="838">
    <w:name w:val="典雅型2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39">
    <w:name w:val="左右无边表格4"/>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40">
    <w:name w:val="典雅型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41">
    <w:name w:val="网格型24"/>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2">
    <w:name w:val="网格型11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3">
    <w:name w:val="网格型12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4">
    <w:name w:val="网格型134"/>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45">
    <w:name w:val="网格型54"/>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6">
    <w:name w:val="网格型64"/>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7">
    <w:name w:val="表格主题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8">
    <w:name w:val="网格型-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网格型 514"/>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0">
    <w:name w:val="典雅型3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51">
    <w:name w:val="网格型 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52">
    <w:name w:val="网格型4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3">
    <w:name w:val="左右无边框11"/>
    <w:basedOn w:val="61"/>
    <w:qFormat/>
    <w:uiPriority w:val="0"/>
    <w:pPr>
      <w:widowControl w:val="0"/>
      <w:jc w:val="both"/>
    </w:pPr>
    <w:tblPr>
      <w:tblBorders>
        <w:top w:val="single" w:color="auto" w:sz="12" w:space="0"/>
        <w:bottom w:val="single" w:color="auto" w:sz="12" w:space="0"/>
      </w:tblBorders>
    </w:tblPr>
  </w:style>
  <w:style w:type="table" w:customStyle="1" w:styleId="854">
    <w:name w:val="网格型31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5">
    <w:name w:val="无左右边框型11"/>
    <w:basedOn w:val="60"/>
    <w:qFormat/>
    <w:uiPriority w:val="0"/>
    <w:pPr>
      <w:widowControl w:val="0"/>
      <w:jc w:val="both"/>
    </w:pPr>
  </w:style>
  <w:style w:type="table" w:customStyle="1" w:styleId="856">
    <w:name w:val="典雅型2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7">
    <w:name w:val="左右无边表格1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58">
    <w:name w:val="典雅型114"/>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59">
    <w:name w:val="网格型21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0">
    <w:name w:val="网格型11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1">
    <w:name w:val="网格型12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2">
    <w:name w:val="网格型131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3">
    <w:name w:val="网格型51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4">
    <w:name w:val="网格型61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5">
    <w:name w:val="网格型73"/>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6">
    <w:name w:val="网格型83"/>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7">
    <w:name w:val="网格型93"/>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68">
    <w:name w:val="网格型 111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69">
    <w:name w:val="典雅型3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0">
    <w:name w:val="网格型 511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1">
    <w:name w:val="典雅型2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2">
    <w:name w:val="典雅型111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73">
    <w:name w:val="MFS表格3"/>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874">
    <w:name w:val="王新建3"/>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875">
    <w:name w:val="表格主题3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6">
    <w:name w:val="网格型-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7">
    <w:name w:val="网格型 5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78">
    <w:name w:val="典雅型4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79">
    <w:name w:val="网格型 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80">
    <w:name w:val="网格型4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1">
    <w:name w:val="左右无边框21"/>
    <w:basedOn w:val="61"/>
    <w:qFormat/>
    <w:uiPriority w:val="0"/>
    <w:pPr>
      <w:widowControl w:val="0"/>
      <w:jc w:val="both"/>
    </w:pPr>
    <w:tblPr>
      <w:tblBorders>
        <w:top w:val="single" w:color="auto" w:sz="12" w:space="0"/>
        <w:bottom w:val="single" w:color="auto" w:sz="12" w:space="0"/>
      </w:tblBorders>
    </w:tblPr>
  </w:style>
  <w:style w:type="table" w:customStyle="1" w:styleId="882">
    <w:name w:val="网格型32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3">
    <w:name w:val="无左右边框型21"/>
    <w:basedOn w:val="60"/>
    <w:qFormat/>
    <w:uiPriority w:val="0"/>
    <w:pPr>
      <w:widowControl w:val="0"/>
      <w:jc w:val="both"/>
    </w:pPr>
  </w:style>
  <w:style w:type="table" w:customStyle="1" w:styleId="884">
    <w:name w:val="典雅型2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5">
    <w:name w:val="左右无边表格2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886">
    <w:name w:val="典雅型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887">
    <w:name w:val="网格型22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11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89">
    <w:name w:val="网格型12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0">
    <w:name w:val="网格型132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1">
    <w:name w:val="网格型52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2">
    <w:name w:val="网格型62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3">
    <w:name w:val="网格型71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4">
    <w:name w:val="网格型81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5">
    <w:name w:val="网格型91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896">
    <w:name w:val="网格型 112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7">
    <w:name w:val="典雅型3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898">
    <w:name w:val="网格型 512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899">
    <w:name w:val="典雅型2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0">
    <w:name w:val="典雅型112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01">
    <w:name w:val="MFS表格1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02">
    <w:name w:val="王新建1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03">
    <w:name w:val="表格主题4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4">
    <w:name w:val="网格型-4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5">
    <w:name w:val="网格型 5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6">
    <w:name w:val="典雅型5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07">
    <w:name w:val="网格型 14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08">
    <w:name w:val="网格型4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9">
    <w:name w:val="左右无边框31"/>
    <w:basedOn w:val="61"/>
    <w:qFormat/>
    <w:uiPriority w:val="0"/>
    <w:pPr>
      <w:widowControl w:val="0"/>
      <w:jc w:val="both"/>
    </w:pPr>
    <w:tblPr>
      <w:tblBorders>
        <w:top w:val="single" w:color="auto" w:sz="12" w:space="0"/>
        <w:bottom w:val="single" w:color="auto" w:sz="12" w:space="0"/>
      </w:tblBorders>
    </w:tblPr>
  </w:style>
  <w:style w:type="table" w:customStyle="1" w:styleId="910">
    <w:name w:val="网格型331"/>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1">
    <w:name w:val="无左右边框型31"/>
    <w:basedOn w:val="60"/>
    <w:qFormat/>
    <w:uiPriority w:val="0"/>
    <w:pPr>
      <w:widowControl w:val="0"/>
      <w:jc w:val="both"/>
    </w:pPr>
  </w:style>
  <w:style w:type="table" w:customStyle="1" w:styleId="912">
    <w:name w:val="典雅型2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3">
    <w:name w:val="左右无边表格31"/>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14">
    <w:name w:val="典雅型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15">
    <w:name w:val="网格型231"/>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6">
    <w:name w:val="网格型11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7">
    <w:name w:val="网格型12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8">
    <w:name w:val="网格型1331"/>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19">
    <w:name w:val="网格型531"/>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0">
    <w:name w:val="网格型631"/>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1">
    <w:name w:val="网格型721"/>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821"/>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3">
    <w:name w:val="网格型921"/>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24">
    <w:name w:val="网格型 1131"/>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5">
    <w:name w:val="典雅型3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26">
    <w:name w:val="网格型 5131"/>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27">
    <w:name w:val="典雅型2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8">
    <w:name w:val="典雅型1131"/>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29">
    <w:name w:val="MFS表格21"/>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30">
    <w:name w:val="王新建21"/>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paragraph" w:customStyle="1" w:styleId="931">
    <w:name w:val="正文_34"/>
    <w:qFormat/>
    <w:uiPriority w:val="0"/>
    <w:pPr>
      <w:widowControl w:val="0"/>
      <w:jc w:val="both"/>
    </w:pPr>
    <w:rPr>
      <w:rFonts w:ascii="Calibri" w:hAnsi="Calibri" w:eastAsia="宋体" w:cs="Times New Roman"/>
      <w:kern w:val="2"/>
      <w:sz w:val="21"/>
      <w:lang w:val="en-US" w:eastAsia="zh-CN" w:bidi="ar-SA"/>
    </w:rPr>
  </w:style>
  <w:style w:type="table" w:customStyle="1" w:styleId="932">
    <w:name w:val="网格型 16"/>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rFonts w:cs="Times New Roman"/>
        <w:i/>
        <w:iCs/>
      </w:rPr>
      <w:tcPr>
        <w:tcBorders>
          <w:top w:val="nil"/>
          <w:left w:val="nil"/>
          <w:bottom w:val="nil"/>
          <w:right w:val="nil"/>
          <w:insideH w:val="nil"/>
          <w:insideV w:val="nil"/>
          <w:tl2br w:val="nil"/>
          <w:tr2bl w:val="nil"/>
        </w:tcBorders>
      </w:tcPr>
    </w:tblStylePr>
    <w:tblStylePr w:type="lastCol">
      <w:rPr>
        <w:rFonts w:cs="Times New Roman"/>
        <w:i/>
        <w:iCs/>
      </w:rPr>
      <w:tcPr>
        <w:tcBorders>
          <w:top w:val="nil"/>
          <w:left w:val="nil"/>
          <w:bottom w:val="nil"/>
          <w:right w:val="nil"/>
          <w:insideH w:val="nil"/>
          <w:insideV w:val="nil"/>
          <w:tl2br w:val="nil"/>
          <w:tr2bl w:val="nil"/>
        </w:tcBorders>
      </w:tcPr>
    </w:tblStylePr>
    <w:tblStylePr w:type="nwCell">
      <w:rPr>
        <w:rFonts w:cs="Times New Roman"/>
      </w:rPr>
      <w:tcPr>
        <w:tcBorders>
          <w:top w:val="nil"/>
          <w:left w:val="nil"/>
          <w:bottom w:val="nil"/>
          <w:right w:val="nil"/>
          <w:insideH w:val="nil"/>
          <w:insideV w:val="nil"/>
          <w:tl2br w:val="single" w:color="000000" w:sz="6" w:space="0"/>
          <w:tr2bl w:val="nil"/>
        </w:tcBorders>
      </w:tcPr>
    </w:tblStylePr>
  </w:style>
  <w:style w:type="table" w:customStyle="1" w:styleId="933">
    <w:name w:val="网格型-6"/>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表格主题6"/>
    <w:basedOn w:val="5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5">
    <w:name w:val="ylf2"/>
    <w:basedOn w:val="61"/>
    <w:qFormat/>
    <w:uiPriority w:val="99"/>
    <w:pPr>
      <w:widowControl w:val="0"/>
      <w:jc w:val="center"/>
    </w:pPr>
    <w:rPr>
      <w:sz w:val="21"/>
      <w:szCs w:val="21"/>
    </w:rPr>
    <w:tblPr>
      <w:tblBorders>
        <w:top w:val="single" w:color="auto" w:sz="12" w:space="0"/>
        <w:bottom w:val="single" w:color="auto" w:sz="12" w:space="0"/>
      </w:tblBorders>
    </w:tblPr>
  </w:style>
  <w:style w:type="table" w:customStyle="1" w:styleId="936">
    <w:name w:val="表格主题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7">
    <w:name w:val="网格型-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网格型 55"/>
    <w:basedOn w:val="59"/>
    <w:qFormat/>
    <w:locked/>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39">
    <w:name w:val="典雅型7"/>
    <w:basedOn w:val="59"/>
    <w:qFormat/>
    <w:locked/>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40">
    <w:name w:val="网格型 115"/>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41">
    <w:name w:val="网格型4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2">
    <w:name w:val="左右无边框5"/>
    <w:basedOn w:val="61"/>
    <w:qFormat/>
    <w:uiPriority w:val="0"/>
    <w:pPr>
      <w:widowControl w:val="0"/>
      <w:jc w:val="both"/>
    </w:pPr>
    <w:tblPr>
      <w:tblBorders>
        <w:top w:val="single" w:color="auto" w:sz="12" w:space="0"/>
        <w:bottom w:val="single" w:color="auto" w:sz="12" w:space="0"/>
      </w:tblBorders>
    </w:tblPr>
  </w:style>
  <w:style w:type="table" w:customStyle="1" w:styleId="943">
    <w:name w:val="网格型35"/>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4">
    <w:name w:val="无左右边框型5"/>
    <w:basedOn w:val="60"/>
    <w:qFormat/>
    <w:uiPriority w:val="0"/>
    <w:pPr>
      <w:widowControl w:val="0"/>
      <w:jc w:val="both"/>
    </w:pPr>
  </w:style>
  <w:style w:type="table" w:customStyle="1" w:styleId="945">
    <w:name w:val="典雅型2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6">
    <w:name w:val="左右无边表格5"/>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47">
    <w:name w:val="典雅型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48">
    <w:name w:val="网格型25"/>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9">
    <w:name w:val="网格型11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0">
    <w:name w:val="网格型12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1">
    <w:name w:val="网格型135"/>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52">
    <w:name w:val="网格型55"/>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3">
    <w:name w:val="网格型65"/>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4">
    <w:name w:val="表格主题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5">
    <w:name w:val="网格型-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6">
    <w:name w:val="网格型 515"/>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7">
    <w:name w:val="典雅型3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58">
    <w:name w:val="网格型 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59">
    <w:name w:val="网格型4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0">
    <w:name w:val="左右无边框12"/>
    <w:basedOn w:val="61"/>
    <w:qFormat/>
    <w:uiPriority w:val="0"/>
    <w:pPr>
      <w:widowControl w:val="0"/>
      <w:jc w:val="both"/>
    </w:pPr>
    <w:tblPr>
      <w:tblBorders>
        <w:top w:val="single" w:color="auto" w:sz="12" w:space="0"/>
        <w:bottom w:val="single" w:color="auto" w:sz="12" w:space="0"/>
      </w:tblBorders>
    </w:tblPr>
  </w:style>
  <w:style w:type="table" w:customStyle="1" w:styleId="961">
    <w:name w:val="网格型31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2">
    <w:name w:val="无左右边框型12"/>
    <w:basedOn w:val="60"/>
    <w:qFormat/>
    <w:uiPriority w:val="0"/>
    <w:pPr>
      <w:widowControl w:val="0"/>
      <w:jc w:val="both"/>
    </w:pPr>
  </w:style>
  <w:style w:type="table" w:customStyle="1" w:styleId="963">
    <w:name w:val="典雅型2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4">
    <w:name w:val="左右无边表格1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65">
    <w:name w:val="典雅型115"/>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66">
    <w:name w:val="网格型21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7">
    <w:name w:val="网格型11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8">
    <w:name w:val="网格型12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69">
    <w:name w:val="网格型131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0">
    <w:name w:val="网格型51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1">
    <w:name w:val="网格型61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2">
    <w:name w:val="网格型74"/>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3">
    <w:name w:val="网格型84"/>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4">
    <w:name w:val="网格型94"/>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75">
    <w:name w:val="网格型 111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6">
    <w:name w:val="典雅型3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77">
    <w:name w:val="网格型 511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78">
    <w:name w:val="典雅型2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79">
    <w:name w:val="典雅型111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80">
    <w:name w:val="MFS表格4"/>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981">
    <w:name w:val="王新建4"/>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982">
    <w:name w:val="表格主题3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3">
    <w:name w:val="网格型-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4">
    <w:name w:val="网格型 5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5">
    <w:name w:val="典雅型4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986">
    <w:name w:val="网格型 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987">
    <w:name w:val="网格型4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8">
    <w:name w:val="左右无边框22"/>
    <w:basedOn w:val="61"/>
    <w:qFormat/>
    <w:uiPriority w:val="0"/>
    <w:pPr>
      <w:widowControl w:val="0"/>
      <w:jc w:val="both"/>
    </w:pPr>
    <w:tblPr>
      <w:tblBorders>
        <w:top w:val="single" w:color="auto" w:sz="12" w:space="0"/>
        <w:bottom w:val="single" w:color="auto" w:sz="12" w:space="0"/>
      </w:tblBorders>
    </w:tblPr>
  </w:style>
  <w:style w:type="table" w:customStyle="1" w:styleId="989">
    <w:name w:val="网格型32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0">
    <w:name w:val="无左右边框型22"/>
    <w:basedOn w:val="60"/>
    <w:qFormat/>
    <w:uiPriority w:val="0"/>
    <w:pPr>
      <w:widowControl w:val="0"/>
      <w:jc w:val="both"/>
    </w:pPr>
  </w:style>
  <w:style w:type="table" w:customStyle="1" w:styleId="991">
    <w:name w:val="典雅型2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2">
    <w:name w:val="左右无边表格2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993">
    <w:name w:val="典雅型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994">
    <w:name w:val="网格型22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5">
    <w:name w:val="网格型11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6">
    <w:name w:val="网格型12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7">
    <w:name w:val="网格型132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998">
    <w:name w:val="网格型52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9">
    <w:name w:val="网格型62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0">
    <w:name w:val="网格型71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1">
    <w:name w:val="网格型81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2">
    <w:name w:val="网格型91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03">
    <w:name w:val="网格型 112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4">
    <w:name w:val="典雅型3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05">
    <w:name w:val="网格型 512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06">
    <w:name w:val="典雅型2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7">
    <w:name w:val="典雅型112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08">
    <w:name w:val="MFS表格1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09">
    <w:name w:val="王新建1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10">
    <w:name w:val="表格主题4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1">
    <w:name w:val="网格型-4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2">
    <w:name w:val="网格型 5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3">
    <w:name w:val="典雅型5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14">
    <w:name w:val="网格型 14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15">
    <w:name w:val="网格型4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6">
    <w:name w:val="左右无边框32"/>
    <w:basedOn w:val="61"/>
    <w:qFormat/>
    <w:uiPriority w:val="0"/>
    <w:pPr>
      <w:widowControl w:val="0"/>
      <w:jc w:val="both"/>
    </w:pPr>
    <w:tblPr>
      <w:tblBorders>
        <w:top w:val="single" w:color="auto" w:sz="12" w:space="0"/>
        <w:bottom w:val="single" w:color="auto" w:sz="12" w:space="0"/>
      </w:tblBorders>
    </w:tblPr>
  </w:style>
  <w:style w:type="table" w:customStyle="1" w:styleId="1017">
    <w:name w:val="网格型332"/>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8">
    <w:name w:val="无左右边框型32"/>
    <w:basedOn w:val="60"/>
    <w:qFormat/>
    <w:uiPriority w:val="0"/>
    <w:pPr>
      <w:widowControl w:val="0"/>
      <w:jc w:val="both"/>
    </w:pPr>
  </w:style>
  <w:style w:type="table" w:customStyle="1" w:styleId="1019">
    <w:name w:val="典雅型2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0">
    <w:name w:val="左右无边表格32"/>
    <w:basedOn w:val="59"/>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1021">
    <w:name w:val="典雅型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22">
    <w:name w:val="网格型232"/>
    <w:basedOn w:val="5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11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4">
    <w:name w:val="网格型12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5">
    <w:name w:val="网格型1332"/>
    <w:basedOn w:val="59"/>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26">
    <w:name w:val="网格型532"/>
    <w:basedOn w:val="59"/>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7">
    <w:name w:val="网格型632"/>
    <w:basedOn w:val="5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8">
    <w:name w:val="网格型722"/>
    <w:basedOn w:val="5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9">
    <w:name w:val="网格型822"/>
    <w:basedOn w:val="59"/>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0">
    <w:name w:val="网格型922"/>
    <w:basedOn w:val="59"/>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031">
    <w:name w:val="网格型 1132"/>
    <w:basedOn w:val="59"/>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op w:val="nil"/>
          <w:left w:val="nil"/>
          <w:bottom w:val="nil"/>
          <w:right w:val="nil"/>
          <w:insideH w:val="nil"/>
          <w:insideV w:val="nil"/>
          <w:tl2br w:val="nil"/>
          <w:tr2bl w:val="nil"/>
        </w:tcBorders>
      </w:tcPr>
    </w:tblStylePr>
    <w:tblStylePr w:type="lastCol">
      <w:rPr>
        <w:i/>
        <w:i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2">
    <w:name w:val="典雅型3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op w:val="nil"/>
          <w:left w:val="nil"/>
          <w:bottom w:val="nil"/>
          <w:right w:val="nil"/>
          <w:insideH w:val="nil"/>
          <w:insideV w:val="nil"/>
          <w:tl2br w:val="nil"/>
          <w:tr2bl w:val="nil"/>
        </w:tcBorders>
      </w:tcPr>
    </w:tblStylePr>
  </w:style>
  <w:style w:type="table" w:customStyle="1" w:styleId="1033">
    <w:name w:val="网格型 5132"/>
    <w:basedOn w:val="59"/>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top w:val="nil"/>
          <w:left w:val="nil"/>
          <w:bottom w:val="single" w:color="000000" w:sz="12" w:space="0"/>
          <w:right w:val="nil"/>
          <w:insideH w:val="nil"/>
          <w:insideV w:val="nil"/>
          <w:tl2br w:val="nil"/>
          <w:tr2bl w:val="nil"/>
        </w:tcBorders>
      </w:tcPr>
    </w:tblStylePr>
    <w:tblStylePr w:type="lastRow">
      <w:rPr>
        <w:b/>
        <w:bCs/>
      </w:rPr>
      <w:tcPr>
        <w:tcBorders>
          <w:top w:val="nil"/>
          <w:left w:val="nil"/>
          <w:bottom w:val="nil"/>
          <w:right w:val="nil"/>
          <w:insideH w:val="nil"/>
          <w:insideV w:val="nil"/>
          <w:tl2br w:val="nil"/>
          <w:tr2bl w:val="nil"/>
        </w:tcBorders>
      </w:tcPr>
    </w:tblStylePr>
    <w:tblStylePr w:type="lastCol">
      <w:rPr>
        <w:b/>
        <w:bCs/>
      </w:rPr>
      <w:tcPr>
        <w:tcBorders>
          <w:top w:val="nil"/>
          <w:left w:val="nil"/>
          <w:bottom w:val="nil"/>
          <w:right w:val="nil"/>
          <w:insideH w:val="nil"/>
          <w:insideV w:val="nil"/>
          <w:tl2br w:val="nil"/>
          <w:tr2bl w:val="nil"/>
        </w:tcBorders>
      </w:tcPr>
    </w:tblStylePr>
    <w:tblStylePr w:type="nwCell">
      <w:tcPr>
        <w:tcBorders>
          <w:top w:val="nil"/>
          <w:left w:val="nil"/>
          <w:bottom w:val="nil"/>
          <w:right w:val="nil"/>
          <w:insideH w:val="nil"/>
          <w:insideV w:val="nil"/>
          <w:tl2br w:val="single" w:color="000000" w:sz="6" w:space="0"/>
          <w:tr2bl w:val="nil"/>
        </w:tcBorders>
      </w:tcPr>
    </w:tblStylePr>
  </w:style>
  <w:style w:type="table" w:customStyle="1" w:styleId="1034">
    <w:name w:val="典雅型2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5">
    <w:name w:val="典雅型1132"/>
    <w:basedOn w:val="59"/>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op w:val="nil"/>
          <w:left w:val="nil"/>
          <w:bottom w:val="nil"/>
          <w:right w:val="nil"/>
          <w:insideH w:val="nil"/>
          <w:insideV w:val="nil"/>
          <w:tl2br w:val="nil"/>
          <w:tr2bl w:val="nil"/>
        </w:tcBorders>
      </w:tcPr>
    </w:tblStylePr>
  </w:style>
  <w:style w:type="table" w:customStyle="1" w:styleId="1036">
    <w:name w:val="MFS表格22"/>
    <w:qFormat/>
    <w:uiPriority w:val="0"/>
    <w:pPr>
      <w:widowControl w:val="0"/>
      <w:snapToGrid w:val="0"/>
      <w:jc w:val="center"/>
    </w:pPr>
    <w:rPr>
      <w:sz w:val="18"/>
    </w:rPr>
    <w:tblPr>
      <w:tblBorders>
        <w:top w:val="single" w:color="000000" w:sz="12" w:space="0"/>
        <w:bottom w:val="single" w:color="000000" w:sz="12" w:space="0"/>
        <w:insideH w:val="single" w:color="000000" w:sz="6" w:space="0"/>
        <w:insideV w:val="single" w:color="000000" w:sz="6" w:space="0"/>
      </w:tblBorders>
      <w:tblCellMar>
        <w:top w:w="0" w:type="dxa"/>
        <w:left w:w="0" w:type="dxa"/>
        <w:bottom w:w="0" w:type="dxa"/>
        <w:right w:w="0" w:type="dxa"/>
      </w:tblCellMar>
    </w:tblPr>
    <w:tcPr>
      <w:vAlign w:val="center"/>
    </w:tcPr>
  </w:style>
  <w:style w:type="table" w:customStyle="1" w:styleId="1037">
    <w:name w:val="王新建22"/>
    <w:qFormat/>
    <w:uiPriority w:val="0"/>
    <w:pPr>
      <w:jc w:val="center"/>
    </w:pPr>
    <w:tblPr>
      <w:tblBorders>
        <w:top w:val="single" w:color="auto" w:sz="12" w:space="0"/>
        <w:bottom w:val="single" w:color="auto" w:sz="12" w:space="0"/>
        <w:insideH w:val="single" w:color="auto" w:sz="2" w:space="0"/>
        <w:insideV w:val="single" w:color="auto" w:sz="2" w:space="0"/>
      </w:tblBorders>
      <w:tblCellMar>
        <w:top w:w="0" w:type="dxa"/>
        <w:left w:w="0" w:type="dxa"/>
        <w:bottom w:w="0" w:type="dxa"/>
        <w:right w:w="0" w:type="dxa"/>
      </w:tblCellMar>
    </w:tblPr>
    <w:tcPr>
      <w:vAlign w:val="center"/>
    </w:tcPr>
  </w:style>
  <w:style w:type="table" w:customStyle="1" w:styleId="1038">
    <w:name w:val="网格型-7"/>
    <w:basedOn w:val="5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39">
    <w:name w:val="！正文"/>
    <w:basedOn w:val="1"/>
    <w:qFormat/>
    <w:uiPriority w:val="0"/>
    <w:pPr>
      <w:spacing w:line="360" w:lineRule="auto"/>
      <w:ind w:firstLine="480" w:firstLineChars="200"/>
    </w:pPr>
    <w:rPr>
      <w:rFonts w:hint="eastAsia" w:ascii="宋体" w:cs="宋体"/>
      <w:kern w:val="0"/>
      <w:sz w:val="24"/>
      <w:szCs w:val="20"/>
    </w:rPr>
  </w:style>
  <w:style w:type="paragraph" w:customStyle="1" w:styleId="1040">
    <w:name w:val="_Style 1036"/>
    <w:basedOn w:val="1"/>
    <w:next w:val="227"/>
    <w:qFormat/>
    <w:uiPriority w:val="34"/>
    <w:pPr>
      <w:widowControl/>
      <w:ind w:firstLine="420" w:firstLineChars="200"/>
      <w:jc w:val="left"/>
    </w:pPr>
    <w:rPr>
      <w:spacing w:val="-2"/>
      <w:kern w:val="0"/>
      <w:sz w:val="28"/>
      <w:szCs w:val="20"/>
    </w:rPr>
  </w:style>
  <w:style w:type="character" w:customStyle="1" w:styleId="1041">
    <w:name w:val="样式 表格 + 黑色 Char"/>
    <w:link w:val="1042"/>
    <w:qFormat/>
    <w:locked/>
    <w:uiPriority w:val="0"/>
    <w:rPr>
      <w:snapToGrid w:val="0"/>
      <w:color w:val="000000"/>
      <w:spacing w:val="-4"/>
      <w:sz w:val="21"/>
      <w:szCs w:val="21"/>
    </w:rPr>
  </w:style>
  <w:style w:type="paragraph" w:customStyle="1" w:styleId="1042">
    <w:name w:val="样式 表格 + 黑色"/>
    <w:basedOn w:val="1"/>
    <w:link w:val="1041"/>
    <w:qFormat/>
    <w:uiPriority w:val="0"/>
    <w:rPr>
      <w:snapToGrid w:val="0"/>
      <w:color w:val="000000"/>
      <w:spacing w:val="-4"/>
      <w:kern w:val="0"/>
      <w:szCs w:val="21"/>
    </w:rPr>
  </w:style>
  <w:style w:type="character" w:customStyle="1" w:styleId="1043">
    <w:name w:val="表格内容--中祥 字符"/>
    <w:link w:val="1044"/>
    <w:qFormat/>
    <w:uiPriority w:val="0"/>
    <w:rPr>
      <w:sz w:val="21"/>
      <w:szCs w:val="21"/>
    </w:rPr>
  </w:style>
  <w:style w:type="paragraph" w:customStyle="1" w:styleId="1044">
    <w:name w:val="中祥表格内容"/>
    <w:basedOn w:val="1"/>
    <w:link w:val="1043"/>
    <w:qFormat/>
    <w:uiPriority w:val="0"/>
    <w:pPr>
      <w:jc w:val="center"/>
    </w:pPr>
    <w:rPr>
      <w:kern w:val="0"/>
      <w:szCs w:val="21"/>
    </w:rPr>
  </w:style>
  <w:style w:type="character" w:customStyle="1" w:styleId="1045">
    <w:name w:val="表格标题--中祥 字符"/>
    <w:link w:val="1046"/>
    <w:qFormat/>
    <w:uiPriority w:val="0"/>
    <w:rPr>
      <w:b/>
      <w:color w:val="000000"/>
      <w:kern w:val="2"/>
      <w:sz w:val="24"/>
      <w:szCs w:val="24"/>
      <w:lang w:val="zh-CN"/>
    </w:rPr>
  </w:style>
  <w:style w:type="paragraph" w:customStyle="1" w:styleId="1046">
    <w:name w:val="中祥表标题"/>
    <w:basedOn w:val="1"/>
    <w:link w:val="1045"/>
    <w:qFormat/>
    <w:uiPriority w:val="0"/>
    <w:pPr>
      <w:spacing w:line="320" w:lineRule="exact"/>
      <w:jc w:val="center"/>
    </w:pPr>
    <w:rPr>
      <w:b/>
      <w:color w:val="000000"/>
      <w:sz w:val="24"/>
      <w:lang w:val="zh-CN"/>
    </w:rPr>
  </w:style>
  <w:style w:type="character" w:customStyle="1" w:styleId="1047">
    <w:name w:val="普通(网站) 字符"/>
    <w:qFormat/>
    <w:locked/>
    <w:uiPriority w:val="99"/>
    <w:rPr>
      <w:rFonts w:ascii="宋体" w:hAnsi="宋体" w:eastAsia="宋体"/>
      <w:sz w:val="24"/>
    </w:rPr>
  </w:style>
  <w:style w:type="paragraph" w:customStyle="1" w:styleId="1048">
    <w:name w:val="表格 标题"/>
    <w:link w:val="1049"/>
    <w:qFormat/>
    <w:uiPriority w:val="0"/>
    <w:pPr>
      <w:snapToGrid w:val="0"/>
      <w:spacing w:beforeLines="20" w:afterLines="20" w:line="500" w:lineRule="exact"/>
      <w:jc w:val="center"/>
    </w:pPr>
    <w:rPr>
      <w:rFonts w:ascii="Times New Roman" w:hAnsi="Times New Roman" w:eastAsia="宋体" w:cs="Times New Roman"/>
      <w:b/>
      <w:kern w:val="2"/>
      <w:sz w:val="24"/>
      <w:szCs w:val="24"/>
      <w:lang w:val="en-US" w:eastAsia="zh-CN" w:bidi="ar-SA"/>
    </w:rPr>
  </w:style>
  <w:style w:type="character" w:customStyle="1" w:styleId="1049">
    <w:name w:val="表格 标题 Char"/>
    <w:link w:val="1048"/>
    <w:qFormat/>
    <w:uiPriority w:val="0"/>
    <w:rPr>
      <w:b/>
      <w:kern w:val="2"/>
      <w:sz w:val="24"/>
      <w:szCs w:val="24"/>
    </w:rPr>
  </w:style>
  <w:style w:type="paragraph" w:customStyle="1" w:styleId="1050">
    <w:name w:val="4"/>
    <w:basedOn w:val="1"/>
    <w:next w:val="227"/>
    <w:qFormat/>
    <w:uiPriority w:val="34"/>
    <w:pPr>
      <w:widowControl/>
      <w:ind w:firstLine="420" w:firstLineChars="200"/>
      <w:jc w:val="left"/>
    </w:pPr>
    <w:rPr>
      <w:spacing w:val="-2"/>
      <w:kern w:val="0"/>
      <w:sz w:val="28"/>
      <w:szCs w:val="20"/>
    </w:rPr>
  </w:style>
  <w:style w:type="character" w:customStyle="1" w:styleId="1051">
    <w:name w:val="标题 3 字符1"/>
    <w:qFormat/>
    <w:uiPriority w:val="0"/>
    <w:rPr>
      <w:rFonts w:ascii="Arial" w:hAnsi="Arial" w:eastAsia="黑体"/>
      <w:b/>
      <w:kern w:val="2"/>
      <w:sz w:val="30"/>
    </w:rPr>
  </w:style>
  <w:style w:type="paragraph" w:customStyle="1" w:styleId="1052">
    <w:name w:val="BodyText"/>
    <w:basedOn w:val="1"/>
    <w:qFormat/>
    <w:uiPriority w:val="0"/>
    <w:pPr>
      <w:widowControl/>
      <w:snapToGrid w:val="0"/>
      <w:jc w:val="center"/>
      <w:textAlignment w:val="baseline"/>
    </w:pPr>
    <w:rPr>
      <w:rFonts w:ascii="Calibri" w:hAnsi="Calibri"/>
      <w:kern w:val="0"/>
      <w:sz w:val="20"/>
      <w:szCs w:val="20"/>
    </w:rPr>
  </w:style>
  <w:style w:type="paragraph" w:customStyle="1" w:styleId="1053">
    <w:name w:val="正文kmj"/>
    <w:basedOn w:val="1"/>
    <w:link w:val="1054"/>
    <w:qFormat/>
    <w:uiPriority w:val="0"/>
    <w:pPr>
      <w:snapToGrid w:val="0"/>
      <w:spacing w:line="400" w:lineRule="exact"/>
      <w:ind w:firstLine="200" w:firstLineChars="200"/>
      <w:textAlignment w:val="center"/>
    </w:pPr>
  </w:style>
  <w:style w:type="character" w:customStyle="1" w:styleId="1054">
    <w:name w:val="正文kmj Char"/>
    <w:link w:val="1053"/>
    <w:qFormat/>
    <w:uiPriority w:val="0"/>
    <w:rPr>
      <w:kern w:val="2"/>
      <w:sz w:val="21"/>
      <w:szCs w:val="24"/>
    </w:rPr>
  </w:style>
  <w:style w:type="paragraph" w:customStyle="1" w:styleId="1055">
    <w:name w:val="_Style 1052"/>
    <w:basedOn w:val="1"/>
    <w:next w:val="227"/>
    <w:qFormat/>
    <w:uiPriority w:val="34"/>
    <w:pPr>
      <w:widowControl/>
      <w:ind w:firstLine="420" w:firstLineChars="200"/>
      <w:jc w:val="left"/>
    </w:pPr>
    <w:rPr>
      <w:kern w:val="0"/>
      <w:sz w:val="20"/>
      <w:szCs w:val="20"/>
    </w:rPr>
  </w:style>
  <w:style w:type="paragraph" w:customStyle="1" w:styleId="1056">
    <w:name w:val="样式 正文文本缩进 + 行距: 1.5 倍行距"/>
    <w:qFormat/>
    <w:uiPriority w:val="0"/>
    <w:pPr>
      <w:widowControl w:val="0"/>
      <w:spacing w:after="120" w:line="360" w:lineRule="auto"/>
      <w:ind w:left="90" w:leftChars="32" w:firstLine="560" w:firstLineChars="200"/>
      <w:jc w:val="both"/>
    </w:pPr>
    <w:rPr>
      <w:rFonts w:ascii="Calibri" w:hAnsi="Calibri" w:eastAsia="宋体" w:cs="宋体"/>
      <w:kern w:val="2"/>
      <w:sz w:val="24"/>
      <w:szCs w:val="21"/>
      <w:lang w:val="en-US" w:eastAsia="zh-CN" w:bidi="ar-SA"/>
    </w:rPr>
  </w:style>
  <w:style w:type="paragraph" w:customStyle="1" w:styleId="1057">
    <w:name w:val="标题 段落4级"/>
    <w:qFormat/>
    <w:uiPriority w:val="99"/>
    <w:pPr>
      <w:spacing w:line="500" w:lineRule="exact"/>
      <w:outlineLvl w:val="3"/>
    </w:pPr>
    <w:rPr>
      <w:rFonts w:ascii="Times New Roman" w:hAnsi="Times New Roman" w:eastAsia="仿宋_GB2312" w:cs="Calibri"/>
      <w:b/>
      <w:kern w:val="2"/>
      <w:sz w:val="28"/>
      <w:szCs w:val="24"/>
      <w:lang w:val="en-US" w:eastAsia="zh-CN" w:bidi="ar-SA"/>
    </w:rPr>
  </w:style>
  <w:style w:type="paragraph" w:customStyle="1" w:styleId="1058">
    <w:name w:val="样式35"/>
    <w:basedOn w:val="1"/>
    <w:qFormat/>
    <w:uiPriority w:val="0"/>
    <w:pPr>
      <w:adjustRightInd w:val="0"/>
      <w:spacing w:line="312" w:lineRule="auto"/>
      <w:ind w:firstLine="567"/>
    </w:pPr>
    <w:rPr>
      <w:rFonts w:ascii="宋体"/>
      <w:kern w:val="0"/>
      <w:sz w:val="28"/>
      <w:szCs w:val="20"/>
    </w:rPr>
  </w:style>
  <w:style w:type="character" w:customStyle="1" w:styleId="1059">
    <w:name w:val="zw1"/>
    <w:basedOn w:val="65"/>
    <w:qFormat/>
    <w:uiPriority w:val="0"/>
    <w:rPr>
      <w:rFonts w:hint="eastAsia" w:ascii="宋体" w:hAnsi="宋体" w:eastAsia="宋体"/>
      <w:sz w:val="22"/>
      <w:szCs w:val="22"/>
    </w:rPr>
  </w:style>
  <w:style w:type="paragraph" w:customStyle="1" w:styleId="106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061">
    <w:name w:val="77的正文"/>
    <w:basedOn w:val="1"/>
    <w:qFormat/>
    <w:uiPriority w:val="0"/>
    <w:pPr>
      <w:adjustRightInd w:val="0"/>
      <w:spacing w:line="360" w:lineRule="auto"/>
      <w:ind w:firstLine="480" w:firstLineChars="200"/>
      <w:textAlignment w:val="baseline"/>
    </w:pPr>
    <w:rPr>
      <w:color w:val="000000"/>
      <w:kern w:val="0"/>
      <w:sz w:val="24"/>
      <w:szCs w:val="20"/>
    </w:rPr>
  </w:style>
  <w:style w:type="paragraph" w:customStyle="1" w:styleId="1062">
    <w:name w:val="表格内正文"/>
    <w:basedOn w:val="1"/>
    <w:qFormat/>
    <w:uiPriority w:val="0"/>
    <w:pPr>
      <w:adjustRightInd w:val="0"/>
      <w:spacing w:line="360" w:lineRule="auto"/>
      <w:ind w:firstLine="493"/>
      <w:textAlignment w:val="baseline"/>
    </w:pPr>
    <w:rPr>
      <w:rFonts w:ascii="宋体" w:hAnsi="宋体"/>
      <w:spacing w:val="4"/>
      <w:kern w:val="18"/>
      <w:sz w:val="24"/>
      <w:szCs w:val="20"/>
    </w:rPr>
  </w:style>
  <w:style w:type="paragraph" w:customStyle="1" w:styleId="1063">
    <w:name w:val="表格 首行"/>
    <w:link w:val="1064"/>
    <w:qFormat/>
    <w:uiPriority w:val="0"/>
    <w:pPr>
      <w:snapToGrid w:val="0"/>
      <w:jc w:val="center"/>
    </w:pPr>
    <w:rPr>
      <w:rFonts w:ascii="Times New Roman" w:hAnsi="Times New Roman" w:eastAsia="仿宋_GB2312" w:cs="Times New Roman"/>
      <w:b/>
      <w:kern w:val="2"/>
      <w:sz w:val="21"/>
      <w:szCs w:val="21"/>
      <w:lang w:val="en-US" w:eastAsia="zh-CN" w:bidi="ar-SA"/>
    </w:rPr>
  </w:style>
  <w:style w:type="character" w:customStyle="1" w:styleId="1064">
    <w:name w:val="表格 首行 Char"/>
    <w:link w:val="1063"/>
    <w:qFormat/>
    <w:uiPriority w:val="0"/>
    <w:rPr>
      <w:rFonts w:eastAsia="仿宋_GB2312"/>
      <w:b/>
      <w:kern w:val="2"/>
      <w:sz w:val="21"/>
      <w:szCs w:val="21"/>
    </w:rPr>
  </w:style>
  <w:style w:type="paragraph" w:customStyle="1" w:styleId="1065">
    <w:name w:val="首页表格文字"/>
    <w:basedOn w:val="1"/>
    <w:link w:val="1066"/>
    <w:qFormat/>
    <w:uiPriority w:val="0"/>
    <w:pPr>
      <w:jc w:val="center"/>
    </w:pPr>
    <w:rPr>
      <w:sz w:val="24"/>
    </w:rPr>
  </w:style>
  <w:style w:type="character" w:customStyle="1" w:styleId="1066">
    <w:name w:val="首页表格文字 字符"/>
    <w:link w:val="1065"/>
    <w:qFormat/>
    <w:uiPriority w:val="0"/>
    <w:rPr>
      <w:kern w:val="2"/>
      <w:sz w:val="24"/>
      <w:szCs w:val="24"/>
    </w:rPr>
  </w:style>
  <w:style w:type="character" w:customStyle="1" w:styleId="1067">
    <w:name w:val="明显参考1"/>
    <w:qFormat/>
    <w:uiPriority w:val="32"/>
    <w:rPr>
      <w:color w:val="0000FF"/>
    </w:rPr>
  </w:style>
  <w:style w:type="character" w:customStyle="1" w:styleId="1068">
    <w:name w:val="表格文字 字符"/>
    <w:qFormat/>
    <w:uiPriority w:val="0"/>
    <w:rPr>
      <w:rFonts w:cs="Times New Roman"/>
      <w:kern w:val="2"/>
      <w:sz w:val="21"/>
      <w:szCs w:val="21"/>
    </w:rPr>
  </w:style>
  <w:style w:type="paragraph" w:customStyle="1" w:styleId="1069">
    <w:name w:val="列表段落"/>
    <w:basedOn w:val="1"/>
    <w:qFormat/>
    <w:uiPriority w:val="0"/>
    <w:pPr>
      <w:keepNext w:val="0"/>
      <w:keepLines w:val="0"/>
      <w:widowControl/>
      <w:suppressLineNumbers w:val="0"/>
      <w:spacing w:before="0" w:beforeAutospacing="0" w:after="0" w:afterAutospacing="0" w:line="360" w:lineRule="auto"/>
      <w:ind w:left="0" w:right="0" w:firstLine="420" w:firstLineChars="200"/>
      <w:jc w:val="left"/>
    </w:pPr>
    <w:rPr>
      <w:rFonts w:hint="default" w:ascii="Times New Roman" w:hAnsi="Times New Roman" w:eastAsia="宋体" w:cs="Times New Roman"/>
      <w:kern w:val="0"/>
      <w:sz w:val="24"/>
      <w:szCs w:val="24"/>
      <w:lang w:val="en-US" w:eastAsia="zh-CN" w:bidi="ar"/>
    </w:rPr>
  </w:style>
  <w:style w:type="paragraph" w:customStyle="1" w:styleId="1070">
    <w:name w:val="表格名称"/>
    <w:basedOn w:val="1"/>
    <w:unhideWhenUsed/>
    <w:qFormat/>
    <w:uiPriority w:val="0"/>
    <w:pPr>
      <w:spacing w:before="100" w:beforeLines="0" w:beforeAutospacing="1" w:after="100" w:afterLines="0" w:afterAutospacing="1"/>
      <w:jc w:val="center"/>
    </w:pPr>
    <w:rPr>
      <w:rFonts w:hint="default"/>
      <w:b/>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customXml" Target="../customXml/item2.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2.wmf"/><Relationship Id="rId25" Type="http://schemas.openxmlformats.org/officeDocument/2006/relationships/oleObject" Target="embeddings/oleObject7.bin"/><Relationship Id="rId24" Type="http://schemas.openxmlformats.org/officeDocument/2006/relationships/image" Target="media/image11.wmf"/><Relationship Id="rId23" Type="http://schemas.openxmlformats.org/officeDocument/2006/relationships/oleObject" Target="embeddings/oleObject6.bin"/><Relationship Id="rId22" Type="http://schemas.openxmlformats.org/officeDocument/2006/relationships/image" Target="media/image10.wmf"/><Relationship Id="rId21" Type="http://schemas.openxmlformats.org/officeDocument/2006/relationships/oleObject" Target="embeddings/oleObject5.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8.wmf"/><Relationship Id="rId17" Type="http://schemas.openxmlformats.org/officeDocument/2006/relationships/oleObject" Target="embeddings/oleObject3.bin"/><Relationship Id="rId16" Type="http://schemas.openxmlformats.org/officeDocument/2006/relationships/image" Target="media/image7.png"/><Relationship Id="rId15" Type="http://schemas.openxmlformats.org/officeDocument/2006/relationships/image" Target="media/image6.wmf"/><Relationship Id="rId14" Type="http://schemas.openxmlformats.org/officeDocument/2006/relationships/oleObject" Target="embeddings/oleObject2.bin"/><Relationship Id="rId13" Type="http://schemas.openxmlformats.org/officeDocument/2006/relationships/image" Target="media/image5.wmf"/><Relationship Id="rId12" Type="http://schemas.openxmlformats.org/officeDocument/2006/relationships/oleObject" Target="embeddings/oleObject1.bin"/><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3C80222-0DE3-4FCE-9C78-0730D73D6A15}">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1</Pages>
  <Words>49060</Words>
  <Characters>55811</Characters>
  <Lines>1</Lines>
  <Paragraphs>1</Paragraphs>
  <TotalTime>25</TotalTime>
  <ScaleCrop>false</ScaleCrop>
  <LinksUpToDate>false</LinksUpToDate>
  <CharactersWithSpaces>56703</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2023-03-25T14:14:00Z</dcterms:created>
  <dc:creator>lhj</dc:creator>
  <cp:lastModifiedBy>啦啦啦</cp:lastModifiedBy>
  <cp:lastPrinted>2024-03-25T05:57:00Z</cp:lastPrinted>
  <dcterms:modified xsi:type="dcterms:W3CDTF">2024-05-28T01:38:36Z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0658F2CA68AF4D79952374EBDF9563EA</vt:lpwstr>
  </property>
</Properties>
</file>