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bidi w:val="0"/>
      </w:pPr>
      <w:commentRangeStart w:id="0"/>
      <w:commentRangeStart w:id="1"/>
      <w:bookmarkStart w:id="13" w:name="_GoBack"/>
      <w:bookmarkEnd w:id="13"/>
      <w:r>
        <w:commentReference w:id="0"/>
      </w:r>
      <w:commentRangeEnd w:id="0"/>
      <w:commentRangeEnd w:id="1"/>
      <w:r>
        <w:commentReference w:id="1"/>
      </w:r>
      <w:r>
        <w:rPr>
          <w:rFonts w:hint="eastAsia"/>
        </w:rPr>
        <w:t>建设项目基本情况</w:t>
      </w:r>
    </w:p>
    <w:tbl>
      <w:tblPr>
        <w:tblStyle w:val="15"/>
        <w:tblW w:w="498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0" w:type="dxa"/>
          <w:bottom w:w="0" w:type="dxa"/>
          <w:right w:w="0" w:type="dxa"/>
        </w:tblCellMar>
      </w:tblPr>
      <w:tblGrid>
        <w:gridCol w:w="1905"/>
        <w:gridCol w:w="1989"/>
        <w:gridCol w:w="2216"/>
        <w:gridCol w:w="297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80" w:hRule="atLeast"/>
          <w:jc w:val="center"/>
        </w:trPr>
        <w:tc>
          <w:tcPr>
            <w:tcW w:w="1905" w:type="dxa"/>
            <w:tcMar>
              <w:top w:w="16" w:type="dxa"/>
              <w:left w:w="16" w:type="dxa"/>
              <w:right w:w="16" w:type="dxa"/>
            </w:tcMar>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cs="宋体"/>
              </w:rPr>
            </w:pPr>
            <w:r>
              <w:rPr>
                <w:rFonts w:hint="eastAsia" w:cs="宋体"/>
              </w:rPr>
              <w:t>建设项目名称</w:t>
            </w:r>
          </w:p>
        </w:tc>
        <w:tc>
          <w:tcPr>
            <w:tcW w:w="7180"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cs="宋体"/>
              </w:rPr>
            </w:pPr>
            <w:r>
              <w:rPr>
                <w:rFonts w:hint="eastAsia" w:ascii="宋体" w:hAnsi="宋体" w:eastAsia="宋体" w:cs="宋体"/>
              </w:rPr>
              <w:t>年产1000吨汽车模具（含夹检具）、新能源汽车冲焊件3000万件生产建设项目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53" w:hRule="atLeast"/>
          <w:jc w:val="center"/>
        </w:trPr>
        <w:tc>
          <w:tcPr>
            <w:tcW w:w="1905" w:type="dxa"/>
            <w:tcMar>
              <w:top w:w="16" w:type="dxa"/>
              <w:left w:w="16" w:type="dxa"/>
              <w:right w:w="16" w:type="dxa"/>
            </w:tcMar>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ascii="Times New Roman" w:hAnsi="Times New Roman" w:eastAsia="宋体" w:cs="宋体"/>
              </w:rPr>
            </w:pPr>
            <w:r>
              <w:rPr>
                <w:rFonts w:hint="eastAsia" w:ascii="Times New Roman" w:hAnsi="Times New Roman" w:eastAsia="宋体" w:cs="宋体"/>
              </w:rPr>
              <w:t>项目代码</w:t>
            </w:r>
          </w:p>
        </w:tc>
        <w:tc>
          <w:tcPr>
            <w:tcW w:w="7180"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ascii="Times New Roman" w:hAnsi="Times New Roman" w:eastAsia="宋体" w:cs="宋体"/>
                <w:lang w:val="en-US" w:eastAsia="zh-CN"/>
              </w:rPr>
            </w:pPr>
            <w:r>
              <w:rPr>
                <w:rFonts w:hint="eastAsia" w:ascii="Times New Roman" w:hAnsi="Times New Roman" w:eastAsia="宋体" w:cs="宋体"/>
                <w:lang w:val="en-US" w:eastAsia="zh-CN"/>
              </w:rPr>
              <w:t>2407-340264-04-05-354036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27" w:hRule="atLeast"/>
          <w:jc w:val="center"/>
        </w:trPr>
        <w:tc>
          <w:tcPr>
            <w:tcW w:w="1905" w:type="dxa"/>
            <w:tcMar>
              <w:top w:w="16" w:type="dxa"/>
              <w:left w:w="16" w:type="dxa"/>
              <w:right w:w="16" w:type="dxa"/>
            </w:tcMar>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ascii="Times New Roman" w:hAnsi="Times New Roman" w:eastAsia="宋体" w:cs="宋体"/>
              </w:rPr>
            </w:pPr>
            <w:r>
              <w:rPr>
                <w:rFonts w:hint="eastAsia" w:ascii="Times New Roman" w:hAnsi="Times New Roman" w:eastAsia="宋体" w:cs="宋体"/>
              </w:rPr>
              <w:t>建设单位联系人</w:t>
            </w:r>
          </w:p>
        </w:tc>
        <w:tc>
          <w:tcPr>
            <w:tcW w:w="1989" w:type="dxa"/>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ascii="Times New Roman" w:hAnsi="Times New Roman" w:eastAsia="宋体" w:cs="宋体"/>
              </w:rPr>
            </w:pPr>
            <w:r>
              <w:rPr>
                <w:rFonts w:hint="eastAsia" w:ascii="Times New Roman" w:hAnsi="Times New Roman" w:eastAsia="宋体" w:cs="宋体"/>
              </w:rPr>
              <w:t>张斌</w:t>
            </w:r>
          </w:p>
        </w:tc>
        <w:tc>
          <w:tcPr>
            <w:tcW w:w="2217" w:type="dxa"/>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ascii="Times New Roman" w:hAnsi="Times New Roman" w:eastAsia="宋体" w:cs="宋体"/>
              </w:rPr>
            </w:pPr>
            <w:r>
              <w:rPr>
                <w:rFonts w:hint="eastAsia" w:ascii="Times New Roman" w:hAnsi="Times New Roman" w:eastAsia="宋体" w:cs="宋体"/>
              </w:rPr>
              <w:t>联系方式</w:t>
            </w:r>
          </w:p>
        </w:tc>
        <w:tc>
          <w:tcPr>
            <w:tcW w:w="2974" w:type="dxa"/>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ascii="Times New Roman" w:hAnsi="Times New Roman" w:eastAsia="宋体" w:cs="宋体"/>
              </w:rPr>
            </w:pPr>
            <w:r>
              <w:rPr>
                <w:rFonts w:hint="eastAsia" w:ascii="Times New Roman" w:hAnsi="Times New Roman" w:eastAsia="宋体" w:cs="宋体"/>
              </w:rPr>
              <w:t>15505553225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39" w:hRule="atLeast"/>
          <w:jc w:val="center"/>
        </w:trPr>
        <w:tc>
          <w:tcPr>
            <w:tcW w:w="1905" w:type="dxa"/>
            <w:tcMar>
              <w:top w:w="16" w:type="dxa"/>
              <w:left w:w="16" w:type="dxa"/>
              <w:right w:w="16" w:type="dxa"/>
            </w:tcMar>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cs="宋体"/>
              </w:rPr>
            </w:pPr>
            <w:r>
              <w:rPr>
                <w:rFonts w:hint="eastAsia" w:cs="宋体"/>
              </w:rPr>
              <w:t>建设地点</w:t>
            </w:r>
          </w:p>
        </w:tc>
        <w:tc>
          <w:tcPr>
            <w:tcW w:w="7180"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cs="宋体"/>
              </w:rPr>
            </w:pPr>
            <w:r>
              <w:rPr>
                <w:rFonts w:hint="eastAsia" w:cs="宋体"/>
              </w:rPr>
              <w:t>安徽省芜湖市经济技术开发区龙山街道祥和路52号（芜湖戎征达伺服智能装备研发与中试基地建设项目综合厂房内）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99" w:hRule="atLeast"/>
          <w:jc w:val="center"/>
        </w:trPr>
        <w:tc>
          <w:tcPr>
            <w:tcW w:w="1905" w:type="dxa"/>
            <w:tcMar>
              <w:top w:w="16" w:type="dxa"/>
              <w:left w:w="16" w:type="dxa"/>
              <w:right w:w="16" w:type="dxa"/>
            </w:tcMar>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cs="宋体"/>
              </w:rPr>
            </w:pPr>
            <w:r>
              <w:rPr>
                <w:rFonts w:hint="eastAsia" w:cs="宋体"/>
              </w:rPr>
              <w:t>地理坐标</w:t>
            </w:r>
          </w:p>
        </w:tc>
        <w:tc>
          <w:tcPr>
            <w:tcW w:w="7180"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cs="宋体"/>
              </w:rPr>
            </w:pPr>
            <w:r>
              <w:rPr>
                <w:kern w:val="21"/>
              </w:rPr>
              <w:t>（</w:t>
            </w:r>
            <w:r>
              <w:rPr>
                <w:rFonts w:hint="eastAsia"/>
                <w:kern w:val="21"/>
                <w:u w:val="single"/>
              </w:rPr>
              <w:t>118</w:t>
            </w:r>
            <w:r>
              <w:rPr>
                <w:kern w:val="21"/>
              </w:rPr>
              <w:t>度</w:t>
            </w:r>
            <w:r>
              <w:rPr>
                <w:rFonts w:hint="eastAsia"/>
                <w:kern w:val="21"/>
                <w:u w:val="single"/>
                <w:lang w:val="en-US" w:eastAsia="zh-CN"/>
              </w:rPr>
              <w:t>24</w:t>
            </w:r>
            <w:r>
              <w:rPr>
                <w:kern w:val="21"/>
              </w:rPr>
              <w:t>分</w:t>
            </w:r>
            <w:r>
              <w:rPr>
                <w:rFonts w:hint="eastAsia"/>
                <w:kern w:val="21"/>
                <w:u w:val="single"/>
                <w:lang w:val="en-US" w:eastAsia="zh-CN"/>
              </w:rPr>
              <w:t>30.79</w:t>
            </w:r>
            <w:r>
              <w:rPr>
                <w:kern w:val="21"/>
              </w:rPr>
              <w:t>秒，</w:t>
            </w:r>
            <w:r>
              <w:rPr>
                <w:rFonts w:hint="eastAsia"/>
                <w:kern w:val="21"/>
                <w:u w:val="single"/>
              </w:rPr>
              <w:t>31</w:t>
            </w:r>
            <w:r>
              <w:rPr>
                <w:kern w:val="21"/>
              </w:rPr>
              <w:t>度</w:t>
            </w:r>
            <w:r>
              <w:rPr>
                <w:rFonts w:hint="eastAsia"/>
                <w:kern w:val="21"/>
                <w:u w:val="single"/>
              </w:rPr>
              <w:t>2</w:t>
            </w:r>
            <w:r>
              <w:rPr>
                <w:rFonts w:hint="eastAsia"/>
                <w:kern w:val="21"/>
                <w:u w:val="single"/>
                <w:lang w:val="en-US" w:eastAsia="zh-CN"/>
              </w:rPr>
              <w:t>9</w:t>
            </w:r>
            <w:r>
              <w:rPr>
                <w:kern w:val="21"/>
              </w:rPr>
              <w:t>分</w:t>
            </w:r>
            <w:r>
              <w:rPr>
                <w:rFonts w:hint="eastAsia"/>
                <w:kern w:val="21"/>
                <w:u w:val="single"/>
                <w:lang w:val="en-US" w:eastAsia="zh-CN"/>
              </w:rPr>
              <w:t>25.35</w:t>
            </w:r>
            <w:r>
              <w:rPr>
                <w:kern w:val="21"/>
              </w:rPr>
              <w:t>秒）</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05" w:type="dxa"/>
            <w:tcMar>
              <w:top w:w="16" w:type="dxa"/>
              <w:left w:w="16" w:type="dxa"/>
              <w:right w:w="16" w:type="dxa"/>
            </w:tcMar>
            <w:vAlign w:val="center"/>
          </w:tcPr>
          <w:p>
            <w:pPr>
              <w:adjustRightInd w:val="0"/>
              <w:snapToGrid w:val="0"/>
              <w:spacing w:line="360" w:lineRule="auto"/>
              <w:ind w:firstLine="0" w:firstLineChars="0"/>
              <w:jc w:val="center"/>
              <w:rPr>
                <w:rFonts w:cs="宋体"/>
              </w:rPr>
            </w:pPr>
            <w:r>
              <w:rPr>
                <w:rFonts w:hint="eastAsia" w:cs="宋体"/>
              </w:rPr>
              <w:t>国民经济</w:t>
            </w:r>
          </w:p>
          <w:p>
            <w:pPr>
              <w:adjustRightInd w:val="0"/>
              <w:snapToGrid w:val="0"/>
              <w:spacing w:line="360" w:lineRule="auto"/>
              <w:ind w:firstLine="0" w:firstLineChars="0"/>
              <w:jc w:val="center"/>
              <w:rPr>
                <w:rFonts w:cs="宋体"/>
              </w:rPr>
            </w:pPr>
            <w:r>
              <w:rPr>
                <w:rFonts w:hint="eastAsia" w:cs="宋体"/>
              </w:rPr>
              <w:t>行业类别</w:t>
            </w:r>
          </w:p>
        </w:tc>
        <w:tc>
          <w:tcPr>
            <w:tcW w:w="1989" w:type="dxa"/>
            <w:vAlign w:val="center"/>
          </w:tcPr>
          <w:p>
            <w:pPr>
              <w:adjustRightInd w:val="0"/>
              <w:snapToGrid w:val="0"/>
              <w:spacing w:line="360" w:lineRule="auto"/>
              <w:ind w:firstLine="0" w:firstLineChars="0"/>
              <w:jc w:val="center"/>
              <w:rPr>
                <w:rFonts w:cs="宋体"/>
              </w:rPr>
            </w:pPr>
            <w:r>
              <w:rPr>
                <w:rFonts w:hint="eastAsia" w:cs="宋体"/>
              </w:rPr>
              <w:t>汽车零部件及配件制造［C3670］</w:t>
            </w:r>
          </w:p>
        </w:tc>
        <w:tc>
          <w:tcPr>
            <w:tcW w:w="2217" w:type="dxa"/>
            <w:vAlign w:val="center"/>
          </w:tcPr>
          <w:p>
            <w:pPr>
              <w:adjustRightInd w:val="0"/>
              <w:snapToGrid w:val="0"/>
              <w:spacing w:line="360" w:lineRule="auto"/>
              <w:ind w:firstLine="0" w:firstLineChars="0"/>
              <w:jc w:val="center"/>
              <w:rPr>
                <w:rFonts w:cs="宋体"/>
              </w:rPr>
            </w:pPr>
            <w:bookmarkStart w:id="0" w:name="_Hlk49843745"/>
            <w:r>
              <w:rPr>
                <w:rFonts w:hint="eastAsia" w:cs="宋体"/>
              </w:rPr>
              <w:t>建设项目</w:t>
            </w:r>
          </w:p>
          <w:p>
            <w:pPr>
              <w:adjustRightInd w:val="0"/>
              <w:snapToGrid w:val="0"/>
              <w:spacing w:line="360" w:lineRule="auto"/>
              <w:ind w:firstLine="0" w:firstLineChars="0"/>
              <w:jc w:val="center"/>
              <w:rPr>
                <w:rFonts w:cs="宋体"/>
              </w:rPr>
            </w:pPr>
            <w:r>
              <w:rPr>
                <w:rFonts w:hint="eastAsia" w:cs="宋体"/>
              </w:rPr>
              <w:t>行业类别</w:t>
            </w:r>
            <w:bookmarkEnd w:id="0"/>
          </w:p>
        </w:tc>
        <w:tc>
          <w:tcPr>
            <w:tcW w:w="2974" w:type="dxa"/>
            <w:vAlign w:val="center"/>
          </w:tcPr>
          <w:p>
            <w:pPr>
              <w:adjustRightInd w:val="0"/>
              <w:snapToGrid w:val="0"/>
              <w:spacing w:line="360" w:lineRule="auto"/>
              <w:ind w:firstLine="0" w:firstLineChars="0"/>
              <w:jc w:val="center"/>
              <w:rPr>
                <w:rFonts w:ascii="宋体" w:hAnsi="宋体" w:cs="宋体"/>
              </w:rPr>
            </w:pPr>
            <w:r>
              <w:rPr>
                <w:rFonts w:hint="eastAsia" w:ascii="宋体" w:hAnsi="宋体" w:cs="宋体"/>
              </w:rPr>
              <w:t>三十三“汽车制造业36”中第71汽车零部件及配件制造367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300" w:hRule="atLeast"/>
          <w:jc w:val="center"/>
        </w:trPr>
        <w:tc>
          <w:tcPr>
            <w:tcW w:w="1905" w:type="dxa"/>
            <w:tcMar>
              <w:top w:w="16" w:type="dxa"/>
              <w:left w:w="16" w:type="dxa"/>
              <w:right w:w="16" w:type="dxa"/>
            </w:tcMar>
            <w:vAlign w:val="center"/>
          </w:tcPr>
          <w:p>
            <w:pPr>
              <w:adjustRightInd w:val="0"/>
              <w:snapToGrid w:val="0"/>
              <w:spacing w:line="360" w:lineRule="auto"/>
              <w:ind w:firstLine="0" w:firstLineChars="0"/>
              <w:jc w:val="center"/>
              <w:rPr>
                <w:rFonts w:cs="宋体"/>
              </w:rPr>
            </w:pPr>
            <w:r>
              <w:rPr>
                <w:rFonts w:hint="eastAsia" w:cs="宋体"/>
              </w:rPr>
              <w:t>建设性质</w:t>
            </w:r>
          </w:p>
        </w:tc>
        <w:tc>
          <w:tcPr>
            <w:tcW w:w="1989" w:type="dxa"/>
            <w:vAlign w:val="center"/>
          </w:tcPr>
          <w:p>
            <w:pPr>
              <w:spacing w:line="360" w:lineRule="auto"/>
              <w:ind w:firstLine="0" w:firstLineChars="0"/>
              <w:jc w:val="left"/>
              <w:rPr>
                <w:rFonts w:cs="宋体"/>
              </w:rPr>
            </w:pPr>
            <w:r>
              <w:rPr/>
              <w:sym w:font="Wingdings 2" w:char="0052"/>
            </w:r>
            <w:r>
              <w:rPr>
                <w:rFonts w:hint="eastAsia" w:cs="宋体"/>
              </w:rPr>
              <w:t>新建（迁建）</w:t>
            </w:r>
          </w:p>
          <w:p>
            <w:pPr>
              <w:spacing w:line="360" w:lineRule="auto"/>
              <w:ind w:firstLine="0" w:firstLineChars="0"/>
              <w:jc w:val="left"/>
              <w:rPr>
                <w:rFonts w:cs="宋体"/>
              </w:rPr>
            </w:pPr>
            <w:r>
              <w:rPr>
                <w:rFonts w:hint="eastAsia" w:cs="宋体"/>
              </w:rPr>
              <w:t>□改建</w:t>
            </w:r>
          </w:p>
          <w:p>
            <w:pPr>
              <w:spacing w:line="360" w:lineRule="auto"/>
              <w:ind w:firstLine="0" w:firstLineChars="0"/>
              <w:jc w:val="left"/>
              <w:rPr>
                <w:rFonts w:cs="宋体"/>
              </w:rPr>
            </w:pPr>
            <w:r>
              <w:rPr>
                <w:rFonts w:hint="eastAsia" w:cs="宋体"/>
              </w:rPr>
              <w:t>□扩建</w:t>
            </w:r>
          </w:p>
          <w:p>
            <w:pPr>
              <w:spacing w:line="360" w:lineRule="auto"/>
              <w:ind w:firstLine="0" w:firstLineChars="0"/>
              <w:jc w:val="left"/>
              <w:rPr>
                <w:rFonts w:cs="宋体"/>
              </w:rPr>
            </w:pPr>
            <w:r>
              <w:rPr>
                <w:rFonts w:hint="eastAsia" w:cs="宋体"/>
              </w:rPr>
              <w:t>□技术改造</w:t>
            </w:r>
          </w:p>
        </w:tc>
        <w:tc>
          <w:tcPr>
            <w:tcW w:w="2217" w:type="dxa"/>
            <w:vAlign w:val="center"/>
          </w:tcPr>
          <w:p>
            <w:pPr>
              <w:adjustRightInd w:val="0"/>
              <w:snapToGrid w:val="0"/>
              <w:spacing w:line="360" w:lineRule="auto"/>
              <w:ind w:firstLine="0" w:firstLineChars="0"/>
              <w:jc w:val="center"/>
              <w:rPr>
                <w:rFonts w:cs="宋体"/>
              </w:rPr>
            </w:pPr>
            <w:r>
              <w:rPr>
                <w:rFonts w:hint="eastAsia" w:cs="宋体"/>
              </w:rPr>
              <w:t>建设项目</w:t>
            </w:r>
          </w:p>
          <w:p>
            <w:pPr>
              <w:adjustRightInd w:val="0"/>
              <w:snapToGrid w:val="0"/>
              <w:spacing w:line="360" w:lineRule="auto"/>
              <w:ind w:firstLine="0" w:firstLineChars="0"/>
              <w:jc w:val="center"/>
              <w:rPr>
                <w:rFonts w:cs="宋体"/>
              </w:rPr>
            </w:pPr>
            <w:r>
              <w:rPr>
                <w:rFonts w:hint="eastAsia" w:cs="宋体"/>
              </w:rPr>
              <w:t>申报情形</w:t>
            </w:r>
          </w:p>
        </w:tc>
        <w:tc>
          <w:tcPr>
            <w:tcW w:w="2974" w:type="dxa"/>
            <w:vAlign w:val="center"/>
          </w:tcPr>
          <w:p>
            <w:pPr>
              <w:spacing w:line="360" w:lineRule="auto"/>
              <w:ind w:firstLine="0" w:firstLineChars="0"/>
              <w:jc w:val="left"/>
              <w:rPr>
                <w:rFonts w:cs="宋体"/>
              </w:rPr>
            </w:pPr>
            <w:r>
              <w:rPr/>
              <w:sym w:font="Wingdings 2" w:char="0052"/>
            </w:r>
            <w:r>
              <w:rPr>
                <w:rFonts w:hint="eastAsia" w:cs="宋体"/>
              </w:rPr>
              <w:t>首次申报项目</w:t>
            </w:r>
            <w:r>
              <w:rPr>
                <w:rFonts w:cs="宋体"/>
              </w:rPr>
              <w:t xml:space="preserve">             </w:t>
            </w:r>
          </w:p>
          <w:p>
            <w:pPr>
              <w:spacing w:line="360" w:lineRule="auto"/>
              <w:ind w:firstLine="0" w:firstLineChars="0"/>
              <w:jc w:val="left"/>
              <w:rPr>
                <w:rFonts w:cs="宋体"/>
              </w:rPr>
            </w:pPr>
            <w:r>
              <w:rPr>
                <w:rFonts w:hint="eastAsia" w:cs="宋体"/>
              </w:rPr>
              <w:t>□不予批准后再次申报项目</w:t>
            </w:r>
          </w:p>
          <w:p>
            <w:pPr>
              <w:spacing w:line="360" w:lineRule="auto"/>
              <w:ind w:firstLine="0" w:firstLineChars="0"/>
              <w:jc w:val="left"/>
              <w:rPr>
                <w:rFonts w:cs="宋体"/>
              </w:rPr>
            </w:pPr>
            <w:r>
              <w:rPr>
                <w:rFonts w:hint="eastAsia" w:cs="宋体"/>
              </w:rPr>
              <w:sym w:font="Wingdings 2" w:char="00A3"/>
            </w:r>
            <w:r>
              <w:rPr>
                <w:rFonts w:hint="eastAsia" w:cs="宋体"/>
              </w:rPr>
              <w:t>超五年重新审核项目</w:t>
            </w:r>
            <w:r>
              <w:rPr>
                <w:rFonts w:cs="宋体"/>
              </w:rPr>
              <w:t xml:space="preserve">     </w:t>
            </w:r>
          </w:p>
          <w:p>
            <w:pPr>
              <w:spacing w:line="360" w:lineRule="auto"/>
              <w:ind w:firstLine="0" w:firstLineChars="0"/>
              <w:jc w:val="left"/>
              <w:rPr>
                <w:rFonts w:cs="宋体"/>
              </w:rPr>
            </w:pPr>
            <w:r>
              <w:rPr>
                <w:rFonts w:hint="eastAsia" w:cs="宋体"/>
              </w:rPr>
              <w:t>□重大变动重新报批项目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905" w:type="dxa"/>
            <w:tcMar>
              <w:top w:w="16" w:type="dxa"/>
              <w:left w:w="16" w:type="dxa"/>
              <w:right w:w="16" w:type="dxa"/>
            </w:tcMar>
            <w:vAlign w:val="center"/>
          </w:tcPr>
          <w:p>
            <w:pPr>
              <w:adjustRightInd w:val="0"/>
              <w:snapToGrid w:val="0"/>
              <w:spacing w:line="360" w:lineRule="auto"/>
              <w:ind w:firstLine="0" w:firstLineChars="0"/>
              <w:jc w:val="center"/>
              <w:rPr>
                <w:rFonts w:cs="宋体"/>
              </w:rPr>
            </w:pPr>
            <w:r>
              <w:rPr>
                <w:rFonts w:hint="eastAsia" w:cs="宋体"/>
              </w:rPr>
              <w:t>项目审批（核准</w:t>
            </w:r>
            <w:r>
              <w:rPr>
                <w:rFonts w:cs="宋体"/>
              </w:rPr>
              <w:t>/</w:t>
            </w:r>
          </w:p>
          <w:p>
            <w:pPr>
              <w:adjustRightInd w:val="0"/>
              <w:snapToGrid w:val="0"/>
              <w:spacing w:line="360" w:lineRule="auto"/>
              <w:ind w:firstLine="0" w:firstLineChars="0"/>
              <w:jc w:val="center"/>
              <w:rPr>
                <w:rFonts w:cs="宋体"/>
              </w:rPr>
            </w:pPr>
            <w:r>
              <w:rPr>
                <w:rFonts w:hint="eastAsia" w:cs="宋体"/>
              </w:rPr>
              <w:t>备案）部门（选填）</w:t>
            </w:r>
          </w:p>
        </w:tc>
        <w:tc>
          <w:tcPr>
            <w:tcW w:w="1989" w:type="dxa"/>
            <w:vAlign w:val="center"/>
          </w:tcPr>
          <w:p>
            <w:pPr>
              <w:adjustRightInd w:val="0"/>
              <w:snapToGrid w:val="0"/>
              <w:spacing w:line="360" w:lineRule="auto"/>
              <w:ind w:firstLine="0" w:firstLineChars="0"/>
              <w:jc w:val="center"/>
              <w:rPr>
                <w:rFonts w:hint="default" w:eastAsia="宋体" w:cs="宋体"/>
                <w:lang w:val="en-US" w:eastAsia="zh-CN"/>
              </w:rPr>
            </w:pPr>
            <w:r>
              <w:rPr>
                <w:rFonts w:hint="eastAsia" w:cs="宋体"/>
                <w:lang w:val="en-US" w:eastAsia="zh-CN"/>
              </w:rPr>
              <w:t>芜湖经济技术开发区管理委员会</w:t>
            </w:r>
          </w:p>
        </w:tc>
        <w:tc>
          <w:tcPr>
            <w:tcW w:w="2217" w:type="dxa"/>
            <w:vAlign w:val="center"/>
          </w:tcPr>
          <w:p>
            <w:pPr>
              <w:adjustRightInd w:val="0"/>
              <w:snapToGrid w:val="0"/>
              <w:spacing w:line="360" w:lineRule="auto"/>
              <w:ind w:firstLine="0" w:firstLineChars="0"/>
              <w:jc w:val="center"/>
              <w:rPr>
                <w:rFonts w:cs="宋体"/>
              </w:rPr>
            </w:pPr>
            <w:r>
              <w:rPr>
                <w:rFonts w:hint="eastAsia" w:cs="宋体"/>
              </w:rPr>
              <w:t>项目审批（核准</w:t>
            </w:r>
            <w:r>
              <w:rPr>
                <w:rFonts w:cs="宋体"/>
              </w:rPr>
              <w:t>/</w:t>
            </w:r>
          </w:p>
          <w:p>
            <w:pPr>
              <w:adjustRightInd w:val="0"/>
              <w:snapToGrid w:val="0"/>
              <w:spacing w:line="360" w:lineRule="auto"/>
              <w:ind w:firstLine="0" w:firstLineChars="0"/>
              <w:jc w:val="center"/>
              <w:rPr>
                <w:rFonts w:cs="宋体"/>
              </w:rPr>
            </w:pPr>
            <w:r>
              <w:rPr>
                <w:rFonts w:hint="eastAsia" w:cs="宋体"/>
              </w:rPr>
              <w:t>备案）文号（选填）</w:t>
            </w:r>
          </w:p>
        </w:tc>
        <w:tc>
          <w:tcPr>
            <w:tcW w:w="2974" w:type="dxa"/>
            <w:vAlign w:val="center"/>
          </w:tcPr>
          <w:p>
            <w:pPr>
              <w:adjustRightInd w:val="0"/>
              <w:snapToGrid w:val="0"/>
              <w:spacing w:line="360" w:lineRule="auto"/>
              <w:ind w:firstLine="0" w:firstLineChars="0"/>
              <w:jc w:val="center"/>
              <w:rPr>
                <w:rFonts w:cs="宋体"/>
              </w:rPr>
            </w:pPr>
            <w:r>
              <w:rPr>
                <w:rFonts w:hint="eastAsia"/>
                <w:lang w:val="en-US" w:eastAsia="zh-CN"/>
              </w:rPr>
              <w:t>开备案〔</w:t>
            </w:r>
            <w:r>
              <w:rPr>
                <w:rFonts w:hint="eastAsia"/>
              </w:rPr>
              <w:t>202</w:t>
            </w:r>
            <w:r>
              <w:rPr>
                <w:rFonts w:hint="eastAsia"/>
                <w:lang w:val="en-US" w:eastAsia="zh-CN"/>
              </w:rPr>
              <w:t>4〕160</w:t>
            </w:r>
            <w:r>
              <w:rPr>
                <w:rFonts w:hint="eastAsia"/>
              </w:rPr>
              <w:t>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905" w:type="dxa"/>
            <w:tcMar>
              <w:top w:w="16" w:type="dxa"/>
              <w:left w:w="16" w:type="dxa"/>
              <w:right w:w="16" w:type="dxa"/>
            </w:tcMar>
            <w:vAlign w:val="center"/>
          </w:tcPr>
          <w:p>
            <w:pPr>
              <w:adjustRightInd w:val="0"/>
              <w:snapToGrid w:val="0"/>
              <w:spacing w:line="360" w:lineRule="auto"/>
              <w:ind w:firstLine="0" w:firstLineChars="0"/>
              <w:jc w:val="center"/>
              <w:rPr>
                <w:rFonts w:cs="宋体"/>
              </w:rPr>
            </w:pPr>
            <w:r>
              <w:rPr>
                <w:rFonts w:hint="eastAsia" w:cs="宋体"/>
              </w:rPr>
              <w:t>总投资（万元）</w:t>
            </w:r>
          </w:p>
        </w:tc>
        <w:tc>
          <w:tcPr>
            <w:tcW w:w="1989" w:type="dxa"/>
            <w:vAlign w:val="center"/>
          </w:tcPr>
          <w:p>
            <w:pPr>
              <w:keepNext w:val="0"/>
              <w:keepLines w:val="0"/>
              <w:pageBreakBefore w:val="0"/>
              <w:widowControl w:val="0"/>
              <w:kinsoku/>
              <w:wordWrap/>
              <w:overflowPunct/>
              <w:topLinePunct w:val="0"/>
              <w:autoSpaceDE/>
              <w:autoSpaceDN/>
              <w:bidi w:val="0"/>
              <w:adjustRightInd w:val="0"/>
              <w:snapToGrid/>
              <w:spacing w:line="360" w:lineRule="auto"/>
              <w:ind w:firstLine="0" w:firstLineChars="0"/>
              <w:jc w:val="center"/>
              <w:textAlignment w:val="auto"/>
              <w:rPr>
                <w:rFonts w:cs="宋体"/>
              </w:rPr>
            </w:pPr>
            <w:r>
              <w:rPr>
                <w:rFonts w:hint="eastAsia" w:cs="宋体"/>
              </w:rPr>
              <w:t>2897.6</w:t>
            </w:r>
          </w:p>
        </w:tc>
        <w:tc>
          <w:tcPr>
            <w:tcW w:w="2217" w:type="dxa"/>
            <w:tcMar>
              <w:top w:w="16" w:type="dxa"/>
              <w:left w:w="16" w:type="dxa"/>
              <w:right w:w="16" w:type="dxa"/>
            </w:tcMar>
            <w:vAlign w:val="center"/>
          </w:tcPr>
          <w:p>
            <w:pPr>
              <w:adjustRightInd w:val="0"/>
              <w:snapToGrid w:val="0"/>
              <w:spacing w:line="360" w:lineRule="auto"/>
              <w:ind w:firstLine="0" w:firstLineChars="0"/>
              <w:jc w:val="center"/>
              <w:rPr>
                <w:rFonts w:cs="宋体"/>
              </w:rPr>
            </w:pPr>
            <w:r>
              <w:rPr>
                <w:rFonts w:hint="eastAsia" w:cs="宋体"/>
              </w:rPr>
              <w:t>环保投资（万元）</w:t>
            </w:r>
          </w:p>
        </w:tc>
        <w:tc>
          <w:tcPr>
            <w:tcW w:w="2974" w:type="dxa"/>
            <w:vAlign w:val="center"/>
          </w:tcPr>
          <w:p>
            <w:pPr>
              <w:adjustRightInd w:val="0"/>
              <w:snapToGrid w:val="0"/>
              <w:spacing w:line="360" w:lineRule="auto"/>
              <w:ind w:firstLine="0" w:firstLineChars="0"/>
              <w:jc w:val="center"/>
              <w:rPr>
                <w:rFonts w:hint="default" w:eastAsia="宋体" w:cs="宋体"/>
                <w:lang w:val="en-US" w:eastAsia="zh-CN"/>
              </w:rPr>
            </w:pPr>
            <w:r>
              <w:rPr>
                <w:rFonts w:hint="eastAsia" w:cs="宋体"/>
                <w:lang w:val="en-US" w:eastAsia="zh-CN"/>
              </w:rPr>
              <w:t>24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62" w:hRule="atLeast"/>
          <w:jc w:val="center"/>
        </w:trPr>
        <w:tc>
          <w:tcPr>
            <w:tcW w:w="1905" w:type="dxa"/>
            <w:tcMar>
              <w:top w:w="16" w:type="dxa"/>
              <w:left w:w="16" w:type="dxa"/>
              <w:right w:w="16" w:type="dxa"/>
            </w:tcMar>
            <w:vAlign w:val="center"/>
          </w:tcPr>
          <w:p>
            <w:pPr>
              <w:adjustRightInd w:val="0"/>
              <w:snapToGrid w:val="0"/>
              <w:spacing w:line="360" w:lineRule="auto"/>
              <w:ind w:firstLine="0" w:firstLineChars="0"/>
              <w:jc w:val="center"/>
              <w:rPr>
                <w:rFonts w:cs="宋体"/>
              </w:rPr>
            </w:pPr>
            <w:r>
              <w:rPr>
                <w:rFonts w:hint="eastAsia" w:cs="宋体"/>
              </w:rPr>
              <w:t>环保投资占比（</w:t>
            </w:r>
            <w:r>
              <w:rPr>
                <w:rFonts w:cs="宋体"/>
              </w:rPr>
              <w:t>%</w:t>
            </w:r>
            <w:r>
              <w:rPr>
                <w:rFonts w:hint="eastAsia" w:cs="宋体"/>
              </w:rPr>
              <w:t>）</w:t>
            </w:r>
          </w:p>
        </w:tc>
        <w:tc>
          <w:tcPr>
            <w:tcW w:w="1989" w:type="dxa"/>
            <w:vAlign w:val="center"/>
          </w:tcPr>
          <w:p>
            <w:pPr>
              <w:adjustRightInd w:val="0"/>
              <w:snapToGrid w:val="0"/>
              <w:spacing w:line="360" w:lineRule="auto"/>
              <w:ind w:firstLine="0" w:firstLineChars="0"/>
              <w:jc w:val="center"/>
              <w:rPr>
                <w:rFonts w:hint="default" w:eastAsia="宋体" w:cs="宋体"/>
                <w:lang w:val="en-US" w:eastAsia="zh-CN"/>
              </w:rPr>
            </w:pPr>
            <w:r>
              <w:rPr>
                <w:rFonts w:hint="eastAsia" w:cs="宋体"/>
                <w:lang w:val="en-US" w:eastAsia="zh-CN"/>
              </w:rPr>
              <w:t>0.83</w:t>
            </w:r>
          </w:p>
        </w:tc>
        <w:tc>
          <w:tcPr>
            <w:tcW w:w="2217" w:type="dxa"/>
            <w:tcMar>
              <w:top w:w="16" w:type="dxa"/>
              <w:left w:w="16" w:type="dxa"/>
              <w:right w:w="16" w:type="dxa"/>
            </w:tcMar>
            <w:vAlign w:val="center"/>
          </w:tcPr>
          <w:p>
            <w:pPr>
              <w:adjustRightInd w:val="0"/>
              <w:snapToGrid w:val="0"/>
              <w:spacing w:line="360" w:lineRule="auto"/>
              <w:ind w:firstLine="0" w:firstLineChars="0"/>
              <w:jc w:val="center"/>
              <w:rPr>
                <w:rFonts w:cs="宋体"/>
              </w:rPr>
            </w:pPr>
            <w:r>
              <w:rPr>
                <w:rFonts w:hint="eastAsia" w:cs="宋体"/>
              </w:rPr>
              <w:t>施工工期</w:t>
            </w:r>
          </w:p>
        </w:tc>
        <w:tc>
          <w:tcPr>
            <w:tcW w:w="2974" w:type="dxa"/>
            <w:vAlign w:val="center"/>
          </w:tcPr>
          <w:p>
            <w:pPr>
              <w:adjustRightInd w:val="0"/>
              <w:snapToGrid w:val="0"/>
              <w:spacing w:line="360" w:lineRule="auto"/>
              <w:ind w:firstLine="0" w:firstLineChars="0"/>
              <w:jc w:val="center"/>
              <w:rPr>
                <w:rFonts w:hint="default" w:eastAsia="宋体" w:cs="宋体"/>
                <w:lang w:val="en-US" w:eastAsia="zh-CN"/>
              </w:rPr>
            </w:pPr>
            <w:r>
              <w:rPr>
                <w:rFonts w:hint="eastAsia" w:cs="宋体"/>
                <w:lang w:val="en-US" w:eastAsia="zh-CN"/>
              </w:rPr>
              <w:t>12个月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905" w:type="dxa"/>
            <w:tcMar>
              <w:top w:w="16" w:type="dxa"/>
              <w:left w:w="16" w:type="dxa"/>
              <w:right w:w="16" w:type="dxa"/>
            </w:tcMar>
            <w:vAlign w:val="center"/>
          </w:tcPr>
          <w:p>
            <w:pPr>
              <w:adjustRightInd w:val="0"/>
              <w:snapToGrid w:val="0"/>
              <w:spacing w:line="360" w:lineRule="auto"/>
              <w:ind w:firstLine="0" w:firstLineChars="0"/>
              <w:jc w:val="center"/>
              <w:rPr>
                <w:rFonts w:cs="宋体"/>
              </w:rPr>
            </w:pPr>
            <w:r>
              <w:rPr>
                <w:rFonts w:hint="eastAsia" w:cs="宋体"/>
              </w:rPr>
              <w:t>是否开工建设</w:t>
            </w:r>
          </w:p>
        </w:tc>
        <w:tc>
          <w:tcPr>
            <w:tcW w:w="1989" w:type="dxa"/>
            <w:vAlign w:val="center"/>
          </w:tcPr>
          <w:p>
            <w:pPr>
              <w:adjustRightInd w:val="0"/>
              <w:snapToGrid w:val="0"/>
              <w:spacing w:line="360" w:lineRule="auto"/>
              <w:ind w:firstLine="0" w:firstLineChars="0"/>
              <w:rPr>
                <w:rFonts w:cs="宋体"/>
              </w:rPr>
            </w:pPr>
            <w:r>
              <w:rPr/>
              <w:sym w:font="Wingdings 2" w:char="0052"/>
            </w:r>
            <w:r>
              <w:rPr>
                <w:rFonts w:hint="eastAsia" w:cs="宋体"/>
              </w:rPr>
              <w:t>否</w:t>
            </w:r>
          </w:p>
          <w:p>
            <w:pPr>
              <w:adjustRightInd w:val="0"/>
              <w:snapToGrid w:val="0"/>
              <w:spacing w:line="360" w:lineRule="auto"/>
              <w:ind w:firstLine="0" w:firstLineChars="0"/>
              <w:rPr>
                <w:rFonts w:cs="宋体"/>
              </w:rPr>
            </w:pPr>
            <w:r>
              <w:rPr>
                <w:rFonts w:hint="eastAsia" w:cs="宋体"/>
              </w:rPr>
              <w:sym w:font="Wingdings 2" w:char="00A3"/>
            </w:r>
            <w:r>
              <w:rPr>
                <w:rFonts w:hint="eastAsia" w:cs="宋体"/>
              </w:rPr>
              <w:t>是</w:t>
            </w:r>
          </w:p>
        </w:tc>
        <w:tc>
          <w:tcPr>
            <w:tcW w:w="2217" w:type="dxa"/>
            <w:tcMar>
              <w:top w:w="16" w:type="dxa"/>
              <w:left w:w="16" w:type="dxa"/>
              <w:right w:w="16" w:type="dxa"/>
            </w:tcMar>
            <w:vAlign w:val="center"/>
          </w:tcPr>
          <w:p>
            <w:pPr>
              <w:adjustRightInd w:val="0"/>
              <w:snapToGrid w:val="0"/>
              <w:spacing w:line="360" w:lineRule="auto"/>
              <w:ind w:firstLine="0" w:firstLineChars="0"/>
              <w:jc w:val="center"/>
              <w:rPr>
                <w:rFonts w:cs="宋体"/>
                <w:spacing w:val="-6"/>
              </w:rPr>
            </w:pPr>
            <w:r>
              <w:rPr>
                <w:rFonts w:hint="eastAsia" w:cs="宋体"/>
                <w:spacing w:val="-6"/>
              </w:rPr>
              <w:t>用地（用海）</w:t>
            </w:r>
          </w:p>
          <w:p>
            <w:pPr>
              <w:adjustRightInd w:val="0"/>
              <w:snapToGrid w:val="0"/>
              <w:spacing w:line="360" w:lineRule="auto"/>
              <w:ind w:firstLine="0" w:firstLineChars="0"/>
              <w:jc w:val="center"/>
              <w:rPr>
                <w:rFonts w:cs="宋体"/>
              </w:rPr>
            </w:pPr>
            <w:r>
              <w:rPr>
                <w:rFonts w:hint="eastAsia" w:cs="宋体"/>
                <w:spacing w:val="-6"/>
              </w:rPr>
              <w:t>面积（</w:t>
            </w:r>
            <w:r>
              <w:rPr>
                <w:rFonts w:cs="宋体"/>
                <w:spacing w:val="-6"/>
              </w:rPr>
              <w:t>m</w:t>
            </w:r>
            <w:r>
              <w:rPr>
                <w:rFonts w:cs="宋体"/>
                <w:spacing w:val="-6"/>
                <w:vertAlign w:val="superscript"/>
              </w:rPr>
              <w:t>2</w:t>
            </w:r>
            <w:r>
              <w:rPr>
                <w:rFonts w:hint="eastAsia" w:cs="宋体"/>
                <w:spacing w:val="-6"/>
              </w:rPr>
              <w:t>）</w:t>
            </w:r>
          </w:p>
        </w:tc>
        <w:tc>
          <w:tcPr>
            <w:tcW w:w="2974" w:type="dxa"/>
            <w:vAlign w:val="center"/>
          </w:tcPr>
          <w:p>
            <w:pPr>
              <w:adjustRightInd w:val="0"/>
              <w:snapToGrid w:val="0"/>
              <w:spacing w:line="360" w:lineRule="auto"/>
              <w:ind w:firstLine="0" w:firstLineChars="0"/>
              <w:jc w:val="center"/>
              <w:rPr>
                <w:rFonts w:hint="default" w:eastAsia="宋体" w:cs="宋体"/>
                <w:lang w:val="en-US" w:eastAsia="zh-CN"/>
              </w:rPr>
            </w:pPr>
            <w:r>
              <w:rPr>
                <w:rFonts w:hint="eastAsia" w:cs="宋体"/>
                <w:lang w:val="en-US" w:eastAsia="zh-CN"/>
              </w:rPr>
              <w:t>12666.71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905" w:type="dxa"/>
            <w:vAlign w:val="center"/>
          </w:tcPr>
          <w:p>
            <w:pPr>
              <w:autoSpaceDE w:val="0"/>
              <w:autoSpaceDN w:val="0"/>
              <w:adjustRightInd w:val="0"/>
              <w:snapToGrid w:val="0"/>
              <w:spacing w:line="360" w:lineRule="auto"/>
              <w:ind w:firstLine="0" w:firstLineChars="0"/>
              <w:jc w:val="center"/>
              <w:rPr>
                <w:rFonts w:cs="宋体"/>
                <w:kern w:val="0"/>
              </w:rPr>
            </w:pPr>
            <w:r>
              <w:rPr>
                <w:rFonts w:hint="eastAsia" w:cs="宋体"/>
                <w:kern w:val="0"/>
              </w:rPr>
              <w:t>专项评价设置情况</w:t>
            </w:r>
          </w:p>
        </w:tc>
        <w:tc>
          <w:tcPr>
            <w:tcW w:w="7180" w:type="dxa"/>
            <w:gridSpan w:val="3"/>
            <w:vAlign w:val="center"/>
          </w:tcPr>
          <w:p>
            <w:pPr>
              <w:autoSpaceDE w:val="0"/>
              <w:autoSpaceDN w:val="0"/>
              <w:adjustRightInd w:val="0"/>
              <w:snapToGrid w:val="0"/>
              <w:spacing w:line="360" w:lineRule="auto"/>
              <w:ind w:firstLine="0" w:firstLineChars="0"/>
              <w:jc w:val="center"/>
              <w:rPr>
                <w:rFonts w:cs="宋体"/>
                <w:kern w:val="0"/>
              </w:rPr>
            </w:pPr>
            <w:r>
              <w:rPr>
                <w:rFonts w:hint="eastAsia" w:cs="宋体"/>
                <w:kern w:val="0"/>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905" w:type="dxa"/>
            <w:vAlign w:val="center"/>
          </w:tcPr>
          <w:p>
            <w:pPr>
              <w:autoSpaceDE w:val="0"/>
              <w:autoSpaceDN w:val="0"/>
              <w:adjustRightInd w:val="0"/>
              <w:snapToGrid w:val="0"/>
              <w:spacing w:line="360" w:lineRule="auto"/>
              <w:ind w:firstLine="0" w:firstLineChars="0"/>
              <w:jc w:val="center"/>
              <w:rPr>
                <w:rFonts w:cs="宋体"/>
                <w:kern w:val="0"/>
              </w:rPr>
            </w:pPr>
            <w:r>
              <w:rPr>
                <w:rFonts w:hint="eastAsia" w:cs="宋体"/>
                <w:kern w:val="0"/>
              </w:rPr>
              <w:t>规划情况</w:t>
            </w:r>
          </w:p>
        </w:tc>
        <w:tc>
          <w:tcPr>
            <w:tcW w:w="7180" w:type="dxa"/>
            <w:gridSpan w:val="3"/>
            <w:vAlign w:val="center"/>
          </w:tcPr>
          <w:p>
            <w:pPr>
              <w:autoSpaceDE w:val="0"/>
              <w:autoSpaceDN w:val="0"/>
              <w:adjustRightInd w:val="0"/>
              <w:snapToGrid w:val="0"/>
              <w:spacing w:line="360" w:lineRule="auto"/>
              <w:ind w:firstLine="0" w:firstLineChars="0"/>
              <w:rPr>
                <w:rFonts w:hint="eastAsia" w:cs="宋体"/>
                <w:kern w:val="0"/>
              </w:rPr>
            </w:pPr>
            <w:r>
              <w:rPr>
                <w:rFonts w:hint="eastAsia" w:cs="宋体"/>
                <w:kern w:val="0"/>
              </w:rPr>
              <w:t>规划名称：《芜湖经济技术开发区总体规划（2006-2020）》</w:t>
            </w:r>
          </w:p>
          <w:p>
            <w:pPr>
              <w:autoSpaceDE w:val="0"/>
              <w:autoSpaceDN w:val="0"/>
              <w:adjustRightInd w:val="0"/>
              <w:snapToGrid w:val="0"/>
              <w:spacing w:line="360" w:lineRule="auto"/>
              <w:ind w:firstLine="0" w:firstLineChars="0"/>
              <w:rPr>
                <w:rFonts w:hint="eastAsia" w:cs="宋体"/>
                <w:kern w:val="0"/>
              </w:rPr>
            </w:pPr>
            <w:r>
              <w:rPr>
                <w:rFonts w:hint="eastAsia" w:cs="宋体"/>
                <w:kern w:val="0"/>
              </w:rPr>
              <w:t>审查机关：国家发改委、国土部、建设部</w:t>
            </w:r>
          </w:p>
          <w:p>
            <w:pPr>
              <w:autoSpaceDE w:val="0"/>
              <w:autoSpaceDN w:val="0"/>
              <w:adjustRightInd w:val="0"/>
              <w:snapToGrid w:val="0"/>
              <w:spacing w:line="360" w:lineRule="auto"/>
              <w:ind w:firstLine="0" w:firstLineChars="0"/>
              <w:rPr>
                <w:rFonts w:cs="宋体"/>
                <w:kern w:val="0"/>
              </w:rPr>
            </w:pPr>
            <w:r>
              <w:rPr>
                <w:rFonts w:hint="eastAsia" w:cs="宋体"/>
                <w:kern w:val="0"/>
              </w:rPr>
              <w:t>审批文号：2007年第18号公告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69" w:hRule="atLeast"/>
          <w:jc w:val="center"/>
        </w:trPr>
        <w:tc>
          <w:tcPr>
            <w:tcW w:w="1905" w:type="dxa"/>
            <w:vAlign w:val="center"/>
          </w:tcPr>
          <w:p>
            <w:pPr>
              <w:autoSpaceDE w:val="0"/>
              <w:autoSpaceDN w:val="0"/>
              <w:adjustRightInd w:val="0"/>
              <w:snapToGrid w:val="0"/>
              <w:spacing w:line="360" w:lineRule="auto"/>
              <w:ind w:firstLine="0" w:firstLineChars="0"/>
              <w:jc w:val="center"/>
              <w:rPr>
                <w:rFonts w:cs="宋体"/>
                <w:kern w:val="0"/>
              </w:rPr>
            </w:pPr>
            <w:r>
              <w:rPr>
                <w:rFonts w:hint="eastAsia" w:cs="宋体"/>
                <w:kern w:val="0"/>
              </w:rPr>
              <w:t>规划环境影响</w:t>
            </w:r>
          </w:p>
          <w:p>
            <w:pPr>
              <w:autoSpaceDE w:val="0"/>
              <w:autoSpaceDN w:val="0"/>
              <w:adjustRightInd w:val="0"/>
              <w:snapToGrid w:val="0"/>
              <w:spacing w:line="360" w:lineRule="auto"/>
              <w:ind w:firstLine="0" w:firstLineChars="0"/>
              <w:jc w:val="center"/>
              <w:rPr>
                <w:rFonts w:cs="宋体"/>
                <w:kern w:val="0"/>
              </w:rPr>
            </w:pPr>
            <w:r>
              <w:rPr>
                <w:rFonts w:hint="eastAsia" w:cs="宋体"/>
                <w:kern w:val="0"/>
              </w:rPr>
              <w:t>评价情况</w:t>
            </w:r>
          </w:p>
        </w:tc>
        <w:tc>
          <w:tcPr>
            <w:tcW w:w="7180" w:type="dxa"/>
            <w:gridSpan w:val="3"/>
            <w:vAlign w:val="center"/>
          </w:tcPr>
          <w:p>
            <w:pPr>
              <w:autoSpaceDE w:val="0"/>
              <w:autoSpaceDN w:val="0"/>
              <w:adjustRightInd w:val="0"/>
              <w:snapToGrid w:val="0"/>
              <w:spacing w:line="360" w:lineRule="auto"/>
              <w:ind w:firstLine="0" w:firstLineChars="0"/>
              <w:jc w:val="left"/>
              <w:rPr>
                <w:rFonts w:hint="eastAsia"/>
                <w:kern w:val="21"/>
              </w:rPr>
            </w:pPr>
            <w:r>
              <w:rPr>
                <w:rFonts w:hint="eastAsia"/>
                <w:kern w:val="21"/>
              </w:rPr>
              <w:t>规划环评：《芜湖经济技术开发区环境影响报告书》</w:t>
            </w:r>
          </w:p>
          <w:p>
            <w:pPr>
              <w:autoSpaceDE w:val="0"/>
              <w:autoSpaceDN w:val="0"/>
              <w:adjustRightInd w:val="0"/>
              <w:snapToGrid w:val="0"/>
              <w:spacing w:line="360" w:lineRule="auto"/>
              <w:ind w:firstLine="0" w:firstLineChars="0"/>
              <w:jc w:val="left"/>
              <w:rPr>
                <w:rFonts w:hint="eastAsia"/>
                <w:kern w:val="21"/>
              </w:rPr>
            </w:pPr>
            <w:r>
              <w:rPr>
                <w:rFonts w:hint="eastAsia"/>
                <w:kern w:val="21"/>
              </w:rPr>
              <w:t>审查机关：国家环境保护总局</w:t>
            </w:r>
          </w:p>
          <w:p>
            <w:pPr>
              <w:autoSpaceDE w:val="0"/>
              <w:autoSpaceDN w:val="0"/>
              <w:adjustRightInd w:val="0"/>
              <w:snapToGrid w:val="0"/>
              <w:spacing w:line="360" w:lineRule="auto"/>
              <w:ind w:firstLine="0" w:firstLineChars="0"/>
              <w:jc w:val="left"/>
              <w:rPr>
                <w:kern w:val="21"/>
              </w:rPr>
            </w:pPr>
            <w:r>
              <w:rPr>
                <w:rFonts w:hint="eastAsia"/>
                <w:kern w:val="21"/>
              </w:rPr>
              <w:t>审查意见文号：环审【2003】30号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98" w:hRule="atLeast"/>
          <w:jc w:val="center"/>
        </w:trPr>
        <w:tc>
          <w:tcPr>
            <w:tcW w:w="1905" w:type="dxa"/>
            <w:vAlign w:val="center"/>
          </w:tcPr>
          <w:p>
            <w:pPr>
              <w:autoSpaceDE w:val="0"/>
              <w:autoSpaceDN w:val="0"/>
              <w:adjustRightInd w:val="0"/>
              <w:snapToGrid w:val="0"/>
              <w:ind w:firstLine="0" w:firstLineChars="0"/>
              <w:jc w:val="center"/>
              <w:rPr>
                <w:rFonts w:cs="宋体"/>
                <w:kern w:val="0"/>
              </w:rPr>
            </w:pPr>
            <w:r>
              <w:rPr>
                <w:rFonts w:hint="eastAsia" w:cs="宋体"/>
                <w:kern w:val="0"/>
              </w:rPr>
              <w:t>规划及规划环境影响评价符合性分析</w:t>
            </w:r>
          </w:p>
        </w:tc>
        <w:tc>
          <w:tcPr>
            <w:tcW w:w="7180" w:type="dxa"/>
            <w:gridSpan w:val="3"/>
            <w:vAlign w:val="center"/>
          </w:tcPr>
          <w:p>
            <w:pPr>
              <w:numPr>
                <w:ilvl w:val="0"/>
                <w:numId w:val="6"/>
              </w:numPr>
              <w:spacing w:before="156"/>
              <w:ind w:firstLine="482"/>
              <w:rPr>
                <w:rFonts w:hint="eastAsia"/>
                <w:b/>
                <w:bCs/>
              </w:rPr>
            </w:pPr>
            <w:r>
              <w:rPr>
                <w:rFonts w:hint="eastAsia"/>
                <w:b/>
                <w:bCs/>
              </w:rPr>
              <w:t>规划用地相符性分析</w:t>
            </w:r>
          </w:p>
          <w:p>
            <w:pPr>
              <w:rPr>
                <w:rFonts w:hint="eastAsia"/>
              </w:rPr>
            </w:pPr>
            <w:r>
              <w:rPr>
                <w:rFonts w:hint="eastAsia"/>
              </w:rPr>
              <w:t>项目位于</w:t>
            </w:r>
            <w:r>
              <w:rPr>
                <w:rFonts w:hint="eastAsia" w:cs="宋体"/>
              </w:rPr>
              <w:t>安徽省芜湖市经济技术开发区龙山街道祥和路52号（芜湖戎征达伺服智能装备研发与中试基地建设项目综合厂房内）</w:t>
            </w:r>
            <w:r>
              <w:rPr>
                <w:rFonts w:hint="eastAsia"/>
              </w:rPr>
              <w:t>，项目区土地性质为工业用地，且本项目未被列入国土资源部国家发展和改革委员会关于发布实施《限制用地项目目录（2012年本）》和《禁止用地项目目录（2012年本）》。因此，建设项目与区域规划相符，与用地性质相符。</w:t>
            </w:r>
          </w:p>
          <w:p>
            <w:pPr>
              <w:numPr>
                <w:ilvl w:val="0"/>
                <w:numId w:val="6"/>
              </w:numPr>
              <w:spacing w:before="156"/>
              <w:ind w:firstLine="482"/>
              <w:rPr>
                <w:rFonts w:hint="eastAsia"/>
              </w:rPr>
            </w:pPr>
            <w:r>
              <w:rPr>
                <w:rFonts w:hint="eastAsia"/>
                <w:b/>
                <w:bCs/>
              </w:rPr>
              <w:t>规划环评相符性分析</w:t>
            </w:r>
          </w:p>
          <w:p>
            <w:pPr>
              <w:ind w:firstLine="480"/>
              <w:rPr>
                <w:rFonts w:hint="eastAsia"/>
              </w:rPr>
            </w:pPr>
            <w:r>
              <w:rPr>
                <w:rFonts w:hint="eastAsia"/>
              </w:rPr>
              <w:t>根据《芜湖经济技术开发区总体规划（2006-2020）》，对安徽芜湖经济技术开发区进行发展规划。</w:t>
            </w:r>
          </w:p>
          <w:p>
            <w:pPr>
              <w:ind w:firstLine="480"/>
              <w:rPr>
                <w:rFonts w:hint="eastAsia"/>
              </w:rPr>
            </w:pPr>
            <w:r>
              <w:rPr>
                <w:rFonts w:hint="eastAsia"/>
              </w:rPr>
              <w:t>（1）行业符合性</w:t>
            </w:r>
          </w:p>
          <w:p>
            <w:pPr>
              <w:ind w:firstLine="480"/>
              <w:rPr>
                <w:rFonts w:hint="eastAsia"/>
              </w:rPr>
            </w:pPr>
            <w:r>
              <w:rPr>
                <w:rFonts w:hint="eastAsia"/>
              </w:rPr>
              <w:t>芜湖经济技术开发区主导产业为新型建材、汽车零部件以及电子信息产业，本项目属于C3670汽车零部件及配件制造，主要产品为</w:t>
            </w:r>
            <w:r>
              <w:rPr>
                <w:rFonts w:hint="eastAsia" w:ascii="宋体" w:hAnsi="宋体" w:eastAsia="宋体" w:cs="宋体"/>
              </w:rPr>
              <w:t>汽车模具（含夹检具）</w:t>
            </w:r>
            <w:r>
              <w:rPr>
                <w:rFonts w:hint="eastAsia" w:ascii="宋体" w:hAnsi="宋体" w:cs="宋体"/>
                <w:lang w:val="en-US" w:eastAsia="zh-CN"/>
              </w:rPr>
              <w:t>和</w:t>
            </w:r>
            <w:r>
              <w:rPr>
                <w:rFonts w:hint="eastAsia" w:ascii="宋体" w:hAnsi="宋体" w:eastAsia="宋体" w:cs="宋体"/>
              </w:rPr>
              <w:t>新能源汽车冲焊件</w:t>
            </w:r>
            <w:r>
              <w:rPr>
                <w:rFonts w:hint="eastAsia"/>
              </w:rPr>
              <w:t>，属于园区主导产业汽车及零部件产业，符合所属区域汽车产业链发展方向。</w:t>
            </w:r>
          </w:p>
          <w:p>
            <w:pPr>
              <w:ind w:firstLine="480"/>
              <w:rPr>
                <w:rFonts w:hint="eastAsia"/>
              </w:rPr>
            </w:pPr>
            <w:r>
              <w:rPr>
                <w:rFonts w:hint="eastAsia"/>
              </w:rPr>
              <w:t>（2）产业园区用地符合性</w:t>
            </w:r>
          </w:p>
          <w:p>
            <w:pPr>
              <w:ind w:firstLine="480"/>
              <w:rPr>
                <w:rFonts w:hint="eastAsia"/>
              </w:rPr>
            </w:pPr>
            <w:r>
              <w:rPr>
                <w:rFonts w:hint="eastAsia"/>
              </w:rPr>
              <w:t>①本项目位于</w:t>
            </w:r>
            <w:r>
              <w:rPr>
                <w:rFonts w:hint="eastAsia" w:cs="宋体"/>
              </w:rPr>
              <w:t>安徽省芜湖市经济技术开发区龙山街道祥和路52号（芜湖戎征达伺服智能装备研发与中试基地建设项目综合厂房内）</w:t>
            </w:r>
            <w:r>
              <w:rPr>
                <w:rFonts w:hint="eastAsia"/>
              </w:rPr>
              <w:t>。根据芜湖经济技术开发区总体发展规划内容，项目建设用地性质为工业用地，符合相关用地要求。</w:t>
            </w:r>
          </w:p>
          <w:p>
            <w:pPr>
              <w:ind w:firstLine="480"/>
            </w:pPr>
            <w:r>
              <w:rPr>
                <w:rFonts w:hint="eastAsia"/>
              </w:rPr>
              <w:t>②项目区周边500m无文物保护、饮用水源地等敏感环境保护目标，且本项目未被列入国土资源部国家发展和改革委员会关于发布实施《限制用地项目目录（2012年本）》和《禁止用地项目目录（2012年本）》。因此，建设项目与区域规划相符，与用地性质相符。</w:t>
            </w:r>
          </w:p>
          <w:p>
            <w:pPr>
              <w:numPr>
                <w:ilvl w:val="0"/>
                <w:numId w:val="6"/>
              </w:numPr>
              <w:spacing w:before="156"/>
              <w:ind w:firstLine="482"/>
              <w:rPr>
                <w:b/>
                <w:bCs/>
              </w:rPr>
            </w:pPr>
            <w:r>
              <w:rPr>
                <w:rFonts w:hint="eastAsia"/>
                <w:b/>
                <w:bCs/>
              </w:rPr>
              <w:t>规划环境影响评价及其审查意见符合性分析</w:t>
            </w:r>
          </w:p>
          <w:p>
            <w:pPr>
              <w:ind w:firstLine="480"/>
            </w:pPr>
            <w:r>
              <w:rPr>
                <w:rFonts w:hint="eastAsia"/>
              </w:rPr>
              <w:t>项目与安徽芜湖经济技术开发区总体规划环境影响报告书审查意见符合性分析如下：</w:t>
            </w:r>
          </w:p>
          <w:p>
            <w:pPr>
              <w:pStyle w:val="23"/>
              <w:rPr>
                <w:bCs/>
              </w:rPr>
            </w:pPr>
            <w:r>
              <w:rPr>
                <w:bCs/>
              </w:rPr>
              <w:t>表</w:t>
            </w:r>
            <w:r>
              <w:rPr>
                <w:rFonts w:hint="eastAsia"/>
                <w:bCs/>
              </w:rPr>
              <w:t>1-1</w:t>
            </w:r>
            <w:r>
              <w:rPr>
                <w:bCs/>
              </w:rPr>
              <w:t xml:space="preserve">  </w:t>
            </w:r>
            <w:r>
              <w:rPr>
                <w:rFonts w:hint="eastAsia"/>
                <w:bCs/>
              </w:rPr>
              <w:t>项目与开发区规划环评审查意见相符性分析</w:t>
            </w:r>
          </w:p>
          <w:tbl>
            <w:tblPr>
              <w:tblStyle w:val="16"/>
              <w:tblW w:w="4999"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736"/>
              <w:gridCol w:w="2303"/>
              <w:gridCol w:w="92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2683" w:type="pct"/>
                  <w:tcBorders>
                    <w:tl2br w:val="nil"/>
                    <w:tr2bl w:val="nil"/>
                  </w:tcBorders>
                  <w:vAlign w:val="center"/>
                </w:tcPr>
                <w:p>
                  <w:pPr>
                    <w:pStyle w:val="22"/>
                    <w:bidi w:val="0"/>
                    <w:rPr>
                      <w:rFonts w:hint="default"/>
                      <w:b/>
                      <w:bCs/>
                    </w:rPr>
                  </w:pPr>
                  <w:r>
                    <w:rPr>
                      <w:rFonts w:hint="eastAsia"/>
                      <w:b/>
                      <w:bCs/>
                    </w:rPr>
                    <w:t>规划环评审查意见内容</w:t>
                  </w:r>
                </w:p>
              </w:tc>
              <w:tc>
                <w:tcPr>
                  <w:tcW w:w="1654" w:type="pct"/>
                  <w:tcBorders>
                    <w:tl2br w:val="nil"/>
                    <w:tr2bl w:val="nil"/>
                  </w:tcBorders>
                  <w:vAlign w:val="center"/>
                </w:tcPr>
                <w:p>
                  <w:pPr>
                    <w:pStyle w:val="22"/>
                    <w:bidi w:val="0"/>
                    <w:rPr>
                      <w:rFonts w:hint="default"/>
                      <w:b/>
                      <w:bCs/>
                    </w:rPr>
                  </w:pPr>
                  <w:r>
                    <w:rPr>
                      <w:rFonts w:hint="eastAsia"/>
                      <w:b/>
                      <w:bCs/>
                    </w:rPr>
                    <w:t>本项目情况</w:t>
                  </w:r>
                </w:p>
              </w:tc>
              <w:tc>
                <w:tcPr>
                  <w:tcW w:w="662" w:type="pct"/>
                  <w:tcBorders>
                    <w:tl2br w:val="nil"/>
                    <w:tr2bl w:val="nil"/>
                  </w:tcBorders>
                  <w:vAlign w:val="center"/>
                </w:tcPr>
                <w:p>
                  <w:pPr>
                    <w:pStyle w:val="22"/>
                    <w:bidi w:val="0"/>
                    <w:rPr>
                      <w:rFonts w:hint="default"/>
                      <w:b/>
                      <w:bCs/>
                    </w:rPr>
                  </w:pPr>
                  <w:r>
                    <w:rPr>
                      <w:rFonts w:hint="eastAsia"/>
                      <w:b/>
                      <w:bCs/>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683" w:type="pct"/>
                  <w:tcBorders>
                    <w:tl2br w:val="nil"/>
                    <w:tr2bl w:val="nil"/>
                  </w:tcBorders>
                  <w:vAlign w:val="center"/>
                </w:tcPr>
                <w:p>
                  <w:pPr>
                    <w:pStyle w:val="22"/>
                    <w:bidi w:val="0"/>
                    <w:rPr>
                      <w:rFonts w:hint="default"/>
                    </w:rPr>
                  </w:pPr>
                  <w:r>
                    <w:rPr>
                      <w:rFonts w:hint="eastAsia"/>
                    </w:rPr>
                    <w:t>按照循环经济的思想和清洁生产的要求，树立从源头控制环境污染和生态破坏的理念。根据开发区功能布局，引导和控制产业发展，做好入区建设项目的污染防治和污染物排放总量控制，促进开发区的可持续发展。</w:t>
                  </w:r>
                </w:p>
              </w:tc>
              <w:tc>
                <w:tcPr>
                  <w:tcW w:w="1654" w:type="pct"/>
                  <w:tcBorders>
                    <w:tl2br w:val="nil"/>
                    <w:tr2bl w:val="nil"/>
                  </w:tcBorders>
                  <w:vAlign w:val="center"/>
                </w:tcPr>
                <w:p>
                  <w:pPr>
                    <w:pStyle w:val="22"/>
                    <w:bidi w:val="0"/>
                    <w:rPr>
                      <w:rFonts w:hint="default"/>
                    </w:rPr>
                  </w:pPr>
                  <w:r>
                    <w:rPr>
                      <w:rFonts w:hint="eastAsia"/>
                    </w:rPr>
                    <w:t>本</w:t>
                  </w:r>
                  <w:r>
                    <w:rPr>
                      <w:rFonts w:hint="eastAsia"/>
                      <w:sz w:val="21"/>
                      <w:lang w:val="en-US" w:eastAsia="zh-CN"/>
                    </w:rPr>
                    <w:t>项目位于</w:t>
                  </w:r>
                  <w:r>
                    <w:rPr>
                      <w:rFonts w:hint="eastAsia" w:cs="宋体"/>
                    </w:rPr>
                    <w:t>安徽省芜湖市经济技术开发区龙山街道祥和路52号</w:t>
                  </w:r>
                  <w:r>
                    <w:rPr>
                      <w:rFonts w:hint="eastAsia"/>
                      <w:sz w:val="21"/>
                      <w:lang w:eastAsia="zh-CN"/>
                    </w:rPr>
                    <w:t>，</w:t>
                  </w:r>
                  <w:r>
                    <w:rPr>
                      <w:rFonts w:hint="eastAsia"/>
                    </w:rPr>
                    <w:t>用地性质为工业用地，项目建成后产生的各类污染物在采取相应的治理措施后，各项污染物均能做到达标排放</w:t>
                  </w:r>
                </w:p>
              </w:tc>
              <w:tc>
                <w:tcPr>
                  <w:tcW w:w="662" w:type="pct"/>
                  <w:tcBorders>
                    <w:tl2br w:val="nil"/>
                    <w:tr2bl w:val="nil"/>
                  </w:tcBorders>
                  <w:vAlign w:val="center"/>
                </w:tcPr>
                <w:p>
                  <w:pPr>
                    <w:pStyle w:val="22"/>
                    <w:bidi w:val="0"/>
                    <w:rPr>
                      <w:rFonts w:hint="default"/>
                    </w:rPr>
                  </w:pPr>
                  <w:r>
                    <w:rPr>
                      <w:rFonts w:hint="default"/>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683" w:type="pct"/>
                  <w:tcBorders>
                    <w:tl2br w:val="nil"/>
                    <w:tr2bl w:val="nil"/>
                  </w:tcBorders>
                  <w:vAlign w:val="center"/>
                </w:tcPr>
                <w:p>
                  <w:pPr>
                    <w:pStyle w:val="22"/>
                    <w:bidi w:val="0"/>
                    <w:rPr>
                      <w:rFonts w:hint="default"/>
                    </w:rPr>
                  </w:pPr>
                  <w:r>
                    <w:rPr>
                      <w:rFonts w:hint="eastAsia"/>
                    </w:rPr>
                    <w:t>尽早实施开发区集中供热，逐步消除分散的中、低架大气污染源。推行使用清洁能源，调整开发区的能源结构。入区建设项目应采取清洁生产工，所有工艺废气必须达标排放，新建项目必须符合报告书中的开发区大气污染物排放总量限值。通过区域大气污染物总量控制、能源结构调整等措施，实现开发区大气环境质量目标。</w:t>
                  </w:r>
                </w:p>
              </w:tc>
              <w:tc>
                <w:tcPr>
                  <w:tcW w:w="1654" w:type="pct"/>
                  <w:tcBorders>
                    <w:tl2br w:val="nil"/>
                    <w:tr2bl w:val="nil"/>
                  </w:tcBorders>
                  <w:vAlign w:val="center"/>
                </w:tcPr>
                <w:p>
                  <w:pPr>
                    <w:pStyle w:val="22"/>
                    <w:bidi w:val="0"/>
                    <w:rPr>
                      <w:rFonts w:hint="default"/>
                    </w:rPr>
                  </w:pPr>
                  <w:r>
                    <w:rPr>
                      <w:rFonts w:hint="eastAsia"/>
                    </w:rPr>
                    <w:t>本项目运营期消耗能源主要为水、电等清洁能源；废气采取了</w:t>
                  </w:r>
                  <w:r>
                    <w:rPr>
                      <w:rFonts w:hint="eastAsia"/>
                      <w:lang w:val="en-US" w:eastAsia="zh-CN"/>
                    </w:rPr>
                    <w:t>有</w:t>
                  </w:r>
                  <w:r>
                    <w:rPr>
                      <w:rFonts w:hint="eastAsia"/>
                    </w:rPr>
                    <w:t>效措施治理后，对环境质量影响较小，能够达到开发区大气污染物</w:t>
                  </w:r>
                  <w:r>
                    <w:rPr>
                      <w:rFonts w:hint="eastAsia"/>
                      <w:lang w:val="en-US" w:eastAsia="zh-CN"/>
                    </w:rPr>
                    <w:t>排</w:t>
                  </w:r>
                  <w:r>
                    <w:rPr>
                      <w:rFonts w:hint="eastAsia"/>
                    </w:rPr>
                    <w:t>放总量限值。</w:t>
                  </w:r>
                </w:p>
              </w:tc>
              <w:tc>
                <w:tcPr>
                  <w:tcW w:w="662" w:type="pct"/>
                  <w:tcBorders>
                    <w:tl2br w:val="nil"/>
                    <w:tr2bl w:val="nil"/>
                  </w:tcBorders>
                  <w:vAlign w:val="center"/>
                </w:tcPr>
                <w:p>
                  <w:pPr>
                    <w:pStyle w:val="22"/>
                    <w:bidi w:val="0"/>
                    <w:rPr>
                      <w:rFonts w:hint="default"/>
                    </w:rPr>
                  </w:pPr>
                  <w:r>
                    <w:rPr>
                      <w:rFonts w:hint="default"/>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683" w:type="pct"/>
                  <w:tcBorders>
                    <w:tl2br w:val="nil"/>
                    <w:tr2bl w:val="nil"/>
                  </w:tcBorders>
                  <w:vAlign w:val="center"/>
                </w:tcPr>
                <w:p>
                  <w:pPr>
                    <w:pStyle w:val="22"/>
                    <w:bidi w:val="0"/>
                    <w:rPr>
                      <w:rFonts w:hint="default"/>
                    </w:rPr>
                  </w:pPr>
                  <w:r>
                    <w:rPr>
                      <w:rFonts w:hint="eastAsia"/>
                    </w:rPr>
                    <w:t>按照减量化、资源化、无害化原则妥善处理、处置开发区的各种固体废物。生活垃圾必须做到无害化处理，处理方式可以结合芜湖市城市生活垃圾处理规划确定，开发区内不宜建设生活垃圾填埋场。应按国家有关规定落实开发区危险废物和一般工业固体废物的统一处理、处置途径。</w:t>
                  </w:r>
                </w:p>
              </w:tc>
              <w:tc>
                <w:tcPr>
                  <w:tcW w:w="1654" w:type="pct"/>
                  <w:tcBorders>
                    <w:tl2br w:val="nil"/>
                    <w:tr2bl w:val="nil"/>
                  </w:tcBorders>
                  <w:vAlign w:val="center"/>
                </w:tcPr>
                <w:p>
                  <w:pPr>
                    <w:pStyle w:val="22"/>
                    <w:bidi w:val="0"/>
                    <w:rPr>
                      <w:rFonts w:hint="default"/>
                    </w:rPr>
                  </w:pPr>
                  <w:r>
                    <w:rPr>
                      <w:rFonts w:hint="eastAsia"/>
                    </w:rPr>
                    <w:t>本项目产生的危险废物暂存于危废库，定期交由有资质单位处置，厂内设置垃圾桶收集生活垃圾，由环卫部门处置。</w:t>
                  </w:r>
                </w:p>
              </w:tc>
              <w:tc>
                <w:tcPr>
                  <w:tcW w:w="662" w:type="pct"/>
                  <w:tcBorders>
                    <w:tl2br w:val="nil"/>
                    <w:tr2bl w:val="nil"/>
                  </w:tcBorders>
                  <w:vAlign w:val="center"/>
                </w:tcPr>
                <w:p>
                  <w:pPr>
                    <w:pStyle w:val="22"/>
                    <w:bidi w:val="0"/>
                    <w:rPr>
                      <w:rFonts w:hint="default"/>
                    </w:rPr>
                  </w:pPr>
                  <w:r>
                    <w:rPr>
                      <w:rFonts w:hint="default"/>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683" w:type="pct"/>
                  <w:tcBorders>
                    <w:tl2br w:val="nil"/>
                    <w:tr2bl w:val="nil"/>
                  </w:tcBorders>
                  <w:vAlign w:val="center"/>
                </w:tcPr>
                <w:p>
                  <w:pPr>
                    <w:pStyle w:val="22"/>
                    <w:bidi w:val="0"/>
                    <w:rPr>
                      <w:rFonts w:hint="default"/>
                    </w:rPr>
                  </w:pPr>
                  <w:r>
                    <w:rPr>
                      <w:rFonts w:hint="eastAsia"/>
                    </w:rPr>
                    <w:t>同意建设南、北两个污水处理厂，污水处理厂采用二级生化处理工艺，设计规模分别为13万吨/日，和10万吨/日。污水排放口应离长江岸100m。应抓紧污水处理厂和配套管网的建设，污水处理工艺应考虑脱氮除磷的要求。开发区实行清污分流，雨污分流。加强污水处理厂进水水质的监控，高浓度废水应预处理达到接管标准后排入开发区污水处理厂。结合北部工业区发展需要，考虑建立污水处理厂中水回用系统</w:t>
                  </w:r>
                </w:p>
              </w:tc>
              <w:tc>
                <w:tcPr>
                  <w:tcW w:w="1654" w:type="pct"/>
                  <w:tcBorders>
                    <w:tl2br w:val="nil"/>
                    <w:tr2bl w:val="nil"/>
                  </w:tcBorders>
                  <w:vAlign w:val="center"/>
                </w:tcPr>
                <w:p>
                  <w:pPr>
                    <w:pStyle w:val="22"/>
                    <w:bidi w:val="0"/>
                    <w:rPr>
                      <w:rFonts w:hint="default"/>
                    </w:rPr>
                  </w:pPr>
                  <w:r>
                    <w:rPr>
                      <w:rFonts w:hint="eastAsia"/>
                    </w:rPr>
                    <w:t>本项目</w:t>
                  </w:r>
                  <w:r>
                    <w:rPr>
                      <w:rFonts w:hint="eastAsia"/>
                      <w:highlight w:val="none"/>
                    </w:rPr>
                    <w:t>区域内实行雨污分流。排入开发区北部污水处理厂</w:t>
                  </w:r>
                  <w:r>
                    <w:rPr>
                      <w:rFonts w:hint="eastAsia"/>
                      <w:highlight w:val="none"/>
                      <w:lang w:eastAsia="zh-CN"/>
                    </w:rPr>
                    <w:t>（</w:t>
                  </w:r>
                  <w:r>
                    <w:rPr>
                      <w:rFonts w:hint="eastAsia"/>
                      <w:highlight w:val="none"/>
                      <w:lang w:val="en-US" w:eastAsia="zh-CN"/>
                    </w:rPr>
                    <w:t>天门山污水处理厂</w:t>
                  </w:r>
                  <w:r>
                    <w:rPr>
                      <w:rFonts w:hint="eastAsia"/>
                      <w:highlight w:val="none"/>
                      <w:lang w:eastAsia="zh-CN"/>
                    </w:rPr>
                    <w:t>）</w:t>
                  </w:r>
                  <w:r>
                    <w:rPr>
                      <w:rFonts w:hint="eastAsia"/>
                      <w:highlight w:val="none"/>
                    </w:rPr>
                    <w:t>。</w:t>
                  </w:r>
                </w:p>
              </w:tc>
              <w:tc>
                <w:tcPr>
                  <w:tcW w:w="662" w:type="pct"/>
                  <w:tcBorders>
                    <w:tl2br w:val="nil"/>
                    <w:tr2bl w:val="nil"/>
                  </w:tcBorders>
                  <w:vAlign w:val="center"/>
                </w:tcPr>
                <w:p>
                  <w:pPr>
                    <w:pStyle w:val="22"/>
                    <w:bidi w:val="0"/>
                    <w:rPr>
                      <w:rFonts w:hint="default"/>
                    </w:rPr>
                  </w:pPr>
                  <w:r>
                    <w:rPr>
                      <w:rFonts w:hint="eastAsia"/>
                    </w:rPr>
                    <w:t>符合</w:t>
                  </w:r>
                </w:p>
                <w:p>
                  <w:pPr>
                    <w:pStyle w:val="22"/>
                    <w:bidi w:val="0"/>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683" w:type="pct"/>
                  <w:tcBorders>
                    <w:tl2br w:val="nil"/>
                    <w:tr2bl w:val="nil"/>
                  </w:tcBorders>
                  <w:vAlign w:val="center"/>
                </w:tcPr>
                <w:p>
                  <w:pPr>
                    <w:pStyle w:val="22"/>
                    <w:bidi w:val="0"/>
                    <w:rPr>
                      <w:rFonts w:hint="default"/>
                    </w:rPr>
                  </w:pPr>
                  <w:r>
                    <w:rPr>
                      <w:rFonts w:hint="eastAsia"/>
                    </w:rPr>
                    <w:t>根据开发区全年以偏东风为主要风向和长江芜湖段南北走向的特征，适当调整开发区布局，自东向西规划住宅发展带、生态景观带、工业区和港口码头区等南北走向的带状功能区</w:t>
                  </w:r>
                </w:p>
              </w:tc>
              <w:tc>
                <w:tcPr>
                  <w:tcW w:w="1654" w:type="pct"/>
                  <w:tcBorders>
                    <w:tl2br w:val="nil"/>
                    <w:tr2bl w:val="nil"/>
                  </w:tcBorders>
                  <w:vAlign w:val="center"/>
                </w:tcPr>
                <w:p>
                  <w:pPr>
                    <w:pStyle w:val="22"/>
                    <w:bidi w:val="0"/>
                    <w:rPr>
                      <w:rFonts w:hint="default"/>
                    </w:rPr>
                  </w:pPr>
                  <w:r>
                    <w:rPr>
                      <w:rFonts w:hint="eastAsia"/>
                    </w:rPr>
                    <w:t>企业位于芜湖经济开</w:t>
                  </w:r>
                </w:p>
                <w:p>
                  <w:pPr>
                    <w:pStyle w:val="22"/>
                    <w:bidi w:val="0"/>
                    <w:rPr>
                      <w:rFonts w:hint="default"/>
                    </w:rPr>
                  </w:pPr>
                  <w:r>
                    <w:rPr>
                      <w:rFonts w:hint="eastAsia"/>
                    </w:rPr>
                    <w:t>发区，位于芜湖市区主</w:t>
                  </w:r>
                </w:p>
                <w:p>
                  <w:pPr>
                    <w:pStyle w:val="22"/>
                    <w:bidi w:val="0"/>
                    <w:rPr>
                      <w:rFonts w:hint="default"/>
                    </w:rPr>
                  </w:pPr>
                  <w:r>
                    <w:rPr>
                      <w:rFonts w:hint="eastAsia"/>
                    </w:rPr>
                    <w:t>导风向下风向</w:t>
                  </w:r>
                </w:p>
              </w:tc>
              <w:tc>
                <w:tcPr>
                  <w:tcW w:w="662" w:type="pct"/>
                  <w:tcBorders>
                    <w:tl2br w:val="nil"/>
                    <w:tr2bl w:val="nil"/>
                  </w:tcBorders>
                  <w:vAlign w:val="center"/>
                </w:tcPr>
                <w:p>
                  <w:pPr>
                    <w:pStyle w:val="22"/>
                    <w:bidi w:val="0"/>
                    <w:rPr>
                      <w:rFonts w:hint="default"/>
                    </w:rPr>
                  </w:pPr>
                  <w:r>
                    <w:rPr>
                      <w:rFonts w:hint="eastAsia"/>
                    </w:rPr>
                    <w:t>符合</w:t>
                  </w:r>
                </w:p>
              </w:tc>
            </w:tr>
          </w:tbl>
          <w:p>
            <w:pPr>
              <w:numPr>
                <w:ilvl w:val="0"/>
                <w:numId w:val="6"/>
              </w:numPr>
              <w:spacing w:before="156"/>
              <w:ind w:firstLine="482"/>
              <w:rPr>
                <w:rFonts w:hint="eastAsia"/>
                <w:b/>
                <w:bCs/>
              </w:rPr>
            </w:pPr>
            <w:r>
              <w:rPr>
                <w:rFonts w:hint="eastAsia"/>
                <w:b/>
                <w:bCs/>
              </w:rPr>
              <w:t>与环境影响区域评估报告相符性分析</w:t>
            </w:r>
          </w:p>
          <w:p>
            <w:pPr>
              <w:rPr>
                <w:rFonts w:hint="eastAsia"/>
                <w:bCs/>
                <w:kern w:val="0"/>
              </w:rPr>
            </w:pPr>
            <w:r>
              <w:rPr>
                <w:rFonts w:hint="eastAsia"/>
                <w:bCs/>
                <w:kern w:val="0"/>
              </w:rPr>
              <w:t>综合考虑规划空间管制要求、环境质量现状和目标等因素，芜湖经济技术开发区规划产业发展目标为将开发区建设成为产业集聚、特色鲜明、功能完备，适宜投资创业、各项事业全面进步、辐射能力较强、示范作用明显的现代化低碳产业园区。</w:t>
            </w:r>
          </w:p>
          <w:p>
            <w:pPr>
              <w:rPr>
                <w:rFonts w:hint="eastAsia"/>
                <w:bCs/>
                <w:kern w:val="0"/>
              </w:rPr>
            </w:pPr>
            <w:r>
              <w:rPr>
                <w:rFonts w:hint="eastAsia"/>
                <w:bCs/>
                <w:kern w:val="0"/>
              </w:rPr>
              <w:t>从环境保护角度分析开发区产业定位基本合理，评估根据原规划环评提出的准入名录，提出了开发区环境准入清单，用于指导评估区域内后续项目入驻。</w:t>
            </w:r>
          </w:p>
          <w:p>
            <w:pPr>
              <w:pStyle w:val="23"/>
              <w:bidi w:val="0"/>
              <w:rPr>
                <w:rFonts w:hint="eastAsia"/>
              </w:rPr>
            </w:pPr>
            <w:r>
              <w:rPr>
                <w:rFonts w:hint="eastAsia"/>
              </w:rPr>
              <w:t xml:space="preserve">表1-2 </w:t>
            </w:r>
            <w:r>
              <w:rPr>
                <w:rFonts w:hint="eastAsia"/>
                <w:lang w:val="en-US" w:eastAsia="zh-CN"/>
              </w:rPr>
              <w:t xml:space="preserve"> </w:t>
            </w:r>
            <w:r>
              <w:rPr>
                <w:rFonts w:hint="eastAsia"/>
              </w:rPr>
              <w:t>环境影响区域评估 环境准入清单</w:t>
            </w:r>
          </w:p>
          <w:tbl>
            <w:tblPr>
              <w:tblStyle w:val="15"/>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980"/>
              <w:gridCol w:w="532"/>
              <w:gridCol w:w="5450"/>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704" w:type="pct"/>
                  <w:tcBorders>
                    <w:tl2br w:val="nil"/>
                    <w:tr2bl w:val="nil"/>
                  </w:tcBorders>
                  <w:vAlign w:val="center"/>
                </w:tcPr>
                <w:p>
                  <w:pPr>
                    <w:pStyle w:val="22"/>
                    <w:bidi w:val="0"/>
                    <w:rPr>
                      <w:rFonts w:hint="default"/>
                      <w:b/>
                      <w:bCs/>
                      <w:lang w:eastAsia="zh-CN"/>
                    </w:rPr>
                  </w:pPr>
                  <w:r>
                    <w:rPr>
                      <w:rFonts w:hint="eastAsia"/>
                      <w:b/>
                      <w:bCs/>
                      <w:lang w:eastAsia="zh-CN"/>
                    </w:rPr>
                    <w:t>清单类别</w:t>
                  </w:r>
                </w:p>
              </w:tc>
              <w:tc>
                <w:tcPr>
                  <w:tcW w:w="4295" w:type="pct"/>
                  <w:gridSpan w:val="2"/>
                  <w:tcBorders>
                    <w:tl2br w:val="nil"/>
                    <w:tr2bl w:val="nil"/>
                  </w:tcBorders>
                  <w:vAlign w:val="center"/>
                </w:tcPr>
                <w:p>
                  <w:pPr>
                    <w:pStyle w:val="22"/>
                    <w:bidi w:val="0"/>
                    <w:rPr>
                      <w:rFonts w:hint="default"/>
                      <w:b/>
                      <w:bCs/>
                    </w:rPr>
                  </w:pPr>
                  <w:r>
                    <w:rPr>
                      <w:rFonts w:hint="eastAsia"/>
                      <w:b/>
                      <w:bCs/>
                    </w:rPr>
                    <w:t>准入清单、控制要求</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704" w:type="pct"/>
                  <w:vMerge w:val="restart"/>
                  <w:tcBorders>
                    <w:tl2br w:val="nil"/>
                    <w:tr2bl w:val="nil"/>
                  </w:tcBorders>
                  <w:vAlign w:val="center"/>
                </w:tcPr>
                <w:p>
                  <w:pPr>
                    <w:pStyle w:val="22"/>
                    <w:bidi w:val="0"/>
                    <w:rPr>
                      <w:rFonts w:hint="default"/>
                      <w:lang w:eastAsia="zh-CN"/>
                    </w:rPr>
                  </w:pPr>
                  <w:r>
                    <w:rPr>
                      <w:rFonts w:hint="eastAsia"/>
                      <w:lang w:eastAsia="zh-CN"/>
                    </w:rPr>
                    <w:t>优先引入</w:t>
                  </w:r>
                </w:p>
              </w:tc>
              <w:tc>
                <w:tcPr>
                  <w:tcW w:w="4295" w:type="pct"/>
                  <w:gridSpan w:val="2"/>
                  <w:tcBorders>
                    <w:tl2br w:val="nil"/>
                    <w:tr2bl w:val="nil"/>
                  </w:tcBorders>
                  <w:vAlign w:val="center"/>
                </w:tcPr>
                <w:p>
                  <w:pPr>
                    <w:pStyle w:val="22"/>
                    <w:bidi w:val="0"/>
                    <w:rPr>
                      <w:rFonts w:hint="default"/>
                      <w:lang w:eastAsia="zh-CN"/>
                    </w:rPr>
                  </w:pPr>
                  <w:r>
                    <w:rPr>
                      <w:rFonts w:hint="eastAsia"/>
                      <w:lang w:eastAsia="zh-CN"/>
                    </w:rPr>
                    <w:t>符合开发区产业定位（三大主导产业）的项目；</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704" w:type="pct"/>
                  <w:vMerge w:val="continue"/>
                  <w:tcBorders>
                    <w:tl2br w:val="nil"/>
                    <w:tr2bl w:val="nil"/>
                  </w:tcBorders>
                  <w:vAlign w:val="center"/>
                </w:tcPr>
                <w:p>
                  <w:pPr>
                    <w:pStyle w:val="22"/>
                    <w:bidi w:val="0"/>
                    <w:rPr>
                      <w:rFonts w:hint="default"/>
                      <w:lang w:eastAsia="zh-CN"/>
                    </w:rPr>
                  </w:pPr>
                </w:p>
              </w:tc>
              <w:tc>
                <w:tcPr>
                  <w:tcW w:w="4295" w:type="pct"/>
                  <w:gridSpan w:val="2"/>
                  <w:tcBorders>
                    <w:tl2br w:val="nil"/>
                    <w:tr2bl w:val="nil"/>
                  </w:tcBorders>
                  <w:vAlign w:val="center"/>
                </w:tcPr>
                <w:p>
                  <w:pPr>
                    <w:pStyle w:val="22"/>
                    <w:bidi w:val="0"/>
                    <w:rPr>
                      <w:rFonts w:hint="default"/>
                      <w:lang w:eastAsia="zh-CN"/>
                    </w:rPr>
                  </w:pPr>
                  <w:r>
                    <w:rPr>
                      <w:rFonts w:hint="eastAsia"/>
                      <w:lang w:eastAsia="zh-CN"/>
                    </w:rPr>
                    <w:t>科技含量高、产品附加值高的项目、能源资源消耗少、排污小的企业；</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704" w:type="pct"/>
                  <w:vMerge w:val="continue"/>
                  <w:tcBorders>
                    <w:tl2br w:val="nil"/>
                    <w:tr2bl w:val="nil"/>
                  </w:tcBorders>
                  <w:vAlign w:val="center"/>
                </w:tcPr>
                <w:p>
                  <w:pPr>
                    <w:pStyle w:val="22"/>
                    <w:bidi w:val="0"/>
                    <w:rPr>
                      <w:rFonts w:hint="default"/>
                      <w:lang w:eastAsia="zh-CN"/>
                    </w:rPr>
                  </w:pPr>
                </w:p>
              </w:tc>
              <w:tc>
                <w:tcPr>
                  <w:tcW w:w="4295" w:type="pct"/>
                  <w:gridSpan w:val="2"/>
                  <w:tcBorders>
                    <w:tl2br w:val="nil"/>
                    <w:tr2bl w:val="nil"/>
                  </w:tcBorders>
                  <w:vAlign w:val="center"/>
                </w:tcPr>
                <w:p>
                  <w:pPr>
                    <w:pStyle w:val="22"/>
                    <w:bidi w:val="0"/>
                    <w:rPr>
                      <w:rFonts w:hint="default"/>
                      <w:lang w:eastAsia="zh-CN"/>
                    </w:rPr>
                  </w:pPr>
                  <w:r>
                    <w:rPr>
                      <w:rFonts w:hint="eastAsia"/>
                      <w:lang w:eastAsia="zh-CN"/>
                    </w:rPr>
                    <w:t>符合产业定位且属于《产业结构调整指导目录(2019年版)》、《战略性新兴产业分类(2018)》(国家统计局令第23号)等政策文件中的项目；</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704" w:type="pct"/>
                  <w:vMerge w:val="continue"/>
                  <w:tcBorders>
                    <w:tl2br w:val="nil"/>
                    <w:tr2bl w:val="nil"/>
                  </w:tcBorders>
                  <w:vAlign w:val="center"/>
                </w:tcPr>
                <w:p>
                  <w:pPr>
                    <w:pStyle w:val="22"/>
                    <w:bidi w:val="0"/>
                    <w:rPr>
                      <w:rFonts w:hint="default"/>
                      <w:lang w:eastAsia="zh-CN"/>
                    </w:rPr>
                  </w:pPr>
                </w:p>
              </w:tc>
              <w:tc>
                <w:tcPr>
                  <w:tcW w:w="382" w:type="pct"/>
                  <w:vMerge w:val="restart"/>
                  <w:tcBorders>
                    <w:tl2br w:val="nil"/>
                    <w:tr2bl w:val="nil"/>
                  </w:tcBorders>
                  <w:vAlign w:val="center"/>
                </w:tcPr>
                <w:p>
                  <w:pPr>
                    <w:pStyle w:val="22"/>
                    <w:bidi w:val="0"/>
                    <w:rPr>
                      <w:rFonts w:hint="default"/>
                      <w:lang w:eastAsia="zh-CN"/>
                    </w:rPr>
                  </w:pPr>
                  <w:r>
                    <w:rPr>
                      <w:rFonts w:hint="eastAsia"/>
                      <w:lang w:eastAsia="zh-CN"/>
                    </w:rPr>
                    <w:t>汽车及其零部件制造业</w:t>
                  </w:r>
                </w:p>
              </w:tc>
              <w:tc>
                <w:tcPr>
                  <w:tcW w:w="3913" w:type="pct"/>
                  <w:tcBorders>
                    <w:tl2br w:val="nil"/>
                    <w:tr2bl w:val="nil"/>
                  </w:tcBorders>
                  <w:vAlign w:val="center"/>
                </w:tcPr>
                <w:p>
                  <w:pPr>
                    <w:pStyle w:val="22"/>
                    <w:bidi w:val="0"/>
                    <w:rPr>
                      <w:rFonts w:hint="default"/>
                    </w:rPr>
                  </w:pPr>
                  <w:r>
                    <w:rPr>
                      <w:rFonts w:hint="eastAsia"/>
                    </w:rPr>
                    <w:t>36汽车制造业</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704" w:type="pct"/>
                  <w:vMerge w:val="continue"/>
                  <w:tcBorders>
                    <w:tl2br w:val="nil"/>
                    <w:tr2bl w:val="nil"/>
                  </w:tcBorders>
                  <w:vAlign w:val="center"/>
                </w:tcPr>
                <w:p>
                  <w:pPr>
                    <w:pStyle w:val="22"/>
                    <w:bidi w:val="0"/>
                    <w:rPr>
                      <w:rFonts w:hint="default"/>
                    </w:rPr>
                  </w:pPr>
                </w:p>
              </w:tc>
              <w:tc>
                <w:tcPr>
                  <w:tcW w:w="382" w:type="pct"/>
                  <w:vMerge w:val="continue"/>
                  <w:tcBorders>
                    <w:tl2br w:val="nil"/>
                    <w:tr2bl w:val="nil"/>
                  </w:tcBorders>
                  <w:vAlign w:val="center"/>
                </w:tcPr>
                <w:p>
                  <w:pPr>
                    <w:pStyle w:val="22"/>
                    <w:bidi w:val="0"/>
                    <w:rPr>
                      <w:rFonts w:hint="default"/>
                    </w:rPr>
                  </w:pPr>
                </w:p>
              </w:tc>
              <w:tc>
                <w:tcPr>
                  <w:tcW w:w="3913" w:type="pct"/>
                  <w:tcBorders>
                    <w:tl2br w:val="nil"/>
                    <w:tr2bl w:val="nil"/>
                  </w:tcBorders>
                  <w:vAlign w:val="center"/>
                </w:tcPr>
                <w:p>
                  <w:pPr>
                    <w:pStyle w:val="22"/>
                    <w:bidi w:val="0"/>
                    <w:rPr>
                      <w:rFonts w:hint="default"/>
                      <w:lang w:eastAsia="zh-CN"/>
                    </w:rPr>
                  </w:pPr>
                  <w:r>
                    <w:rPr>
                      <w:rFonts w:hint="eastAsia"/>
                      <w:lang w:eastAsia="zh-CN"/>
                    </w:rPr>
                    <w:t>29橡胶和塑料制品业；2929塑料零件及其他塑料制品制造</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704" w:type="pct"/>
                  <w:vMerge w:val="continue"/>
                  <w:tcBorders>
                    <w:tl2br w:val="nil"/>
                    <w:tr2bl w:val="nil"/>
                  </w:tcBorders>
                  <w:vAlign w:val="center"/>
                </w:tcPr>
                <w:p>
                  <w:pPr>
                    <w:pStyle w:val="22"/>
                    <w:bidi w:val="0"/>
                    <w:rPr>
                      <w:rFonts w:hint="default"/>
                      <w:lang w:eastAsia="zh-CN"/>
                    </w:rPr>
                  </w:pPr>
                </w:p>
              </w:tc>
              <w:tc>
                <w:tcPr>
                  <w:tcW w:w="382" w:type="pct"/>
                  <w:vMerge w:val="restart"/>
                  <w:tcBorders>
                    <w:tl2br w:val="nil"/>
                    <w:tr2bl w:val="nil"/>
                  </w:tcBorders>
                  <w:vAlign w:val="center"/>
                </w:tcPr>
                <w:p>
                  <w:pPr>
                    <w:pStyle w:val="22"/>
                    <w:bidi w:val="0"/>
                    <w:rPr>
                      <w:rFonts w:hint="default"/>
                    </w:rPr>
                  </w:pPr>
                  <w:r>
                    <w:rPr>
                      <w:rFonts w:hint="eastAsia"/>
                    </w:rPr>
                    <w:t>智慧家电产业</w:t>
                  </w:r>
                </w:p>
              </w:tc>
              <w:tc>
                <w:tcPr>
                  <w:tcW w:w="3913" w:type="pct"/>
                  <w:tcBorders>
                    <w:tl2br w:val="nil"/>
                    <w:tr2bl w:val="nil"/>
                  </w:tcBorders>
                  <w:vAlign w:val="center"/>
                </w:tcPr>
                <w:p>
                  <w:pPr>
                    <w:pStyle w:val="22"/>
                    <w:bidi w:val="0"/>
                    <w:rPr>
                      <w:rFonts w:hint="default"/>
                      <w:lang w:eastAsia="zh-CN"/>
                    </w:rPr>
                  </w:pPr>
                  <w:r>
                    <w:rPr>
                      <w:rFonts w:hint="eastAsia"/>
                      <w:lang w:eastAsia="zh-CN"/>
                    </w:rPr>
                    <w:t>35专用设备制造业：356电子和电工机械专用设备制造；</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704" w:type="pct"/>
                  <w:vMerge w:val="continue"/>
                  <w:tcBorders>
                    <w:tl2br w:val="nil"/>
                    <w:tr2bl w:val="nil"/>
                  </w:tcBorders>
                  <w:vAlign w:val="center"/>
                </w:tcPr>
                <w:p>
                  <w:pPr>
                    <w:pStyle w:val="22"/>
                    <w:bidi w:val="0"/>
                    <w:rPr>
                      <w:rFonts w:hint="default"/>
                      <w:lang w:eastAsia="zh-CN"/>
                    </w:rPr>
                  </w:pPr>
                </w:p>
              </w:tc>
              <w:tc>
                <w:tcPr>
                  <w:tcW w:w="382" w:type="pct"/>
                  <w:vMerge w:val="continue"/>
                  <w:tcBorders>
                    <w:tl2br w:val="nil"/>
                    <w:tr2bl w:val="nil"/>
                  </w:tcBorders>
                  <w:vAlign w:val="center"/>
                </w:tcPr>
                <w:p>
                  <w:pPr>
                    <w:pStyle w:val="22"/>
                    <w:bidi w:val="0"/>
                    <w:rPr>
                      <w:rFonts w:hint="default"/>
                      <w:lang w:eastAsia="zh-CN"/>
                    </w:rPr>
                  </w:pPr>
                </w:p>
              </w:tc>
              <w:tc>
                <w:tcPr>
                  <w:tcW w:w="3913" w:type="pct"/>
                  <w:tcBorders>
                    <w:tl2br w:val="nil"/>
                    <w:tr2bl w:val="nil"/>
                  </w:tcBorders>
                  <w:vAlign w:val="center"/>
                </w:tcPr>
                <w:p>
                  <w:pPr>
                    <w:pStyle w:val="22"/>
                    <w:bidi w:val="0"/>
                    <w:rPr>
                      <w:rFonts w:hint="default"/>
                      <w:lang w:eastAsia="zh-CN"/>
                    </w:rPr>
                  </w:pPr>
                  <w:r>
                    <w:rPr>
                      <w:rFonts w:hint="eastAsia"/>
                      <w:lang w:eastAsia="zh-CN"/>
                    </w:rPr>
                    <w:t>38电气机械和器材制造业：3823配电开关控制设备制造、3824 电力电子元器件制造；385家用电力器具制造；3879灯用电器附件及其他照明器具制造；</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704" w:type="pct"/>
                  <w:vMerge w:val="continue"/>
                  <w:tcBorders>
                    <w:tl2br w:val="nil"/>
                    <w:tr2bl w:val="nil"/>
                  </w:tcBorders>
                  <w:vAlign w:val="center"/>
                </w:tcPr>
                <w:p>
                  <w:pPr>
                    <w:pStyle w:val="22"/>
                    <w:bidi w:val="0"/>
                    <w:rPr>
                      <w:rFonts w:hint="default"/>
                      <w:lang w:eastAsia="zh-CN"/>
                    </w:rPr>
                  </w:pPr>
                </w:p>
              </w:tc>
              <w:tc>
                <w:tcPr>
                  <w:tcW w:w="382" w:type="pct"/>
                  <w:vMerge w:val="continue"/>
                  <w:tcBorders>
                    <w:tl2br w:val="nil"/>
                    <w:tr2bl w:val="nil"/>
                  </w:tcBorders>
                  <w:vAlign w:val="center"/>
                </w:tcPr>
                <w:p>
                  <w:pPr>
                    <w:pStyle w:val="22"/>
                    <w:bidi w:val="0"/>
                    <w:rPr>
                      <w:rFonts w:hint="default"/>
                      <w:lang w:eastAsia="zh-CN"/>
                    </w:rPr>
                  </w:pPr>
                </w:p>
              </w:tc>
              <w:tc>
                <w:tcPr>
                  <w:tcW w:w="3913" w:type="pct"/>
                  <w:tcBorders>
                    <w:tl2br w:val="nil"/>
                    <w:tr2bl w:val="nil"/>
                  </w:tcBorders>
                  <w:vAlign w:val="center"/>
                </w:tcPr>
                <w:p>
                  <w:pPr>
                    <w:pStyle w:val="22"/>
                    <w:bidi w:val="0"/>
                    <w:rPr>
                      <w:rFonts w:hint="default"/>
                      <w:lang w:eastAsia="zh-CN"/>
                    </w:rPr>
                  </w:pPr>
                  <w:r>
                    <w:rPr>
                      <w:rFonts w:hint="eastAsia"/>
                      <w:lang w:eastAsia="zh-CN"/>
                    </w:rPr>
                    <w:t>39计算机、通信和其他电子设备制造业：3912计算机零部件制造、3919其他计算机制造、397电子器件制造；398电子元件及电子专用材料制造；</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704" w:type="pct"/>
                  <w:vMerge w:val="continue"/>
                  <w:tcBorders>
                    <w:tl2br w:val="nil"/>
                    <w:tr2bl w:val="nil"/>
                  </w:tcBorders>
                  <w:vAlign w:val="center"/>
                </w:tcPr>
                <w:p>
                  <w:pPr>
                    <w:pStyle w:val="22"/>
                    <w:bidi w:val="0"/>
                    <w:rPr>
                      <w:rFonts w:hint="default"/>
                      <w:lang w:eastAsia="zh-CN"/>
                    </w:rPr>
                  </w:pPr>
                </w:p>
              </w:tc>
              <w:tc>
                <w:tcPr>
                  <w:tcW w:w="382" w:type="pct"/>
                  <w:vMerge w:val="restart"/>
                  <w:tcBorders>
                    <w:tl2br w:val="nil"/>
                    <w:tr2bl w:val="nil"/>
                  </w:tcBorders>
                  <w:vAlign w:val="center"/>
                </w:tcPr>
                <w:p>
                  <w:pPr>
                    <w:pStyle w:val="22"/>
                    <w:bidi w:val="0"/>
                    <w:rPr>
                      <w:rFonts w:hint="default"/>
                    </w:rPr>
                  </w:pPr>
                  <w:r>
                    <w:rPr>
                      <w:rFonts w:hint="eastAsia"/>
                    </w:rPr>
                    <w:t>材料产业</w:t>
                  </w:r>
                </w:p>
              </w:tc>
              <w:tc>
                <w:tcPr>
                  <w:tcW w:w="3913" w:type="pct"/>
                  <w:tcBorders>
                    <w:tl2br w:val="nil"/>
                    <w:tr2bl w:val="nil"/>
                  </w:tcBorders>
                  <w:vAlign w:val="center"/>
                </w:tcPr>
                <w:p>
                  <w:pPr>
                    <w:pStyle w:val="22"/>
                    <w:bidi w:val="0"/>
                    <w:rPr>
                      <w:rFonts w:hint="default"/>
                      <w:lang w:eastAsia="zh-CN"/>
                    </w:rPr>
                  </w:pPr>
                  <w:r>
                    <w:rPr>
                      <w:rFonts w:hint="eastAsia"/>
                    </w:rPr>
                    <w:t>28化学纤维制造业</w:t>
                  </w:r>
                  <w:r>
                    <w:rPr>
                      <w:rFonts w:hint="eastAsia"/>
                      <w:lang w:eastAsia="zh-CN"/>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704" w:type="pct"/>
                  <w:vMerge w:val="continue"/>
                  <w:tcBorders>
                    <w:tl2br w:val="nil"/>
                    <w:tr2bl w:val="nil"/>
                  </w:tcBorders>
                  <w:vAlign w:val="center"/>
                </w:tcPr>
                <w:p>
                  <w:pPr>
                    <w:pStyle w:val="22"/>
                    <w:bidi w:val="0"/>
                    <w:rPr>
                      <w:rFonts w:hint="default"/>
                    </w:rPr>
                  </w:pPr>
                </w:p>
              </w:tc>
              <w:tc>
                <w:tcPr>
                  <w:tcW w:w="382" w:type="pct"/>
                  <w:vMerge w:val="continue"/>
                  <w:tcBorders>
                    <w:tl2br w:val="nil"/>
                    <w:tr2bl w:val="nil"/>
                  </w:tcBorders>
                  <w:vAlign w:val="center"/>
                </w:tcPr>
                <w:p>
                  <w:pPr>
                    <w:pStyle w:val="22"/>
                    <w:bidi w:val="0"/>
                    <w:rPr>
                      <w:rFonts w:hint="default"/>
                    </w:rPr>
                  </w:pPr>
                </w:p>
              </w:tc>
              <w:tc>
                <w:tcPr>
                  <w:tcW w:w="3913" w:type="pct"/>
                  <w:tcBorders>
                    <w:tl2br w:val="nil"/>
                    <w:tr2bl w:val="nil"/>
                  </w:tcBorders>
                  <w:vAlign w:val="center"/>
                </w:tcPr>
                <w:p>
                  <w:pPr>
                    <w:pStyle w:val="22"/>
                    <w:bidi w:val="0"/>
                    <w:rPr>
                      <w:rFonts w:hint="default"/>
                      <w:lang w:eastAsia="zh-CN"/>
                    </w:rPr>
                  </w:pPr>
                  <w:r>
                    <w:rPr>
                      <w:rFonts w:hint="eastAsia"/>
                      <w:lang w:eastAsia="zh-CN"/>
                    </w:rPr>
                    <w:t>29橡胶和塑料制品业：292塑料制品业；</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704" w:type="pct"/>
                  <w:vMerge w:val="continue"/>
                  <w:tcBorders>
                    <w:tl2br w:val="nil"/>
                    <w:tr2bl w:val="nil"/>
                  </w:tcBorders>
                  <w:vAlign w:val="center"/>
                </w:tcPr>
                <w:p>
                  <w:pPr>
                    <w:pStyle w:val="22"/>
                    <w:bidi w:val="0"/>
                    <w:rPr>
                      <w:rFonts w:hint="default"/>
                      <w:lang w:eastAsia="zh-CN"/>
                    </w:rPr>
                  </w:pPr>
                </w:p>
              </w:tc>
              <w:tc>
                <w:tcPr>
                  <w:tcW w:w="382" w:type="pct"/>
                  <w:vMerge w:val="continue"/>
                  <w:tcBorders>
                    <w:tl2br w:val="nil"/>
                    <w:tr2bl w:val="nil"/>
                  </w:tcBorders>
                  <w:vAlign w:val="center"/>
                </w:tcPr>
                <w:p>
                  <w:pPr>
                    <w:pStyle w:val="22"/>
                    <w:bidi w:val="0"/>
                    <w:rPr>
                      <w:rFonts w:hint="default"/>
                      <w:lang w:eastAsia="zh-CN"/>
                    </w:rPr>
                  </w:pPr>
                </w:p>
              </w:tc>
              <w:tc>
                <w:tcPr>
                  <w:tcW w:w="3913" w:type="pct"/>
                  <w:tcBorders>
                    <w:tl2br w:val="nil"/>
                    <w:tr2bl w:val="nil"/>
                  </w:tcBorders>
                  <w:vAlign w:val="center"/>
                </w:tcPr>
                <w:p>
                  <w:pPr>
                    <w:pStyle w:val="22"/>
                    <w:bidi w:val="0"/>
                    <w:rPr>
                      <w:rFonts w:hint="default"/>
                      <w:lang w:eastAsia="zh-CN"/>
                    </w:rPr>
                  </w:pPr>
                  <w:r>
                    <w:rPr>
                      <w:rFonts w:hint="eastAsia"/>
                      <w:lang w:eastAsia="zh-CN"/>
                    </w:rPr>
                    <w:t>30非金属矿物制品业：3034隔热和隔音材料制造、306玻璃纤维和玻璃纤维增强塑料制品制造、307陶瓷制品制造（不使用高污染燃料的建筑陶瓷制品制造；不使用高污染燃料的年产 150万件及以上的卫生陶瓷制品制造；不使用高污染燃料的年产250万件及以上的日用陶瓷制品制造）；</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704" w:type="pct"/>
                  <w:vMerge w:val="continue"/>
                  <w:tcBorders>
                    <w:tl2br w:val="nil"/>
                    <w:tr2bl w:val="nil"/>
                  </w:tcBorders>
                  <w:vAlign w:val="center"/>
                </w:tcPr>
                <w:p>
                  <w:pPr>
                    <w:pStyle w:val="22"/>
                    <w:bidi w:val="0"/>
                    <w:rPr>
                      <w:rFonts w:hint="default"/>
                      <w:lang w:eastAsia="zh-CN"/>
                    </w:rPr>
                  </w:pPr>
                </w:p>
              </w:tc>
              <w:tc>
                <w:tcPr>
                  <w:tcW w:w="382" w:type="pct"/>
                  <w:vMerge w:val="continue"/>
                  <w:tcBorders>
                    <w:tl2br w:val="nil"/>
                    <w:tr2bl w:val="nil"/>
                  </w:tcBorders>
                  <w:vAlign w:val="center"/>
                </w:tcPr>
                <w:p>
                  <w:pPr>
                    <w:pStyle w:val="22"/>
                    <w:bidi w:val="0"/>
                    <w:rPr>
                      <w:rFonts w:hint="default"/>
                      <w:lang w:eastAsia="zh-CN"/>
                    </w:rPr>
                  </w:pPr>
                </w:p>
              </w:tc>
              <w:tc>
                <w:tcPr>
                  <w:tcW w:w="3913" w:type="pct"/>
                  <w:tcBorders>
                    <w:tl2br w:val="nil"/>
                    <w:tr2bl w:val="nil"/>
                  </w:tcBorders>
                  <w:vAlign w:val="center"/>
                </w:tcPr>
                <w:p>
                  <w:pPr>
                    <w:pStyle w:val="22"/>
                    <w:bidi w:val="0"/>
                    <w:rPr>
                      <w:rFonts w:hint="default"/>
                      <w:lang w:eastAsia="zh-CN"/>
                    </w:rPr>
                  </w:pPr>
                  <w:r>
                    <w:rPr>
                      <w:rFonts w:hint="eastAsia"/>
                      <w:lang w:eastAsia="zh-CN"/>
                    </w:rPr>
                    <w:t>39计算机、通信和其他电子设备制造业：3985电子专用材料制造；</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704" w:type="pct"/>
                  <w:vMerge w:val="restart"/>
                  <w:tcBorders>
                    <w:tl2br w:val="nil"/>
                    <w:tr2bl w:val="nil"/>
                  </w:tcBorders>
                  <w:vAlign w:val="center"/>
                </w:tcPr>
                <w:p>
                  <w:pPr>
                    <w:pStyle w:val="22"/>
                    <w:bidi w:val="0"/>
                    <w:rPr>
                      <w:rFonts w:hint="default"/>
                    </w:rPr>
                  </w:pPr>
                  <w:r>
                    <w:rPr>
                      <w:rFonts w:hint="eastAsia"/>
                    </w:rPr>
                    <w:t>禁止类</w:t>
                  </w:r>
                </w:p>
              </w:tc>
              <w:tc>
                <w:tcPr>
                  <w:tcW w:w="4295" w:type="pct"/>
                  <w:gridSpan w:val="2"/>
                  <w:tcBorders>
                    <w:tl2br w:val="nil"/>
                    <w:tr2bl w:val="nil"/>
                  </w:tcBorders>
                  <w:vAlign w:val="center"/>
                </w:tcPr>
                <w:p>
                  <w:pPr>
                    <w:pStyle w:val="22"/>
                    <w:bidi w:val="0"/>
                    <w:rPr>
                      <w:rFonts w:hint="default"/>
                      <w:lang w:eastAsia="zh-CN"/>
                    </w:rPr>
                  </w:pPr>
                  <w:r>
                    <w:rPr>
                      <w:rFonts w:hint="eastAsia"/>
                      <w:lang w:eastAsia="zh-CN"/>
                    </w:rPr>
                    <w:t>禁止引入国家明令禁止建设或投资的、引入列入《产业结构调整指导目录（2019年本）》、《外商投资产业指导目录（2017年修订）》、《市场准入负面清单（2020年版）》等相关产业政策中禁止或淘汰类项目、产品、工艺和设备。</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704" w:type="pct"/>
                  <w:vMerge w:val="continue"/>
                  <w:tcBorders>
                    <w:tl2br w:val="nil"/>
                    <w:tr2bl w:val="nil"/>
                  </w:tcBorders>
                  <w:vAlign w:val="center"/>
                </w:tcPr>
                <w:p>
                  <w:pPr>
                    <w:pStyle w:val="22"/>
                    <w:bidi w:val="0"/>
                    <w:rPr>
                      <w:rFonts w:hint="default"/>
                      <w:lang w:eastAsia="zh-CN"/>
                    </w:rPr>
                  </w:pPr>
                </w:p>
              </w:tc>
              <w:tc>
                <w:tcPr>
                  <w:tcW w:w="4295" w:type="pct"/>
                  <w:gridSpan w:val="2"/>
                  <w:tcBorders>
                    <w:tl2br w:val="nil"/>
                    <w:tr2bl w:val="nil"/>
                  </w:tcBorders>
                  <w:vAlign w:val="center"/>
                </w:tcPr>
                <w:p>
                  <w:pPr>
                    <w:pStyle w:val="22"/>
                    <w:bidi w:val="0"/>
                    <w:rPr>
                      <w:rFonts w:hint="default"/>
                      <w:lang w:eastAsia="zh-CN"/>
                    </w:rPr>
                  </w:pPr>
                  <w:r>
                    <w:rPr>
                      <w:rFonts w:hint="eastAsia"/>
                      <w:lang w:eastAsia="zh-CN"/>
                    </w:rPr>
                    <w:t>禁止引进国家、安徽省明确规定不得审批的建设项目。</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704" w:type="pct"/>
                  <w:vMerge w:val="continue"/>
                  <w:tcBorders>
                    <w:tl2br w:val="nil"/>
                    <w:tr2bl w:val="nil"/>
                  </w:tcBorders>
                  <w:vAlign w:val="center"/>
                </w:tcPr>
                <w:p>
                  <w:pPr>
                    <w:pStyle w:val="22"/>
                    <w:bidi w:val="0"/>
                    <w:rPr>
                      <w:rFonts w:hint="default"/>
                      <w:lang w:eastAsia="zh-CN"/>
                    </w:rPr>
                  </w:pPr>
                </w:p>
              </w:tc>
              <w:tc>
                <w:tcPr>
                  <w:tcW w:w="4295" w:type="pct"/>
                  <w:gridSpan w:val="2"/>
                  <w:tcBorders>
                    <w:tl2br w:val="nil"/>
                    <w:tr2bl w:val="nil"/>
                  </w:tcBorders>
                  <w:vAlign w:val="center"/>
                </w:tcPr>
                <w:p>
                  <w:pPr>
                    <w:pStyle w:val="22"/>
                    <w:bidi w:val="0"/>
                    <w:rPr>
                      <w:rFonts w:hint="default"/>
                      <w:lang w:eastAsia="zh-CN"/>
                    </w:rPr>
                  </w:pPr>
                  <w:r>
                    <w:rPr>
                      <w:rFonts w:hint="eastAsia"/>
                      <w:lang w:eastAsia="zh-CN"/>
                    </w:rPr>
                    <w:t>根据《关于全面打造水清岸绿产业优美丽长江（芜湖）经济带的实施意见（升级版）》严禁长江干支流1公里范围内新建化工</w:t>
                  </w:r>
                </w:p>
                <w:p>
                  <w:pPr>
                    <w:pStyle w:val="22"/>
                    <w:bidi w:val="0"/>
                    <w:rPr>
                      <w:rFonts w:hint="default"/>
                      <w:lang w:eastAsia="zh-CN"/>
                    </w:rPr>
                  </w:pPr>
                  <w:r>
                    <w:rPr>
                      <w:rFonts w:hint="eastAsia"/>
                      <w:lang w:eastAsia="zh-CN"/>
                    </w:rPr>
                    <w:t>项目、严控5公里长江干流范围内新建重化工重污染项目、严管15公里长江干流范围内新建项目。</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704" w:type="pct"/>
                  <w:vMerge w:val="continue"/>
                  <w:tcBorders>
                    <w:tl2br w:val="nil"/>
                    <w:tr2bl w:val="nil"/>
                  </w:tcBorders>
                  <w:vAlign w:val="center"/>
                </w:tcPr>
                <w:p>
                  <w:pPr>
                    <w:pStyle w:val="22"/>
                    <w:bidi w:val="0"/>
                    <w:rPr>
                      <w:rFonts w:hint="default"/>
                      <w:lang w:eastAsia="zh-CN"/>
                    </w:rPr>
                  </w:pPr>
                </w:p>
              </w:tc>
              <w:tc>
                <w:tcPr>
                  <w:tcW w:w="4295" w:type="pct"/>
                  <w:gridSpan w:val="2"/>
                  <w:tcBorders>
                    <w:tl2br w:val="nil"/>
                    <w:tr2bl w:val="nil"/>
                  </w:tcBorders>
                  <w:vAlign w:val="center"/>
                </w:tcPr>
                <w:p>
                  <w:pPr>
                    <w:pStyle w:val="22"/>
                    <w:bidi w:val="0"/>
                    <w:rPr>
                      <w:rFonts w:hint="default"/>
                      <w:lang w:eastAsia="zh-CN"/>
                    </w:rPr>
                  </w:pPr>
                  <w:r>
                    <w:rPr>
                      <w:rFonts w:hint="eastAsia"/>
                      <w:lang w:eastAsia="zh-CN"/>
                    </w:rPr>
                    <w:t>根据《关于加强化工项目建设管理的通知》严禁新建《产业结构调整指导目录》限制类和新（改、扩）建淘汰类化工项目，严格限制新建剧毒化学品生产项目。</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704" w:type="pct"/>
                  <w:vMerge w:val="continue"/>
                  <w:tcBorders>
                    <w:tl2br w:val="nil"/>
                    <w:tr2bl w:val="nil"/>
                  </w:tcBorders>
                  <w:vAlign w:val="center"/>
                </w:tcPr>
                <w:p>
                  <w:pPr>
                    <w:pStyle w:val="22"/>
                    <w:bidi w:val="0"/>
                    <w:rPr>
                      <w:rFonts w:hint="default"/>
                      <w:lang w:eastAsia="zh-CN"/>
                    </w:rPr>
                  </w:pPr>
                </w:p>
              </w:tc>
              <w:tc>
                <w:tcPr>
                  <w:tcW w:w="4295" w:type="pct"/>
                  <w:gridSpan w:val="2"/>
                  <w:tcBorders>
                    <w:tl2br w:val="nil"/>
                    <w:tr2bl w:val="nil"/>
                  </w:tcBorders>
                  <w:vAlign w:val="center"/>
                </w:tcPr>
                <w:p>
                  <w:pPr>
                    <w:pStyle w:val="22"/>
                    <w:bidi w:val="0"/>
                    <w:rPr>
                      <w:rFonts w:hint="default"/>
                      <w:lang w:eastAsia="zh-CN"/>
                    </w:rPr>
                  </w:pPr>
                  <w:r>
                    <w:rPr>
                      <w:rFonts w:hint="eastAsia"/>
                      <w:lang w:eastAsia="zh-CN"/>
                    </w:rPr>
                    <w:t>根据《中华人民共和国长江保护法》要求禁止在长江干支流岸线一公里范围内新建、扩建化工园区和化工项目。</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704" w:type="pct"/>
                  <w:vMerge w:val="continue"/>
                  <w:tcBorders>
                    <w:tl2br w:val="nil"/>
                    <w:tr2bl w:val="nil"/>
                  </w:tcBorders>
                  <w:vAlign w:val="center"/>
                </w:tcPr>
                <w:p>
                  <w:pPr>
                    <w:pStyle w:val="22"/>
                    <w:bidi w:val="0"/>
                    <w:rPr>
                      <w:rFonts w:hint="default"/>
                      <w:lang w:eastAsia="zh-CN"/>
                    </w:rPr>
                  </w:pPr>
                </w:p>
              </w:tc>
              <w:tc>
                <w:tcPr>
                  <w:tcW w:w="4295" w:type="pct"/>
                  <w:gridSpan w:val="2"/>
                  <w:tcBorders>
                    <w:tl2br w:val="nil"/>
                    <w:tr2bl w:val="nil"/>
                  </w:tcBorders>
                  <w:vAlign w:val="center"/>
                </w:tcPr>
                <w:p>
                  <w:pPr>
                    <w:pStyle w:val="22"/>
                    <w:bidi w:val="0"/>
                    <w:rPr>
                      <w:rFonts w:hint="default"/>
                      <w:lang w:eastAsia="zh-CN"/>
                    </w:rPr>
                  </w:pPr>
                  <w:r>
                    <w:rPr>
                      <w:rFonts w:hint="eastAsia"/>
                      <w:lang w:eastAsia="zh-CN"/>
                    </w:rPr>
                    <w:t>根据《关于加强高耗能、高排放建设项目生态环境源头防控的指导意见》环环评〔2021〕45号要求严格“两高”项目环评审批。</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704" w:type="pct"/>
                  <w:vMerge w:val="continue"/>
                  <w:tcBorders>
                    <w:tl2br w:val="nil"/>
                    <w:tr2bl w:val="nil"/>
                  </w:tcBorders>
                  <w:vAlign w:val="center"/>
                </w:tcPr>
                <w:p>
                  <w:pPr>
                    <w:pStyle w:val="22"/>
                    <w:bidi w:val="0"/>
                    <w:rPr>
                      <w:rFonts w:hint="default"/>
                      <w:lang w:eastAsia="zh-CN"/>
                    </w:rPr>
                  </w:pPr>
                </w:p>
              </w:tc>
              <w:tc>
                <w:tcPr>
                  <w:tcW w:w="4295" w:type="pct"/>
                  <w:gridSpan w:val="2"/>
                  <w:tcBorders>
                    <w:tl2br w:val="nil"/>
                    <w:tr2bl w:val="nil"/>
                  </w:tcBorders>
                  <w:vAlign w:val="center"/>
                </w:tcPr>
                <w:p>
                  <w:pPr>
                    <w:pStyle w:val="22"/>
                    <w:bidi w:val="0"/>
                    <w:rPr>
                      <w:rFonts w:hint="default"/>
                      <w:lang w:eastAsia="zh-CN"/>
                    </w:rPr>
                  </w:pPr>
                  <w:r>
                    <w:rPr>
                      <w:rFonts w:hint="eastAsia"/>
                      <w:lang w:eastAsia="zh-CN"/>
                    </w:rPr>
                    <w:t>禁止引进炼油、产生致癌、致畸、致突变物质的项目。</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704" w:type="pct"/>
                  <w:vMerge w:val="continue"/>
                  <w:tcBorders>
                    <w:tl2br w:val="nil"/>
                    <w:tr2bl w:val="nil"/>
                  </w:tcBorders>
                  <w:vAlign w:val="center"/>
                </w:tcPr>
                <w:p>
                  <w:pPr>
                    <w:pStyle w:val="22"/>
                    <w:bidi w:val="0"/>
                    <w:rPr>
                      <w:rFonts w:hint="default"/>
                      <w:lang w:eastAsia="zh-CN"/>
                    </w:rPr>
                  </w:pPr>
                </w:p>
              </w:tc>
              <w:tc>
                <w:tcPr>
                  <w:tcW w:w="4295" w:type="pct"/>
                  <w:gridSpan w:val="2"/>
                  <w:tcBorders>
                    <w:tl2br w:val="nil"/>
                    <w:tr2bl w:val="nil"/>
                  </w:tcBorders>
                  <w:vAlign w:val="center"/>
                </w:tcPr>
                <w:p>
                  <w:pPr>
                    <w:pStyle w:val="22"/>
                    <w:bidi w:val="0"/>
                    <w:rPr>
                      <w:rFonts w:hint="default"/>
                      <w:lang w:eastAsia="zh-CN"/>
                    </w:rPr>
                  </w:pPr>
                  <w:r>
                    <w:rPr>
                      <w:rFonts w:hint="eastAsia"/>
                    </w:rPr>
                    <w:t>禁止引进农药项目</w:t>
                  </w:r>
                  <w:r>
                    <w:rPr>
                      <w:rFonts w:hint="eastAsia"/>
                      <w:lang w:eastAsia="zh-CN"/>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704" w:type="pct"/>
                  <w:vMerge w:val="continue"/>
                  <w:tcBorders>
                    <w:tl2br w:val="nil"/>
                    <w:tr2bl w:val="nil"/>
                  </w:tcBorders>
                  <w:vAlign w:val="center"/>
                </w:tcPr>
                <w:p>
                  <w:pPr>
                    <w:pStyle w:val="22"/>
                    <w:bidi w:val="0"/>
                    <w:rPr>
                      <w:rFonts w:hint="default"/>
                    </w:rPr>
                  </w:pPr>
                </w:p>
              </w:tc>
              <w:tc>
                <w:tcPr>
                  <w:tcW w:w="4295" w:type="pct"/>
                  <w:gridSpan w:val="2"/>
                  <w:tcBorders>
                    <w:tl2br w:val="nil"/>
                    <w:tr2bl w:val="nil"/>
                  </w:tcBorders>
                  <w:vAlign w:val="center"/>
                </w:tcPr>
                <w:p>
                  <w:pPr>
                    <w:pStyle w:val="22"/>
                    <w:bidi w:val="0"/>
                    <w:rPr>
                      <w:rFonts w:hint="default"/>
                      <w:lang w:eastAsia="zh-CN"/>
                    </w:rPr>
                  </w:pPr>
                  <w:r>
                    <w:rPr>
                      <w:rFonts w:hint="eastAsia"/>
                      <w:lang w:eastAsia="zh-CN"/>
                    </w:rPr>
                    <w:t>禁止引进纯电镀加工类项目。</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704" w:type="pct"/>
                  <w:vMerge w:val="continue"/>
                  <w:tcBorders>
                    <w:tl2br w:val="nil"/>
                    <w:tr2bl w:val="nil"/>
                  </w:tcBorders>
                  <w:vAlign w:val="center"/>
                </w:tcPr>
                <w:p>
                  <w:pPr>
                    <w:pStyle w:val="22"/>
                    <w:bidi w:val="0"/>
                    <w:rPr>
                      <w:rFonts w:hint="default"/>
                      <w:lang w:eastAsia="zh-CN"/>
                    </w:rPr>
                  </w:pPr>
                </w:p>
              </w:tc>
              <w:tc>
                <w:tcPr>
                  <w:tcW w:w="4295" w:type="pct"/>
                  <w:gridSpan w:val="2"/>
                  <w:tcBorders>
                    <w:tl2br w:val="nil"/>
                    <w:tr2bl w:val="nil"/>
                  </w:tcBorders>
                  <w:vAlign w:val="center"/>
                </w:tcPr>
                <w:p>
                  <w:pPr>
                    <w:pStyle w:val="22"/>
                    <w:bidi w:val="0"/>
                    <w:rPr>
                      <w:rFonts w:hint="default"/>
                      <w:lang w:eastAsia="zh-CN"/>
                    </w:rPr>
                  </w:pPr>
                  <w:r>
                    <w:rPr>
                      <w:rFonts w:hint="eastAsia"/>
                      <w:lang w:eastAsia="zh-CN"/>
                    </w:rPr>
                    <w:t>44电力、热力生产和供应业：4411火力发电。</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704" w:type="pct"/>
                  <w:vMerge w:val="continue"/>
                  <w:tcBorders>
                    <w:tl2br w:val="nil"/>
                    <w:tr2bl w:val="nil"/>
                  </w:tcBorders>
                  <w:vAlign w:val="center"/>
                </w:tcPr>
                <w:p>
                  <w:pPr>
                    <w:pStyle w:val="22"/>
                    <w:bidi w:val="0"/>
                    <w:rPr>
                      <w:rFonts w:hint="default"/>
                      <w:lang w:eastAsia="zh-CN"/>
                    </w:rPr>
                  </w:pPr>
                </w:p>
              </w:tc>
              <w:tc>
                <w:tcPr>
                  <w:tcW w:w="4295" w:type="pct"/>
                  <w:gridSpan w:val="2"/>
                  <w:tcBorders>
                    <w:tl2br w:val="nil"/>
                    <w:tr2bl w:val="nil"/>
                  </w:tcBorders>
                  <w:vAlign w:val="center"/>
                </w:tcPr>
                <w:p>
                  <w:pPr>
                    <w:pStyle w:val="22"/>
                    <w:bidi w:val="0"/>
                    <w:rPr>
                      <w:rFonts w:hint="default"/>
                      <w:lang w:eastAsia="zh-CN"/>
                    </w:rPr>
                  </w:pPr>
                  <w:r>
                    <w:rPr>
                      <w:rFonts w:hint="eastAsia"/>
                      <w:lang w:eastAsia="zh-CN"/>
                    </w:rPr>
                    <w:t>禁止引进燃烧原（散）煤、重油、渣油、石油焦等高污染燃料或者直接燃用各种可燃废物的设施和装置。</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704" w:type="pct"/>
                  <w:vMerge w:val="continue"/>
                  <w:tcBorders>
                    <w:tl2br w:val="nil"/>
                    <w:tr2bl w:val="nil"/>
                  </w:tcBorders>
                  <w:vAlign w:val="center"/>
                </w:tcPr>
                <w:p>
                  <w:pPr>
                    <w:pStyle w:val="22"/>
                    <w:bidi w:val="0"/>
                    <w:rPr>
                      <w:rFonts w:hint="default"/>
                      <w:lang w:eastAsia="zh-CN"/>
                    </w:rPr>
                  </w:pPr>
                </w:p>
              </w:tc>
              <w:tc>
                <w:tcPr>
                  <w:tcW w:w="4295" w:type="pct"/>
                  <w:gridSpan w:val="2"/>
                  <w:tcBorders>
                    <w:tl2br w:val="nil"/>
                    <w:tr2bl w:val="nil"/>
                  </w:tcBorders>
                  <w:vAlign w:val="center"/>
                </w:tcPr>
                <w:p>
                  <w:pPr>
                    <w:pStyle w:val="22"/>
                    <w:bidi w:val="0"/>
                    <w:rPr>
                      <w:rFonts w:hint="default"/>
                      <w:lang w:eastAsia="zh-CN"/>
                    </w:rPr>
                  </w:pPr>
                  <w:r>
                    <w:rPr>
                      <w:rFonts w:hint="eastAsia"/>
                      <w:lang w:eastAsia="zh-CN"/>
                    </w:rPr>
                    <w:t>25石油、煤炭及其他燃料加工业。</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704" w:type="pct"/>
                  <w:vMerge w:val="continue"/>
                  <w:tcBorders>
                    <w:tl2br w:val="nil"/>
                    <w:tr2bl w:val="nil"/>
                  </w:tcBorders>
                  <w:vAlign w:val="center"/>
                </w:tcPr>
                <w:p>
                  <w:pPr>
                    <w:pStyle w:val="22"/>
                    <w:bidi w:val="0"/>
                    <w:rPr>
                      <w:rFonts w:hint="default"/>
                      <w:lang w:eastAsia="zh-CN"/>
                    </w:rPr>
                  </w:pPr>
                </w:p>
              </w:tc>
              <w:tc>
                <w:tcPr>
                  <w:tcW w:w="4295" w:type="pct"/>
                  <w:gridSpan w:val="2"/>
                  <w:tcBorders>
                    <w:tl2br w:val="nil"/>
                    <w:tr2bl w:val="nil"/>
                  </w:tcBorders>
                  <w:vAlign w:val="center"/>
                </w:tcPr>
                <w:p>
                  <w:pPr>
                    <w:pStyle w:val="22"/>
                    <w:bidi w:val="0"/>
                    <w:rPr>
                      <w:rFonts w:hint="default"/>
                      <w:lang w:eastAsia="zh-CN"/>
                    </w:rPr>
                  </w:pPr>
                  <w:r>
                    <w:rPr>
                      <w:rFonts w:hint="eastAsia"/>
                      <w:lang w:eastAsia="zh-CN"/>
                    </w:rPr>
                    <w:t>禁止新建、扩建不符合国家产能置换要求的严重过剩产能行业的项目。</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704" w:type="pct"/>
                  <w:tcBorders>
                    <w:tl2br w:val="nil"/>
                    <w:tr2bl w:val="nil"/>
                  </w:tcBorders>
                  <w:vAlign w:val="center"/>
                </w:tcPr>
                <w:p>
                  <w:pPr>
                    <w:pStyle w:val="22"/>
                    <w:bidi w:val="0"/>
                    <w:rPr>
                      <w:rFonts w:hint="default"/>
                    </w:rPr>
                  </w:pPr>
                  <w:r>
                    <w:rPr>
                      <w:rFonts w:hint="eastAsia"/>
                    </w:rPr>
                    <w:t>限制类</w:t>
                  </w:r>
                </w:p>
              </w:tc>
              <w:tc>
                <w:tcPr>
                  <w:tcW w:w="4295" w:type="pct"/>
                  <w:gridSpan w:val="2"/>
                  <w:tcBorders>
                    <w:tl2br w:val="nil"/>
                    <w:tr2bl w:val="nil"/>
                  </w:tcBorders>
                  <w:vAlign w:val="center"/>
                </w:tcPr>
                <w:p>
                  <w:pPr>
                    <w:pStyle w:val="22"/>
                    <w:bidi w:val="0"/>
                    <w:rPr>
                      <w:rFonts w:hint="default"/>
                      <w:lang w:eastAsia="zh-CN"/>
                    </w:rPr>
                  </w:pPr>
                  <w:r>
                    <w:rPr>
                      <w:rFonts w:hint="eastAsia"/>
                      <w:lang w:eastAsia="zh-CN"/>
                    </w:rPr>
                    <w:t>限制发展能源、资源消耗量或排污量较大但效益相对较好的企业，主要为除经开区规划主导产业外、非禁止类项目，具体项目引入需经充分环境影响论证。</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704" w:type="pct"/>
                  <w:tcBorders>
                    <w:tl2br w:val="nil"/>
                    <w:tr2bl w:val="nil"/>
                  </w:tcBorders>
                  <w:vAlign w:val="center"/>
                </w:tcPr>
                <w:p>
                  <w:pPr>
                    <w:pStyle w:val="22"/>
                    <w:bidi w:val="0"/>
                    <w:rPr>
                      <w:rFonts w:hint="default"/>
                      <w:lang w:eastAsia="zh-CN"/>
                    </w:rPr>
                  </w:pPr>
                  <w:r>
                    <w:rPr>
                      <w:rFonts w:hint="eastAsia"/>
                      <w:lang w:eastAsia="zh-CN"/>
                    </w:rPr>
                    <w:t>新增或改扩建项目风险要求</w:t>
                  </w:r>
                </w:p>
              </w:tc>
              <w:tc>
                <w:tcPr>
                  <w:tcW w:w="4295" w:type="pct"/>
                  <w:gridSpan w:val="2"/>
                  <w:tcBorders>
                    <w:tl2br w:val="nil"/>
                    <w:tr2bl w:val="nil"/>
                  </w:tcBorders>
                  <w:vAlign w:val="center"/>
                </w:tcPr>
                <w:p>
                  <w:pPr>
                    <w:pStyle w:val="22"/>
                    <w:bidi w:val="0"/>
                    <w:rPr>
                      <w:rFonts w:hint="default"/>
                      <w:lang w:eastAsia="zh-CN"/>
                    </w:rPr>
                  </w:pPr>
                  <w:r>
                    <w:rPr>
                      <w:rFonts w:hint="eastAsia"/>
                      <w:lang w:eastAsia="zh-CN"/>
                    </w:rPr>
                    <w:t>区内新增或改扩建存在环境风险的项目，在建设项目环评阶段须重点开展环境风险评价，与项目周边环境敏感目标之前控制合理的风险控制距离，提出并落实风险防范措施及应急联动要求，编制应急预案，并与经开区应急预案联动，在经开区进行环境风险源、应急设备、物资等的备案。</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704" w:type="pct"/>
                  <w:tcBorders>
                    <w:tl2br w:val="nil"/>
                    <w:tr2bl w:val="nil"/>
                  </w:tcBorders>
                  <w:vAlign w:val="center"/>
                </w:tcPr>
                <w:p>
                  <w:pPr>
                    <w:pStyle w:val="22"/>
                    <w:bidi w:val="0"/>
                    <w:rPr>
                      <w:rFonts w:hint="default"/>
                    </w:rPr>
                  </w:pPr>
                  <w:r>
                    <w:rPr>
                      <w:rFonts w:hint="eastAsia"/>
                    </w:rPr>
                    <w:t>清洁生产要求</w:t>
                  </w:r>
                </w:p>
              </w:tc>
              <w:tc>
                <w:tcPr>
                  <w:tcW w:w="4295" w:type="pct"/>
                  <w:gridSpan w:val="2"/>
                  <w:tcBorders>
                    <w:tl2br w:val="nil"/>
                    <w:tr2bl w:val="nil"/>
                  </w:tcBorders>
                  <w:vAlign w:val="center"/>
                </w:tcPr>
                <w:p>
                  <w:pPr>
                    <w:pStyle w:val="22"/>
                    <w:bidi w:val="0"/>
                    <w:rPr>
                      <w:rFonts w:hint="default"/>
                      <w:lang w:eastAsia="zh-CN"/>
                    </w:rPr>
                  </w:pPr>
                  <w:r>
                    <w:rPr>
                      <w:rFonts w:hint="eastAsia"/>
                      <w:lang w:eastAsia="zh-CN"/>
                    </w:rPr>
                    <w:t>引进项目的清洁生产水平至少需达到同期国内先进水平（行业清洁生产标准），优先引进清洁生产水平达到国际先进水平的项目，禁止引进低于国内先进水平的项目。严格审查入区企业行业类型和生产工艺，要求开发区入驻企业采用先进的生产工艺，在生产、产品和服务中最大限度的做到节能、减污、降耗、增效。</w:t>
                  </w:r>
                </w:p>
              </w:tc>
            </w:tr>
          </w:tbl>
          <w:p>
            <w:pPr>
              <w:bidi w:val="0"/>
              <w:rPr>
                <w:rFonts w:hint="eastAsia"/>
              </w:rPr>
            </w:pPr>
            <w:r>
              <w:rPr>
                <w:rFonts w:hint="eastAsia" w:ascii="Times New Roman" w:hAnsi="Times New Roman" w:eastAsia="宋体" w:cs="Times New Roman"/>
                <w:kern w:val="0"/>
                <w:sz w:val="24"/>
                <w:lang w:bidi="zh-CN"/>
              </w:rPr>
              <w:t>本项目产品主要为</w:t>
            </w:r>
            <w:r>
              <w:rPr>
                <w:rFonts w:hint="eastAsia" w:ascii="宋体" w:hAnsi="宋体" w:eastAsia="宋体" w:cs="宋体"/>
              </w:rPr>
              <w:t>汽车模具（含夹检具）</w:t>
            </w:r>
            <w:r>
              <w:rPr>
                <w:rFonts w:hint="eastAsia" w:ascii="宋体" w:hAnsi="宋体" w:cs="宋体"/>
                <w:lang w:val="en-US" w:eastAsia="zh-CN"/>
              </w:rPr>
              <w:t>和</w:t>
            </w:r>
            <w:r>
              <w:rPr>
                <w:rFonts w:hint="eastAsia" w:ascii="宋体" w:hAnsi="宋体" w:eastAsia="宋体" w:cs="宋体"/>
              </w:rPr>
              <w:t>新能源汽车冲焊件</w:t>
            </w:r>
            <w:r>
              <w:rPr>
                <w:rFonts w:hint="eastAsia" w:ascii="Times New Roman" w:hAnsi="Times New Roman" w:eastAsia="宋体" w:cs="Times New Roman"/>
                <w:kern w:val="0"/>
                <w:sz w:val="24"/>
                <w:lang w:bidi="zh-CN"/>
              </w:rPr>
              <w:t>，</w:t>
            </w:r>
            <w:r>
              <w:rPr>
                <w:rFonts w:hint="eastAsia" w:ascii="Times New Roman" w:hAnsi="Times New Roman" w:eastAsia="宋体" w:cs="Times New Roman"/>
                <w:kern w:val="0"/>
                <w:sz w:val="24"/>
                <w:lang w:val="en-US" w:bidi="zh-CN"/>
              </w:rPr>
              <w:t>属于</w:t>
            </w:r>
            <w:r>
              <w:rPr>
                <w:rFonts w:hint="eastAsia" w:ascii="Times New Roman" w:hAnsi="Times New Roman" w:eastAsia="宋体" w:cs="Times New Roman"/>
                <w:kern w:val="0"/>
                <w:sz w:val="24"/>
                <w:lang w:bidi="zh-CN"/>
              </w:rPr>
              <w:t>区域评估环境准入清单</w:t>
            </w:r>
            <w:r>
              <w:rPr>
                <w:rFonts w:hint="eastAsia" w:ascii="Times New Roman" w:hAnsi="Times New Roman" w:eastAsia="宋体" w:cs="Times New Roman"/>
                <w:kern w:val="0"/>
                <w:sz w:val="24"/>
                <w:lang w:val="en-US" w:bidi="zh-CN"/>
              </w:rPr>
              <w:t>中</w:t>
            </w:r>
            <w:r>
              <w:rPr>
                <w:rFonts w:hint="eastAsia" w:ascii="Times New Roman" w:hAnsi="Times New Roman" w:eastAsia="宋体" w:cs="Times New Roman"/>
                <w:kern w:val="0"/>
                <w:sz w:val="24"/>
                <w:lang w:val="en-US" w:eastAsia="zh-CN" w:bidi="zh-CN"/>
              </w:rPr>
              <w:t>优先引入的汽车及其零部件制造业。</w:t>
            </w:r>
          </w:p>
          <w:p>
            <w:pPr>
              <w:numPr>
                <w:ilvl w:val="0"/>
                <w:numId w:val="6"/>
              </w:numPr>
              <w:spacing w:before="156"/>
              <w:ind w:firstLine="482"/>
              <w:rPr>
                <w:b/>
                <w:bCs/>
              </w:rPr>
            </w:pPr>
            <w:r>
              <w:rPr>
                <w:rFonts w:hint="eastAsia"/>
                <w:b/>
                <w:bCs/>
              </w:rPr>
              <w:t>与跟踪评价符合性分析</w:t>
            </w:r>
          </w:p>
          <w:p>
            <w:pPr>
              <w:bidi w:val="0"/>
            </w:pPr>
            <w:r>
              <w:rPr>
                <w:rFonts w:hint="eastAsia"/>
              </w:rPr>
              <w:t>根据《中华人民共和国环境影响评价法》、环保部办公厅《关于开展长江经济带产业园区环境影响跟踪评价工作的通知》（环办环评函【2017】1673号），芜湖经济技术开发区管委会委托南京国环科技股份有限公司对芜湖经济技术开发区（含综合保税区）进行环境影响跟踪评价，编制了《芜湖经济技术开发区（含综合保税区）规划环境影响跟踪评价报告书》。根据相关产业政策、区域大气污染防治、水污染防治和土壤污染防治等要求，本轮跟踪评价给出了经开区发展的产业准入负面清单。</w:t>
            </w:r>
          </w:p>
          <w:p>
            <w:pPr>
              <w:pStyle w:val="23"/>
              <w:bidi w:val="0"/>
              <w:rPr>
                <w:rFonts w:hint="eastAsia"/>
                <w:b/>
                <w:bCs/>
                <w:kern w:val="0"/>
                <w:sz w:val="24"/>
                <w:lang w:bidi="zh-CN"/>
              </w:rPr>
            </w:pPr>
            <w:r>
              <w:rPr>
                <w:rFonts w:hint="eastAsia"/>
                <w:b/>
                <w:bCs/>
                <w:kern w:val="0"/>
                <w:sz w:val="24"/>
                <w:lang w:bidi="zh-CN"/>
              </w:rPr>
              <w:t xml:space="preserve">表1-3 </w:t>
            </w:r>
            <w:r>
              <w:rPr>
                <w:rFonts w:hint="eastAsia"/>
                <w:b/>
                <w:bCs/>
                <w:kern w:val="0"/>
                <w:sz w:val="24"/>
                <w:lang w:val="en-US" w:bidi="zh-CN"/>
              </w:rPr>
              <w:t xml:space="preserve"> </w:t>
            </w:r>
            <w:r>
              <w:rPr>
                <w:rFonts w:hint="eastAsia"/>
                <w:b/>
                <w:bCs/>
                <w:kern w:val="0"/>
                <w:sz w:val="24"/>
                <w:lang w:bidi="zh-CN"/>
              </w:rPr>
              <w:t>芜湖经开区规划环评跟踪评价产业准入负面清单</w:t>
            </w:r>
          </w:p>
          <w:tbl>
            <w:tblPr>
              <w:tblStyle w:val="16"/>
              <w:tblW w:w="5000" w:type="pct"/>
              <w:tblInd w:w="5" w:type="dxa"/>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14"/>
              <w:gridCol w:w="804"/>
              <w:gridCol w:w="5444"/>
            </w:tblGrid>
            <w:tr>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13" w:type="pct"/>
                  <w:tcBorders>
                    <w:tl2br w:val="nil"/>
                    <w:tr2bl w:val="nil"/>
                  </w:tcBorders>
                  <w:vAlign w:val="center"/>
                </w:tcPr>
                <w:p>
                  <w:pPr>
                    <w:pStyle w:val="22"/>
                    <w:bidi w:val="0"/>
                    <w:rPr>
                      <w:rFonts w:hint="default"/>
                      <w:b/>
                      <w:bCs/>
                    </w:rPr>
                  </w:pPr>
                  <w:r>
                    <w:rPr>
                      <w:rFonts w:hint="eastAsia"/>
                      <w:b/>
                      <w:bCs/>
                    </w:rPr>
                    <w:t>项目</w:t>
                  </w:r>
                </w:p>
              </w:tc>
              <w:tc>
                <w:tcPr>
                  <w:tcW w:w="577" w:type="pct"/>
                  <w:tcBorders>
                    <w:tl2br w:val="nil"/>
                    <w:tr2bl w:val="nil"/>
                  </w:tcBorders>
                  <w:vAlign w:val="center"/>
                </w:tcPr>
                <w:p>
                  <w:pPr>
                    <w:pStyle w:val="22"/>
                    <w:bidi w:val="0"/>
                    <w:rPr>
                      <w:rFonts w:hint="default"/>
                      <w:b/>
                      <w:bCs/>
                    </w:rPr>
                  </w:pPr>
                  <w:r>
                    <w:rPr>
                      <w:rFonts w:hint="eastAsia"/>
                      <w:b/>
                      <w:bCs/>
                    </w:rPr>
                    <w:t>类别</w:t>
                  </w:r>
                </w:p>
              </w:tc>
              <w:tc>
                <w:tcPr>
                  <w:tcW w:w="3908" w:type="pct"/>
                  <w:tcBorders>
                    <w:tl2br w:val="nil"/>
                    <w:tr2bl w:val="nil"/>
                  </w:tcBorders>
                  <w:vAlign w:val="center"/>
                </w:tcPr>
                <w:p>
                  <w:pPr>
                    <w:pStyle w:val="22"/>
                    <w:bidi w:val="0"/>
                    <w:rPr>
                      <w:rFonts w:hint="default"/>
                      <w:b/>
                      <w:bCs/>
                    </w:rPr>
                  </w:pPr>
                  <w:r>
                    <w:rPr>
                      <w:rFonts w:hint="eastAsia"/>
                      <w:b/>
                      <w:bCs/>
                    </w:rPr>
                    <w:t>产业准入负面清单</w:t>
                  </w:r>
                </w:p>
              </w:tc>
            </w:tr>
            <w:tr>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13" w:type="pct"/>
                  <w:vMerge w:val="restart"/>
                  <w:tcBorders>
                    <w:tl2br w:val="nil"/>
                    <w:tr2bl w:val="nil"/>
                  </w:tcBorders>
                  <w:vAlign w:val="center"/>
                </w:tcPr>
                <w:p>
                  <w:pPr>
                    <w:pStyle w:val="22"/>
                    <w:bidi w:val="0"/>
                    <w:jc w:val="center"/>
                    <w:rPr>
                      <w:rFonts w:hint="default"/>
                    </w:rPr>
                  </w:pPr>
                  <w:r>
                    <w:rPr>
                      <w:rFonts w:hint="eastAsia"/>
                    </w:rPr>
                    <w:t>产业准入负面清单</w:t>
                  </w:r>
                </w:p>
              </w:tc>
              <w:tc>
                <w:tcPr>
                  <w:tcW w:w="577" w:type="pct"/>
                  <w:vMerge w:val="restart"/>
                  <w:tcBorders>
                    <w:tl2br w:val="nil"/>
                    <w:tr2bl w:val="nil"/>
                  </w:tcBorders>
                  <w:vAlign w:val="center"/>
                </w:tcPr>
                <w:p>
                  <w:pPr>
                    <w:pStyle w:val="22"/>
                    <w:bidi w:val="0"/>
                    <w:jc w:val="center"/>
                    <w:rPr>
                      <w:rFonts w:hint="default"/>
                    </w:rPr>
                  </w:pPr>
                  <w:r>
                    <w:rPr>
                      <w:rFonts w:hint="eastAsia"/>
                    </w:rPr>
                    <w:t>禁止类</w:t>
                  </w:r>
                </w:p>
              </w:tc>
              <w:tc>
                <w:tcPr>
                  <w:tcW w:w="3908" w:type="pct"/>
                  <w:tcBorders>
                    <w:tl2br w:val="nil"/>
                    <w:tr2bl w:val="nil"/>
                  </w:tcBorders>
                  <w:vAlign w:val="center"/>
                </w:tcPr>
                <w:p>
                  <w:pPr>
                    <w:pStyle w:val="22"/>
                    <w:bidi w:val="0"/>
                    <w:rPr>
                      <w:rFonts w:hint="default"/>
                    </w:rPr>
                  </w:pPr>
                  <w:r>
                    <w:rPr>
                      <w:rFonts w:hint="eastAsia"/>
                    </w:rPr>
                    <w:t>禁止引进化学制浆造纸、制革、酿造、染料、印染等易增加区域水环境负荷的项目</w:t>
                  </w:r>
                </w:p>
              </w:tc>
            </w:tr>
            <w:tr>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13" w:type="pct"/>
                  <w:vMerge w:val="continue"/>
                  <w:tcBorders>
                    <w:tl2br w:val="nil"/>
                    <w:tr2bl w:val="nil"/>
                  </w:tcBorders>
                  <w:vAlign w:val="center"/>
                </w:tcPr>
                <w:p>
                  <w:pPr>
                    <w:pStyle w:val="22"/>
                    <w:bidi w:val="0"/>
                    <w:rPr>
                      <w:rFonts w:hint="default"/>
                    </w:rPr>
                  </w:pPr>
                </w:p>
              </w:tc>
              <w:tc>
                <w:tcPr>
                  <w:tcW w:w="577" w:type="pct"/>
                  <w:vMerge w:val="continue"/>
                  <w:tcBorders>
                    <w:tl2br w:val="nil"/>
                    <w:tr2bl w:val="nil"/>
                  </w:tcBorders>
                  <w:vAlign w:val="center"/>
                </w:tcPr>
                <w:p>
                  <w:pPr>
                    <w:pStyle w:val="22"/>
                    <w:bidi w:val="0"/>
                    <w:rPr>
                      <w:rFonts w:hint="default"/>
                    </w:rPr>
                  </w:pPr>
                </w:p>
              </w:tc>
              <w:tc>
                <w:tcPr>
                  <w:tcW w:w="3908" w:type="pct"/>
                  <w:tcBorders>
                    <w:tl2br w:val="nil"/>
                    <w:tr2bl w:val="nil"/>
                  </w:tcBorders>
                  <w:vAlign w:val="center"/>
                </w:tcPr>
                <w:p>
                  <w:pPr>
                    <w:pStyle w:val="22"/>
                    <w:bidi w:val="0"/>
                    <w:rPr>
                      <w:rFonts w:hint="default"/>
                    </w:rPr>
                  </w:pPr>
                  <w:r>
                    <w:rPr>
                      <w:rFonts w:hint="eastAsia"/>
                    </w:rPr>
                    <w:t>禁止引进高污染、高能耗、资源性（“两高一资”）项目</w:t>
                  </w:r>
                </w:p>
              </w:tc>
            </w:tr>
            <w:tr>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13" w:type="pct"/>
                  <w:vMerge w:val="continue"/>
                  <w:tcBorders>
                    <w:tl2br w:val="nil"/>
                    <w:tr2bl w:val="nil"/>
                  </w:tcBorders>
                  <w:vAlign w:val="center"/>
                </w:tcPr>
                <w:p>
                  <w:pPr>
                    <w:pStyle w:val="22"/>
                    <w:bidi w:val="0"/>
                    <w:rPr>
                      <w:rFonts w:hint="default"/>
                    </w:rPr>
                  </w:pPr>
                </w:p>
              </w:tc>
              <w:tc>
                <w:tcPr>
                  <w:tcW w:w="577" w:type="pct"/>
                  <w:vMerge w:val="continue"/>
                  <w:tcBorders>
                    <w:tl2br w:val="nil"/>
                    <w:tr2bl w:val="nil"/>
                  </w:tcBorders>
                  <w:vAlign w:val="center"/>
                </w:tcPr>
                <w:p>
                  <w:pPr>
                    <w:pStyle w:val="22"/>
                    <w:bidi w:val="0"/>
                    <w:rPr>
                      <w:rFonts w:hint="default"/>
                    </w:rPr>
                  </w:pPr>
                </w:p>
              </w:tc>
              <w:tc>
                <w:tcPr>
                  <w:tcW w:w="3908" w:type="pct"/>
                  <w:tcBorders>
                    <w:tl2br w:val="nil"/>
                    <w:tr2bl w:val="nil"/>
                  </w:tcBorders>
                  <w:vAlign w:val="center"/>
                </w:tcPr>
                <w:p>
                  <w:pPr>
                    <w:pStyle w:val="22"/>
                    <w:bidi w:val="0"/>
                    <w:rPr>
                      <w:rFonts w:hint="default"/>
                    </w:rPr>
                  </w:pPr>
                  <w:r>
                    <w:rPr>
                      <w:rFonts w:hint="eastAsia"/>
                    </w:rPr>
                    <w:t>禁止引进纯电镀加工类项目</w:t>
                  </w:r>
                </w:p>
              </w:tc>
            </w:tr>
            <w:tr>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13" w:type="pct"/>
                  <w:vMerge w:val="continue"/>
                  <w:tcBorders>
                    <w:tl2br w:val="nil"/>
                    <w:tr2bl w:val="nil"/>
                  </w:tcBorders>
                  <w:vAlign w:val="center"/>
                </w:tcPr>
                <w:p>
                  <w:pPr>
                    <w:pStyle w:val="22"/>
                    <w:bidi w:val="0"/>
                    <w:rPr>
                      <w:rFonts w:hint="default"/>
                    </w:rPr>
                  </w:pPr>
                </w:p>
              </w:tc>
              <w:tc>
                <w:tcPr>
                  <w:tcW w:w="577" w:type="pct"/>
                  <w:vMerge w:val="continue"/>
                  <w:tcBorders>
                    <w:tl2br w:val="nil"/>
                    <w:tr2bl w:val="nil"/>
                  </w:tcBorders>
                  <w:vAlign w:val="center"/>
                </w:tcPr>
                <w:p>
                  <w:pPr>
                    <w:pStyle w:val="22"/>
                    <w:bidi w:val="0"/>
                    <w:rPr>
                      <w:rFonts w:hint="default"/>
                    </w:rPr>
                  </w:pPr>
                </w:p>
              </w:tc>
              <w:tc>
                <w:tcPr>
                  <w:tcW w:w="3908" w:type="pct"/>
                  <w:tcBorders>
                    <w:tl2br w:val="nil"/>
                    <w:tr2bl w:val="nil"/>
                  </w:tcBorders>
                  <w:vAlign w:val="center"/>
                </w:tcPr>
                <w:p>
                  <w:pPr>
                    <w:pStyle w:val="22"/>
                    <w:bidi w:val="0"/>
                    <w:rPr>
                      <w:rFonts w:hint="default"/>
                    </w:rPr>
                  </w:pPr>
                  <w:r>
                    <w:rPr>
                      <w:rFonts w:hint="eastAsia"/>
                    </w:rPr>
                    <w:t>禁止引进农药项目</w:t>
                  </w:r>
                </w:p>
              </w:tc>
            </w:tr>
            <w:tr>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13" w:type="pct"/>
                  <w:vMerge w:val="continue"/>
                  <w:tcBorders>
                    <w:tl2br w:val="nil"/>
                    <w:tr2bl w:val="nil"/>
                  </w:tcBorders>
                  <w:vAlign w:val="center"/>
                </w:tcPr>
                <w:p>
                  <w:pPr>
                    <w:pStyle w:val="22"/>
                    <w:bidi w:val="0"/>
                    <w:rPr>
                      <w:rFonts w:hint="default"/>
                    </w:rPr>
                  </w:pPr>
                </w:p>
              </w:tc>
              <w:tc>
                <w:tcPr>
                  <w:tcW w:w="577" w:type="pct"/>
                  <w:vMerge w:val="continue"/>
                  <w:tcBorders>
                    <w:tl2br w:val="nil"/>
                    <w:tr2bl w:val="nil"/>
                  </w:tcBorders>
                  <w:vAlign w:val="center"/>
                </w:tcPr>
                <w:p>
                  <w:pPr>
                    <w:pStyle w:val="22"/>
                    <w:bidi w:val="0"/>
                    <w:rPr>
                      <w:rFonts w:hint="default"/>
                    </w:rPr>
                  </w:pPr>
                </w:p>
              </w:tc>
              <w:tc>
                <w:tcPr>
                  <w:tcW w:w="3908" w:type="pct"/>
                  <w:tcBorders>
                    <w:tl2br w:val="nil"/>
                    <w:tr2bl w:val="nil"/>
                  </w:tcBorders>
                  <w:vAlign w:val="center"/>
                </w:tcPr>
                <w:p>
                  <w:pPr>
                    <w:pStyle w:val="22"/>
                    <w:bidi w:val="0"/>
                    <w:rPr>
                      <w:rFonts w:hint="default"/>
                    </w:rPr>
                  </w:pPr>
                  <w:r>
                    <w:rPr>
                      <w:rFonts w:hint="eastAsia"/>
                    </w:rPr>
                    <w:t>禁止引进黑色金属冶炼及压延加工业项目</w:t>
                  </w:r>
                </w:p>
              </w:tc>
            </w:tr>
            <w:tr>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13" w:type="pct"/>
                  <w:vMerge w:val="continue"/>
                  <w:tcBorders>
                    <w:tl2br w:val="nil"/>
                    <w:tr2bl w:val="nil"/>
                  </w:tcBorders>
                  <w:vAlign w:val="center"/>
                </w:tcPr>
                <w:p>
                  <w:pPr>
                    <w:pStyle w:val="22"/>
                    <w:bidi w:val="0"/>
                    <w:rPr>
                      <w:rFonts w:hint="default"/>
                    </w:rPr>
                  </w:pPr>
                </w:p>
              </w:tc>
              <w:tc>
                <w:tcPr>
                  <w:tcW w:w="577" w:type="pct"/>
                  <w:vMerge w:val="continue"/>
                  <w:tcBorders>
                    <w:tl2br w:val="nil"/>
                    <w:tr2bl w:val="nil"/>
                  </w:tcBorders>
                  <w:vAlign w:val="center"/>
                </w:tcPr>
                <w:p>
                  <w:pPr>
                    <w:pStyle w:val="22"/>
                    <w:bidi w:val="0"/>
                    <w:rPr>
                      <w:rFonts w:hint="default"/>
                    </w:rPr>
                  </w:pPr>
                </w:p>
              </w:tc>
              <w:tc>
                <w:tcPr>
                  <w:tcW w:w="3908" w:type="pct"/>
                  <w:tcBorders>
                    <w:tl2br w:val="nil"/>
                    <w:tr2bl w:val="nil"/>
                  </w:tcBorders>
                  <w:vAlign w:val="center"/>
                </w:tcPr>
                <w:p>
                  <w:pPr>
                    <w:pStyle w:val="22"/>
                    <w:bidi w:val="0"/>
                    <w:rPr>
                      <w:rFonts w:hint="default"/>
                    </w:rPr>
                  </w:pPr>
                  <w:r>
                    <w:rPr>
                      <w:rFonts w:hint="eastAsia"/>
                    </w:rPr>
                    <w:t>禁止引进橡胶制品业项目</w:t>
                  </w:r>
                </w:p>
              </w:tc>
            </w:tr>
            <w:tr>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13" w:type="pct"/>
                  <w:vMerge w:val="continue"/>
                  <w:tcBorders>
                    <w:tl2br w:val="nil"/>
                    <w:tr2bl w:val="nil"/>
                  </w:tcBorders>
                  <w:vAlign w:val="center"/>
                </w:tcPr>
                <w:p>
                  <w:pPr>
                    <w:pStyle w:val="22"/>
                    <w:bidi w:val="0"/>
                    <w:rPr>
                      <w:rFonts w:hint="default"/>
                    </w:rPr>
                  </w:pPr>
                </w:p>
              </w:tc>
              <w:tc>
                <w:tcPr>
                  <w:tcW w:w="577" w:type="pct"/>
                  <w:vMerge w:val="continue"/>
                  <w:tcBorders>
                    <w:tl2br w:val="nil"/>
                    <w:tr2bl w:val="nil"/>
                  </w:tcBorders>
                  <w:vAlign w:val="center"/>
                </w:tcPr>
                <w:p>
                  <w:pPr>
                    <w:pStyle w:val="22"/>
                    <w:bidi w:val="0"/>
                    <w:rPr>
                      <w:rFonts w:hint="default"/>
                    </w:rPr>
                  </w:pPr>
                </w:p>
              </w:tc>
              <w:tc>
                <w:tcPr>
                  <w:tcW w:w="3908" w:type="pct"/>
                  <w:tcBorders>
                    <w:tl2br w:val="nil"/>
                    <w:tr2bl w:val="nil"/>
                  </w:tcBorders>
                  <w:vAlign w:val="center"/>
                </w:tcPr>
                <w:p>
                  <w:pPr>
                    <w:pStyle w:val="22"/>
                    <w:bidi w:val="0"/>
                    <w:rPr>
                      <w:rFonts w:hint="default"/>
                    </w:rPr>
                  </w:pPr>
                  <w:r>
                    <w:rPr>
                      <w:rFonts w:hint="eastAsia"/>
                    </w:rPr>
                    <w:t>禁止引进化学原料及化学制品制造业项目</w:t>
                  </w:r>
                </w:p>
              </w:tc>
            </w:tr>
            <w:tr>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13" w:type="pct"/>
                  <w:vMerge w:val="continue"/>
                  <w:tcBorders>
                    <w:tl2br w:val="nil"/>
                    <w:tr2bl w:val="nil"/>
                  </w:tcBorders>
                  <w:vAlign w:val="center"/>
                </w:tcPr>
                <w:p>
                  <w:pPr>
                    <w:pStyle w:val="22"/>
                    <w:bidi w:val="0"/>
                    <w:rPr>
                      <w:rFonts w:hint="default"/>
                    </w:rPr>
                  </w:pPr>
                </w:p>
              </w:tc>
              <w:tc>
                <w:tcPr>
                  <w:tcW w:w="577" w:type="pct"/>
                  <w:vMerge w:val="continue"/>
                  <w:tcBorders>
                    <w:tl2br w:val="nil"/>
                    <w:tr2bl w:val="nil"/>
                  </w:tcBorders>
                  <w:vAlign w:val="center"/>
                </w:tcPr>
                <w:p>
                  <w:pPr>
                    <w:pStyle w:val="22"/>
                    <w:bidi w:val="0"/>
                    <w:rPr>
                      <w:rFonts w:hint="default"/>
                    </w:rPr>
                  </w:pPr>
                </w:p>
              </w:tc>
              <w:tc>
                <w:tcPr>
                  <w:tcW w:w="3908" w:type="pct"/>
                  <w:tcBorders>
                    <w:tl2br w:val="nil"/>
                    <w:tr2bl w:val="nil"/>
                  </w:tcBorders>
                  <w:vAlign w:val="center"/>
                </w:tcPr>
                <w:p>
                  <w:pPr>
                    <w:pStyle w:val="22"/>
                    <w:bidi w:val="0"/>
                    <w:rPr>
                      <w:rFonts w:hint="default"/>
                    </w:rPr>
                  </w:pPr>
                  <w:r>
                    <w:rPr>
                      <w:rFonts w:hint="eastAsia"/>
                    </w:rPr>
                    <w:t>禁止引进化学药品原料药制造项目</w:t>
                  </w:r>
                </w:p>
              </w:tc>
            </w:tr>
            <w:tr>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13" w:type="pct"/>
                  <w:vMerge w:val="continue"/>
                  <w:tcBorders>
                    <w:tl2br w:val="nil"/>
                    <w:tr2bl w:val="nil"/>
                  </w:tcBorders>
                  <w:vAlign w:val="center"/>
                </w:tcPr>
                <w:p>
                  <w:pPr>
                    <w:pStyle w:val="22"/>
                    <w:bidi w:val="0"/>
                    <w:rPr>
                      <w:rFonts w:hint="default"/>
                    </w:rPr>
                  </w:pPr>
                </w:p>
              </w:tc>
              <w:tc>
                <w:tcPr>
                  <w:tcW w:w="577" w:type="pct"/>
                  <w:vMerge w:val="continue"/>
                  <w:tcBorders>
                    <w:tl2br w:val="nil"/>
                    <w:tr2bl w:val="nil"/>
                  </w:tcBorders>
                  <w:vAlign w:val="center"/>
                </w:tcPr>
                <w:p>
                  <w:pPr>
                    <w:pStyle w:val="22"/>
                    <w:bidi w:val="0"/>
                    <w:rPr>
                      <w:rFonts w:hint="default"/>
                    </w:rPr>
                  </w:pPr>
                </w:p>
              </w:tc>
              <w:tc>
                <w:tcPr>
                  <w:tcW w:w="3908" w:type="pct"/>
                  <w:tcBorders>
                    <w:tl2br w:val="nil"/>
                    <w:tr2bl w:val="nil"/>
                  </w:tcBorders>
                  <w:vAlign w:val="center"/>
                </w:tcPr>
                <w:p>
                  <w:pPr>
                    <w:pStyle w:val="22"/>
                    <w:bidi w:val="0"/>
                    <w:rPr>
                      <w:rFonts w:hint="default"/>
                    </w:rPr>
                  </w:pPr>
                  <w:r>
                    <w:rPr>
                      <w:rFonts w:hint="eastAsia"/>
                    </w:rPr>
                    <w:t>禁止引进皮革、毛皮、羽绒及其制造业项目</w:t>
                  </w:r>
                </w:p>
              </w:tc>
            </w:tr>
            <w:tr>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13" w:type="pct"/>
                  <w:vMerge w:val="continue"/>
                  <w:tcBorders>
                    <w:tl2br w:val="nil"/>
                    <w:tr2bl w:val="nil"/>
                  </w:tcBorders>
                  <w:vAlign w:val="center"/>
                </w:tcPr>
                <w:p>
                  <w:pPr>
                    <w:pStyle w:val="22"/>
                    <w:bidi w:val="0"/>
                    <w:rPr>
                      <w:rFonts w:hint="default"/>
                    </w:rPr>
                  </w:pPr>
                </w:p>
              </w:tc>
              <w:tc>
                <w:tcPr>
                  <w:tcW w:w="577" w:type="pct"/>
                  <w:vMerge w:val="continue"/>
                  <w:tcBorders>
                    <w:tl2br w:val="nil"/>
                    <w:tr2bl w:val="nil"/>
                  </w:tcBorders>
                  <w:vAlign w:val="center"/>
                </w:tcPr>
                <w:p>
                  <w:pPr>
                    <w:pStyle w:val="22"/>
                    <w:bidi w:val="0"/>
                    <w:rPr>
                      <w:rFonts w:hint="default"/>
                    </w:rPr>
                  </w:pPr>
                </w:p>
              </w:tc>
              <w:tc>
                <w:tcPr>
                  <w:tcW w:w="3908" w:type="pct"/>
                  <w:tcBorders>
                    <w:tl2br w:val="nil"/>
                    <w:tr2bl w:val="nil"/>
                  </w:tcBorders>
                  <w:vAlign w:val="center"/>
                </w:tcPr>
                <w:p>
                  <w:pPr>
                    <w:pStyle w:val="22"/>
                    <w:bidi w:val="0"/>
                    <w:rPr>
                      <w:rFonts w:hint="default"/>
                    </w:rPr>
                  </w:pPr>
                  <w:r>
                    <w:rPr>
                      <w:rFonts w:hint="eastAsia"/>
                    </w:rPr>
                    <w:t>禁止引进火力发电业项目</w:t>
                  </w:r>
                </w:p>
              </w:tc>
            </w:tr>
            <w:tr>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513" w:type="pct"/>
                  <w:vMerge w:val="continue"/>
                  <w:tcBorders>
                    <w:tl2br w:val="nil"/>
                    <w:tr2bl w:val="nil"/>
                  </w:tcBorders>
                  <w:vAlign w:val="center"/>
                </w:tcPr>
                <w:p>
                  <w:pPr>
                    <w:pStyle w:val="22"/>
                    <w:bidi w:val="0"/>
                    <w:rPr>
                      <w:rFonts w:hint="default"/>
                    </w:rPr>
                  </w:pPr>
                </w:p>
              </w:tc>
              <w:tc>
                <w:tcPr>
                  <w:tcW w:w="577" w:type="pct"/>
                  <w:vMerge w:val="continue"/>
                  <w:tcBorders>
                    <w:tl2br w:val="nil"/>
                    <w:tr2bl w:val="nil"/>
                  </w:tcBorders>
                  <w:vAlign w:val="center"/>
                </w:tcPr>
                <w:p>
                  <w:pPr>
                    <w:pStyle w:val="22"/>
                    <w:bidi w:val="0"/>
                    <w:rPr>
                      <w:rFonts w:hint="default"/>
                    </w:rPr>
                  </w:pPr>
                </w:p>
              </w:tc>
              <w:tc>
                <w:tcPr>
                  <w:tcW w:w="3908" w:type="pct"/>
                  <w:tcBorders>
                    <w:tl2br w:val="nil"/>
                    <w:tr2bl w:val="nil"/>
                  </w:tcBorders>
                  <w:vAlign w:val="center"/>
                </w:tcPr>
                <w:p>
                  <w:pPr>
                    <w:pStyle w:val="22"/>
                    <w:bidi w:val="0"/>
                    <w:rPr>
                      <w:rFonts w:hint="default"/>
                    </w:rPr>
                  </w:pPr>
                  <w:r>
                    <w:rPr>
                      <w:rFonts w:hint="eastAsia"/>
                    </w:rPr>
                    <w:t>禁止引进燃烧原（散）煤、重油、渣油、石油焦等高污染燃料或者直接燃用各种可燃废物的设施和装置</w:t>
                  </w:r>
                </w:p>
              </w:tc>
            </w:tr>
            <w:tr>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13" w:type="pct"/>
                  <w:vMerge w:val="continue"/>
                  <w:tcBorders>
                    <w:tl2br w:val="nil"/>
                    <w:tr2bl w:val="nil"/>
                  </w:tcBorders>
                  <w:vAlign w:val="center"/>
                </w:tcPr>
                <w:p>
                  <w:pPr>
                    <w:pStyle w:val="22"/>
                    <w:bidi w:val="0"/>
                    <w:rPr>
                      <w:rFonts w:hint="default"/>
                    </w:rPr>
                  </w:pPr>
                </w:p>
              </w:tc>
              <w:tc>
                <w:tcPr>
                  <w:tcW w:w="577" w:type="pct"/>
                  <w:vMerge w:val="continue"/>
                  <w:tcBorders>
                    <w:tl2br w:val="nil"/>
                    <w:tr2bl w:val="nil"/>
                  </w:tcBorders>
                  <w:vAlign w:val="center"/>
                </w:tcPr>
                <w:p>
                  <w:pPr>
                    <w:pStyle w:val="22"/>
                    <w:bidi w:val="0"/>
                    <w:rPr>
                      <w:rFonts w:hint="default"/>
                    </w:rPr>
                  </w:pPr>
                </w:p>
              </w:tc>
              <w:tc>
                <w:tcPr>
                  <w:tcW w:w="3908" w:type="pct"/>
                  <w:tcBorders>
                    <w:tl2br w:val="nil"/>
                    <w:tr2bl w:val="nil"/>
                  </w:tcBorders>
                  <w:vAlign w:val="center"/>
                </w:tcPr>
                <w:p>
                  <w:pPr>
                    <w:pStyle w:val="22"/>
                    <w:bidi w:val="0"/>
                    <w:rPr>
                      <w:rFonts w:hint="default"/>
                    </w:rPr>
                  </w:pPr>
                  <w:r>
                    <w:rPr>
                      <w:rFonts w:hint="eastAsia"/>
                    </w:rPr>
                    <w:t>禁止引进炼油、产生致癌、致畸、致突变物质的项目</w:t>
                  </w:r>
                </w:p>
              </w:tc>
            </w:tr>
            <w:tr>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513" w:type="pct"/>
                  <w:vMerge w:val="continue"/>
                  <w:tcBorders>
                    <w:tl2br w:val="nil"/>
                    <w:tr2bl w:val="nil"/>
                  </w:tcBorders>
                  <w:vAlign w:val="center"/>
                </w:tcPr>
                <w:p>
                  <w:pPr>
                    <w:pStyle w:val="22"/>
                    <w:bidi w:val="0"/>
                    <w:rPr>
                      <w:rFonts w:hint="default"/>
                    </w:rPr>
                  </w:pPr>
                </w:p>
              </w:tc>
              <w:tc>
                <w:tcPr>
                  <w:tcW w:w="577" w:type="pct"/>
                  <w:vMerge w:val="continue"/>
                  <w:tcBorders>
                    <w:tl2br w:val="nil"/>
                    <w:tr2bl w:val="nil"/>
                  </w:tcBorders>
                  <w:vAlign w:val="center"/>
                </w:tcPr>
                <w:p>
                  <w:pPr>
                    <w:pStyle w:val="22"/>
                    <w:bidi w:val="0"/>
                    <w:rPr>
                      <w:rFonts w:hint="default"/>
                    </w:rPr>
                  </w:pPr>
                </w:p>
              </w:tc>
              <w:tc>
                <w:tcPr>
                  <w:tcW w:w="3908" w:type="pct"/>
                  <w:tcBorders>
                    <w:tl2br w:val="nil"/>
                    <w:tr2bl w:val="nil"/>
                  </w:tcBorders>
                  <w:vAlign w:val="center"/>
                </w:tcPr>
                <w:p>
                  <w:pPr>
                    <w:pStyle w:val="22"/>
                    <w:bidi w:val="0"/>
                    <w:rPr>
                      <w:rFonts w:hint="default"/>
                    </w:rPr>
                  </w:pPr>
                  <w:r>
                    <w:rPr>
                      <w:rFonts w:hint="eastAsia"/>
                    </w:rPr>
                    <w:t>禁止引进属于《产业结构调整指导目录（2019 年本）》（2021年修改）中限制和淘汰类项目、《外商投资产业指导目录（2015年）》限制和禁止类项目</w:t>
                  </w:r>
                </w:p>
              </w:tc>
            </w:tr>
            <w:tr>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13" w:type="pct"/>
                  <w:vMerge w:val="continue"/>
                  <w:tcBorders>
                    <w:tl2br w:val="nil"/>
                    <w:tr2bl w:val="nil"/>
                  </w:tcBorders>
                  <w:vAlign w:val="center"/>
                </w:tcPr>
                <w:p>
                  <w:pPr>
                    <w:pStyle w:val="22"/>
                    <w:bidi w:val="0"/>
                    <w:rPr>
                      <w:rFonts w:hint="default"/>
                    </w:rPr>
                  </w:pPr>
                </w:p>
              </w:tc>
              <w:tc>
                <w:tcPr>
                  <w:tcW w:w="577" w:type="pct"/>
                  <w:vMerge w:val="continue"/>
                  <w:tcBorders>
                    <w:tl2br w:val="nil"/>
                    <w:tr2bl w:val="nil"/>
                  </w:tcBorders>
                  <w:vAlign w:val="center"/>
                </w:tcPr>
                <w:p>
                  <w:pPr>
                    <w:pStyle w:val="22"/>
                    <w:bidi w:val="0"/>
                    <w:rPr>
                      <w:rFonts w:hint="default"/>
                    </w:rPr>
                  </w:pPr>
                </w:p>
              </w:tc>
              <w:tc>
                <w:tcPr>
                  <w:tcW w:w="3908" w:type="pct"/>
                  <w:tcBorders>
                    <w:tl2br w:val="nil"/>
                    <w:tr2bl w:val="nil"/>
                  </w:tcBorders>
                  <w:vAlign w:val="center"/>
                </w:tcPr>
                <w:p>
                  <w:pPr>
                    <w:pStyle w:val="22"/>
                    <w:bidi w:val="0"/>
                    <w:rPr>
                      <w:rFonts w:hint="default"/>
                    </w:rPr>
                  </w:pPr>
                  <w:r>
                    <w:rPr>
                      <w:rFonts w:hint="eastAsia"/>
                    </w:rPr>
                    <w:t>禁止引进不符合芜湖经开区规划产业定位的项目</w:t>
                  </w:r>
                </w:p>
              </w:tc>
            </w:tr>
            <w:tr>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13" w:type="pct"/>
                  <w:vMerge w:val="continue"/>
                  <w:tcBorders>
                    <w:tl2br w:val="nil"/>
                    <w:tr2bl w:val="nil"/>
                  </w:tcBorders>
                  <w:vAlign w:val="center"/>
                </w:tcPr>
                <w:p>
                  <w:pPr>
                    <w:pStyle w:val="22"/>
                    <w:bidi w:val="0"/>
                    <w:rPr>
                      <w:rFonts w:hint="default"/>
                    </w:rPr>
                  </w:pPr>
                </w:p>
              </w:tc>
              <w:tc>
                <w:tcPr>
                  <w:tcW w:w="577" w:type="pct"/>
                  <w:vMerge w:val="continue"/>
                  <w:tcBorders>
                    <w:tl2br w:val="nil"/>
                    <w:tr2bl w:val="nil"/>
                  </w:tcBorders>
                  <w:vAlign w:val="center"/>
                </w:tcPr>
                <w:p>
                  <w:pPr>
                    <w:pStyle w:val="22"/>
                    <w:bidi w:val="0"/>
                    <w:rPr>
                      <w:rFonts w:hint="default"/>
                    </w:rPr>
                  </w:pPr>
                </w:p>
              </w:tc>
              <w:tc>
                <w:tcPr>
                  <w:tcW w:w="3908" w:type="pct"/>
                  <w:tcBorders>
                    <w:tl2br w:val="nil"/>
                    <w:tr2bl w:val="nil"/>
                  </w:tcBorders>
                  <w:vAlign w:val="center"/>
                </w:tcPr>
                <w:p>
                  <w:pPr>
                    <w:pStyle w:val="22"/>
                    <w:bidi w:val="0"/>
                    <w:rPr>
                      <w:rFonts w:hint="default"/>
                    </w:rPr>
                  </w:pPr>
                  <w:r>
                    <w:rPr>
                      <w:rFonts w:hint="eastAsia"/>
                    </w:rPr>
                    <w:t>禁止引进环境污染严重、污染物排放总量指标未落实的项目</w:t>
                  </w:r>
                </w:p>
              </w:tc>
            </w:tr>
            <w:tr>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13" w:type="pct"/>
                  <w:vMerge w:val="continue"/>
                  <w:tcBorders>
                    <w:tl2br w:val="nil"/>
                    <w:tr2bl w:val="nil"/>
                  </w:tcBorders>
                  <w:vAlign w:val="center"/>
                </w:tcPr>
                <w:p>
                  <w:pPr>
                    <w:pStyle w:val="22"/>
                    <w:bidi w:val="0"/>
                    <w:rPr>
                      <w:rFonts w:hint="default"/>
                    </w:rPr>
                  </w:pPr>
                </w:p>
              </w:tc>
              <w:tc>
                <w:tcPr>
                  <w:tcW w:w="577" w:type="pct"/>
                  <w:vMerge w:val="continue"/>
                  <w:tcBorders>
                    <w:tl2br w:val="nil"/>
                    <w:tr2bl w:val="nil"/>
                  </w:tcBorders>
                  <w:vAlign w:val="center"/>
                </w:tcPr>
                <w:p>
                  <w:pPr>
                    <w:pStyle w:val="22"/>
                    <w:bidi w:val="0"/>
                    <w:rPr>
                      <w:rFonts w:hint="default"/>
                    </w:rPr>
                  </w:pPr>
                </w:p>
              </w:tc>
              <w:tc>
                <w:tcPr>
                  <w:tcW w:w="3908" w:type="pct"/>
                  <w:tcBorders>
                    <w:tl2br w:val="nil"/>
                    <w:tr2bl w:val="nil"/>
                  </w:tcBorders>
                  <w:vAlign w:val="center"/>
                </w:tcPr>
                <w:p>
                  <w:pPr>
                    <w:pStyle w:val="22"/>
                    <w:bidi w:val="0"/>
                    <w:rPr>
                      <w:rFonts w:hint="default"/>
                    </w:rPr>
                  </w:pPr>
                  <w:r>
                    <w:rPr>
                      <w:rFonts w:hint="eastAsia"/>
                    </w:rPr>
                    <w:t>禁止引进国家、安徽省明确规定不得审批的建设项目</w:t>
                  </w:r>
                </w:p>
              </w:tc>
            </w:tr>
          </w:tbl>
          <w:p>
            <w:pPr>
              <w:bidi w:val="0"/>
              <w:rPr>
                <w:rFonts w:hint="eastAsia"/>
              </w:rPr>
            </w:pPr>
            <w:r>
              <w:rPr>
                <w:rFonts w:hint="eastAsia"/>
              </w:rPr>
              <w:t>本项目产品主要为</w:t>
            </w:r>
            <w:r>
              <w:rPr>
                <w:rFonts w:hint="eastAsia" w:ascii="宋体" w:hAnsi="宋体" w:eastAsia="宋体" w:cs="宋体"/>
              </w:rPr>
              <w:t>汽车模具（含夹检具）</w:t>
            </w:r>
            <w:r>
              <w:rPr>
                <w:rFonts w:hint="eastAsia" w:ascii="宋体" w:hAnsi="宋体" w:cs="宋体"/>
                <w:lang w:val="en-US" w:eastAsia="zh-CN"/>
              </w:rPr>
              <w:t>和</w:t>
            </w:r>
            <w:r>
              <w:rPr>
                <w:rFonts w:hint="eastAsia" w:ascii="宋体" w:hAnsi="宋体" w:eastAsia="宋体" w:cs="宋体"/>
              </w:rPr>
              <w:t>新能源汽车冲焊件</w:t>
            </w:r>
            <w:r>
              <w:rPr>
                <w:rFonts w:hint="eastAsia"/>
              </w:rPr>
              <w:t>，属于汽车零部件及配件制造，不属于芜湖经济技术开发区项目产业准入负面清单中的“禁止类”项目，满足芜湖经济技术开发区项目产业定位的要求。</w:t>
            </w: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272" w:hRule="atLeast"/>
          <w:jc w:val="center"/>
        </w:trPr>
        <w:tc>
          <w:tcPr>
            <w:tcW w:w="1905" w:type="dxa"/>
            <w:vAlign w:val="center"/>
          </w:tcPr>
          <w:p>
            <w:pPr>
              <w:autoSpaceDE w:val="0"/>
              <w:autoSpaceDN w:val="0"/>
              <w:adjustRightInd w:val="0"/>
              <w:snapToGrid w:val="0"/>
              <w:ind w:firstLine="0" w:firstLineChars="0"/>
              <w:jc w:val="center"/>
              <w:rPr>
                <w:rFonts w:cs="宋体"/>
                <w:kern w:val="0"/>
              </w:rPr>
            </w:pPr>
            <w:r>
              <w:rPr>
                <w:rFonts w:hint="eastAsia" w:cs="宋体"/>
                <w:kern w:val="0"/>
              </w:rPr>
              <w:t>其他符合性分析</w:t>
            </w:r>
          </w:p>
        </w:tc>
        <w:tc>
          <w:tcPr>
            <w:tcW w:w="7180" w:type="dxa"/>
            <w:gridSpan w:val="3"/>
            <w:vAlign w:val="center"/>
          </w:tcPr>
          <w:p>
            <w:pPr>
              <w:pStyle w:val="5"/>
              <w:numPr>
                <w:ilvl w:val="0"/>
                <w:numId w:val="7"/>
              </w:numPr>
              <w:tabs>
                <w:tab w:val="left" w:pos="567"/>
              </w:tabs>
              <w:ind w:firstLine="482" w:firstLineChars="200"/>
              <w:rPr>
                <w:rFonts w:hint="eastAsia"/>
              </w:rPr>
            </w:pPr>
            <w:r>
              <w:rPr>
                <w:rFonts w:hint="eastAsia"/>
              </w:rPr>
              <w:t>产业政策符合性</w:t>
            </w:r>
          </w:p>
          <w:p>
            <w:pPr>
              <w:rPr>
                <w:rFonts w:hint="eastAsia"/>
              </w:rPr>
            </w:pPr>
            <w:r>
              <w:rPr>
                <w:rFonts w:hint="eastAsia"/>
              </w:rPr>
              <w:t>对照《产业结构调整指导目录（2024年本）》，本项目不属于其中“鼓励类”“限制类”及“淘汰类”，为“允许类”项目。经查询《市场准入负面清单》（2022年版），本项目不属于其中禁止准入类项目。</w:t>
            </w:r>
          </w:p>
          <w:p>
            <w:pPr>
              <w:rPr>
                <w:rFonts w:hint="eastAsia"/>
              </w:rPr>
            </w:pPr>
            <w:r>
              <w:rPr>
                <w:rFonts w:hint="eastAsia"/>
              </w:rPr>
              <w:t>本项目所用生产设备不属于《限期淘汰产生严重污染环境的工业固体废物的落后生产工艺设备名录》（工信部公告2021年第25号）中列出的淘汰设备，本项目于</w:t>
            </w:r>
            <w:r>
              <w:rPr>
                <w:rFonts w:hint="eastAsia"/>
                <w:color w:val="auto"/>
                <w:kern w:val="0"/>
              </w:rPr>
              <w:t>202</w:t>
            </w:r>
            <w:r>
              <w:rPr>
                <w:rFonts w:hint="eastAsia"/>
                <w:color w:val="auto"/>
                <w:kern w:val="0"/>
                <w:lang w:val="en-US" w:eastAsia="zh-CN"/>
              </w:rPr>
              <w:t>4</w:t>
            </w:r>
            <w:r>
              <w:rPr>
                <w:rFonts w:hint="eastAsia"/>
                <w:color w:val="auto"/>
                <w:kern w:val="0"/>
              </w:rPr>
              <w:t>年</w:t>
            </w:r>
            <w:r>
              <w:rPr>
                <w:rFonts w:hint="eastAsia"/>
                <w:color w:val="auto"/>
                <w:kern w:val="0"/>
                <w:lang w:val="en-US" w:eastAsia="zh-CN"/>
              </w:rPr>
              <w:t>6</w:t>
            </w:r>
            <w:r>
              <w:rPr>
                <w:rFonts w:hint="eastAsia"/>
                <w:color w:val="auto"/>
                <w:kern w:val="0"/>
              </w:rPr>
              <w:t>月</w:t>
            </w:r>
            <w:r>
              <w:rPr>
                <w:rFonts w:hint="eastAsia"/>
                <w:color w:val="auto"/>
                <w:kern w:val="0"/>
                <w:lang w:val="en-US" w:eastAsia="zh-CN"/>
              </w:rPr>
              <w:t>11</w:t>
            </w:r>
            <w:r>
              <w:rPr>
                <w:rFonts w:hint="eastAsia"/>
                <w:color w:val="auto"/>
                <w:kern w:val="0"/>
              </w:rPr>
              <w:t>日获得了芜湖经济技术开发区管理委员会备案（备案编号：</w:t>
            </w:r>
            <w:r>
              <w:rPr>
                <w:rFonts w:hint="eastAsia"/>
                <w:color w:val="auto"/>
                <w:lang w:val="en-US" w:eastAsia="zh-CN"/>
              </w:rPr>
              <w:t>开备案〔</w:t>
            </w:r>
            <w:r>
              <w:rPr>
                <w:rFonts w:hint="eastAsia"/>
                <w:color w:val="auto"/>
              </w:rPr>
              <w:t>202</w:t>
            </w:r>
            <w:r>
              <w:rPr>
                <w:rFonts w:hint="eastAsia"/>
                <w:color w:val="auto"/>
                <w:lang w:val="en-US" w:eastAsia="zh-CN"/>
              </w:rPr>
              <w:t>4〕160</w:t>
            </w:r>
            <w:r>
              <w:rPr>
                <w:rFonts w:hint="eastAsia"/>
                <w:color w:val="auto"/>
              </w:rPr>
              <w:t>号</w:t>
            </w:r>
            <w:r>
              <w:rPr>
                <w:rFonts w:hint="eastAsia"/>
                <w:color w:val="auto"/>
                <w:kern w:val="0"/>
              </w:rPr>
              <w:t>）</w:t>
            </w:r>
            <w:r>
              <w:rPr>
                <w:rFonts w:hint="eastAsia"/>
              </w:rPr>
              <w:t>。项目代码：</w:t>
            </w:r>
            <w:r>
              <w:rPr>
                <w:rFonts w:hint="eastAsia" w:ascii="Times New Roman" w:hAnsi="Times New Roman" w:eastAsia="宋体" w:cs="宋体"/>
                <w:lang w:val="en-US" w:eastAsia="zh-CN"/>
              </w:rPr>
              <w:t>2407-340264-04-05-354036</w:t>
            </w:r>
            <w:r>
              <w:rPr>
                <w:rFonts w:hint="eastAsia"/>
              </w:rPr>
              <w:t>，详见附件4。</w:t>
            </w:r>
          </w:p>
          <w:p>
            <w:pPr>
              <w:bidi w:val="0"/>
              <w:rPr>
                <w:rFonts w:hint="eastAsia"/>
              </w:rPr>
            </w:pPr>
            <w:r>
              <w:rPr>
                <w:rFonts w:hint="eastAsia"/>
              </w:rPr>
              <w:t>因此，本项目符合国家产业政策要求。</w:t>
            </w:r>
          </w:p>
          <w:p>
            <w:pPr>
              <w:pStyle w:val="5"/>
              <w:numPr>
                <w:ilvl w:val="0"/>
                <w:numId w:val="7"/>
              </w:numPr>
              <w:tabs>
                <w:tab w:val="left" w:pos="567"/>
              </w:tabs>
              <w:ind w:firstLine="482" w:firstLineChars="200"/>
              <w:rPr>
                <w:rFonts w:hint="eastAsia"/>
              </w:rPr>
            </w:pPr>
            <w:r>
              <w:rPr>
                <w:rFonts w:hint="eastAsia"/>
              </w:rPr>
              <w:t>选址合理性分析</w:t>
            </w:r>
          </w:p>
          <w:p>
            <w:pPr>
              <w:bidi w:val="0"/>
              <w:rPr>
                <w:rFonts w:hint="eastAsia"/>
              </w:rPr>
            </w:pPr>
            <w:r>
              <w:t>本项目位于</w:t>
            </w:r>
            <w:r>
              <w:rPr>
                <w:rFonts w:hint="eastAsia" w:cs="宋体"/>
              </w:rPr>
              <w:t>安徽省芜湖市经济技术开发区龙山街道祥和路52号（芜湖戎征达伺服智能装备研发与中试基地建设项目综合厂房内）</w:t>
            </w:r>
            <w:r>
              <w:t>，</w:t>
            </w:r>
            <w:r>
              <w:rPr>
                <w:rFonts w:hint="eastAsia"/>
                <w:lang w:val="en-US" w:eastAsia="zh-CN"/>
              </w:rPr>
              <w:t>对照</w:t>
            </w:r>
            <w:r>
              <w:rPr>
                <w:rFonts w:hint="eastAsia"/>
              </w:rPr>
              <w:t>《芜湖经济技术开发区总体规划》（2006-2020年）</w:t>
            </w:r>
            <w:r>
              <w:t>，本项目用地属于工业用地，项目选址</w:t>
            </w:r>
            <w:r>
              <w:rPr>
                <w:rFonts w:hint="eastAsia"/>
              </w:rPr>
              <w:t>周边500m范围内无自然保护区、风景名胜区、饮用水源保护区和文物古迹等需要特殊保护的环境敏感对象，本项目污染物均能稳定达标排放，对周边环境影响较小，从环境角度分析，项目选址合理。</w:t>
            </w:r>
          </w:p>
          <w:p>
            <w:pPr>
              <w:pStyle w:val="5"/>
              <w:numPr>
                <w:ilvl w:val="0"/>
                <w:numId w:val="7"/>
              </w:numPr>
              <w:tabs>
                <w:tab w:val="left" w:pos="567"/>
              </w:tabs>
              <w:ind w:firstLine="482" w:firstLineChars="200"/>
              <w:rPr>
                <w:rFonts w:hint="eastAsia"/>
              </w:rPr>
            </w:pPr>
            <w:r>
              <w:rPr>
                <w:rFonts w:hint="eastAsia"/>
              </w:rPr>
              <w:t>与“三线一单”相符性分析</w:t>
            </w:r>
          </w:p>
          <w:p>
            <w:pPr>
              <w:rPr>
                <w:rFonts w:hint="eastAsia"/>
              </w:rPr>
            </w:pPr>
            <w:r>
              <w:rPr>
                <w:rFonts w:hint="eastAsia"/>
              </w:rPr>
              <w:t>“三线一单”是以改善环境质量为核心，将生态保护红线、环境质量底线、资源利用上线落实到不同的环境管控单元，并建立生态环境准入清单的环境分区管控体系。“三线一单”是推动生态环境保护管理系统化、科学化、法治化、精细化、信息化的重要抓手，是推进战略和规划环评落地、环境保护参与空间规划和优化国土空间格局的基础支撑，是实施环境空间管控、强化源头预防和过程监管的重要手段。</w:t>
            </w:r>
          </w:p>
          <w:p>
            <w:pPr>
              <w:rPr>
                <w:rFonts w:hint="eastAsia"/>
              </w:rPr>
            </w:pPr>
            <w:r>
              <w:rPr>
                <w:rFonts w:hint="eastAsia"/>
              </w:rPr>
              <w:t>判定本项目与“三线一单”相符性如下表。</w:t>
            </w:r>
          </w:p>
          <w:p>
            <w:pPr>
              <w:pStyle w:val="23"/>
              <w:bidi w:val="0"/>
              <w:rPr>
                <w:rFonts w:hint="eastAsia"/>
              </w:rPr>
            </w:pPr>
            <w:r>
              <w:rPr>
                <w:rFonts w:hint="default" w:ascii="Times New Roman" w:hAnsi="Times New Roman" w:eastAsia="宋体" w:cs="Times New Roman"/>
                <w:b/>
                <w:bCs/>
                <w:kern w:val="0"/>
                <w:sz w:val="24"/>
                <w:lang w:bidi="zh-CN"/>
              </w:rPr>
              <w:t>表1-</w:t>
            </w:r>
            <w:r>
              <w:rPr>
                <w:rFonts w:hint="eastAsia" w:ascii="Times New Roman" w:hAnsi="Times New Roman" w:eastAsia="宋体" w:cs="Times New Roman"/>
                <w:b/>
                <w:bCs/>
                <w:kern w:val="0"/>
                <w:sz w:val="24"/>
                <w:lang w:bidi="zh-CN"/>
              </w:rPr>
              <w:t>4</w:t>
            </w:r>
            <w:r>
              <w:rPr>
                <w:rFonts w:hint="eastAsia" w:ascii="Times New Roman" w:hAnsi="Times New Roman" w:eastAsia="宋体" w:cs="Times New Roman"/>
                <w:b/>
                <w:bCs/>
                <w:kern w:val="0"/>
                <w:sz w:val="24"/>
                <w:lang w:val="en-US" w:eastAsia="zh-CN" w:bidi="zh-CN"/>
              </w:rPr>
              <w:t xml:space="preserve"> </w:t>
            </w:r>
            <w:r>
              <w:rPr>
                <w:rFonts w:hint="eastAsia" w:eastAsia="宋体" w:cs="Times New Roman"/>
                <w:b/>
                <w:bCs/>
                <w:kern w:val="0"/>
                <w:sz w:val="24"/>
                <w:lang w:val="en-US" w:eastAsia="zh-CN" w:bidi="zh-CN"/>
              </w:rPr>
              <w:t xml:space="preserve"> </w:t>
            </w:r>
            <w:r>
              <w:rPr>
                <w:rFonts w:hint="eastAsia"/>
              </w:rPr>
              <w:t>本项目与“三线一单”相符性</w:t>
            </w:r>
          </w:p>
          <w:tbl>
            <w:tblPr>
              <w:tblStyle w:val="1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65"/>
              <w:gridCol w:w="2526"/>
              <w:gridCol w:w="2715"/>
              <w:gridCol w:w="95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550" w:type="pct"/>
                  <w:tcBorders>
                    <w:tl2br w:val="nil"/>
                    <w:tr2bl w:val="nil"/>
                  </w:tcBorders>
                  <w:vAlign w:val="center"/>
                </w:tcPr>
                <w:p>
                  <w:pPr>
                    <w:pStyle w:val="22"/>
                    <w:bidi w:val="0"/>
                    <w:rPr>
                      <w:rFonts w:hint="eastAsia"/>
                      <w:b/>
                      <w:bCs/>
                      <w:lang w:val="en-US" w:eastAsia="zh-CN"/>
                    </w:rPr>
                  </w:pPr>
                  <w:r>
                    <w:rPr>
                      <w:rFonts w:hint="eastAsia"/>
                      <w:b/>
                      <w:bCs/>
                      <w:lang w:val="en-US" w:eastAsia="zh-CN"/>
                    </w:rPr>
                    <w:t>内容</w:t>
                  </w:r>
                </w:p>
              </w:tc>
              <w:tc>
                <w:tcPr>
                  <w:tcW w:w="1813" w:type="pct"/>
                  <w:tcBorders>
                    <w:tl2br w:val="nil"/>
                    <w:tr2bl w:val="nil"/>
                  </w:tcBorders>
                  <w:vAlign w:val="center"/>
                </w:tcPr>
                <w:p>
                  <w:pPr>
                    <w:pStyle w:val="22"/>
                    <w:bidi w:val="0"/>
                    <w:rPr>
                      <w:rFonts w:hint="eastAsia"/>
                      <w:b/>
                      <w:bCs/>
                      <w:lang w:val="en-US" w:eastAsia="zh-CN"/>
                    </w:rPr>
                  </w:pPr>
                  <w:r>
                    <w:rPr>
                      <w:rFonts w:hint="eastAsia"/>
                      <w:b/>
                      <w:bCs/>
                      <w:lang w:val="en-US" w:eastAsia="zh-CN"/>
                    </w:rPr>
                    <w:t>要求</w:t>
                  </w:r>
                </w:p>
              </w:tc>
              <w:tc>
                <w:tcPr>
                  <w:tcW w:w="1949" w:type="pct"/>
                  <w:tcBorders>
                    <w:tl2br w:val="nil"/>
                    <w:tr2bl w:val="nil"/>
                  </w:tcBorders>
                  <w:vAlign w:val="center"/>
                </w:tcPr>
                <w:p>
                  <w:pPr>
                    <w:pStyle w:val="22"/>
                    <w:bidi w:val="0"/>
                    <w:rPr>
                      <w:rFonts w:hint="default"/>
                      <w:b/>
                      <w:bCs/>
                      <w:lang w:val="en-US" w:eastAsia="zh-CN"/>
                    </w:rPr>
                  </w:pPr>
                  <w:r>
                    <w:rPr>
                      <w:rFonts w:hint="eastAsia"/>
                      <w:b/>
                      <w:bCs/>
                      <w:lang w:val="en-US" w:eastAsia="zh-CN"/>
                    </w:rPr>
                    <w:t>本项目情况</w:t>
                  </w:r>
                </w:p>
              </w:tc>
              <w:tc>
                <w:tcPr>
                  <w:tcW w:w="686" w:type="pct"/>
                  <w:tcBorders>
                    <w:tl2br w:val="nil"/>
                    <w:tr2bl w:val="nil"/>
                  </w:tcBorders>
                  <w:vAlign w:val="center"/>
                </w:tcPr>
                <w:p>
                  <w:pPr>
                    <w:pStyle w:val="22"/>
                    <w:bidi w:val="0"/>
                    <w:rPr>
                      <w:rFonts w:hint="eastAsia"/>
                      <w:b/>
                      <w:bCs/>
                      <w:lang w:val="en-US" w:eastAsia="zh-CN"/>
                    </w:rPr>
                  </w:pPr>
                  <w:r>
                    <w:rPr>
                      <w:rFonts w:hint="eastAsia"/>
                      <w:b/>
                      <w:bCs/>
                      <w:lang w:val="en-US" w:eastAsia="zh-CN"/>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550" w:type="pct"/>
                  <w:tcBorders>
                    <w:tl2br w:val="nil"/>
                    <w:tr2bl w:val="nil"/>
                  </w:tcBorders>
                  <w:vAlign w:val="center"/>
                </w:tcPr>
                <w:p>
                  <w:pPr>
                    <w:pStyle w:val="22"/>
                    <w:bidi w:val="0"/>
                    <w:rPr>
                      <w:rFonts w:hint="default"/>
                    </w:rPr>
                  </w:pPr>
                  <w:r>
                    <w:rPr>
                      <w:rFonts w:hint="default"/>
                    </w:rPr>
                    <w:t>生态保护红线</w:t>
                  </w:r>
                </w:p>
              </w:tc>
              <w:tc>
                <w:tcPr>
                  <w:tcW w:w="1813" w:type="pct"/>
                  <w:tcBorders>
                    <w:tl2br w:val="nil"/>
                    <w:tr2bl w:val="nil"/>
                  </w:tcBorders>
                  <w:vAlign w:val="center"/>
                </w:tcPr>
                <w:p>
                  <w:pPr>
                    <w:pStyle w:val="22"/>
                    <w:bidi w:val="0"/>
                    <w:jc w:val="both"/>
                    <w:rPr>
                      <w:rFonts w:hint="default"/>
                    </w:rPr>
                  </w:pPr>
                  <w:r>
                    <w:rPr>
                      <w:rFonts w:hint="default"/>
                    </w:rPr>
                    <w:t>生态保护红线是生态空间范围内具有特殊重要生态功能必须实行强制性严格保护的区域。在生态保护红线范围内，严控各类开发建设活动，依法不予审批新建工业项目和矿产开发项目的环评文件。</w:t>
                  </w:r>
                </w:p>
              </w:tc>
              <w:tc>
                <w:tcPr>
                  <w:tcW w:w="1949" w:type="pct"/>
                  <w:tcBorders>
                    <w:tl2br w:val="nil"/>
                    <w:tr2bl w:val="nil"/>
                  </w:tcBorders>
                  <w:vAlign w:val="center"/>
                </w:tcPr>
                <w:p>
                  <w:pPr>
                    <w:pStyle w:val="22"/>
                    <w:bidi w:val="0"/>
                    <w:jc w:val="both"/>
                    <w:rPr>
                      <w:rFonts w:hint="default"/>
                    </w:rPr>
                  </w:pPr>
                  <w:r>
                    <w:rPr>
                      <w:rFonts w:hint="eastAsia"/>
                      <w:lang w:val="en-US" w:eastAsia="zh-CN"/>
                    </w:rPr>
                    <w:t>项目位于</w:t>
                  </w:r>
                  <w:r>
                    <w:rPr>
                      <w:rFonts w:hint="default"/>
                    </w:rPr>
                    <w:t>安徽省芜湖市经济技术开发区龙山街道祥和路52号（芜湖戎征达伺服智能装备研发与中试基地建设项目综合厂房内）</w:t>
                  </w:r>
                  <w:r>
                    <w:rPr>
                      <w:rFonts w:hint="eastAsia"/>
                      <w:lang w:eastAsia="zh-CN"/>
                    </w:rPr>
                    <w:t>，</w:t>
                  </w:r>
                  <w:r>
                    <w:rPr>
                      <w:rFonts w:hint="default"/>
                    </w:rPr>
                    <w:t>项目用地属于规划的工业用地，不在生态红线范围内。</w:t>
                  </w:r>
                </w:p>
              </w:tc>
              <w:tc>
                <w:tcPr>
                  <w:tcW w:w="686" w:type="pct"/>
                  <w:tcBorders>
                    <w:tl2br w:val="nil"/>
                    <w:tr2bl w:val="nil"/>
                  </w:tcBorders>
                  <w:vAlign w:val="center"/>
                </w:tcPr>
                <w:p>
                  <w:pPr>
                    <w:pStyle w:val="22"/>
                    <w:bidi w:val="0"/>
                    <w:jc w:val="both"/>
                    <w:rPr>
                      <w:rFonts w:hint="default"/>
                    </w:rPr>
                  </w:pPr>
                  <w:r>
                    <w:rPr>
                      <w:rFonts w:hint="default"/>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550" w:type="pct"/>
                  <w:tcBorders>
                    <w:tl2br w:val="nil"/>
                    <w:tr2bl w:val="nil"/>
                  </w:tcBorders>
                  <w:vAlign w:val="center"/>
                </w:tcPr>
                <w:p>
                  <w:pPr>
                    <w:pStyle w:val="22"/>
                    <w:bidi w:val="0"/>
                    <w:rPr>
                      <w:rFonts w:hint="default" w:eastAsia="宋体"/>
                      <w:lang w:val="en-US" w:eastAsia="zh-CN"/>
                    </w:rPr>
                  </w:pPr>
                  <w:r>
                    <w:rPr>
                      <w:rFonts w:hint="eastAsia"/>
                      <w:lang w:val="en-US" w:eastAsia="zh-CN"/>
                    </w:rPr>
                    <w:t>环境质量底线</w:t>
                  </w:r>
                </w:p>
              </w:tc>
              <w:tc>
                <w:tcPr>
                  <w:tcW w:w="1813" w:type="pct"/>
                  <w:tcBorders>
                    <w:tl2br w:val="nil"/>
                    <w:tr2bl w:val="nil"/>
                  </w:tcBorders>
                  <w:vAlign w:val="center"/>
                </w:tcPr>
                <w:p>
                  <w:pPr>
                    <w:pStyle w:val="22"/>
                    <w:bidi w:val="0"/>
                    <w:jc w:val="both"/>
                    <w:rPr>
                      <w:rFonts w:hint="default"/>
                    </w:rPr>
                  </w:pPr>
                  <w:r>
                    <w:rPr>
                      <w:rFonts w:hint="default"/>
                    </w:rPr>
                    <w:t>环境质量现状超标地区以及未达到环境质量目标考核要求的地区上新项目将受到限制；对环境质量现状超标的地区，项目拟采取的措施不能满足区域环境质量改善目标管理要求的，依法不予审批其环评文件。</w:t>
                  </w:r>
                </w:p>
              </w:tc>
              <w:tc>
                <w:tcPr>
                  <w:tcW w:w="1949" w:type="pct"/>
                  <w:tcBorders>
                    <w:tl2br w:val="nil"/>
                    <w:tr2bl w:val="nil"/>
                  </w:tcBorders>
                  <w:vAlign w:val="center"/>
                </w:tcPr>
                <w:p>
                  <w:pPr>
                    <w:pStyle w:val="22"/>
                    <w:bidi w:val="0"/>
                    <w:jc w:val="both"/>
                    <w:rPr>
                      <w:rFonts w:hint="default"/>
                    </w:rPr>
                  </w:pPr>
                  <w:r>
                    <w:rPr>
                      <w:rFonts w:hint="default"/>
                    </w:rPr>
                    <w:t>根据2022年芜湖市环境质量公报，项目周围地表水环境、声环境质量均可满足相关质量标准要求，本项目所在地为环境空气质量不达标区。本项目废气、废水、噪声、固废污染物经处理后全部达标排放或合理处置，且排放处置量较少，对环境影响较小，不会改变区域环境功能级别。</w:t>
                  </w:r>
                </w:p>
              </w:tc>
              <w:tc>
                <w:tcPr>
                  <w:tcW w:w="686" w:type="pct"/>
                  <w:tcBorders>
                    <w:tl2br w:val="nil"/>
                    <w:tr2bl w:val="nil"/>
                  </w:tcBorders>
                  <w:vAlign w:val="center"/>
                </w:tcPr>
                <w:p>
                  <w:pPr>
                    <w:pStyle w:val="22"/>
                    <w:bidi w:val="0"/>
                    <w:jc w:val="both"/>
                    <w:rPr>
                      <w:rFonts w:hint="default"/>
                    </w:rPr>
                  </w:pPr>
                  <w:r>
                    <w:rPr>
                      <w:rFonts w:hint="default"/>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550" w:type="pct"/>
                  <w:tcBorders>
                    <w:tl2br w:val="nil"/>
                    <w:tr2bl w:val="nil"/>
                  </w:tcBorders>
                  <w:vAlign w:val="center"/>
                </w:tcPr>
                <w:p>
                  <w:pPr>
                    <w:pStyle w:val="22"/>
                    <w:bidi w:val="0"/>
                    <w:rPr>
                      <w:rFonts w:hint="eastAsia" w:eastAsia="宋体"/>
                      <w:lang w:val="en-US" w:eastAsia="zh-CN"/>
                    </w:rPr>
                  </w:pPr>
                  <w:r>
                    <w:rPr>
                      <w:rFonts w:hint="eastAsia"/>
                      <w:lang w:val="en-US" w:eastAsia="zh-CN"/>
                    </w:rPr>
                    <w:t>资源利用上线</w:t>
                  </w:r>
                </w:p>
              </w:tc>
              <w:tc>
                <w:tcPr>
                  <w:tcW w:w="1813" w:type="pct"/>
                  <w:tcBorders>
                    <w:tl2br w:val="nil"/>
                    <w:tr2bl w:val="nil"/>
                  </w:tcBorders>
                  <w:vAlign w:val="center"/>
                </w:tcPr>
                <w:p>
                  <w:pPr>
                    <w:pStyle w:val="22"/>
                    <w:bidi w:val="0"/>
                    <w:jc w:val="both"/>
                    <w:rPr>
                      <w:rFonts w:hint="default"/>
                    </w:rPr>
                  </w:pPr>
                  <w:r>
                    <w:rPr>
                      <w:rFonts w:hint="default"/>
                    </w:rPr>
                    <w:t>依据有关资源利用上线要求，即各地区能源、水、土地等资源消耗是不得突破的</w:t>
                  </w:r>
                  <w:r>
                    <w:rPr>
                      <w:rFonts w:hint="eastAsia"/>
                      <w:lang w:eastAsia="zh-CN"/>
                    </w:rPr>
                    <w:t>“</w:t>
                  </w:r>
                  <w:r>
                    <w:rPr>
                      <w:rFonts w:hint="default"/>
                    </w:rPr>
                    <w:t>天花板</w:t>
                  </w:r>
                  <w:r>
                    <w:rPr>
                      <w:rFonts w:hint="eastAsia"/>
                      <w:lang w:eastAsia="zh-CN"/>
                    </w:rPr>
                    <w:t>”</w:t>
                  </w:r>
                  <w:r>
                    <w:rPr>
                      <w:rFonts w:hint="default"/>
                    </w:rPr>
                    <w:t>。</w:t>
                  </w:r>
                </w:p>
              </w:tc>
              <w:tc>
                <w:tcPr>
                  <w:tcW w:w="1949" w:type="pct"/>
                  <w:tcBorders>
                    <w:tl2br w:val="nil"/>
                    <w:tr2bl w:val="nil"/>
                  </w:tcBorders>
                  <w:vAlign w:val="center"/>
                </w:tcPr>
                <w:p>
                  <w:pPr>
                    <w:pStyle w:val="22"/>
                    <w:bidi w:val="0"/>
                    <w:jc w:val="both"/>
                    <w:rPr>
                      <w:rFonts w:hint="default"/>
                    </w:rPr>
                  </w:pPr>
                  <w:r>
                    <w:rPr>
                      <w:rFonts w:hint="default"/>
                    </w:rPr>
                    <w:t>本项目用水来自市政管网供水，用电由市政电网供给，项目用地为规划工业用地，因此，本项目能源、用水、用电、用地均不会达到资源利用上线。</w:t>
                  </w:r>
                </w:p>
              </w:tc>
              <w:tc>
                <w:tcPr>
                  <w:tcW w:w="686" w:type="pct"/>
                  <w:tcBorders>
                    <w:tl2br w:val="nil"/>
                    <w:tr2bl w:val="nil"/>
                  </w:tcBorders>
                  <w:vAlign w:val="center"/>
                </w:tcPr>
                <w:p>
                  <w:pPr>
                    <w:pStyle w:val="22"/>
                    <w:bidi w:val="0"/>
                    <w:jc w:val="both"/>
                    <w:rPr>
                      <w:rFonts w:hint="default"/>
                    </w:rPr>
                  </w:pPr>
                  <w:r>
                    <w:rPr>
                      <w:rFonts w:hint="default"/>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550" w:type="pct"/>
                  <w:tcBorders>
                    <w:tl2br w:val="nil"/>
                    <w:tr2bl w:val="nil"/>
                  </w:tcBorders>
                  <w:vAlign w:val="center"/>
                </w:tcPr>
                <w:p>
                  <w:pPr>
                    <w:pStyle w:val="22"/>
                    <w:bidi w:val="0"/>
                    <w:rPr>
                      <w:rFonts w:hint="eastAsia" w:eastAsia="宋体"/>
                      <w:lang w:val="en-US" w:eastAsia="zh-CN"/>
                    </w:rPr>
                  </w:pPr>
                  <w:r>
                    <w:rPr>
                      <w:rFonts w:hint="eastAsia"/>
                      <w:lang w:val="en-US" w:eastAsia="zh-CN"/>
                    </w:rPr>
                    <w:t>生态环境准入清单</w:t>
                  </w:r>
                </w:p>
              </w:tc>
              <w:tc>
                <w:tcPr>
                  <w:tcW w:w="1813" w:type="pct"/>
                  <w:tcBorders>
                    <w:tl2br w:val="nil"/>
                    <w:tr2bl w:val="nil"/>
                  </w:tcBorders>
                  <w:vAlign w:val="center"/>
                </w:tcPr>
                <w:p>
                  <w:pPr>
                    <w:pStyle w:val="22"/>
                    <w:bidi w:val="0"/>
                    <w:jc w:val="both"/>
                    <w:rPr>
                      <w:rFonts w:hint="default"/>
                    </w:rPr>
                  </w:pPr>
                  <w:r>
                    <w:rPr>
                      <w:rFonts w:hint="default"/>
                    </w:rPr>
                    <w:t>生态环境准入清单是基于生态保护红线、环境质量底线和资源利用上线，以清单方式列出的禁止、限制等差别化环境准入条件和要求。要在规划环评清单式管理试点的基础上，从布局选址、资源利用效率、资源配置方式等方面入手，制定环境准入负面清单，充分发挥负面清单对产业发展和项目准入的指导和约束作用。</w:t>
                  </w:r>
                </w:p>
              </w:tc>
              <w:tc>
                <w:tcPr>
                  <w:tcW w:w="1949" w:type="pct"/>
                  <w:tcBorders>
                    <w:tl2br w:val="nil"/>
                    <w:tr2bl w:val="nil"/>
                  </w:tcBorders>
                  <w:vAlign w:val="center"/>
                </w:tcPr>
                <w:p>
                  <w:pPr>
                    <w:pStyle w:val="22"/>
                    <w:bidi w:val="0"/>
                    <w:jc w:val="both"/>
                    <w:rPr>
                      <w:rFonts w:hint="default"/>
                    </w:rPr>
                  </w:pPr>
                  <w:r>
                    <w:rPr>
                      <w:rFonts w:hint="default"/>
                    </w:rPr>
                    <w:t>本项目属于汽车零部件及配件制造，符合开发区产业定位。本项目不属于《长江经济带发展负面清单指南（试行，2022版）中项目，本项目不属于国家发改委颁布的《产业结构调整指导目录（2024年本）》中的淘汰类和限制类，属于允许类项目，本项目符合国家产业政策。</w:t>
                  </w:r>
                </w:p>
              </w:tc>
              <w:tc>
                <w:tcPr>
                  <w:tcW w:w="686" w:type="pct"/>
                  <w:tcBorders>
                    <w:tl2br w:val="nil"/>
                    <w:tr2bl w:val="nil"/>
                  </w:tcBorders>
                  <w:vAlign w:val="center"/>
                </w:tcPr>
                <w:p>
                  <w:pPr>
                    <w:pStyle w:val="22"/>
                    <w:bidi w:val="0"/>
                    <w:jc w:val="both"/>
                    <w:rPr>
                      <w:rFonts w:hint="default"/>
                    </w:rPr>
                  </w:pPr>
                  <w:r>
                    <w:rPr>
                      <w:rFonts w:hint="default"/>
                    </w:rPr>
                    <w:t>符合</w:t>
                  </w:r>
                </w:p>
              </w:tc>
            </w:tr>
          </w:tbl>
          <w:p>
            <w:pPr>
              <w:bidi w:val="0"/>
              <w:rPr>
                <w:rFonts w:hint="eastAsia"/>
                <w:color w:val="FF0000"/>
              </w:rPr>
            </w:pPr>
            <w:r>
              <w:rPr>
                <w:rFonts w:hint="eastAsia"/>
                <w:color w:val="FF0000"/>
              </w:rPr>
              <w:t>综上所述，本项目建设满足生态保护红线、环境质量底线、资源利用上线，且不在环境准入负面清单中，符合“三线一单”环保要求。</w:t>
            </w:r>
          </w:p>
          <w:p>
            <w:pPr>
              <w:pStyle w:val="5"/>
              <w:numPr>
                <w:ilvl w:val="0"/>
                <w:numId w:val="7"/>
              </w:numPr>
              <w:tabs>
                <w:tab w:val="left" w:pos="567"/>
              </w:tabs>
              <w:ind w:firstLine="482" w:firstLineChars="200"/>
            </w:pPr>
            <w:r>
              <w:rPr>
                <w:rFonts w:hint="eastAsia"/>
                <w:b/>
                <w:bCs/>
              </w:rPr>
              <w:t>与“三区三线”最新研究成果相符性分析：</w:t>
            </w:r>
            <w:commentRangeStart w:id="2"/>
            <w:commentRangeStart w:id="3"/>
            <w:r>
              <w:commentReference w:id="2"/>
            </w:r>
            <w:commentRangeEnd w:id="2"/>
            <w:commentRangeEnd w:id="3"/>
            <w:r>
              <w:commentReference w:id="3"/>
            </w:r>
          </w:p>
          <w:p>
            <w:pPr>
              <w:widowControl/>
              <w:ind w:firstLine="424" w:firstLineChars="177"/>
              <w:jc w:val="left"/>
              <w:rPr>
                <w:rFonts w:hint="eastAsia"/>
              </w:rPr>
            </w:pPr>
            <w:r>
              <w:rPr>
                <w:rFonts w:hint="eastAsia"/>
              </w:rPr>
              <w:t>“三区三线”中的“三区”是指城镇空间、农业空间、生态空间三个区域，“三线”为对应划定的城镇开发边界、永久基本农田保护红线、生态保护红线三条控制线。2022年9月28日，自然资源部办公厅发文表示山西、吉林、上海、安徽、河南、青海6省（市）完成了“三区三线”划定工作，即日起正式启用。本项目租赁已建成的厂房进行生产建设，建设地点位于</w:t>
            </w:r>
            <w:r>
              <w:rPr>
                <w:rFonts w:hint="eastAsia" w:cs="宋体"/>
              </w:rPr>
              <w:t>安徽省芜湖市经济技术开发区</w:t>
            </w:r>
            <w:r>
              <w:rPr>
                <w:rFonts w:hint="eastAsia"/>
              </w:rPr>
              <w:t>总体发展规划范围内，无需独立选址。本项目的建设不涉及占用基本农田和芜湖市生态保护红线，因此符合“三区三线”控制要求。</w:t>
            </w:r>
          </w:p>
          <w:p>
            <w:pPr>
              <w:pStyle w:val="5"/>
              <w:numPr>
                <w:ilvl w:val="0"/>
                <w:numId w:val="7"/>
              </w:numPr>
              <w:tabs>
                <w:tab w:val="left" w:pos="567"/>
              </w:tabs>
              <w:ind w:firstLine="482" w:firstLineChars="200"/>
              <w:rPr>
                <w:b/>
                <w:bCs/>
              </w:rPr>
            </w:pPr>
            <w:r>
              <w:rPr>
                <w:rFonts w:hint="eastAsia"/>
                <w:b/>
                <w:bCs/>
              </w:rPr>
              <w:t>与《安徽省2021年应对气候变化和大气污染防治重点工作任务》（皖大气办[2021]3号文）相符性分析</w:t>
            </w:r>
          </w:p>
          <w:p>
            <w:pPr>
              <w:pStyle w:val="23"/>
              <w:bidi w:val="0"/>
            </w:pPr>
            <w:r>
              <w:rPr>
                <w:rFonts w:hint="eastAsia"/>
              </w:rPr>
              <w:t>表1-</w:t>
            </w:r>
            <w:r>
              <w:rPr>
                <w:rFonts w:hint="eastAsia"/>
                <w:lang w:val="en-US" w:eastAsia="zh-CN"/>
              </w:rPr>
              <w:t>5</w:t>
            </w:r>
            <w:r>
              <w:rPr>
                <w:rFonts w:hint="eastAsia"/>
              </w:rPr>
              <w:t xml:space="preserve"> </w:t>
            </w:r>
            <w:r>
              <w:rPr>
                <w:rFonts w:hint="eastAsia"/>
                <w:lang w:val="en-US" w:eastAsia="zh-CN"/>
              </w:rPr>
              <w:t xml:space="preserve"> </w:t>
            </w:r>
            <w:r>
              <w:rPr>
                <w:rFonts w:hint="eastAsia"/>
              </w:rPr>
              <w:t>与《安徽省2021年应对气候变化和大气污染防治重点工作任务》（皖大气办[2021]3号文）相符性分析一览表</w:t>
            </w:r>
          </w:p>
          <w:tbl>
            <w:tblPr>
              <w:tblStyle w:val="15"/>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957"/>
              <w:gridCol w:w="2107"/>
              <w:gridCol w:w="89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843" w:type="pct"/>
                  <w:tcBorders>
                    <w:tl2br w:val="nil"/>
                    <w:tr2bl w:val="nil"/>
                  </w:tcBorders>
                  <w:vAlign w:val="center"/>
                </w:tcPr>
                <w:p>
                  <w:pPr>
                    <w:pStyle w:val="22"/>
                    <w:bidi w:val="0"/>
                    <w:rPr>
                      <w:rFonts w:hint="default"/>
                      <w:b/>
                      <w:bCs/>
                    </w:rPr>
                  </w:pPr>
                  <w:r>
                    <w:rPr>
                      <w:rFonts w:hint="default"/>
                      <w:b/>
                      <w:bCs/>
                    </w:rPr>
                    <w:t>文件要求</w:t>
                  </w:r>
                </w:p>
              </w:tc>
              <w:tc>
                <w:tcPr>
                  <w:tcW w:w="1514" w:type="pct"/>
                  <w:tcBorders>
                    <w:tl2br w:val="nil"/>
                    <w:tr2bl w:val="nil"/>
                  </w:tcBorders>
                  <w:vAlign w:val="center"/>
                </w:tcPr>
                <w:p>
                  <w:pPr>
                    <w:pStyle w:val="22"/>
                    <w:bidi w:val="0"/>
                    <w:rPr>
                      <w:rFonts w:hint="default"/>
                      <w:b/>
                      <w:bCs/>
                    </w:rPr>
                  </w:pPr>
                  <w:r>
                    <w:rPr>
                      <w:rFonts w:hint="default"/>
                      <w:b/>
                      <w:bCs/>
                    </w:rPr>
                    <w:t>相符性分析</w:t>
                  </w:r>
                </w:p>
              </w:tc>
              <w:tc>
                <w:tcPr>
                  <w:tcW w:w="642" w:type="pct"/>
                  <w:tcBorders>
                    <w:tl2br w:val="nil"/>
                    <w:tr2bl w:val="nil"/>
                  </w:tcBorders>
                  <w:vAlign w:val="center"/>
                </w:tcPr>
                <w:p>
                  <w:pPr>
                    <w:pStyle w:val="22"/>
                    <w:bidi w:val="0"/>
                    <w:rPr>
                      <w:rFonts w:hint="default"/>
                      <w:b/>
                      <w:bCs/>
                    </w:rPr>
                  </w:pPr>
                  <w:r>
                    <w:rPr>
                      <w:rFonts w:hint="default"/>
                      <w:b/>
                      <w:bCs/>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843" w:type="pct"/>
                  <w:tcBorders>
                    <w:tl2br w:val="nil"/>
                    <w:tr2bl w:val="nil"/>
                  </w:tcBorders>
                  <w:vAlign w:val="center"/>
                </w:tcPr>
                <w:p>
                  <w:pPr>
                    <w:pStyle w:val="22"/>
                    <w:bidi w:val="0"/>
                    <w:rPr>
                      <w:rFonts w:hint="default"/>
                    </w:rPr>
                  </w:pPr>
                  <w:r>
                    <w:rPr>
                      <w:rFonts w:hint="default"/>
                    </w:rPr>
                    <w:t>6.优化产业结构及布局。对标节能减排要求和碳达峰碳中和目标，坚决遏制高耗能高排放项目盲目发展。提高新建项目节能环保准入标准，加大落后和过剩产能压减力度。严格执行国家高耗能、高污染和高资源型行业准入条件，钢铁、水泥熟料、平板玻璃、炼化、焦化等新、扩建项目严格实施产能置换，不再新建未纳入国家规划的炼油、煤化工等项目。严格按照《产业结构调整指导目录》，支持发展先进产能，依法淘汰落后产能，建立“散乱污”企业动态管理机制，坚决杜绝“散乱污”企业异地转移,严防死灰复燃。</w:t>
                  </w:r>
                </w:p>
              </w:tc>
              <w:tc>
                <w:tcPr>
                  <w:tcW w:w="1514" w:type="pct"/>
                  <w:tcBorders>
                    <w:tl2br w:val="nil"/>
                    <w:tr2bl w:val="nil"/>
                  </w:tcBorders>
                  <w:vAlign w:val="center"/>
                </w:tcPr>
                <w:p>
                  <w:pPr>
                    <w:pStyle w:val="22"/>
                    <w:bidi w:val="0"/>
                    <w:rPr>
                      <w:rFonts w:hint="default"/>
                    </w:rPr>
                  </w:pPr>
                  <w:r>
                    <w:rPr>
                      <w:rFonts w:hint="default"/>
                    </w:rPr>
                    <w:t>本</w:t>
                  </w:r>
                  <w:r>
                    <w:rPr>
                      <w:rFonts w:hint="eastAsia"/>
                    </w:rPr>
                    <w:t>项目</w:t>
                  </w:r>
                  <w:r>
                    <w:rPr>
                      <w:rFonts w:hint="default"/>
                    </w:rPr>
                    <w:t>属于</w:t>
                  </w:r>
                  <w:r>
                    <w:rPr>
                      <w:rFonts w:hint="eastAsia"/>
                    </w:rPr>
                    <w:t>汽车零部件及配件制造</w:t>
                  </w:r>
                  <w:r>
                    <w:rPr>
                      <w:rFonts w:hint="default"/>
                    </w:rPr>
                    <w:t>，</w:t>
                  </w:r>
                  <w:r>
                    <w:rPr>
                      <w:rFonts w:hint="eastAsia"/>
                    </w:rPr>
                    <w:t>项目</w:t>
                  </w:r>
                  <w:r>
                    <w:rPr>
                      <w:rFonts w:hint="default"/>
                    </w:rPr>
                    <w:t>使用电能和水能，使用量较小，不属于高耗能高排放项目。本</w:t>
                  </w:r>
                  <w:r>
                    <w:rPr>
                      <w:rFonts w:hint="eastAsia"/>
                    </w:rPr>
                    <w:t>项目</w:t>
                  </w:r>
                  <w:r>
                    <w:rPr>
                      <w:rFonts w:hint="default"/>
                    </w:rPr>
                    <w:t>属于《产业结构调整指导目录》允许类项目。</w:t>
                  </w:r>
                </w:p>
              </w:tc>
              <w:tc>
                <w:tcPr>
                  <w:tcW w:w="642" w:type="pct"/>
                  <w:tcBorders>
                    <w:tl2br w:val="nil"/>
                    <w:tr2bl w:val="nil"/>
                  </w:tcBorders>
                  <w:vAlign w:val="center"/>
                </w:tcPr>
                <w:p>
                  <w:pPr>
                    <w:pStyle w:val="22"/>
                    <w:bidi w:val="0"/>
                    <w:rPr>
                      <w:rFonts w:hint="default"/>
                    </w:rPr>
                  </w:pPr>
                  <w:r>
                    <w:rPr>
                      <w:rFonts w:hint="default"/>
                    </w:rPr>
                    <w:t>符合</w:t>
                  </w:r>
                </w:p>
              </w:tc>
            </w:tr>
          </w:tbl>
          <w:p>
            <w:pPr>
              <w:autoSpaceDE w:val="0"/>
              <w:autoSpaceDN w:val="0"/>
              <w:ind w:firstLine="480"/>
            </w:pPr>
            <w:r>
              <w:rPr>
                <w:rFonts w:hint="eastAsia"/>
              </w:rPr>
              <w:t>综上所述，本项目的建设符合《安徽省2021年应对气候变化和大气污染防治重点工作任务》（皖大气办[2021]3号文）的相关要求。</w:t>
            </w:r>
          </w:p>
          <w:p>
            <w:pPr>
              <w:pStyle w:val="5"/>
              <w:numPr>
                <w:ilvl w:val="0"/>
                <w:numId w:val="7"/>
              </w:numPr>
              <w:tabs>
                <w:tab w:val="left" w:pos="567"/>
              </w:tabs>
              <w:ind w:firstLine="482" w:firstLineChars="200"/>
              <w:rPr>
                <w:rFonts w:hint="eastAsia"/>
              </w:rPr>
            </w:pPr>
            <w:r>
              <w:rPr>
                <w:rFonts w:hint="eastAsia"/>
              </w:rPr>
              <w:t>与《关于全面打造水清岸绿产业优美丽长江（安徽）经济带的实施意见（升级版）》皖发[2021]19号文件、《芜湖市人民政府关于全面打造水清岸绿产业优美丽长江（芜湖）经济带的实施意见（升级版）》（芜市发[2021]28号）文件符合性分析</w:t>
            </w:r>
          </w:p>
          <w:p>
            <w:pPr>
              <w:pStyle w:val="23"/>
              <w:bidi w:val="0"/>
            </w:pPr>
            <w:r>
              <w:rPr>
                <w:rFonts w:hint="eastAsia"/>
              </w:rPr>
              <w:t>表1-</w:t>
            </w:r>
            <w:r>
              <w:rPr>
                <w:rFonts w:hint="eastAsia"/>
                <w:lang w:val="en-US" w:eastAsia="zh-CN"/>
              </w:rPr>
              <w:t>6</w:t>
            </w:r>
            <w:r>
              <w:rPr>
                <w:rFonts w:hint="eastAsia"/>
              </w:rPr>
              <w:t xml:space="preserve"> </w:t>
            </w:r>
            <w:r>
              <w:rPr>
                <w:rFonts w:hint="eastAsia"/>
                <w:lang w:val="en-US" w:eastAsia="zh-CN"/>
              </w:rPr>
              <w:t xml:space="preserve"> </w:t>
            </w:r>
            <w:r>
              <w:rPr>
                <w:rFonts w:hint="eastAsia"/>
              </w:rPr>
              <w:t>《关于全面打造水清岸绿产业优美丽长江（安徽）经济带的实施意见（升级版）》相符性分析一览表</w:t>
            </w:r>
          </w:p>
          <w:tbl>
            <w:tblPr>
              <w:tblStyle w:val="15"/>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57"/>
              <w:gridCol w:w="4038"/>
              <w:gridCol w:w="216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44" w:type="pct"/>
                  <w:tcBorders>
                    <w:tl2br w:val="nil"/>
                    <w:tr2bl w:val="nil"/>
                  </w:tcBorders>
                  <w:vAlign w:val="center"/>
                </w:tcPr>
                <w:p>
                  <w:pPr>
                    <w:pStyle w:val="22"/>
                    <w:bidi w:val="0"/>
                    <w:rPr>
                      <w:rFonts w:hint="default"/>
                      <w:b/>
                      <w:bCs/>
                    </w:rPr>
                  </w:pPr>
                  <w:r>
                    <w:rPr>
                      <w:rFonts w:hint="eastAsia"/>
                      <w:b/>
                      <w:bCs/>
                    </w:rPr>
                    <w:t>范围</w:t>
                  </w:r>
                </w:p>
              </w:tc>
              <w:tc>
                <w:tcPr>
                  <w:tcW w:w="2899" w:type="pct"/>
                  <w:tcBorders>
                    <w:tl2br w:val="nil"/>
                    <w:tr2bl w:val="nil"/>
                  </w:tcBorders>
                  <w:vAlign w:val="center"/>
                </w:tcPr>
                <w:p>
                  <w:pPr>
                    <w:pStyle w:val="22"/>
                    <w:bidi w:val="0"/>
                    <w:rPr>
                      <w:rFonts w:hint="default"/>
                      <w:b/>
                      <w:bCs/>
                    </w:rPr>
                  </w:pPr>
                  <w:r>
                    <w:rPr>
                      <w:rFonts w:hint="default"/>
                      <w:b/>
                      <w:bCs/>
                    </w:rPr>
                    <w:t>具体要求</w:t>
                  </w:r>
                </w:p>
              </w:tc>
              <w:tc>
                <w:tcPr>
                  <w:tcW w:w="1555" w:type="pct"/>
                  <w:tcBorders>
                    <w:tl2br w:val="nil"/>
                    <w:tr2bl w:val="nil"/>
                  </w:tcBorders>
                  <w:vAlign w:val="center"/>
                </w:tcPr>
                <w:p>
                  <w:pPr>
                    <w:pStyle w:val="22"/>
                    <w:bidi w:val="0"/>
                    <w:rPr>
                      <w:rFonts w:hint="default"/>
                      <w:b/>
                      <w:bCs/>
                    </w:rPr>
                  </w:pPr>
                  <w:r>
                    <w:rPr>
                      <w:rFonts w:hint="default"/>
                      <w:b/>
                      <w:bCs/>
                    </w:rPr>
                    <w:t>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44" w:type="pct"/>
                  <w:tcBorders>
                    <w:tl2br w:val="nil"/>
                    <w:tr2bl w:val="nil"/>
                  </w:tcBorders>
                  <w:vAlign w:val="center"/>
                </w:tcPr>
                <w:p>
                  <w:pPr>
                    <w:pStyle w:val="22"/>
                    <w:bidi w:val="0"/>
                    <w:rPr>
                      <w:rFonts w:hint="default"/>
                    </w:rPr>
                  </w:pPr>
                  <w:r>
                    <w:rPr>
                      <w:rFonts w:hint="default"/>
                    </w:rPr>
                    <w:t>严禁1公里范围内新建化工项目</w:t>
                  </w:r>
                </w:p>
              </w:tc>
              <w:tc>
                <w:tcPr>
                  <w:tcW w:w="2899" w:type="pct"/>
                  <w:tcBorders>
                    <w:tl2br w:val="nil"/>
                    <w:tr2bl w:val="nil"/>
                  </w:tcBorders>
                  <w:vAlign w:val="center"/>
                </w:tcPr>
                <w:p>
                  <w:pPr>
                    <w:pStyle w:val="22"/>
                    <w:bidi w:val="0"/>
                    <w:rPr>
                      <w:rFonts w:hint="default"/>
                    </w:rPr>
                  </w:pPr>
                  <w:r>
                    <w:rPr>
                      <w:rFonts w:hint="default"/>
                    </w:rPr>
                    <w:t>长江干支流岸线1公里范围内，严禁新建、扩建化工园区和化工项目。已批未开工的项目，依法停建设，支持重新选址。已经开工建设的项目，严格进行检查评估，不符合岸线规划和环保安全要求的，全部依法依规停建搬迁。</w:t>
                  </w:r>
                </w:p>
              </w:tc>
              <w:tc>
                <w:tcPr>
                  <w:tcW w:w="1555" w:type="pct"/>
                  <w:tcBorders>
                    <w:tl2br w:val="nil"/>
                    <w:tr2bl w:val="nil"/>
                  </w:tcBorders>
                  <w:vAlign w:val="center"/>
                </w:tcPr>
                <w:p>
                  <w:pPr>
                    <w:pStyle w:val="22"/>
                    <w:bidi w:val="0"/>
                    <w:jc w:val="both"/>
                    <w:rPr>
                      <w:rFonts w:hint="default"/>
                    </w:rPr>
                  </w:pPr>
                  <w:r>
                    <w:rPr>
                      <w:rFonts w:hint="default"/>
                    </w:rPr>
                    <w:t>本</w:t>
                  </w:r>
                  <w:r>
                    <w:rPr>
                      <w:rFonts w:hint="eastAsia"/>
                    </w:rPr>
                    <w:t>项目</w:t>
                  </w:r>
                  <w:r>
                    <w:rPr>
                      <w:rFonts w:hint="default"/>
                    </w:rPr>
                    <w:t>不属于化工项目，项目位于</w:t>
                  </w:r>
                  <w:r>
                    <w:rPr>
                      <w:rFonts w:hint="eastAsia" w:cs="宋体"/>
                    </w:rPr>
                    <w:t>安徽省芜湖市经济技术开发区龙山街道祥和路52号</w:t>
                  </w:r>
                  <w:r>
                    <w:rPr>
                      <w:rFonts w:hint="default"/>
                    </w:rPr>
                    <w:t>，项目厂区距离长江干流</w:t>
                  </w:r>
                  <w:r>
                    <w:rPr>
                      <w:rFonts w:hint="eastAsia"/>
                      <w:lang w:val="en-US" w:eastAsia="zh-CN"/>
                    </w:rPr>
                    <w:t>最近距离为3.5k</w:t>
                  </w:r>
                  <w:r>
                    <w:rPr>
                      <w:rFonts w:hint="default"/>
                    </w:rPr>
                    <w:t>m，</w:t>
                  </w:r>
                  <w:r>
                    <w:rPr>
                      <w:rFonts w:hint="eastAsia"/>
                    </w:rPr>
                    <w:t>符合岸线规划和环保要求。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544" w:type="pct"/>
                  <w:tcBorders>
                    <w:tl2br w:val="nil"/>
                    <w:tr2bl w:val="nil"/>
                  </w:tcBorders>
                  <w:vAlign w:val="center"/>
                </w:tcPr>
                <w:p>
                  <w:pPr>
                    <w:pStyle w:val="22"/>
                    <w:bidi w:val="0"/>
                    <w:rPr>
                      <w:rFonts w:hint="default"/>
                    </w:rPr>
                  </w:pPr>
                  <w:r>
                    <w:rPr>
                      <w:rFonts w:hint="default"/>
                    </w:rPr>
                    <w:t>严控5公里范围内新建重化工重污染项目</w:t>
                  </w:r>
                </w:p>
              </w:tc>
              <w:tc>
                <w:tcPr>
                  <w:tcW w:w="2899" w:type="pct"/>
                  <w:tcBorders>
                    <w:tl2br w:val="nil"/>
                    <w:tr2bl w:val="nil"/>
                  </w:tcBorders>
                  <w:vAlign w:val="center"/>
                </w:tcPr>
                <w:p>
                  <w:pPr>
                    <w:pStyle w:val="22"/>
                    <w:bidi w:val="0"/>
                    <w:rPr>
                      <w:rFonts w:hint="default"/>
                    </w:rPr>
                  </w:pPr>
                  <w:r>
                    <w:rPr>
                      <w:rFonts w:hint="default"/>
                    </w:rPr>
                    <w:t>长江干流岸线5公里范围内，全面落实长江岸线功能定位要求，实施严格的化工项目市场准入制度，除提升安全、环保、节能水平，以及质量升级、结构调整的改扩建项目外，严控新建石油化工和煤化工等重化工、重污染项目。严禁新建布局重化工园区。合规化工园区内，严禁新批环境基础设施不完善或长期不能稳定运行的企业新建和扩建化工项目。</w:t>
                  </w:r>
                </w:p>
              </w:tc>
              <w:tc>
                <w:tcPr>
                  <w:tcW w:w="1555" w:type="pct"/>
                  <w:tcBorders>
                    <w:tl2br w:val="nil"/>
                    <w:tr2bl w:val="nil"/>
                  </w:tcBorders>
                  <w:vAlign w:val="center"/>
                </w:tcPr>
                <w:p>
                  <w:pPr>
                    <w:pStyle w:val="22"/>
                    <w:bidi w:val="0"/>
                    <w:jc w:val="both"/>
                    <w:rPr>
                      <w:rFonts w:hint="default"/>
                    </w:rPr>
                  </w:pPr>
                  <w:r>
                    <w:rPr>
                      <w:rFonts w:hint="default"/>
                    </w:rPr>
                    <w:t>本</w:t>
                  </w:r>
                  <w:r>
                    <w:rPr>
                      <w:rFonts w:hint="eastAsia"/>
                    </w:rPr>
                    <w:t>项目</w:t>
                  </w:r>
                  <w:r>
                    <w:rPr>
                      <w:rFonts w:hint="default"/>
                    </w:rPr>
                    <w:t>不属于重化工重污染项目，项目位于</w:t>
                  </w:r>
                  <w:r>
                    <w:rPr>
                      <w:rFonts w:hint="eastAsia" w:cs="宋体"/>
                    </w:rPr>
                    <w:t>安徽省芜湖市经济技术开发区龙山街道祥和路52号</w:t>
                  </w:r>
                  <w:r>
                    <w:rPr>
                      <w:rFonts w:hint="default"/>
                    </w:rPr>
                    <w:t>，项目厂区距离长江干流</w:t>
                  </w:r>
                  <w:r>
                    <w:rPr>
                      <w:rFonts w:hint="eastAsia"/>
                      <w:lang w:val="en-US" w:eastAsia="zh-CN"/>
                    </w:rPr>
                    <w:t>最近距离为3.5k</w:t>
                  </w:r>
                  <w:r>
                    <w:rPr>
                      <w:rFonts w:hint="default"/>
                    </w:rPr>
                    <w:t>m，</w:t>
                  </w:r>
                  <w:r>
                    <w:rPr>
                      <w:rFonts w:hint="eastAsia"/>
                    </w:rPr>
                    <w:t>不属于化工项目。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44" w:type="pct"/>
                  <w:tcBorders>
                    <w:tl2br w:val="nil"/>
                    <w:tr2bl w:val="nil"/>
                  </w:tcBorders>
                  <w:vAlign w:val="center"/>
                </w:tcPr>
                <w:p>
                  <w:pPr>
                    <w:pStyle w:val="22"/>
                    <w:bidi w:val="0"/>
                    <w:rPr>
                      <w:rFonts w:hint="default"/>
                    </w:rPr>
                  </w:pPr>
                  <w:r>
                    <w:rPr>
                      <w:rFonts w:hint="default"/>
                    </w:rPr>
                    <w:t>严管15公里范围内新建项目</w:t>
                  </w:r>
                </w:p>
              </w:tc>
              <w:tc>
                <w:tcPr>
                  <w:tcW w:w="2899" w:type="pct"/>
                  <w:tcBorders>
                    <w:tl2br w:val="nil"/>
                    <w:tr2bl w:val="nil"/>
                  </w:tcBorders>
                  <w:vAlign w:val="center"/>
                </w:tcPr>
                <w:p>
                  <w:pPr>
                    <w:pStyle w:val="22"/>
                    <w:bidi w:val="0"/>
                    <w:rPr>
                      <w:rFonts w:hint="default"/>
                    </w:rPr>
                  </w:pPr>
                  <w:r>
                    <w:rPr>
                      <w:rFonts w:hint="default"/>
                    </w:rPr>
                    <w:t>长江干流岸线15公里范围内，严把各类项目准入门槛，严格执行环境保护标准，把主要污染物和重点重金属排放总量控制目标作为新（改、扩）建项目环评审批的前置条件，禁止建设没有环境容量减排总量项目。在岸线开发、河段利用、区域活动和产业发展等方面，严格执行《长江经济带发展负面清单指南（试行）》《安徽省长江经济带发展负面清单实施细则（试行）》。实施备案、环评、安评、能评等并联审批，未落实生态环保、安全生产、能源节约要求的，一律不得开工建设。</w:t>
                  </w:r>
                </w:p>
              </w:tc>
              <w:tc>
                <w:tcPr>
                  <w:tcW w:w="1555" w:type="pct"/>
                  <w:tcBorders>
                    <w:tl2br w:val="nil"/>
                    <w:tr2bl w:val="nil"/>
                  </w:tcBorders>
                  <w:vAlign w:val="center"/>
                </w:tcPr>
                <w:p>
                  <w:pPr>
                    <w:pStyle w:val="22"/>
                    <w:bidi w:val="0"/>
                    <w:jc w:val="both"/>
                    <w:rPr>
                      <w:rFonts w:hint="default"/>
                    </w:rPr>
                  </w:pPr>
                  <w:r>
                    <w:rPr>
                      <w:rFonts w:hint="default"/>
                    </w:rPr>
                    <w:t>本项目位于</w:t>
                  </w:r>
                  <w:r>
                    <w:rPr>
                      <w:rFonts w:hint="eastAsia" w:cs="宋体"/>
                    </w:rPr>
                    <w:t>安徽省芜湖市经济技术开发区龙山街道祥和路52号</w:t>
                  </w:r>
                  <w:r>
                    <w:rPr>
                      <w:rFonts w:hint="default"/>
                    </w:rPr>
                    <w:t>，项目厂区距离长江干流</w:t>
                  </w:r>
                  <w:r>
                    <w:rPr>
                      <w:rFonts w:hint="eastAsia"/>
                      <w:lang w:val="en-US" w:eastAsia="zh-CN"/>
                    </w:rPr>
                    <w:t>最近距离为3.5k</w:t>
                  </w:r>
                  <w:r>
                    <w:rPr>
                      <w:rFonts w:hint="default"/>
                    </w:rPr>
                    <w:t>m，将严格落实相关审批要求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44" w:type="pct"/>
                  <w:tcBorders>
                    <w:tl2br w:val="nil"/>
                    <w:tr2bl w:val="nil"/>
                  </w:tcBorders>
                  <w:vAlign w:val="center"/>
                </w:tcPr>
                <w:p>
                  <w:pPr>
                    <w:pStyle w:val="22"/>
                    <w:bidi w:val="0"/>
                    <w:rPr>
                      <w:rFonts w:hint="default"/>
                    </w:rPr>
                  </w:pPr>
                  <w:r>
                    <w:rPr>
                      <w:rFonts w:hint="default"/>
                    </w:rPr>
                    <w:t>新建项目进园区</w:t>
                  </w:r>
                </w:p>
              </w:tc>
              <w:tc>
                <w:tcPr>
                  <w:tcW w:w="2899" w:type="pct"/>
                  <w:tcBorders>
                    <w:tl2br w:val="nil"/>
                    <w:tr2bl w:val="nil"/>
                  </w:tcBorders>
                  <w:vAlign w:val="center"/>
                </w:tcPr>
                <w:p>
                  <w:pPr>
                    <w:pStyle w:val="22"/>
                    <w:bidi w:val="0"/>
                    <w:rPr>
                      <w:rFonts w:hint="default"/>
                    </w:rPr>
                  </w:pPr>
                  <w:r>
                    <w:rPr>
                      <w:rFonts w:hint="default"/>
                    </w:rPr>
                    <w:t>长江干支流岸线1公里范围内的在建化工项目，应当搬迁的全部依法依规搬入合规园区。长江干流岸线5公里范围内的在建重化工项目，难以整改达标必须搬迁的，全部依法依规搬入合规园区。长江干流岸线15公里范围内，新建工业项目（资源开采及配套加工项目除外）原则上全部进园区，其中化工项目进化工园区或主导产业为化工的开发区。</w:t>
                  </w:r>
                </w:p>
              </w:tc>
              <w:tc>
                <w:tcPr>
                  <w:tcW w:w="1555" w:type="pct"/>
                  <w:tcBorders>
                    <w:tl2br w:val="nil"/>
                    <w:tr2bl w:val="nil"/>
                  </w:tcBorders>
                  <w:vAlign w:val="center"/>
                </w:tcPr>
                <w:p>
                  <w:pPr>
                    <w:pStyle w:val="22"/>
                    <w:bidi w:val="0"/>
                    <w:jc w:val="both"/>
                    <w:rPr>
                      <w:rFonts w:hint="default"/>
                    </w:rPr>
                  </w:pPr>
                  <w:r>
                    <w:rPr>
                      <w:rFonts w:hint="default"/>
                    </w:rPr>
                    <w:t>本项目位于</w:t>
                  </w:r>
                  <w:r>
                    <w:rPr>
                      <w:rFonts w:hint="eastAsia" w:cs="宋体"/>
                    </w:rPr>
                    <w:t>安徽省芜湖市经济技术开发区龙山街道祥和路52号</w:t>
                  </w:r>
                  <w:r>
                    <w:rPr>
                      <w:rFonts w:hint="default"/>
                    </w:rPr>
                    <w:t>，项目厂区距离长江干流</w:t>
                  </w:r>
                  <w:r>
                    <w:rPr>
                      <w:rFonts w:hint="eastAsia"/>
                      <w:lang w:val="en-US" w:eastAsia="zh-CN"/>
                    </w:rPr>
                    <w:t>最近距离为3.5k</w:t>
                  </w:r>
                  <w:r>
                    <w:rPr>
                      <w:rFonts w:hint="default"/>
                    </w:rPr>
                    <w:t>m，为</w:t>
                  </w:r>
                  <w:r>
                    <w:rPr>
                      <w:rFonts w:hint="eastAsia"/>
                      <w:lang w:val="en-US" w:eastAsia="zh-CN"/>
                    </w:rPr>
                    <w:t>迁建</w:t>
                  </w:r>
                  <w:r>
                    <w:rPr>
                      <w:rFonts w:hint="eastAsia"/>
                    </w:rPr>
                    <w:t>项目</w:t>
                  </w:r>
                </w:p>
              </w:tc>
            </w:tr>
          </w:tbl>
          <w:p>
            <w:pPr>
              <w:pStyle w:val="23"/>
              <w:bidi w:val="0"/>
              <w:rPr>
                <w:rFonts w:hint="eastAsia"/>
              </w:rPr>
            </w:pPr>
            <w:r>
              <w:rPr>
                <w:rFonts w:hint="eastAsia"/>
              </w:rPr>
              <w:t>表1-</w:t>
            </w:r>
            <w:r>
              <w:rPr>
                <w:rFonts w:hint="eastAsia"/>
                <w:lang w:val="en-US" w:eastAsia="zh-CN"/>
              </w:rPr>
              <w:t>7</w:t>
            </w:r>
            <w:r>
              <w:rPr>
                <w:rFonts w:hint="eastAsia"/>
              </w:rPr>
              <w:t xml:space="preserve"> </w:t>
            </w:r>
            <w:r>
              <w:rPr>
                <w:rFonts w:hint="eastAsia"/>
                <w:lang w:val="en-US" w:eastAsia="zh-CN"/>
              </w:rPr>
              <w:t xml:space="preserve"> </w:t>
            </w:r>
            <w:r>
              <w:rPr>
                <w:rFonts w:hint="eastAsia"/>
              </w:rPr>
              <w:t>《关于全面打造水清岸绿产业优美丽长江（芜湖）经济带的实施意见（升级版）》相符性分析一览表</w:t>
            </w:r>
          </w:p>
          <w:tbl>
            <w:tblPr>
              <w:tblStyle w:val="15"/>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66"/>
              <w:gridCol w:w="3637"/>
              <w:gridCol w:w="245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22" w:type="pct"/>
                  <w:tcBorders>
                    <w:tl2br w:val="nil"/>
                    <w:tr2bl w:val="nil"/>
                  </w:tcBorders>
                  <w:vAlign w:val="center"/>
                </w:tcPr>
                <w:p>
                  <w:pPr>
                    <w:pStyle w:val="22"/>
                    <w:bidi w:val="0"/>
                    <w:rPr>
                      <w:rFonts w:hint="default"/>
                      <w:b/>
                      <w:bCs/>
                    </w:rPr>
                  </w:pPr>
                  <w:r>
                    <w:rPr>
                      <w:rFonts w:hint="default"/>
                      <w:b/>
                      <w:bCs/>
                    </w:rPr>
                    <w:t>范围</w:t>
                  </w:r>
                </w:p>
              </w:tc>
              <w:tc>
                <w:tcPr>
                  <w:tcW w:w="2612" w:type="pct"/>
                  <w:tcBorders>
                    <w:tl2br w:val="nil"/>
                    <w:tr2bl w:val="nil"/>
                  </w:tcBorders>
                  <w:vAlign w:val="center"/>
                </w:tcPr>
                <w:p>
                  <w:pPr>
                    <w:pStyle w:val="22"/>
                    <w:bidi w:val="0"/>
                    <w:rPr>
                      <w:rFonts w:hint="default"/>
                      <w:b/>
                      <w:bCs/>
                    </w:rPr>
                  </w:pPr>
                  <w:r>
                    <w:rPr>
                      <w:rFonts w:hint="default"/>
                      <w:b/>
                      <w:bCs/>
                    </w:rPr>
                    <w:t>具体要求</w:t>
                  </w:r>
                </w:p>
              </w:tc>
              <w:tc>
                <w:tcPr>
                  <w:tcW w:w="1764" w:type="pct"/>
                  <w:tcBorders>
                    <w:tl2br w:val="nil"/>
                    <w:tr2bl w:val="nil"/>
                  </w:tcBorders>
                  <w:vAlign w:val="center"/>
                </w:tcPr>
                <w:p>
                  <w:pPr>
                    <w:pStyle w:val="22"/>
                    <w:bidi w:val="0"/>
                    <w:rPr>
                      <w:rFonts w:hint="default"/>
                      <w:b/>
                      <w:bCs/>
                    </w:rPr>
                  </w:pPr>
                  <w:r>
                    <w:rPr>
                      <w:rFonts w:hint="default"/>
                      <w:b/>
                      <w:bCs/>
                    </w:rPr>
                    <w:t>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22" w:type="pct"/>
                  <w:tcBorders>
                    <w:tl2br w:val="nil"/>
                    <w:tr2bl w:val="nil"/>
                  </w:tcBorders>
                  <w:vAlign w:val="center"/>
                </w:tcPr>
                <w:p>
                  <w:pPr>
                    <w:pStyle w:val="22"/>
                    <w:bidi w:val="0"/>
                    <w:rPr>
                      <w:rFonts w:hint="default"/>
                    </w:rPr>
                  </w:pPr>
                  <w:r>
                    <w:rPr>
                      <w:rFonts w:hint="default"/>
                    </w:rPr>
                    <w:t>严禁1公里范围内新建化工项目</w:t>
                  </w:r>
                </w:p>
              </w:tc>
              <w:tc>
                <w:tcPr>
                  <w:tcW w:w="2612" w:type="pct"/>
                  <w:tcBorders>
                    <w:tl2br w:val="nil"/>
                    <w:tr2bl w:val="nil"/>
                  </w:tcBorders>
                  <w:vAlign w:val="center"/>
                </w:tcPr>
                <w:p>
                  <w:pPr>
                    <w:pStyle w:val="22"/>
                    <w:bidi w:val="0"/>
                    <w:rPr>
                      <w:rFonts w:hint="default"/>
                    </w:rPr>
                  </w:pPr>
                  <w:r>
                    <w:rPr>
                      <w:rFonts w:hint="default"/>
                    </w:rPr>
                    <w:t>长江干支流岸线1公里范围内，严禁新建、扩建化工园区和化工项目。已批未开工的项目，依法停建设，支持重新选址。已经开工建设的项目，严格进行检查评估，不符合岸线规划和环保安全要求的，全部依法依规停建搬迁。</w:t>
                  </w:r>
                </w:p>
              </w:tc>
              <w:tc>
                <w:tcPr>
                  <w:tcW w:w="1764" w:type="pct"/>
                  <w:tcBorders>
                    <w:tl2br w:val="nil"/>
                    <w:tr2bl w:val="nil"/>
                  </w:tcBorders>
                  <w:vAlign w:val="center"/>
                </w:tcPr>
                <w:p>
                  <w:pPr>
                    <w:pStyle w:val="22"/>
                    <w:bidi w:val="0"/>
                    <w:rPr>
                      <w:rFonts w:hint="default"/>
                    </w:rPr>
                  </w:pPr>
                  <w:r>
                    <w:rPr>
                      <w:rFonts w:hint="default"/>
                    </w:rPr>
                    <w:t>本项目位于</w:t>
                  </w:r>
                  <w:r>
                    <w:rPr>
                      <w:rFonts w:hint="eastAsia" w:cs="宋体"/>
                    </w:rPr>
                    <w:t>安徽省芜湖市经济技术开发区龙山街道祥和路52号</w:t>
                  </w:r>
                  <w:r>
                    <w:rPr>
                      <w:rFonts w:hint="default"/>
                    </w:rPr>
                    <w:t>，项目厂区距离长江干流</w:t>
                  </w:r>
                  <w:r>
                    <w:rPr>
                      <w:rFonts w:hint="eastAsia"/>
                      <w:lang w:val="en-US" w:eastAsia="zh-CN"/>
                    </w:rPr>
                    <w:t>最近距离为3.5k</w:t>
                  </w:r>
                  <w:r>
                    <w:rPr>
                      <w:rFonts w:hint="default"/>
                    </w:rPr>
                    <w:t>m，</w:t>
                  </w:r>
                  <w:r>
                    <w:rPr>
                      <w:rFonts w:hint="eastAsia"/>
                    </w:rPr>
                    <w:t>符合岸线规划和环保要求。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22" w:type="pct"/>
                  <w:tcBorders>
                    <w:tl2br w:val="nil"/>
                    <w:tr2bl w:val="nil"/>
                  </w:tcBorders>
                  <w:vAlign w:val="center"/>
                </w:tcPr>
                <w:p>
                  <w:pPr>
                    <w:pStyle w:val="22"/>
                    <w:bidi w:val="0"/>
                    <w:rPr>
                      <w:rFonts w:hint="default"/>
                    </w:rPr>
                  </w:pPr>
                  <w:r>
                    <w:rPr>
                      <w:rFonts w:hint="default"/>
                    </w:rPr>
                    <w:t>严控5公里范围内新建重化工重污染项目</w:t>
                  </w:r>
                </w:p>
              </w:tc>
              <w:tc>
                <w:tcPr>
                  <w:tcW w:w="2612" w:type="pct"/>
                  <w:tcBorders>
                    <w:tl2br w:val="nil"/>
                    <w:tr2bl w:val="nil"/>
                  </w:tcBorders>
                  <w:vAlign w:val="center"/>
                </w:tcPr>
                <w:p>
                  <w:pPr>
                    <w:pStyle w:val="22"/>
                    <w:bidi w:val="0"/>
                    <w:rPr>
                      <w:rFonts w:hint="default"/>
                    </w:rPr>
                  </w:pPr>
                  <w:r>
                    <w:rPr>
                      <w:rFonts w:hint="default"/>
                    </w:rPr>
                    <w:t>长长江干流岸线5公里范围内，全面落实长江岸线功能定位要求，实施严格的化工项目市场准入制度，制定完善危险化学品“禁限控”目录，除提升安全、环保、节能水平，以及质量升级、结构调整的改扩建项目外，严控新建石油化工和煤化工等重化工、重污染项目。严禁新建布局重化工园区。合规化工园区内，严禁新批环境基础设施不完善或长期不能稳定运行的企业新建和扩建化工项目。</w:t>
                  </w:r>
                </w:p>
              </w:tc>
              <w:tc>
                <w:tcPr>
                  <w:tcW w:w="1764" w:type="pct"/>
                  <w:tcBorders>
                    <w:tl2br w:val="nil"/>
                    <w:tr2bl w:val="nil"/>
                  </w:tcBorders>
                  <w:vAlign w:val="center"/>
                </w:tcPr>
                <w:p>
                  <w:pPr>
                    <w:pStyle w:val="22"/>
                    <w:bidi w:val="0"/>
                    <w:rPr>
                      <w:rFonts w:hint="default"/>
                    </w:rPr>
                  </w:pPr>
                  <w:r>
                    <w:rPr>
                      <w:rFonts w:hint="default"/>
                    </w:rPr>
                    <w:t>本</w:t>
                  </w:r>
                  <w:r>
                    <w:rPr>
                      <w:rFonts w:hint="eastAsia"/>
                    </w:rPr>
                    <w:t>项目</w:t>
                  </w:r>
                  <w:r>
                    <w:rPr>
                      <w:rFonts w:hint="default"/>
                    </w:rPr>
                    <w:t>不属于重化工重污染项目，项目位于</w:t>
                  </w:r>
                  <w:r>
                    <w:rPr>
                      <w:rFonts w:hint="eastAsia" w:cs="宋体"/>
                    </w:rPr>
                    <w:t>安徽省芜湖市经济技术开发区龙山街道祥和路52号</w:t>
                  </w:r>
                  <w:r>
                    <w:rPr>
                      <w:rFonts w:hint="default"/>
                    </w:rPr>
                    <w:t>，项目厂区距离长江干流</w:t>
                  </w:r>
                  <w:r>
                    <w:rPr>
                      <w:rFonts w:hint="eastAsia"/>
                      <w:lang w:val="en-US" w:eastAsia="zh-CN"/>
                    </w:rPr>
                    <w:t>最近距离为3.5k</w:t>
                  </w:r>
                  <w:r>
                    <w:rPr>
                      <w:rFonts w:hint="default"/>
                    </w:rPr>
                    <w:t>m</w:t>
                  </w:r>
                  <w:r>
                    <w:rPr>
                      <w:rFonts w:hint="eastAsi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22" w:type="pct"/>
                  <w:tcBorders>
                    <w:tl2br w:val="nil"/>
                    <w:tr2bl w:val="nil"/>
                  </w:tcBorders>
                  <w:vAlign w:val="center"/>
                </w:tcPr>
                <w:p>
                  <w:pPr>
                    <w:pStyle w:val="22"/>
                    <w:bidi w:val="0"/>
                    <w:rPr>
                      <w:rFonts w:hint="default"/>
                    </w:rPr>
                  </w:pPr>
                  <w:r>
                    <w:rPr>
                      <w:rFonts w:hint="default"/>
                    </w:rPr>
                    <w:t>严管15公里范围内新建项目</w:t>
                  </w:r>
                </w:p>
              </w:tc>
              <w:tc>
                <w:tcPr>
                  <w:tcW w:w="2612" w:type="pct"/>
                  <w:tcBorders>
                    <w:tl2br w:val="nil"/>
                    <w:tr2bl w:val="nil"/>
                  </w:tcBorders>
                  <w:vAlign w:val="center"/>
                </w:tcPr>
                <w:p>
                  <w:pPr>
                    <w:pStyle w:val="22"/>
                    <w:bidi w:val="0"/>
                    <w:rPr>
                      <w:rFonts w:hint="default"/>
                    </w:rPr>
                  </w:pPr>
                  <w:r>
                    <w:rPr>
                      <w:rFonts w:hint="default"/>
                    </w:rPr>
                    <w:t>长江干流岸线15公里范围内，严把各类项目准入门槛，严格执行环境保护标准，把主要污染物和重点重金属排放总量控制目标作为新（改、扩）建项目环评审批的前置条件，新建项目必须全部合规达标，禁止建设没有环境容量和减排总量项目。在岸线开发、河段利用、区域活动和产业发展等方面，严格执行《长江经济带发展负面清单指南（试行）》《安徽省长江经济带发展负面清单实施细则（试行）》。实施备案、环评、安评、能评等并联审批，未落实生态环保、安全生产、能源节约要求的，一律不得开工建设。</w:t>
                  </w:r>
                </w:p>
              </w:tc>
              <w:tc>
                <w:tcPr>
                  <w:tcW w:w="1764" w:type="pct"/>
                  <w:tcBorders>
                    <w:tl2br w:val="nil"/>
                    <w:tr2bl w:val="nil"/>
                  </w:tcBorders>
                  <w:vAlign w:val="center"/>
                </w:tcPr>
                <w:p>
                  <w:pPr>
                    <w:pStyle w:val="22"/>
                    <w:bidi w:val="0"/>
                    <w:rPr>
                      <w:rFonts w:hint="default"/>
                    </w:rPr>
                  </w:pPr>
                  <w:r>
                    <w:rPr>
                      <w:rFonts w:hint="default"/>
                    </w:rPr>
                    <w:t>本项目位于安徽省芜湖市经济技术开发区龙山街道祥和路52号，项目厂区距离长江干流</w:t>
                  </w:r>
                  <w:r>
                    <w:rPr>
                      <w:rFonts w:hint="eastAsia"/>
                      <w:lang w:val="en-US" w:eastAsia="zh-CN"/>
                    </w:rPr>
                    <w:t>最近距离为3.5k</w:t>
                  </w:r>
                  <w:r>
                    <w:rPr>
                      <w:rFonts w:hint="default"/>
                    </w:rPr>
                    <w:t>m，将严格落实相关审批要求</w:t>
                  </w:r>
                </w:p>
              </w:tc>
            </w:tr>
          </w:tbl>
          <w:p>
            <w:pPr>
              <w:pStyle w:val="5"/>
              <w:numPr>
                <w:ilvl w:val="0"/>
                <w:numId w:val="7"/>
              </w:numPr>
              <w:tabs>
                <w:tab w:val="left" w:pos="567"/>
              </w:tabs>
              <w:ind w:firstLine="482" w:firstLineChars="200"/>
            </w:pPr>
            <w:r>
              <w:rPr>
                <w:rFonts w:hint="eastAsia"/>
              </w:rPr>
              <w:t>与《中华人民共和国长江保护法》符合性分析</w:t>
            </w:r>
          </w:p>
          <w:p>
            <w:pPr>
              <w:pStyle w:val="23"/>
            </w:pPr>
            <w:r>
              <w:rPr>
                <w:rFonts w:hint="eastAsia"/>
              </w:rPr>
              <w:t>表1-</w:t>
            </w:r>
            <w:r>
              <w:rPr>
                <w:rFonts w:hint="eastAsia"/>
                <w:lang w:val="en-US" w:eastAsia="zh-CN"/>
              </w:rPr>
              <w:t>8</w:t>
            </w:r>
            <w:r>
              <w:rPr>
                <w:rFonts w:hint="eastAsia"/>
              </w:rPr>
              <w:t xml:space="preserve"> </w:t>
            </w:r>
            <w:r>
              <w:rPr>
                <w:rFonts w:hint="eastAsia"/>
                <w:lang w:val="en-US" w:eastAsia="zh-CN"/>
              </w:rPr>
              <w:t xml:space="preserve"> </w:t>
            </w:r>
            <w:r>
              <w:rPr>
                <w:rFonts w:hint="eastAsia"/>
              </w:rPr>
              <w:t>与《中华人民共和国长江保护法》的符合性分析一览表</w:t>
            </w:r>
          </w:p>
          <w:tbl>
            <w:tblPr>
              <w:tblStyle w:val="15"/>
              <w:tblW w:w="4997"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720"/>
              <w:gridCol w:w="3805"/>
              <w:gridCol w:w="1513"/>
              <w:gridCol w:w="920"/>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517" w:type="pct"/>
                  <w:tcBorders>
                    <w:tl2br w:val="nil"/>
                    <w:tr2bl w:val="nil"/>
                  </w:tcBorders>
                  <w:vAlign w:val="center"/>
                </w:tcPr>
                <w:p>
                  <w:pPr>
                    <w:pStyle w:val="22"/>
                    <w:bidi w:val="0"/>
                    <w:rPr>
                      <w:rFonts w:hint="default"/>
                      <w:b/>
                      <w:bCs/>
                    </w:rPr>
                  </w:pPr>
                  <w:r>
                    <w:rPr>
                      <w:rFonts w:hint="default"/>
                      <w:b/>
                      <w:bCs/>
                    </w:rPr>
                    <w:t>序号</w:t>
                  </w:r>
                </w:p>
              </w:tc>
              <w:tc>
                <w:tcPr>
                  <w:tcW w:w="2733" w:type="pct"/>
                  <w:tcBorders>
                    <w:tl2br w:val="nil"/>
                    <w:tr2bl w:val="nil"/>
                  </w:tcBorders>
                  <w:vAlign w:val="center"/>
                </w:tcPr>
                <w:p>
                  <w:pPr>
                    <w:pStyle w:val="22"/>
                    <w:bidi w:val="0"/>
                    <w:rPr>
                      <w:rFonts w:hint="default"/>
                      <w:b/>
                      <w:bCs/>
                    </w:rPr>
                  </w:pPr>
                  <w:r>
                    <w:rPr>
                      <w:rFonts w:hint="default"/>
                      <w:b/>
                      <w:bCs/>
                    </w:rPr>
                    <w:t>与本</w:t>
                  </w:r>
                  <w:r>
                    <w:rPr>
                      <w:rFonts w:hint="eastAsia"/>
                      <w:b/>
                      <w:bCs/>
                    </w:rPr>
                    <w:t>项目</w:t>
                  </w:r>
                  <w:r>
                    <w:rPr>
                      <w:rFonts w:hint="default"/>
                      <w:b/>
                      <w:bCs/>
                    </w:rPr>
                    <w:t>有关的内容简述</w:t>
                  </w:r>
                </w:p>
              </w:tc>
              <w:tc>
                <w:tcPr>
                  <w:tcW w:w="1087" w:type="pct"/>
                  <w:tcBorders>
                    <w:tl2br w:val="nil"/>
                    <w:tr2bl w:val="nil"/>
                  </w:tcBorders>
                  <w:vAlign w:val="center"/>
                </w:tcPr>
                <w:p>
                  <w:pPr>
                    <w:pStyle w:val="22"/>
                    <w:bidi w:val="0"/>
                    <w:rPr>
                      <w:rFonts w:hint="default"/>
                      <w:b/>
                      <w:bCs/>
                    </w:rPr>
                  </w:pPr>
                  <w:r>
                    <w:rPr>
                      <w:rFonts w:hint="default"/>
                      <w:b/>
                      <w:bCs/>
                    </w:rPr>
                    <w:t>本</w:t>
                  </w:r>
                  <w:r>
                    <w:rPr>
                      <w:rFonts w:hint="eastAsia"/>
                      <w:b/>
                      <w:bCs/>
                    </w:rPr>
                    <w:t>项目</w:t>
                  </w:r>
                  <w:r>
                    <w:rPr>
                      <w:rFonts w:hint="default"/>
                      <w:b/>
                      <w:bCs/>
                    </w:rPr>
                    <w:t>情况</w:t>
                  </w:r>
                </w:p>
              </w:tc>
              <w:tc>
                <w:tcPr>
                  <w:tcW w:w="661" w:type="pct"/>
                  <w:tcBorders>
                    <w:tl2br w:val="nil"/>
                    <w:tr2bl w:val="nil"/>
                  </w:tcBorders>
                  <w:vAlign w:val="center"/>
                </w:tcPr>
                <w:p>
                  <w:pPr>
                    <w:pStyle w:val="22"/>
                    <w:bidi w:val="0"/>
                    <w:rPr>
                      <w:rFonts w:hint="default"/>
                      <w:b/>
                      <w:bCs/>
                    </w:rPr>
                  </w:pPr>
                  <w:r>
                    <w:rPr>
                      <w:rFonts w:hint="default"/>
                      <w:b/>
                      <w:bCs/>
                    </w:rPr>
                    <w:t>符合性</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517" w:type="pct"/>
                  <w:tcBorders>
                    <w:tl2br w:val="nil"/>
                    <w:tr2bl w:val="nil"/>
                  </w:tcBorders>
                  <w:vAlign w:val="center"/>
                </w:tcPr>
                <w:p>
                  <w:pPr>
                    <w:pStyle w:val="22"/>
                    <w:bidi w:val="0"/>
                    <w:rPr>
                      <w:rFonts w:hint="default"/>
                    </w:rPr>
                  </w:pPr>
                  <w:r>
                    <w:rPr>
                      <w:rFonts w:hint="default"/>
                    </w:rPr>
                    <w:t>1</w:t>
                  </w:r>
                </w:p>
              </w:tc>
              <w:tc>
                <w:tcPr>
                  <w:tcW w:w="2733" w:type="pct"/>
                  <w:tcBorders>
                    <w:tl2br w:val="nil"/>
                    <w:tr2bl w:val="nil"/>
                  </w:tcBorders>
                  <w:vAlign w:val="center"/>
                </w:tcPr>
                <w:p>
                  <w:pPr>
                    <w:pStyle w:val="22"/>
                    <w:bidi w:val="0"/>
                    <w:rPr>
                      <w:rFonts w:hint="default"/>
                    </w:rPr>
                  </w:pPr>
                  <w:r>
                    <w:rPr>
                      <w:rFonts w:hint="default"/>
                    </w:rPr>
                    <w:t>国家对长江流域河湖岸线实施特殊管制。国家长江流域协调机制统筹协调国务院自然资源、水行政、生态环境、住房和城乡建设、农业农村、交通运输、林业和草原等部门和长江流域省级人民政府划定河湖岸线保护范围，制定河湖岸线保护规划，严格控制岸线开发建设，促进岸线合理高效利用。禁止在长江干支流岸线一公里范围内新建、扩建化工园区和化工项目。禁止在长江干流岸线三公里范围内和重要支流岸线一公里范围内新建、改建、扩建尾矿库；但是以提升安全、生态环境保护水平为目的的改建除外。</w:t>
                  </w:r>
                </w:p>
              </w:tc>
              <w:tc>
                <w:tcPr>
                  <w:tcW w:w="1087" w:type="pct"/>
                  <w:tcBorders>
                    <w:tl2br w:val="nil"/>
                    <w:tr2bl w:val="nil"/>
                  </w:tcBorders>
                  <w:vAlign w:val="center"/>
                </w:tcPr>
                <w:p>
                  <w:pPr>
                    <w:pStyle w:val="22"/>
                    <w:bidi w:val="0"/>
                    <w:rPr>
                      <w:rFonts w:hint="default"/>
                    </w:rPr>
                  </w:pPr>
                  <w:r>
                    <w:rPr>
                      <w:rFonts w:hint="default"/>
                    </w:rPr>
                    <w:t>本</w:t>
                  </w:r>
                  <w:r>
                    <w:rPr>
                      <w:rFonts w:hint="eastAsia"/>
                    </w:rPr>
                    <w:t>项目</w:t>
                  </w:r>
                  <w:r>
                    <w:rPr>
                      <w:rFonts w:hint="default"/>
                    </w:rPr>
                    <w:t>属于</w:t>
                  </w:r>
                  <w:r>
                    <w:rPr>
                      <w:rFonts w:hint="eastAsia"/>
                    </w:rPr>
                    <w:t>汽车零部件及配件制造</w:t>
                  </w:r>
                  <w:r>
                    <w:rPr>
                      <w:rFonts w:hint="default"/>
                    </w:rPr>
                    <w:t>，</w:t>
                  </w:r>
                  <w:r>
                    <w:rPr>
                      <w:rFonts w:hint="eastAsia"/>
                    </w:rPr>
                    <w:t>不属于</w:t>
                  </w:r>
                  <w:r>
                    <w:rPr>
                      <w:rFonts w:hint="default"/>
                    </w:rPr>
                    <w:t>新建、扩建化工园区和化工项目</w:t>
                  </w:r>
                  <w:r>
                    <w:rPr>
                      <w:rFonts w:hint="eastAsia"/>
                    </w:rPr>
                    <w:t>；不属于</w:t>
                  </w:r>
                  <w:r>
                    <w:rPr>
                      <w:rFonts w:hint="default"/>
                    </w:rPr>
                    <w:t>新建、改建、扩建尾矿库。</w:t>
                  </w:r>
                </w:p>
              </w:tc>
              <w:tc>
                <w:tcPr>
                  <w:tcW w:w="661" w:type="pct"/>
                  <w:tcBorders>
                    <w:tl2br w:val="nil"/>
                    <w:tr2bl w:val="nil"/>
                  </w:tcBorders>
                  <w:vAlign w:val="center"/>
                </w:tcPr>
                <w:p>
                  <w:pPr>
                    <w:pStyle w:val="22"/>
                    <w:bidi w:val="0"/>
                    <w:rPr>
                      <w:rFonts w:hint="default"/>
                    </w:rPr>
                  </w:pPr>
                  <w:r>
                    <w:rPr>
                      <w:rFonts w:hint="default"/>
                    </w:rPr>
                    <w:t>符合</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517" w:type="pct"/>
                  <w:tcBorders>
                    <w:tl2br w:val="nil"/>
                    <w:tr2bl w:val="nil"/>
                  </w:tcBorders>
                  <w:vAlign w:val="center"/>
                </w:tcPr>
                <w:p>
                  <w:pPr>
                    <w:pStyle w:val="22"/>
                    <w:bidi w:val="0"/>
                    <w:rPr>
                      <w:rFonts w:hint="default"/>
                    </w:rPr>
                  </w:pPr>
                  <w:r>
                    <w:rPr>
                      <w:rFonts w:hint="default"/>
                    </w:rPr>
                    <w:t>2</w:t>
                  </w:r>
                </w:p>
              </w:tc>
              <w:tc>
                <w:tcPr>
                  <w:tcW w:w="2733" w:type="pct"/>
                  <w:tcBorders>
                    <w:tl2br w:val="nil"/>
                    <w:tr2bl w:val="nil"/>
                  </w:tcBorders>
                  <w:vAlign w:val="center"/>
                </w:tcPr>
                <w:p>
                  <w:pPr>
                    <w:pStyle w:val="22"/>
                    <w:bidi w:val="0"/>
                    <w:rPr>
                      <w:rFonts w:hint="default"/>
                    </w:rPr>
                  </w:pPr>
                  <w:r>
                    <w:rPr>
                      <w:rFonts w:hint="default"/>
                    </w:rPr>
                    <w:t>长江流域县级以上地方人民政府应当推动钢铁、石油、化工、有色金属、建材、船舶等产业升级改造，提升技术装备水平；推动造纸、制革、电镀、印染、有色金属、农药、氮肥、焦化、原料药制造等企业实施清洁化改造。企业应当通过技术创新减少资源消耗和污染物排放。</w:t>
                  </w:r>
                </w:p>
              </w:tc>
              <w:tc>
                <w:tcPr>
                  <w:tcW w:w="1087" w:type="pct"/>
                  <w:tcBorders>
                    <w:tl2br w:val="nil"/>
                    <w:tr2bl w:val="nil"/>
                  </w:tcBorders>
                  <w:vAlign w:val="center"/>
                </w:tcPr>
                <w:p>
                  <w:pPr>
                    <w:pStyle w:val="22"/>
                    <w:bidi w:val="0"/>
                    <w:rPr>
                      <w:rFonts w:hint="default"/>
                    </w:rPr>
                  </w:pPr>
                  <w:r>
                    <w:rPr>
                      <w:rFonts w:hint="default"/>
                    </w:rPr>
                    <w:t>项目属于</w:t>
                  </w:r>
                  <w:r>
                    <w:rPr>
                      <w:rFonts w:hint="eastAsia"/>
                    </w:rPr>
                    <w:t>汽车零部件及配件制造</w:t>
                  </w:r>
                  <w:r>
                    <w:rPr>
                      <w:rFonts w:hint="default"/>
                    </w:rPr>
                    <w:t>，</w:t>
                  </w:r>
                  <w:r>
                    <w:rPr>
                      <w:rFonts w:hint="eastAsia"/>
                      <w:lang w:val="en-US" w:eastAsia="zh-CN"/>
                    </w:rPr>
                    <w:t>污染物均</w:t>
                  </w:r>
                  <w:r>
                    <w:rPr>
                      <w:rFonts w:hint="default"/>
                    </w:rPr>
                    <w:t>处理后达标排放。</w:t>
                  </w:r>
                </w:p>
              </w:tc>
              <w:tc>
                <w:tcPr>
                  <w:tcW w:w="661" w:type="pct"/>
                  <w:tcBorders>
                    <w:tl2br w:val="nil"/>
                    <w:tr2bl w:val="nil"/>
                  </w:tcBorders>
                  <w:vAlign w:val="center"/>
                </w:tcPr>
                <w:p>
                  <w:pPr>
                    <w:pStyle w:val="22"/>
                    <w:bidi w:val="0"/>
                    <w:rPr>
                      <w:rFonts w:hint="default"/>
                    </w:rPr>
                  </w:pPr>
                  <w:r>
                    <w:rPr>
                      <w:rFonts w:hint="default"/>
                    </w:rPr>
                    <w:t>符合</w:t>
                  </w:r>
                </w:p>
              </w:tc>
            </w:tr>
          </w:tbl>
          <w:p>
            <w:pPr>
              <w:pStyle w:val="5"/>
              <w:numPr>
                <w:ilvl w:val="0"/>
                <w:numId w:val="7"/>
              </w:numPr>
              <w:tabs>
                <w:tab w:val="left" w:pos="567"/>
              </w:tabs>
              <w:ind w:firstLine="482" w:firstLineChars="200"/>
              <w:rPr>
                <w:rFonts w:hint="eastAsia"/>
              </w:rPr>
            </w:pPr>
            <w:r>
              <w:rPr>
                <w:rFonts w:hint="eastAsia"/>
              </w:rPr>
              <w:t>《安徽省长江经济带发展负面清单实施细则（试行）的通知》（皖长江办[2019]18号）相符性分析</w:t>
            </w:r>
          </w:p>
          <w:p>
            <w:pPr>
              <w:pStyle w:val="23"/>
              <w:bidi w:val="0"/>
              <w:rPr>
                <w:rFonts w:hint="eastAsia"/>
              </w:rPr>
            </w:pPr>
            <w:r>
              <w:rPr>
                <w:rFonts w:hint="eastAsia"/>
              </w:rPr>
              <w:t>表1-</w:t>
            </w:r>
            <w:r>
              <w:rPr>
                <w:rFonts w:hint="eastAsia"/>
                <w:lang w:val="en-US" w:eastAsia="zh-CN"/>
              </w:rPr>
              <w:t>9</w:t>
            </w:r>
            <w:r>
              <w:rPr>
                <w:rFonts w:hint="eastAsia"/>
              </w:rPr>
              <w:t xml:space="preserve"> </w:t>
            </w:r>
            <w:r>
              <w:rPr>
                <w:rFonts w:hint="eastAsia"/>
                <w:lang w:val="en-US" w:eastAsia="zh-CN"/>
              </w:rPr>
              <w:t xml:space="preserve"> </w:t>
            </w:r>
            <w:r>
              <w:rPr>
                <w:rFonts w:hint="eastAsia"/>
              </w:rPr>
              <w:t>与《长江经济带发展负面清单指南（试行）》的相符性</w:t>
            </w:r>
          </w:p>
          <w:tbl>
            <w:tblPr>
              <w:tblStyle w:val="15"/>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609"/>
              <w:gridCol w:w="2443"/>
              <w:gridCol w:w="90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593" w:type="pct"/>
                  <w:tcBorders>
                    <w:tl2br w:val="nil"/>
                    <w:tr2bl w:val="nil"/>
                  </w:tcBorders>
                  <w:vAlign w:val="center"/>
                </w:tcPr>
                <w:p>
                  <w:pPr>
                    <w:pStyle w:val="22"/>
                    <w:bidi w:val="0"/>
                    <w:rPr>
                      <w:rFonts w:hint="eastAsia" w:eastAsia="宋体"/>
                      <w:b/>
                      <w:bCs/>
                      <w:lang w:val="en-US" w:eastAsia="zh-CN"/>
                    </w:rPr>
                  </w:pPr>
                  <w:r>
                    <w:rPr>
                      <w:rFonts w:hint="eastAsia" w:eastAsia="宋体"/>
                      <w:b/>
                      <w:bCs/>
                      <w:lang w:val="en-US" w:eastAsia="zh-CN"/>
                    </w:rPr>
                    <w:t>负面清单</w:t>
                  </w:r>
                </w:p>
              </w:tc>
              <w:tc>
                <w:tcPr>
                  <w:tcW w:w="1755" w:type="pct"/>
                  <w:tcBorders>
                    <w:tl2br w:val="nil"/>
                    <w:tr2bl w:val="nil"/>
                  </w:tcBorders>
                  <w:vAlign w:val="center"/>
                </w:tcPr>
                <w:p>
                  <w:pPr>
                    <w:pStyle w:val="22"/>
                    <w:bidi w:val="0"/>
                    <w:rPr>
                      <w:rFonts w:hint="eastAsia" w:eastAsia="宋体"/>
                      <w:b/>
                      <w:bCs/>
                      <w:lang w:val="en-US" w:eastAsia="zh-CN"/>
                    </w:rPr>
                  </w:pPr>
                  <w:r>
                    <w:rPr>
                      <w:rFonts w:hint="eastAsia" w:eastAsia="宋体"/>
                      <w:b/>
                      <w:bCs/>
                      <w:lang w:val="en-US" w:eastAsia="zh-CN"/>
                    </w:rPr>
                    <w:t>本项目情况</w:t>
                  </w:r>
                </w:p>
              </w:tc>
              <w:tc>
                <w:tcPr>
                  <w:tcW w:w="651" w:type="pct"/>
                  <w:tcBorders>
                    <w:tl2br w:val="nil"/>
                    <w:tr2bl w:val="nil"/>
                  </w:tcBorders>
                  <w:vAlign w:val="center"/>
                </w:tcPr>
                <w:p>
                  <w:pPr>
                    <w:pStyle w:val="22"/>
                    <w:bidi w:val="0"/>
                    <w:rPr>
                      <w:rFonts w:hint="eastAsia" w:eastAsia="宋体"/>
                      <w:b/>
                      <w:bCs/>
                      <w:lang w:val="en-US" w:eastAsia="zh-CN"/>
                    </w:rPr>
                  </w:pPr>
                  <w:r>
                    <w:rPr>
                      <w:rFonts w:hint="eastAsia" w:eastAsia="宋体"/>
                      <w:b/>
                      <w:bCs/>
                      <w:lang w:val="en-US" w:eastAsia="zh-CN"/>
                    </w:rPr>
                    <w:t>符合性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2593" w:type="pct"/>
                  <w:tcBorders>
                    <w:tl2br w:val="nil"/>
                    <w:tr2bl w:val="nil"/>
                  </w:tcBorders>
                  <w:vAlign w:val="center"/>
                </w:tcPr>
                <w:p>
                  <w:pPr>
                    <w:pStyle w:val="22"/>
                    <w:bidi w:val="0"/>
                    <w:jc w:val="both"/>
                    <w:rPr>
                      <w:rFonts w:hint="default"/>
                    </w:rPr>
                  </w:pPr>
                  <w:r>
                    <w:rPr>
                      <w:rFonts w:hint="default"/>
                    </w:rPr>
                    <w:t>禁止建设不符合全国和省级港口布局规划以及港口总体规划的码头项目，禁止建设不符合《长江干线过江通道布局规划》的过长江通道项目</w:t>
                  </w:r>
                </w:p>
              </w:tc>
              <w:tc>
                <w:tcPr>
                  <w:tcW w:w="1755" w:type="pct"/>
                  <w:tcBorders>
                    <w:tl2br w:val="nil"/>
                    <w:tr2bl w:val="nil"/>
                  </w:tcBorders>
                  <w:vAlign w:val="center"/>
                </w:tcPr>
                <w:p>
                  <w:pPr>
                    <w:pStyle w:val="22"/>
                    <w:bidi w:val="0"/>
                    <w:jc w:val="both"/>
                    <w:rPr>
                      <w:rFonts w:hint="default"/>
                    </w:rPr>
                  </w:pPr>
                  <w:r>
                    <w:rPr>
                      <w:rFonts w:hint="default"/>
                    </w:rPr>
                    <w:t>本项目不属于码头项目和过长江通道项目。</w:t>
                  </w:r>
                </w:p>
              </w:tc>
              <w:tc>
                <w:tcPr>
                  <w:tcW w:w="651" w:type="pct"/>
                  <w:tcBorders>
                    <w:tl2br w:val="nil"/>
                    <w:tr2bl w:val="nil"/>
                  </w:tcBorders>
                  <w:vAlign w:val="center"/>
                </w:tcPr>
                <w:p>
                  <w:pPr>
                    <w:pStyle w:val="22"/>
                    <w:bidi w:val="0"/>
                    <w:jc w:val="both"/>
                    <w:rPr>
                      <w:rFonts w:hint="default"/>
                    </w:rPr>
                  </w:pPr>
                  <w:r>
                    <w:rPr>
                      <w:rFonts w:hint="default"/>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593" w:type="pct"/>
                  <w:tcBorders>
                    <w:tl2br w:val="nil"/>
                    <w:tr2bl w:val="nil"/>
                  </w:tcBorders>
                  <w:vAlign w:val="center"/>
                </w:tcPr>
                <w:p>
                  <w:pPr>
                    <w:pStyle w:val="22"/>
                    <w:bidi w:val="0"/>
                    <w:jc w:val="both"/>
                    <w:rPr>
                      <w:rFonts w:hint="default"/>
                    </w:rPr>
                  </w:pPr>
                  <w:r>
                    <w:rPr>
                      <w:rFonts w:hint="default"/>
                    </w:rPr>
                    <w:t>禁止在自然保护区核心区、缓冲区的岸线和河段范围内投资建设旅游和生产经营项目。禁止在风景名胜区核心景区的岸线和河段范围内投资建设与风景名胜资源保护无关的项目</w:t>
                  </w:r>
                </w:p>
              </w:tc>
              <w:tc>
                <w:tcPr>
                  <w:tcW w:w="1755" w:type="pct"/>
                  <w:tcBorders>
                    <w:tl2br w:val="nil"/>
                    <w:tr2bl w:val="nil"/>
                  </w:tcBorders>
                  <w:vAlign w:val="center"/>
                </w:tcPr>
                <w:p>
                  <w:pPr>
                    <w:pStyle w:val="22"/>
                    <w:bidi w:val="0"/>
                    <w:jc w:val="both"/>
                    <w:rPr>
                      <w:rFonts w:hint="default"/>
                    </w:rPr>
                  </w:pPr>
                  <w:r>
                    <w:rPr>
                      <w:rFonts w:hint="default"/>
                    </w:rPr>
                    <w:t>本项目不在自然保护区核心区、缓冲区的岸线和河段范围内和风景名胜区核心景区的岸线和</w:t>
                  </w:r>
                </w:p>
                <w:p>
                  <w:pPr>
                    <w:pStyle w:val="22"/>
                    <w:bidi w:val="0"/>
                    <w:jc w:val="both"/>
                    <w:rPr>
                      <w:rFonts w:hint="default"/>
                    </w:rPr>
                  </w:pPr>
                  <w:r>
                    <w:rPr>
                      <w:rFonts w:hint="default"/>
                    </w:rPr>
                    <w:t>河段范围内。</w:t>
                  </w:r>
                </w:p>
              </w:tc>
              <w:tc>
                <w:tcPr>
                  <w:tcW w:w="651" w:type="pct"/>
                  <w:tcBorders>
                    <w:tl2br w:val="nil"/>
                    <w:tr2bl w:val="nil"/>
                  </w:tcBorders>
                  <w:vAlign w:val="center"/>
                </w:tcPr>
                <w:p>
                  <w:pPr>
                    <w:pStyle w:val="22"/>
                    <w:bidi w:val="0"/>
                    <w:jc w:val="both"/>
                    <w:rPr>
                      <w:rFonts w:hint="default"/>
                    </w:rPr>
                  </w:pPr>
                  <w:r>
                    <w:rPr>
                      <w:rFonts w:hint="default"/>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593" w:type="pct"/>
                  <w:tcBorders>
                    <w:tl2br w:val="nil"/>
                    <w:tr2bl w:val="nil"/>
                  </w:tcBorders>
                  <w:vAlign w:val="center"/>
                </w:tcPr>
                <w:p>
                  <w:pPr>
                    <w:pStyle w:val="22"/>
                    <w:bidi w:val="0"/>
                    <w:jc w:val="both"/>
                    <w:rPr>
                      <w:rFonts w:hint="default"/>
                    </w:rPr>
                  </w:pPr>
                  <w:r>
                    <w:rPr>
                      <w:rFonts w:hint="default"/>
                    </w:rPr>
                    <w:t>禁止在饮用水水源一级保护区的岸线和河段范围内新建、改建、扩建与供水设施和保护水源无关的项目，以及网箱养殖、旅游等可能污染饮用水水体的投资建设项目。禁止在饮用水水源二级保护区的岸线和河段范围内新建、改建、扩建排放污染物的投资建设项目</w:t>
                  </w:r>
                </w:p>
              </w:tc>
              <w:tc>
                <w:tcPr>
                  <w:tcW w:w="1755" w:type="pct"/>
                  <w:tcBorders>
                    <w:tl2br w:val="nil"/>
                    <w:tr2bl w:val="nil"/>
                  </w:tcBorders>
                  <w:vAlign w:val="center"/>
                </w:tcPr>
                <w:p>
                  <w:pPr>
                    <w:pStyle w:val="22"/>
                    <w:bidi w:val="0"/>
                    <w:jc w:val="both"/>
                    <w:rPr>
                      <w:rFonts w:hint="default"/>
                    </w:rPr>
                  </w:pPr>
                  <w:r>
                    <w:rPr>
                      <w:rFonts w:hint="eastAsia"/>
                      <w:lang w:val="en-US" w:eastAsia="zh-CN"/>
                    </w:rPr>
                    <w:t>本</w:t>
                  </w:r>
                  <w:r>
                    <w:rPr>
                      <w:rFonts w:hint="default"/>
                    </w:rPr>
                    <w:t>项目不在饮用水水源一级保护区的岸线和河段范围内和饮用水水源二级保护区的岸线和河段范围内。</w:t>
                  </w:r>
                </w:p>
              </w:tc>
              <w:tc>
                <w:tcPr>
                  <w:tcW w:w="651" w:type="pct"/>
                  <w:tcBorders>
                    <w:tl2br w:val="nil"/>
                    <w:tr2bl w:val="nil"/>
                  </w:tcBorders>
                  <w:vAlign w:val="center"/>
                </w:tcPr>
                <w:p>
                  <w:pPr>
                    <w:pStyle w:val="22"/>
                    <w:bidi w:val="0"/>
                    <w:jc w:val="both"/>
                    <w:rPr>
                      <w:rFonts w:hint="default"/>
                    </w:rPr>
                  </w:pPr>
                  <w:r>
                    <w:rPr>
                      <w:rFonts w:hint="default"/>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593" w:type="pct"/>
                  <w:tcBorders>
                    <w:tl2br w:val="nil"/>
                    <w:tr2bl w:val="nil"/>
                  </w:tcBorders>
                  <w:vAlign w:val="center"/>
                </w:tcPr>
                <w:p>
                  <w:pPr>
                    <w:pStyle w:val="22"/>
                    <w:bidi w:val="0"/>
                    <w:jc w:val="both"/>
                    <w:rPr>
                      <w:rFonts w:hint="default"/>
                    </w:rPr>
                  </w:pPr>
                  <w:r>
                    <w:rPr>
                      <w:rFonts w:hint="default"/>
                    </w:rPr>
                    <w:t>禁止在水产种质资源保护区的岸线和河段范围内新建排污口，以及围湖造田、围海造地或围填海等投资建设项目。禁止在国家湿地公园的岸线和河段范围内挖沙、采矿，以及任何不符合主体功能定位的投资建设项目</w:t>
                  </w:r>
                </w:p>
              </w:tc>
              <w:tc>
                <w:tcPr>
                  <w:tcW w:w="1755" w:type="pct"/>
                  <w:tcBorders>
                    <w:tl2br w:val="nil"/>
                    <w:tr2bl w:val="nil"/>
                  </w:tcBorders>
                  <w:vAlign w:val="center"/>
                </w:tcPr>
                <w:p>
                  <w:pPr>
                    <w:pStyle w:val="22"/>
                    <w:bidi w:val="0"/>
                    <w:jc w:val="both"/>
                    <w:rPr>
                      <w:rFonts w:hint="default"/>
                    </w:rPr>
                  </w:pPr>
                  <w:r>
                    <w:rPr>
                      <w:rFonts w:hint="default"/>
                    </w:rPr>
                    <w:t>本项目不在水产</w:t>
                  </w:r>
                  <w:r>
                    <w:rPr>
                      <w:rFonts w:hint="eastAsia"/>
                      <w:lang w:val="en-US" w:eastAsia="zh-CN"/>
                    </w:rPr>
                    <w:t>种质</w:t>
                  </w:r>
                  <w:r>
                    <w:rPr>
                      <w:rFonts w:hint="default"/>
                    </w:rPr>
                    <w:t>资源保护区的岸线和河段范围内和国家湿地公园的岸线和河段范围内。</w:t>
                  </w:r>
                </w:p>
              </w:tc>
              <w:tc>
                <w:tcPr>
                  <w:tcW w:w="651" w:type="pct"/>
                  <w:tcBorders>
                    <w:tl2br w:val="nil"/>
                    <w:tr2bl w:val="nil"/>
                  </w:tcBorders>
                  <w:vAlign w:val="center"/>
                </w:tcPr>
                <w:p>
                  <w:pPr>
                    <w:pStyle w:val="22"/>
                    <w:bidi w:val="0"/>
                    <w:jc w:val="both"/>
                    <w:rPr>
                      <w:rFonts w:hint="default"/>
                    </w:rPr>
                  </w:pPr>
                  <w:r>
                    <w:rPr>
                      <w:rFonts w:hint="default"/>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593" w:type="pct"/>
                  <w:tcBorders>
                    <w:tl2br w:val="nil"/>
                    <w:tr2bl w:val="nil"/>
                  </w:tcBorders>
                  <w:vAlign w:val="center"/>
                </w:tcPr>
                <w:p>
                  <w:pPr>
                    <w:pStyle w:val="22"/>
                    <w:bidi w:val="0"/>
                    <w:jc w:val="both"/>
                    <w:rPr>
                      <w:rFonts w:hint="default"/>
                    </w:rPr>
                  </w:pPr>
                  <w:r>
                    <w:rPr>
                      <w:rFonts w:hint="default"/>
                    </w:rPr>
                    <w:t>禁止在《长江岸线保护和开发利用总体规划》划定的岸线保护区内投资建设除保障防洪安全、河势稳定、供水安全以及保护生态环境、已建重要枢纽工程以外的项目，禁止在岸线保留区内投资建设除保障防洪安全、河势稳定、供水安全、航道稳定以及保护生态环境以外的项目。禁止在《全国重要江河湖泊水功能区划》划定的河段保护区、保留区内投资建设不利于水资源及自然生态保护的项目</w:t>
                  </w:r>
                </w:p>
              </w:tc>
              <w:tc>
                <w:tcPr>
                  <w:tcW w:w="1755" w:type="pct"/>
                  <w:tcBorders>
                    <w:tl2br w:val="nil"/>
                    <w:tr2bl w:val="nil"/>
                  </w:tcBorders>
                  <w:vAlign w:val="center"/>
                </w:tcPr>
                <w:p>
                  <w:pPr>
                    <w:pStyle w:val="22"/>
                    <w:bidi w:val="0"/>
                    <w:jc w:val="both"/>
                    <w:rPr>
                      <w:rFonts w:hint="default"/>
                    </w:rPr>
                  </w:pPr>
                  <w:r>
                    <w:rPr>
                      <w:rFonts w:hint="default"/>
                    </w:rPr>
                    <w:t>本项目属于</w:t>
                  </w:r>
                  <w:r>
                    <w:rPr>
                      <w:rFonts w:hint="eastAsia"/>
                    </w:rPr>
                    <w:t>汽车零部件及配件制造</w:t>
                  </w:r>
                  <w:r>
                    <w:rPr>
                      <w:rFonts w:hint="default"/>
                    </w:rPr>
                    <w:t>，</w:t>
                  </w:r>
                  <w:r>
                    <w:rPr>
                      <w:rFonts w:hint="eastAsia"/>
                      <w:lang w:val="en-US" w:eastAsia="zh-CN"/>
                    </w:rPr>
                    <w:t>位于</w:t>
                  </w:r>
                  <w:r>
                    <w:rPr>
                      <w:rFonts w:hint="default"/>
                    </w:rPr>
                    <w:t>安徽省芜湖市经济技术开发区龙山街道祥和路52号（芜湖戎征达伺服智能装备研发与中试基地建设项目综合厂房内）</w:t>
                  </w:r>
                  <w:r>
                    <w:rPr>
                      <w:rFonts w:hint="eastAsia"/>
                      <w:lang w:eastAsia="zh-CN"/>
                    </w:rPr>
                    <w:t>，</w:t>
                  </w:r>
                  <w:r>
                    <w:rPr>
                      <w:rFonts w:hint="default"/>
                    </w:rPr>
                    <w:t>用地性质为工业用地；不涉及此负面清单。</w:t>
                  </w:r>
                </w:p>
              </w:tc>
              <w:tc>
                <w:tcPr>
                  <w:tcW w:w="651" w:type="pct"/>
                  <w:tcBorders>
                    <w:tl2br w:val="nil"/>
                    <w:tr2bl w:val="nil"/>
                  </w:tcBorders>
                  <w:vAlign w:val="center"/>
                </w:tcPr>
                <w:p>
                  <w:pPr>
                    <w:pStyle w:val="22"/>
                    <w:bidi w:val="0"/>
                    <w:jc w:val="both"/>
                    <w:rPr>
                      <w:rFonts w:hint="default"/>
                    </w:rPr>
                  </w:pPr>
                  <w:r>
                    <w:rPr>
                      <w:rFonts w:hint="default"/>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593" w:type="pct"/>
                  <w:tcBorders>
                    <w:tl2br w:val="nil"/>
                    <w:tr2bl w:val="nil"/>
                  </w:tcBorders>
                  <w:vAlign w:val="center"/>
                </w:tcPr>
                <w:p>
                  <w:pPr>
                    <w:pStyle w:val="22"/>
                    <w:bidi w:val="0"/>
                    <w:jc w:val="both"/>
                    <w:rPr>
                      <w:rFonts w:hint="default"/>
                    </w:rPr>
                  </w:pPr>
                  <w:r>
                    <w:rPr>
                      <w:rFonts w:hint="default"/>
                    </w:rPr>
                    <w:t>禁止在生态保护红线和永久基本农田范围内投资建设除国家重大战略资源勘查项目、生态保护修复和环境治理项目、重大基础设施项目、军事国防项目以及农牧民基本生产生活等必要的民生项目以外的项目</w:t>
                  </w:r>
                </w:p>
              </w:tc>
              <w:tc>
                <w:tcPr>
                  <w:tcW w:w="1755" w:type="pct"/>
                  <w:tcBorders>
                    <w:tl2br w:val="nil"/>
                    <w:tr2bl w:val="nil"/>
                  </w:tcBorders>
                  <w:vAlign w:val="center"/>
                </w:tcPr>
                <w:p>
                  <w:pPr>
                    <w:pStyle w:val="22"/>
                    <w:bidi w:val="0"/>
                    <w:jc w:val="both"/>
                    <w:rPr>
                      <w:rFonts w:hint="eastAsia" w:eastAsia="宋体"/>
                      <w:lang w:eastAsia="zh-CN"/>
                    </w:rPr>
                  </w:pPr>
                  <w:r>
                    <w:rPr>
                      <w:rFonts w:hint="default"/>
                    </w:rPr>
                    <w:t>本项目不在生态保护红线和永久基本农田范围内；不涉及此负面清单</w:t>
                  </w:r>
                  <w:r>
                    <w:rPr>
                      <w:rFonts w:hint="eastAsia"/>
                      <w:lang w:eastAsia="zh-CN"/>
                    </w:rPr>
                    <w:t>。</w:t>
                  </w:r>
                </w:p>
              </w:tc>
              <w:tc>
                <w:tcPr>
                  <w:tcW w:w="651" w:type="pct"/>
                  <w:tcBorders>
                    <w:tl2br w:val="nil"/>
                    <w:tr2bl w:val="nil"/>
                  </w:tcBorders>
                  <w:vAlign w:val="center"/>
                </w:tcPr>
                <w:p>
                  <w:pPr>
                    <w:pStyle w:val="22"/>
                    <w:bidi w:val="0"/>
                    <w:jc w:val="both"/>
                    <w:rPr>
                      <w:rFonts w:hint="default"/>
                    </w:rPr>
                  </w:pPr>
                  <w:r>
                    <w:rPr>
                      <w:rFonts w:hint="default"/>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593" w:type="pct"/>
                  <w:tcBorders>
                    <w:tl2br w:val="nil"/>
                    <w:tr2bl w:val="nil"/>
                  </w:tcBorders>
                  <w:vAlign w:val="center"/>
                </w:tcPr>
                <w:p>
                  <w:pPr>
                    <w:pStyle w:val="22"/>
                    <w:bidi w:val="0"/>
                    <w:jc w:val="both"/>
                    <w:rPr>
                      <w:rFonts w:hint="default"/>
                    </w:rPr>
                  </w:pPr>
                  <w:r>
                    <w:rPr>
                      <w:rFonts w:hint="default"/>
                    </w:rPr>
                    <w:t>禁止在长江干支流1公里范围内新建、扩建化工园区和化工项目。禁止在合规园区外新建、扩建钢铁、石化、化工、焦化、建材、有色等高污染项目</w:t>
                  </w:r>
                </w:p>
              </w:tc>
              <w:tc>
                <w:tcPr>
                  <w:tcW w:w="1755" w:type="pct"/>
                  <w:tcBorders>
                    <w:tl2br w:val="nil"/>
                    <w:tr2bl w:val="nil"/>
                  </w:tcBorders>
                  <w:vAlign w:val="center"/>
                </w:tcPr>
                <w:p>
                  <w:pPr>
                    <w:pStyle w:val="22"/>
                    <w:bidi w:val="0"/>
                    <w:jc w:val="both"/>
                    <w:rPr>
                      <w:rFonts w:hint="default"/>
                    </w:rPr>
                  </w:pPr>
                  <w:r>
                    <w:rPr>
                      <w:rFonts w:hint="eastAsia"/>
                      <w:lang w:val="en-US" w:eastAsia="zh-CN"/>
                    </w:rPr>
                    <w:t>本项</w:t>
                  </w:r>
                  <w:r>
                    <w:rPr>
                      <w:rFonts w:hint="default"/>
                    </w:rPr>
                    <w:t>目不属于化工项目，建设场地不在长江干支流1公里范围内；不涉及此负面清单。</w:t>
                  </w:r>
                </w:p>
              </w:tc>
              <w:tc>
                <w:tcPr>
                  <w:tcW w:w="651" w:type="pct"/>
                  <w:tcBorders>
                    <w:tl2br w:val="nil"/>
                    <w:tr2bl w:val="nil"/>
                  </w:tcBorders>
                  <w:vAlign w:val="center"/>
                </w:tcPr>
                <w:p>
                  <w:pPr>
                    <w:pStyle w:val="22"/>
                    <w:bidi w:val="0"/>
                    <w:jc w:val="both"/>
                    <w:rPr>
                      <w:rFonts w:hint="default"/>
                    </w:rPr>
                  </w:pPr>
                  <w:r>
                    <w:rPr>
                      <w:rFonts w:hint="default"/>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593" w:type="pct"/>
                  <w:tcBorders>
                    <w:tl2br w:val="nil"/>
                    <w:tr2bl w:val="nil"/>
                  </w:tcBorders>
                  <w:vAlign w:val="center"/>
                </w:tcPr>
                <w:p>
                  <w:pPr>
                    <w:pStyle w:val="22"/>
                    <w:bidi w:val="0"/>
                    <w:jc w:val="both"/>
                    <w:rPr>
                      <w:rFonts w:hint="default"/>
                    </w:rPr>
                  </w:pPr>
                  <w:r>
                    <w:rPr>
                      <w:rFonts w:hint="default"/>
                    </w:rPr>
                    <w:t>禁止新建、扩建不符合国家石化、现代煤化工等产业布局规划的项目</w:t>
                  </w:r>
                </w:p>
              </w:tc>
              <w:tc>
                <w:tcPr>
                  <w:tcW w:w="1755" w:type="pct"/>
                  <w:tcBorders>
                    <w:tl2br w:val="nil"/>
                    <w:tr2bl w:val="nil"/>
                  </w:tcBorders>
                  <w:vAlign w:val="center"/>
                </w:tcPr>
                <w:p>
                  <w:pPr>
                    <w:pStyle w:val="22"/>
                    <w:bidi w:val="0"/>
                    <w:jc w:val="both"/>
                    <w:rPr>
                      <w:rFonts w:hint="default"/>
                    </w:rPr>
                  </w:pPr>
                  <w:r>
                    <w:rPr>
                      <w:rFonts w:hint="default"/>
                    </w:rPr>
                    <w:t>本</w:t>
                  </w:r>
                  <w:r>
                    <w:rPr>
                      <w:rFonts w:hint="eastAsia"/>
                    </w:rPr>
                    <w:t>项目</w:t>
                  </w:r>
                  <w:r>
                    <w:rPr>
                      <w:rFonts w:hint="default"/>
                    </w:rPr>
                    <w:t>属于</w:t>
                  </w:r>
                  <w:r>
                    <w:rPr>
                      <w:rFonts w:hint="eastAsia"/>
                    </w:rPr>
                    <w:t>汽车零部件及配件制造</w:t>
                  </w:r>
                  <w:r>
                    <w:rPr>
                      <w:rFonts w:hint="default"/>
                    </w:rPr>
                    <w:t>，符合国家产业布局规划；不涉及此负面清单。</w:t>
                  </w:r>
                </w:p>
              </w:tc>
              <w:tc>
                <w:tcPr>
                  <w:tcW w:w="651" w:type="pct"/>
                  <w:tcBorders>
                    <w:tl2br w:val="nil"/>
                    <w:tr2bl w:val="nil"/>
                  </w:tcBorders>
                  <w:vAlign w:val="center"/>
                </w:tcPr>
                <w:p>
                  <w:pPr>
                    <w:pStyle w:val="22"/>
                    <w:bidi w:val="0"/>
                    <w:jc w:val="both"/>
                    <w:rPr>
                      <w:rFonts w:hint="default"/>
                    </w:rPr>
                  </w:pPr>
                  <w:r>
                    <w:rPr>
                      <w:rFonts w:hint="default"/>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593" w:type="pct"/>
                  <w:tcBorders>
                    <w:tl2br w:val="nil"/>
                    <w:tr2bl w:val="nil"/>
                  </w:tcBorders>
                  <w:vAlign w:val="center"/>
                </w:tcPr>
                <w:p>
                  <w:pPr>
                    <w:pStyle w:val="22"/>
                    <w:bidi w:val="0"/>
                    <w:jc w:val="both"/>
                    <w:rPr>
                      <w:rFonts w:hint="default"/>
                    </w:rPr>
                  </w:pPr>
                  <w:r>
                    <w:rPr>
                      <w:rFonts w:hint="default"/>
                    </w:rPr>
                    <w:t>禁止新建、扩建法律法规和相关政策明令禁止的落后产能项目</w:t>
                  </w:r>
                </w:p>
              </w:tc>
              <w:tc>
                <w:tcPr>
                  <w:tcW w:w="1755" w:type="pct"/>
                  <w:tcBorders>
                    <w:tl2br w:val="nil"/>
                    <w:tr2bl w:val="nil"/>
                  </w:tcBorders>
                  <w:vAlign w:val="center"/>
                </w:tcPr>
                <w:p>
                  <w:pPr>
                    <w:pStyle w:val="22"/>
                    <w:bidi w:val="0"/>
                    <w:jc w:val="both"/>
                    <w:rPr>
                      <w:rFonts w:hint="default"/>
                    </w:rPr>
                  </w:pPr>
                  <w:r>
                    <w:rPr>
                      <w:rFonts w:hint="default"/>
                    </w:rPr>
                    <w:t>本项目不属于落后产能项目；不涉及此负面清单。</w:t>
                  </w:r>
                </w:p>
              </w:tc>
              <w:tc>
                <w:tcPr>
                  <w:tcW w:w="651" w:type="pct"/>
                  <w:tcBorders>
                    <w:tl2br w:val="nil"/>
                    <w:tr2bl w:val="nil"/>
                  </w:tcBorders>
                  <w:vAlign w:val="center"/>
                </w:tcPr>
                <w:p>
                  <w:pPr>
                    <w:pStyle w:val="22"/>
                    <w:bidi w:val="0"/>
                    <w:jc w:val="both"/>
                    <w:rPr>
                      <w:rFonts w:hint="default"/>
                    </w:rPr>
                  </w:pPr>
                  <w:r>
                    <w:rPr>
                      <w:rFonts w:hint="default"/>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593" w:type="pct"/>
                  <w:tcBorders>
                    <w:tl2br w:val="nil"/>
                    <w:tr2bl w:val="nil"/>
                  </w:tcBorders>
                  <w:vAlign w:val="center"/>
                </w:tcPr>
                <w:p>
                  <w:pPr>
                    <w:pStyle w:val="22"/>
                    <w:bidi w:val="0"/>
                    <w:jc w:val="both"/>
                    <w:rPr>
                      <w:rFonts w:hint="default"/>
                    </w:rPr>
                  </w:pPr>
                  <w:r>
                    <w:rPr>
                      <w:rFonts w:hint="default"/>
                    </w:rPr>
                    <w:t>禁止新建、扩建不符合国家产能置换要求的严重过剩产能行业的项目</w:t>
                  </w:r>
                </w:p>
              </w:tc>
              <w:tc>
                <w:tcPr>
                  <w:tcW w:w="1755" w:type="pct"/>
                  <w:tcBorders>
                    <w:tl2br w:val="nil"/>
                    <w:tr2bl w:val="nil"/>
                  </w:tcBorders>
                  <w:vAlign w:val="center"/>
                </w:tcPr>
                <w:p>
                  <w:pPr>
                    <w:pStyle w:val="22"/>
                    <w:bidi w:val="0"/>
                    <w:jc w:val="both"/>
                    <w:rPr>
                      <w:rFonts w:hint="default"/>
                    </w:rPr>
                  </w:pPr>
                  <w:r>
                    <w:rPr>
                      <w:rFonts w:hint="default"/>
                    </w:rPr>
                    <w:t>本项目不属于过剩产能行业；不涉及此负面清单。</w:t>
                  </w:r>
                </w:p>
              </w:tc>
              <w:tc>
                <w:tcPr>
                  <w:tcW w:w="651" w:type="pct"/>
                  <w:tcBorders>
                    <w:tl2br w:val="nil"/>
                    <w:tr2bl w:val="nil"/>
                  </w:tcBorders>
                  <w:vAlign w:val="center"/>
                </w:tcPr>
                <w:p>
                  <w:pPr>
                    <w:pStyle w:val="22"/>
                    <w:bidi w:val="0"/>
                    <w:jc w:val="both"/>
                    <w:rPr>
                      <w:rFonts w:hint="default"/>
                    </w:rPr>
                  </w:pPr>
                  <w:r>
                    <w:rPr>
                      <w:rFonts w:hint="default"/>
                    </w:rPr>
                    <w:t>符合</w:t>
                  </w:r>
                </w:p>
              </w:tc>
            </w:tr>
          </w:tbl>
          <w:p>
            <w:pPr>
              <w:spacing w:before="156" w:beforeLines="50"/>
              <w:ind w:left="0" w:leftChars="0" w:firstLine="0" w:firstLineChars="0"/>
            </w:pPr>
          </w:p>
          <w:p>
            <w:pPr>
              <w:bidi w:val="0"/>
            </w:pPr>
          </w:p>
          <w:p>
            <w:pPr>
              <w:spacing w:before="156" w:beforeLines="50"/>
              <w:ind w:left="0" w:leftChars="0" w:firstLine="0" w:firstLineChars="0"/>
            </w:pPr>
          </w:p>
          <w:p>
            <w:pPr>
              <w:bidi w:val="0"/>
            </w:pPr>
          </w:p>
          <w:p>
            <w:pPr>
              <w:spacing w:before="156" w:beforeLines="50"/>
              <w:ind w:left="0" w:leftChars="0" w:firstLine="0" w:firstLineChars="0"/>
            </w:pPr>
          </w:p>
          <w:p>
            <w:pPr>
              <w:spacing w:before="156" w:beforeLines="50"/>
              <w:ind w:left="0" w:leftChars="0" w:firstLine="0" w:firstLineChars="0"/>
            </w:pPr>
          </w:p>
        </w:tc>
      </w:tr>
    </w:tbl>
    <w:p>
      <w:pPr>
        <w:ind w:firstLine="480"/>
        <w:sectPr>
          <w:footerReference r:id="rId7" w:type="default"/>
          <w:pgSz w:w="11906" w:h="16838"/>
          <w:pgMar w:top="1440" w:right="1417" w:bottom="1440" w:left="1417" w:header="851" w:footer="992" w:gutter="0"/>
          <w:pgBorders>
            <w:top w:val="none" w:sz="0" w:space="0"/>
            <w:left w:val="none" w:sz="0" w:space="0"/>
            <w:bottom w:val="none" w:sz="0" w:space="0"/>
            <w:right w:val="none" w:sz="0" w:space="0"/>
          </w:pgBorders>
          <w:cols w:space="0" w:num="1"/>
          <w:rtlGutter w:val="0"/>
          <w:docGrid w:type="lines" w:linePitch="312" w:charSpace="0"/>
        </w:sectPr>
      </w:pPr>
    </w:p>
    <w:p>
      <w:pPr>
        <w:pStyle w:val="3"/>
      </w:pPr>
      <w:r>
        <w:rPr>
          <w:rFonts w:hint="eastAsia"/>
          <w:snapToGrid w:val="0"/>
          <w:sz w:val="30"/>
          <w:szCs w:val="30"/>
        </w:rPr>
        <w:t>建设项目工程分析</w:t>
      </w:r>
    </w:p>
    <w:tbl>
      <w:tblPr>
        <w:tblStyle w:val="15"/>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53"/>
        <w:gridCol w:w="860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24" w:hRule="atLeast"/>
          <w:jc w:val="center"/>
        </w:trPr>
        <w:tc>
          <w:tcPr>
            <w:tcW w:w="719" w:type="dxa"/>
            <w:vAlign w:val="center"/>
          </w:tcPr>
          <w:p>
            <w:pPr>
              <w:autoSpaceDE w:val="0"/>
              <w:autoSpaceDN w:val="0"/>
              <w:adjustRightInd w:val="0"/>
              <w:snapToGrid w:val="0"/>
              <w:ind w:firstLine="0" w:firstLineChars="0"/>
              <w:rPr>
                <w:rFonts w:cs="宋体"/>
                <w:color w:val="000000" w:themeColor="text1"/>
                <w:kern w:val="0"/>
                <w14:textFill>
                  <w14:solidFill>
                    <w14:schemeClr w14:val="tx1"/>
                  </w14:solidFill>
                </w14:textFill>
              </w:rPr>
            </w:pPr>
            <w:r>
              <w:rPr>
                <w:rFonts w:hint="eastAsia" w:cs="宋体"/>
                <w:color w:val="000000" w:themeColor="text1"/>
                <w:kern w:val="0"/>
                <w14:textFill>
                  <w14:solidFill>
                    <w14:schemeClr w14:val="tx1"/>
                  </w14:solidFill>
                </w14:textFill>
              </w:rPr>
              <w:t>建设内容</w:t>
            </w:r>
          </w:p>
        </w:tc>
        <w:tc>
          <w:tcPr>
            <w:tcW w:w="8339" w:type="dxa"/>
          </w:tcPr>
          <w:p>
            <w:pPr>
              <w:numPr>
                <w:ilvl w:val="0"/>
                <w:numId w:val="8"/>
              </w:numPr>
              <w:bidi w:val="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企业概况及项目背景</w:t>
            </w:r>
          </w:p>
          <w:p>
            <w:pPr>
              <w:ind w:firstLine="480"/>
              <w:rPr>
                <w:rFonts w:hint="default" w:eastAsia="宋体"/>
                <w:color w:val="000000" w:themeColor="text1"/>
                <w:kern w:val="0"/>
                <w:lang w:val="en-US" w:eastAsia="zh-CN"/>
                <w14:textFill>
                  <w14:solidFill>
                    <w14:schemeClr w14:val="tx1"/>
                  </w14:solidFill>
                </w14:textFill>
              </w:rPr>
            </w:pPr>
            <w:r>
              <w:rPr>
                <w:rFonts w:hint="eastAsia"/>
                <w:color w:val="000000" w:themeColor="text1"/>
                <w:kern w:val="0"/>
                <w14:textFill>
                  <w14:solidFill>
                    <w14:schemeClr w14:val="tx1"/>
                  </w14:solidFill>
                </w14:textFill>
              </w:rPr>
              <w:t>芜湖中山科技有限公司投资1200万元租赁芜湖中瑞汽车零部件有限公司厂房新建“年产800吨模具、100套夹具及500套检具项目”。芜湖中山科技有限公司于2022年4月委托安徽诚航环保科技有限公司编制了《年产800吨模具、100套夹具及500套检具环境影响报告表》，并于2022年4月15日取得芜湖市生态环境局的批复(芜环行审(2022)70号)</w:t>
            </w:r>
            <w:r>
              <w:rPr>
                <w:rFonts w:hint="eastAsia"/>
                <w:color w:val="000000" w:themeColor="text1"/>
                <w:kern w:val="0"/>
                <w:lang w:eastAsia="zh-CN"/>
                <w14:textFill>
                  <w14:solidFill>
                    <w14:schemeClr w14:val="tx1"/>
                  </w14:solidFill>
                </w14:textFill>
              </w:rPr>
              <w:t>；</w:t>
            </w:r>
            <w:r>
              <w:rPr>
                <w:rFonts w:hint="eastAsia"/>
                <w:color w:val="000000" w:themeColor="text1"/>
                <w:kern w:val="0"/>
                <w:lang w:val="en-US" w:eastAsia="zh-CN"/>
                <w14:textFill>
                  <w14:solidFill>
                    <w14:schemeClr w14:val="tx1"/>
                  </w14:solidFill>
                </w14:textFill>
              </w:rPr>
              <w:t>2022年7月25日</w:t>
            </w:r>
            <w:r>
              <w:rPr>
                <w:rFonts w:hint="eastAsia"/>
                <w:color w:val="000000" w:themeColor="text1"/>
                <w:kern w:val="0"/>
                <w14:textFill>
                  <w14:solidFill>
                    <w14:schemeClr w14:val="tx1"/>
                  </w14:solidFill>
                </w14:textFill>
              </w:rPr>
              <w:t>芜湖中山科技有限公司</w:t>
            </w:r>
            <w:r>
              <w:rPr>
                <w:rFonts w:hint="eastAsia"/>
                <w:color w:val="000000" w:themeColor="text1"/>
                <w:kern w:val="0"/>
                <w:lang w:val="en-US" w:eastAsia="zh-CN"/>
                <w14:textFill>
                  <w14:solidFill>
                    <w14:schemeClr w14:val="tx1"/>
                  </w14:solidFill>
                </w14:textFill>
              </w:rPr>
              <w:t>完成该项目自主验收工作。</w:t>
            </w:r>
          </w:p>
          <w:p>
            <w:pPr>
              <w:ind w:firstLine="480"/>
              <w:rPr>
                <w:rFonts w:hint="eastAsia"/>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由于原厂房租期已到期，不再续租，芜湖中山科技有限公司应自身发展需求，拟投资</w:t>
            </w:r>
            <w:r>
              <w:rPr>
                <w:rFonts w:hint="eastAsia" w:cs="宋体"/>
                <w:color w:val="000000" w:themeColor="text1"/>
                <w14:textFill>
                  <w14:solidFill>
                    <w14:schemeClr w14:val="tx1"/>
                  </w14:solidFill>
                </w14:textFill>
              </w:rPr>
              <w:t>2897.6</w:t>
            </w:r>
            <w:r>
              <w:rPr>
                <w:rFonts w:hint="eastAsia"/>
                <w:color w:val="000000" w:themeColor="text1"/>
                <w:kern w:val="0"/>
                <w14:textFill>
                  <w14:solidFill>
                    <w14:schemeClr w14:val="tx1"/>
                  </w14:solidFill>
                </w14:textFill>
              </w:rPr>
              <w:t>万元租赁芜湖戎征达伺服智能装备研发与中试基地建设项目综合厂房新建“年产1000吨汽车模具（含夹检具）、新能源汽车冲焊件3000万件生产建设项目”。该项目已于202</w:t>
            </w:r>
            <w:r>
              <w:rPr>
                <w:rFonts w:hint="eastAsia"/>
                <w:color w:val="000000" w:themeColor="text1"/>
                <w:kern w:val="0"/>
                <w:lang w:val="en-US" w:eastAsia="zh-CN"/>
                <w14:textFill>
                  <w14:solidFill>
                    <w14:schemeClr w14:val="tx1"/>
                  </w14:solidFill>
                </w14:textFill>
              </w:rPr>
              <w:t>4</w:t>
            </w:r>
            <w:r>
              <w:rPr>
                <w:rFonts w:hint="eastAsia"/>
                <w:color w:val="000000" w:themeColor="text1"/>
                <w:kern w:val="0"/>
                <w14:textFill>
                  <w14:solidFill>
                    <w14:schemeClr w14:val="tx1"/>
                  </w14:solidFill>
                </w14:textFill>
              </w:rPr>
              <w:t>年</w:t>
            </w:r>
            <w:r>
              <w:rPr>
                <w:rFonts w:hint="eastAsia"/>
                <w:color w:val="000000" w:themeColor="text1"/>
                <w:kern w:val="0"/>
                <w:lang w:val="en-US" w:eastAsia="zh-CN"/>
                <w14:textFill>
                  <w14:solidFill>
                    <w14:schemeClr w14:val="tx1"/>
                  </w14:solidFill>
                </w14:textFill>
              </w:rPr>
              <w:t>6</w:t>
            </w:r>
            <w:r>
              <w:rPr>
                <w:rFonts w:hint="eastAsia"/>
                <w:color w:val="000000" w:themeColor="text1"/>
                <w:kern w:val="0"/>
                <w14:textFill>
                  <w14:solidFill>
                    <w14:schemeClr w14:val="tx1"/>
                  </w14:solidFill>
                </w14:textFill>
              </w:rPr>
              <w:t>月</w:t>
            </w:r>
            <w:r>
              <w:rPr>
                <w:rFonts w:hint="eastAsia"/>
                <w:color w:val="000000" w:themeColor="text1"/>
                <w:kern w:val="0"/>
                <w:lang w:val="en-US" w:eastAsia="zh-CN"/>
                <w14:textFill>
                  <w14:solidFill>
                    <w14:schemeClr w14:val="tx1"/>
                  </w14:solidFill>
                </w14:textFill>
              </w:rPr>
              <w:t>11</w:t>
            </w:r>
            <w:r>
              <w:rPr>
                <w:rFonts w:hint="eastAsia"/>
                <w:color w:val="000000" w:themeColor="text1"/>
                <w:kern w:val="0"/>
                <w14:textFill>
                  <w14:solidFill>
                    <w14:schemeClr w14:val="tx1"/>
                  </w14:solidFill>
                </w14:textFill>
              </w:rPr>
              <w:t>日获得了芜湖经济技术开发区管理委员会备案（备案编号：</w:t>
            </w:r>
            <w:r>
              <w:rPr>
                <w:rFonts w:hint="eastAsia"/>
                <w:color w:val="000000" w:themeColor="text1"/>
                <w:lang w:val="en-US" w:eastAsia="zh-CN"/>
                <w14:textFill>
                  <w14:solidFill>
                    <w14:schemeClr w14:val="tx1"/>
                  </w14:solidFill>
                </w14:textFill>
              </w:rPr>
              <w:t>开备案〔</w:t>
            </w:r>
            <w:r>
              <w:rPr>
                <w:rFonts w:hint="eastAsia"/>
                <w:color w:val="000000" w:themeColor="text1"/>
                <w14:textFill>
                  <w14:solidFill>
                    <w14:schemeClr w14:val="tx1"/>
                  </w14:solidFill>
                </w14:textFill>
              </w:rPr>
              <w:t>202</w:t>
            </w:r>
            <w:r>
              <w:rPr>
                <w:rFonts w:hint="eastAsia"/>
                <w:color w:val="000000" w:themeColor="text1"/>
                <w:lang w:val="en-US" w:eastAsia="zh-CN"/>
                <w14:textFill>
                  <w14:solidFill>
                    <w14:schemeClr w14:val="tx1"/>
                  </w14:solidFill>
                </w14:textFill>
              </w:rPr>
              <w:t>4〕160</w:t>
            </w:r>
            <w:r>
              <w:rPr>
                <w:rFonts w:hint="eastAsia"/>
                <w:color w:val="000000" w:themeColor="text1"/>
                <w14:textFill>
                  <w14:solidFill>
                    <w14:schemeClr w14:val="tx1"/>
                  </w14:solidFill>
                </w14:textFill>
              </w:rPr>
              <w:t>号</w:t>
            </w:r>
            <w:r>
              <w:rPr>
                <w:rFonts w:hint="eastAsia"/>
                <w:color w:val="000000" w:themeColor="text1"/>
                <w:kern w:val="0"/>
                <w14:textFill>
                  <w14:solidFill>
                    <w14:schemeClr w14:val="tx1"/>
                  </w14:solidFill>
                </w14:textFill>
              </w:rPr>
              <w:t>）。</w:t>
            </w:r>
          </w:p>
          <w:p>
            <w:pPr>
              <w:ind w:firstLine="480"/>
              <w:rPr>
                <w:rFonts w:hint="eastAsia"/>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根据《中华人民共和国环境影响评价法》和《建设项目环境保护管理条例》等有关规定，建设单位必须就本项目办理环保相关手续。根据《建设项目环境影响评价分类管理名录》（2021版），本项目属于</w:t>
            </w:r>
            <w:r>
              <w:rPr>
                <w:rFonts w:hint="eastAsia"/>
                <w:b/>
                <w:bCs/>
                <w:color w:val="000000" w:themeColor="text1"/>
                <w:kern w:val="0"/>
                <w14:textFill>
                  <w14:solidFill>
                    <w14:schemeClr w14:val="tx1"/>
                  </w14:solidFill>
                </w14:textFill>
              </w:rPr>
              <w:t>三十三、“汽车制造业 36”中“第 71 汽车零部件及配件制造 367 其他（年用非溶剂型低 VOCs 含量涂料 10吨以下的除外）”</w:t>
            </w:r>
            <w:r>
              <w:rPr>
                <w:rFonts w:hint="eastAsia"/>
                <w:color w:val="000000" w:themeColor="text1"/>
                <w:kern w:val="0"/>
                <w14:textFill>
                  <w14:solidFill>
                    <w14:schemeClr w14:val="tx1"/>
                  </w14:solidFill>
                </w14:textFill>
              </w:rPr>
              <w:t>，需要编制环境影响评价报告表。芜湖中山科技有限公司于202</w:t>
            </w:r>
            <w:r>
              <w:rPr>
                <w:rFonts w:hint="eastAsia"/>
                <w:color w:val="000000" w:themeColor="text1"/>
                <w:kern w:val="0"/>
                <w:lang w:val="en-US" w:eastAsia="zh-CN"/>
                <w14:textFill>
                  <w14:solidFill>
                    <w14:schemeClr w14:val="tx1"/>
                  </w14:solidFill>
                </w14:textFill>
              </w:rPr>
              <w:t>4</w:t>
            </w:r>
            <w:r>
              <w:rPr>
                <w:rFonts w:hint="eastAsia"/>
                <w:color w:val="000000" w:themeColor="text1"/>
                <w:kern w:val="0"/>
                <w14:textFill>
                  <w14:solidFill>
                    <w14:schemeClr w14:val="tx1"/>
                  </w14:solidFill>
                </w14:textFill>
              </w:rPr>
              <w:t>年</w:t>
            </w:r>
            <w:r>
              <w:rPr>
                <w:rFonts w:hint="eastAsia"/>
                <w:color w:val="000000" w:themeColor="text1"/>
                <w:kern w:val="0"/>
                <w:lang w:val="en-US" w:eastAsia="zh-CN"/>
                <w14:textFill>
                  <w14:solidFill>
                    <w14:schemeClr w14:val="tx1"/>
                  </w14:solidFill>
                </w14:textFill>
              </w:rPr>
              <w:t>7</w:t>
            </w:r>
            <w:r>
              <w:rPr>
                <w:rFonts w:hint="eastAsia"/>
                <w:color w:val="000000" w:themeColor="text1"/>
                <w:kern w:val="0"/>
                <w14:textFill>
                  <w14:solidFill>
                    <w14:schemeClr w14:val="tx1"/>
                  </w14:solidFill>
                </w14:textFill>
              </w:rPr>
              <w:t>月20日委托我公司承担其环境影响评价工作。接受委托后，我公司立即组织有关技术人员进行现场踏勘、收集资料，依据国家有关法规文件和环境影响评价导则，编制了该项目环境影响报告表。</w:t>
            </w:r>
          </w:p>
          <w:p>
            <w:pPr>
              <w:ind w:firstLine="480"/>
              <w:rPr>
                <w:rFonts w:hint="eastAsia"/>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本项目属于C3670汽车零部件及配件制造，对照《固定污染源排污许可分类管理名录》（2019年版）中相关内容，内容如下：</w:t>
            </w:r>
          </w:p>
          <w:p>
            <w:pPr>
              <w:pStyle w:val="23"/>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表2-1 </w:t>
            </w:r>
            <w:r>
              <w:rPr>
                <w:rFonts w:hint="eastAsia"/>
                <w:color w:val="000000" w:themeColor="text1"/>
                <w:lang w:val="en-US" w:eastAsia="zh-CN"/>
                <w14:textFill>
                  <w14:solidFill>
                    <w14:schemeClr w14:val="tx1"/>
                  </w14:solidFill>
                </w14:textFill>
              </w:rPr>
              <w:t xml:space="preserve"> </w:t>
            </w:r>
            <w:r>
              <w:rPr>
                <w:rFonts w:hint="eastAsia"/>
                <w:color w:val="000000" w:themeColor="text1"/>
                <w14:textFill>
                  <w14:solidFill>
                    <w14:schemeClr w14:val="tx1"/>
                  </w14:solidFill>
                </w14:textFill>
              </w:rPr>
              <w:t>项目环境影响评价文件类别判定</w:t>
            </w:r>
          </w:p>
          <w:tbl>
            <w:tblPr>
              <w:tblStyle w:val="28"/>
              <w:tblW w:w="4993"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hemeFill="background1"/>
              <w:tblLayout w:type="autofit"/>
              <w:tblCellMar>
                <w:top w:w="0" w:type="dxa"/>
                <w:left w:w="0" w:type="dxa"/>
                <w:bottom w:w="0" w:type="dxa"/>
                <w:right w:w="0" w:type="dxa"/>
              </w:tblCellMar>
            </w:tblPr>
            <w:tblGrid>
              <w:gridCol w:w="527"/>
              <w:gridCol w:w="1735"/>
              <w:gridCol w:w="3695"/>
              <w:gridCol w:w="1589"/>
              <w:gridCol w:w="83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623" w:hRule="atLeast"/>
              </w:trPr>
              <w:tc>
                <w:tcPr>
                  <w:tcW w:w="2191" w:type="dxa"/>
                  <w:gridSpan w:val="2"/>
                  <w:tcBorders>
                    <w:tl2br w:val="nil"/>
                    <w:tr2bl w:val="nil"/>
                  </w:tcBorders>
                  <w:shd w:val="clear" w:color="auto" w:fill="FFFFFF" w:themeFill="background1"/>
                  <w:vAlign w:val="center"/>
                </w:tcPr>
                <w:p>
                  <w:pPr>
                    <w:pStyle w:val="22"/>
                    <w:keepNext w:val="0"/>
                    <w:keepLines w:val="0"/>
                    <w:suppressLineNumbers w:val="0"/>
                    <w:autoSpaceDE w:val="0"/>
                    <w:autoSpaceDN w:val="0"/>
                    <w:bidi w:val="0"/>
                    <w:spacing w:before="0" w:beforeAutospacing="0" w:after="0" w:afterAutospacing="0"/>
                    <w:ind w:left="0" w:right="0"/>
                    <w:jc w:val="right"/>
                    <w:rPr>
                      <w:rFonts w:hint="default"/>
                      <w:b/>
                      <w:bCs/>
                      <w:color w:val="000000" w:themeColor="text1"/>
                      <w:lang w:eastAsia="en-US"/>
                      <w14:textFill>
                        <w14:solidFill>
                          <w14:schemeClr w14:val="tx1"/>
                        </w14:solidFill>
                      </w14:textFill>
                    </w:rPr>
                  </w:pPr>
                  <w:r>
                    <w:rPr>
                      <w:rFonts w:hint="default"/>
                      <w:b/>
                      <w:bCs/>
                      <w:color w:val="000000" w:themeColor="text1"/>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-8890</wp:posOffset>
                            </wp:positionH>
                            <wp:positionV relativeFrom="paragraph">
                              <wp:posOffset>-3175</wp:posOffset>
                            </wp:positionV>
                            <wp:extent cx="1393825" cy="407035"/>
                            <wp:effectExtent l="1270" t="4445" r="14605" b="7620"/>
                            <wp:wrapNone/>
                            <wp:docPr id="10" name="直接连接符 10"/>
                            <wp:cNvGraphicFramePr/>
                            <a:graphic xmlns:a="http://schemas.openxmlformats.org/drawingml/2006/main">
                              <a:graphicData uri="http://schemas.microsoft.com/office/word/2010/wordprocessingShape">
                                <wps:wsp>
                                  <wps:cNvCnPr/>
                                  <wps:spPr>
                                    <a:xfrm>
                                      <a:off x="1423035" y="1510665"/>
                                      <a:ext cx="1393825" cy="40703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7pt;margin-top:-0.25pt;height:32.05pt;width:109.75pt;z-index:251660288;mso-width-relative:page;mso-height-relative:page;" filled="f" stroked="t" coordsize="21600,21600" o:gfxdata="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dzBG81gAAAAcBAAAPAAAAAAAAAAEAIAAAACIAAABkcnMvZG93bnJldi54bWxQSwECFAAU&#10;AAAACACHTuJASJ1sbvMBAADEAwAADgAAAAAAAAABACAAAAAlAQAAZHJzL2Uyb0RvYy54bWxQSwUG&#10;AAAAAAYABgBZAQAAigUAAAAA&#10;">
                            <v:fill on="f" focussize="0,0"/>
                            <v:stroke weight="0.5pt" color="#000000 [3213]" miterlimit="8" joinstyle="miter"/>
                            <v:imagedata o:title=""/>
                            <o:lock v:ext="edit" aspectratio="f"/>
                          </v:line>
                        </w:pict>
                      </mc:Fallback>
                    </mc:AlternateContent>
                  </w:r>
                  <w:r>
                    <w:rPr>
                      <w:rFonts w:hint="default"/>
                      <w:b/>
                      <w:bCs/>
                      <w:color w:val="000000" w:themeColor="text1"/>
                      <w:lang w:eastAsia="en-US"/>
                      <w14:textFill>
                        <w14:solidFill>
                          <w14:schemeClr w14:val="tx1"/>
                        </w14:solidFill>
                      </w14:textFill>
                    </w:rPr>
                    <w:t>环评类别</w:t>
                  </w:r>
                </w:p>
                <w:p>
                  <w:pPr>
                    <w:pStyle w:val="22"/>
                    <w:keepNext w:val="0"/>
                    <w:keepLines w:val="0"/>
                    <w:suppressLineNumbers w:val="0"/>
                    <w:autoSpaceDE w:val="0"/>
                    <w:autoSpaceDN w:val="0"/>
                    <w:bidi w:val="0"/>
                    <w:spacing w:before="0" w:beforeAutospacing="0" w:after="0" w:afterAutospacing="0"/>
                    <w:ind w:left="0" w:right="0"/>
                    <w:jc w:val="left"/>
                    <w:rPr>
                      <w:rFonts w:hint="default"/>
                      <w:b/>
                      <w:bCs/>
                      <w:color w:val="000000" w:themeColor="text1"/>
                      <w:lang w:eastAsia="en-US"/>
                      <w14:textFill>
                        <w14:solidFill>
                          <w14:schemeClr w14:val="tx1"/>
                        </w14:solidFill>
                      </w14:textFill>
                    </w:rPr>
                  </w:pPr>
                  <w:r>
                    <w:rPr>
                      <w:rFonts w:hint="default"/>
                      <w:b/>
                      <w:bCs/>
                      <w:color w:val="000000" w:themeColor="text1"/>
                      <w:lang w:eastAsia="en-US"/>
                      <w14:textFill>
                        <w14:solidFill>
                          <w14:schemeClr w14:val="tx1"/>
                        </w14:solidFill>
                      </w14:textFill>
                    </w:rPr>
                    <w:t>项目类别</w:t>
                  </w:r>
                </w:p>
              </w:tc>
              <w:tc>
                <w:tcPr>
                  <w:tcW w:w="3577" w:type="dxa"/>
                  <w:tcBorders>
                    <w:tl2br w:val="nil"/>
                    <w:tr2bl w:val="nil"/>
                  </w:tcBorders>
                  <w:shd w:val="clear" w:color="auto" w:fill="FFFFFF" w:themeFill="background1"/>
                  <w:vAlign w:val="center"/>
                </w:tcPr>
                <w:p>
                  <w:pPr>
                    <w:pStyle w:val="22"/>
                    <w:keepNext w:val="0"/>
                    <w:keepLines w:val="0"/>
                    <w:suppressLineNumbers w:val="0"/>
                    <w:autoSpaceDE w:val="0"/>
                    <w:autoSpaceDN w:val="0"/>
                    <w:bidi w:val="0"/>
                    <w:spacing w:before="0" w:beforeAutospacing="0" w:after="0" w:afterAutospacing="0"/>
                    <w:ind w:left="0" w:right="0"/>
                    <w:rPr>
                      <w:rFonts w:hint="default"/>
                      <w:b/>
                      <w:bCs/>
                      <w:color w:val="000000" w:themeColor="text1"/>
                      <w:lang w:eastAsia="en-US"/>
                      <w14:textFill>
                        <w14:solidFill>
                          <w14:schemeClr w14:val="tx1"/>
                        </w14:solidFill>
                      </w14:textFill>
                    </w:rPr>
                  </w:pPr>
                  <w:r>
                    <w:rPr>
                      <w:rFonts w:hint="default"/>
                      <w:b/>
                      <w:bCs/>
                      <w:color w:val="000000" w:themeColor="text1"/>
                      <w:lang w:eastAsia="en-US"/>
                      <w14:textFill>
                        <w14:solidFill>
                          <w14:schemeClr w14:val="tx1"/>
                        </w14:solidFill>
                      </w14:textFill>
                    </w:rPr>
                    <w:t>报告书</w:t>
                  </w:r>
                </w:p>
              </w:tc>
              <w:tc>
                <w:tcPr>
                  <w:tcW w:w="1538" w:type="dxa"/>
                  <w:tcBorders>
                    <w:tl2br w:val="nil"/>
                    <w:tr2bl w:val="nil"/>
                  </w:tcBorders>
                  <w:shd w:val="solid" w:color="A5A5A5" w:themeColor="background1" w:themeShade="A6" w:fill="FFFFFF" w:themeFill="background1"/>
                  <w:vAlign w:val="center"/>
                </w:tcPr>
                <w:p>
                  <w:pPr>
                    <w:pStyle w:val="22"/>
                    <w:keepNext w:val="0"/>
                    <w:keepLines w:val="0"/>
                    <w:suppressLineNumbers w:val="0"/>
                    <w:autoSpaceDE w:val="0"/>
                    <w:autoSpaceDN w:val="0"/>
                    <w:bidi w:val="0"/>
                    <w:spacing w:before="0" w:beforeAutospacing="0" w:after="0" w:afterAutospacing="0"/>
                    <w:ind w:left="0" w:right="0"/>
                    <w:rPr>
                      <w:rFonts w:hint="default"/>
                      <w:b/>
                      <w:bCs/>
                      <w:color w:val="000000" w:themeColor="text1"/>
                      <w:lang w:eastAsia="en-US"/>
                      <w14:textFill>
                        <w14:solidFill>
                          <w14:schemeClr w14:val="tx1"/>
                        </w14:solidFill>
                      </w14:textFill>
                    </w:rPr>
                  </w:pPr>
                  <w:r>
                    <w:rPr>
                      <w:rFonts w:hint="default"/>
                      <w:b/>
                      <w:bCs/>
                      <w:color w:val="000000" w:themeColor="text1"/>
                      <w:lang w:eastAsia="en-US"/>
                      <w14:textFill>
                        <w14:solidFill>
                          <w14:schemeClr w14:val="tx1"/>
                        </w14:solidFill>
                      </w14:textFill>
                    </w:rPr>
                    <w:t>报告表</w:t>
                  </w:r>
                </w:p>
              </w:tc>
              <w:tc>
                <w:tcPr>
                  <w:tcW w:w="806" w:type="dxa"/>
                  <w:tcBorders>
                    <w:tl2br w:val="nil"/>
                    <w:tr2bl w:val="nil"/>
                  </w:tcBorders>
                  <w:shd w:val="clear" w:color="auto" w:fill="FFFFFF" w:themeFill="background1"/>
                  <w:vAlign w:val="center"/>
                </w:tcPr>
                <w:p>
                  <w:pPr>
                    <w:pStyle w:val="22"/>
                    <w:keepNext w:val="0"/>
                    <w:keepLines w:val="0"/>
                    <w:suppressLineNumbers w:val="0"/>
                    <w:autoSpaceDE w:val="0"/>
                    <w:autoSpaceDN w:val="0"/>
                    <w:bidi w:val="0"/>
                    <w:spacing w:before="0" w:beforeAutospacing="0" w:after="0" w:afterAutospacing="0"/>
                    <w:ind w:left="0" w:right="0"/>
                    <w:rPr>
                      <w:rFonts w:hint="default"/>
                      <w:b/>
                      <w:bCs/>
                      <w:color w:val="000000" w:themeColor="text1"/>
                      <w:lang w:eastAsia="en-US"/>
                      <w14:textFill>
                        <w14:solidFill>
                          <w14:schemeClr w14:val="tx1"/>
                        </w14:solidFill>
                      </w14:textFill>
                    </w:rPr>
                  </w:pPr>
                  <w:r>
                    <w:rPr>
                      <w:rFonts w:hint="default"/>
                      <w:b/>
                      <w:bCs/>
                      <w:color w:val="000000" w:themeColor="text1"/>
                      <w:lang w:eastAsia="en-US"/>
                      <w14:textFill>
                        <w14:solidFill>
                          <w14:schemeClr w14:val="tx1"/>
                        </w14:solidFill>
                      </w14:textFill>
                    </w:rPr>
                    <w:t>登记表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408" w:hRule="atLeast"/>
              </w:trPr>
              <w:tc>
                <w:tcPr>
                  <w:tcW w:w="8112" w:type="dxa"/>
                  <w:gridSpan w:val="5"/>
                  <w:tcBorders>
                    <w:tl2br w:val="nil"/>
                    <w:tr2bl w:val="nil"/>
                  </w:tcBorders>
                  <w:shd w:val="clear" w:color="A5A5A5" w:themeColor="background1" w:themeShade="A6" w:fill="FFFFFF" w:themeFill="background1"/>
                  <w:vAlign w:val="center"/>
                </w:tcPr>
                <w:p>
                  <w:pPr>
                    <w:pStyle w:val="22"/>
                    <w:keepNext w:val="0"/>
                    <w:keepLines w:val="0"/>
                    <w:suppressLineNumbers w:val="0"/>
                    <w:autoSpaceDE w:val="0"/>
                    <w:autoSpaceDN w:val="0"/>
                    <w:bidi w:val="0"/>
                    <w:spacing w:before="0" w:beforeAutospacing="0" w:after="0" w:afterAutospacing="0"/>
                    <w:ind w:left="0" w:right="0"/>
                    <w:jc w:val="left"/>
                    <w:rPr>
                      <w:rFonts w:hint="default"/>
                      <w:color w:val="000000" w:themeColor="text1"/>
                      <w:lang w:val="en-US" w:eastAsia="zh-CN"/>
                      <w14:textFill>
                        <w14:solidFill>
                          <w14:schemeClr w14:val="tx1"/>
                        </w14:solidFill>
                      </w14:textFill>
                    </w:rPr>
                  </w:pPr>
                  <w:r>
                    <w:rPr>
                      <w:rFonts w:hint="eastAsia"/>
                      <w:b/>
                      <w:bCs/>
                      <w:color w:val="000000" w:themeColor="text1"/>
                      <w:lang w:val="en-US" w:eastAsia="en-US"/>
                      <w14:textFill>
                        <w14:solidFill>
                          <w14:schemeClr w14:val="tx1"/>
                        </w14:solidFill>
                      </w14:textFill>
                    </w:rPr>
                    <w:t>三十三、汽车制造业36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1327" w:hRule="atLeast"/>
              </w:trPr>
              <w:tc>
                <w:tcPr>
                  <w:tcW w:w="511" w:type="dxa"/>
                  <w:tcBorders>
                    <w:tl2br w:val="nil"/>
                    <w:tr2bl w:val="nil"/>
                  </w:tcBorders>
                  <w:shd w:val="clear" w:color="auto" w:fill="FFFFFF" w:themeFill="background1"/>
                  <w:vAlign w:val="center"/>
                </w:tcPr>
                <w:p>
                  <w:pPr>
                    <w:pStyle w:val="22"/>
                    <w:keepNext w:val="0"/>
                    <w:keepLines w:val="0"/>
                    <w:suppressLineNumbers w:val="0"/>
                    <w:autoSpaceDE w:val="0"/>
                    <w:autoSpaceDN w:val="0"/>
                    <w:bidi w:val="0"/>
                    <w:spacing w:before="0" w:beforeAutospacing="0" w:after="0" w:afterAutospacing="0"/>
                    <w:ind w:left="0" w:right="0"/>
                    <w:rPr>
                      <w:rFonts w:hint="eastAsia"/>
                      <w:color w:val="000000" w:themeColor="text1"/>
                      <w:lang w:val="en-US" w:eastAsia="en-US"/>
                      <w14:textFill>
                        <w14:solidFill>
                          <w14:schemeClr w14:val="tx1"/>
                        </w14:solidFill>
                      </w14:textFill>
                    </w:rPr>
                  </w:pPr>
                  <w:r>
                    <w:rPr>
                      <w:rFonts w:hint="default"/>
                      <w:color w:val="000000" w:themeColor="text1"/>
                      <w:lang w:val="en-US" w:eastAsia="en-US"/>
                      <w14:textFill>
                        <w14:solidFill>
                          <w14:schemeClr w14:val="tx1"/>
                        </w14:solidFill>
                      </w14:textFill>
                    </w:rPr>
                    <w:t>7</w:t>
                  </w:r>
                  <w:r>
                    <w:rPr>
                      <w:rFonts w:hint="eastAsia"/>
                      <w:color w:val="000000" w:themeColor="text1"/>
                      <w:lang w:val="en-US" w:eastAsia="zh-CN"/>
                      <w14:textFill>
                        <w14:solidFill>
                          <w14:schemeClr w14:val="tx1"/>
                        </w14:solidFill>
                      </w14:textFill>
                    </w:rPr>
                    <w:t>1</w:t>
                  </w:r>
                </w:p>
              </w:tc>
              <w:tc>
                <w:tcPr>
                  <w:tcW w:w="1680" w:type="dxa"/>
                  <w:tcBorders>
                    <w:tl2br w:val="nil"/>
                    <w:tr2bl w:val="nil"/>
                  </w:tcBorders>
                  <w:shd w:val="clear" w:color="auto" w:fill="FFFFFF" w:themeFill="background1"/>
                  <w:vAlign w:val="center"/>
                </w:tcPr>
                <w:p>
                  <w:pPr>
                    <w:pStyle w:val="22"/>
                    <w:keepNext w:val="0"/>
                    <w:keepLines w:val="0"/>
                    <w:suppressLineNumbers w:val="0"/>
                    <w:autoSpaceDE w:val="0"/>
                    <w:autoSpaceDN w:val="0"/>
                    <w:bidi w:val="0"/>
                    <w:spacing w:before="0" w:beforeAutospacing="0" w:after="0" w:afterAutospacing="0"/>
                    <w:ind w:left="0" w:right="0"/>
                    <w:rPr>
                      <w:rFonts w:hint="default"/>
                      <w:color w:val="000000" w:themeColor="text1"/>
                      <w:lang w:val="en-US" w:eastAsia="en-US"/>
                      <w14:textFill>
                        <w14:solidFill>
                          <w14:schemeClr w14:val="tx1"/>
                        </w14:solidFill>
                      </w14:textFill>
                    </w:rPr>
                  </w:pPr>
                  <w:r>
                    <w:rPr>
                      <w:rFonts w:hint="eastAsia"/>
                      <w:color w:val="000000" w:themeColor="text1"/>
                      <w:lang w:val="en-US" w:eastAsia="en-US"/>
                      <w14:textFill>
                        <w14:solidFill>
                          <w14:schemeClr w14:val="tx1"/>
                        </w14:solidFill>
                      </w14:textFill>
                    </w:rPr>
                    <w:t>汽车零部件及配件制造367</w:t>
                  </w:r>
                </w:p>
              </w:tc>
              <w:tc>
                <w:tcPr>
                  <w:tcW w:w="3577" w:type="dxa"/>
                  <w:tcBorders>
                    <w:tl2br w:val="nil"/>
                    <w:tr2bl w:val="nil"/>
                  </w:tcBorders>
                  <w:shd w:val="clear" w:color="auto" w:fill="FFFFFF" w:themeFill="background1"/>
                  <w:vAlign w:val="center"/>
                </w:tcPr>
                <w:p>
                  <w:pPr>
                    <w:pStyle w:val="22"/>
                    <w:keepNext w:val="0"/>
                    <w:keepLines w:val="0"/>
                    <w:suppressLineNumbers w:val="0"/>
                    <w:autoSpaceDE w:val="0"/>
                    <w:autoSpaceDN w:val="0"/>
                    <w:bidi w:val="0"/>
                    <w:spacing w:before="0" w:beforeAutospacing="0" w:after="0" w:afterAutospacing="0"/>
                    <w:ind w:left="0" w:right="0"/>
                    <w:rPr>
                      <w:rFonts w:hint="eastAsia"/>
                      <w:color w:val="000000" w:themeColor="text1"/>
                      <w:lang w:val="en-US" w:eastAsia="zh-CN"/>
                      <w14:textFill>
                        <w14:solidFill>
                          <w14:schemeClr w14:val="tx1"/>
                        </w14:solidFill>
                      </w14:textFill>
                    </w:rPr>
                  </w:pPr>
                  <w:r>
                    <w:rPr>
                      <w:rFonts w:hint="eastAsia"/>
                      <w:color w:val="000000" w:themeColor="text1"/>
                      <w:lang w:val="en-US" w:eastAsia="en-US"/>
                      <w14:textFill>
                        <w14:solidFill>
                          <w14:schemeClr w14:val="tx1"/>
                        </w14:solidFill>
                      </w14:textFill>
                    </w:rPr>
                    <w:t>汽车整车制造（仅组装的除外）；汽车用发动机制造（仅组装的除外）；有电镀工艺的；年用溶剂型涂料（</w:t>
                  </w:r>
                  <w:r>
                    <w:rPr>
                      <w:rFonts w:hint="eastAsia"/>
                      <w:color w:val="000000" w:themeColor="text1"/>
                      <w:lang w:val="en-US" w:eastAsia="zh-CN"/>
                      <w14:textFill>
                        <w14:solidFill>
                          <w14:schemeClr w14:val="tx1"/>
                        </w14:solidFill>
                      </w14:textFill>
                    </w:rPr>
                    <w:t>含</w:t>
                  </w:r>
                  <w:r>
                    <w:rPr>
                      <w:rFonts w:hint="eastAsia"/>
                      <w:color w:val="000000" w:themeColor="text1"/>
                      <w:lang w:val="en-US" w:eastAsia="en-US"/>
                      <w14:textFill>
                        <w14:solidFill>
                          <w14:schemeClr w14:val="tx1"/>
                        </w14:solidFill>
                      </w14:textFill>
                    </w:rPr>
                    <w:t>稀释剂）10吨及以上的</w:t>
                  </w:r>
                </w:p>
              </w:tc>
              <w:tc>
                <w:tcPr>
                  <w:tcW w:w="1538" w:type="dxa"/>
                  <w:tcBorders>
                    <w:tl2br w:val="nil"/>
                    <w:tr2bl w:val="nil"/>
                  </w:tcBorders>
                  <w:shd w:val="solid" w:color="A5A5A5" w:themeColor="background1" w:themeShade="A6" w:fill="FFFFFF" w:themeFill="background1"/>
                  <w:vAlign w:val="center"/>
                </w:tcPr>
                <w:p>
                  <w:pPr>
                    <w:pStyle w:val="22"/>
                    <w:keepNext w:val="0"/>
                    <w:keepLines w:val="0"/>
                    <w:suppressLineNumbers w:val="0"/>
                    <w:autoSpaceDE w:val="0"/>
                    <w:autoSpaceDN w:val="0"/>
                    <w:bidi w:val="0"/>
                    <w:spacing w:before="0" w:beforeAutospacing="0" w:after="0" w:afterAutospacing="0"/>
                    <w:ind w:left="0" w:right="0"/>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en-US"/>
                      <w14:textFill>
                        <w14:solidFill>
                          <w14:schemeClr w14:val="tx1"/>
                        </w14:solidFill>
                      </w14:textFill>
                    </w:rPr>
                    <w:t>其他（年用非溶剂型低VOCs含量涂料10吨以下的除外</w:t>
                  </w:r>
                  <w:r>
                    <w:rPr>
                      <w:rFonts w:hint="eastAsia"/>
                      <w:color w:val="000000" w:themeColor="text1"/>
                      <w:lang w:val="en-US" w:eastAsia="zh-CN"/>
                      <w14:textFill>
                        <w14:solidFill>
                          <w14:schemeClr w14:val="tx1"/>
                        </w14:solidFill>
                      </w14:textFill>
                    </w:rPr>
                    <w:t>）</w:t>
                  </w:r>
                </w:p>
              </w:tc>
              <w:tc>
                <w:tcPr>
                  <w:tcW w:w="806" w:type="dxa"/>
                  <w:tcBorders>
                    <w:tl2br w:val="nil"/>
                    <w:tr2bl w:val="nil"/>
                  </w:tcBorders>
                  <w:shd w:val="clear" w:color="auto" w:fill="FFFFFF" w:themeFill="background1"/>
                  <w:vAlign w:val="center"/>
                </w:tcPr>
                <w:p>
                  <w:pPr>
                    <w:pStyle w:val="22"/>
                    <w:keepNext w:val="0"/>
                    <w:keepLines w:val="0"/>
                    <w:suppressLineNumbers w:val="0"/>
                    <w:autoSpaceDE w:val="0"/>
                    <w:autoSpaceDN w:val="0"/>
                    <w:bidi w:val="0"/>
                    <w:spacing w:before="0" w:beforeAutospacing="0" w:after="0" w:afterAutospacing="0"/>
                    <w:ind w:left="0" w:right="0"/>
                    <w:rPr>
                      <w:rFonts w:hint="default"/>
                      <w:color w:val="000000" w:themeColor="text1"/>
                      <w:lang w:val="en-US" w:eastAsia="en-US"/>
                      <w14:textFill>
                        <w14:solidFill>
                          <w14:schemeClr w14:val="tx1"/>
                        </w14:solidFill>
                      </w14:textFill>
                    </w:rPr>
                  </w:pPr>
                  <w:r>
                    <w:rPr>
                      <w:rFonts w:hint="default"/>
                      <w:color w:val="000000" w:themeColor="text1"/>
                      <w:lang w:val="en-US" w:eastAsia="en-US"/>
                      <w14:textFill>
                        <w14:solidFill>
                          <w14:schemeClr w14:val="tx1"/>
                        </w14:solidFill>
                      </w14:textFill>
                    </w:rPr>
                    <w:t>/</w:t>
                  </w:r>
                </w:p>
              </w:tc>
            </w:tr>
          </w:tbl>
          <w:p>
            <w:pPr>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项目</w:t>
            </w:r>
            <w:r>
              <w:rPr>
                <w:rFonts w:hint="eastAsia"/>
                <w:color w:val="000000" w:themeColor="text1"/>
                <w:lang w:val="en-US" w:eastAsia="zh-CN"/>
                <w14:textFill>
                  <w14:solidFill>
                    <w14:schemeClr w14:val="tx1"/>
                  </w14:solidFill>
                </w14:textFill>
              </w:rPr>
              <w:t>迁建后</w:t>
            </w:r>
            <w:r>
              <w:rPr>
                <w:rFonts w:hint="eastAsia"/>
                <w:color w:val="000000" w:themeColor="text1"/>
                <w14:textFill>
                  <w14:solidFill>
                    <w14:schemeClr w14:val="tx1"/>
                  </w14:solidFill>
                </w14:textFill>
              </w:rPr>
              <w:t>产品为汽车模具（含夹检具）、新能源汽车冲焊件，属于C3670汽车零部件及配件制造，对照《固定污染源排污许可分类管理名录》（2019年版），本项目属于《名录》第三十一项“汽车制造业 36，第85号—汽车零部件及配件制造367”</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所以属于排污许可证中“登记管理”。</w:t>
            </w:r>
          </w:p>
          <w:p>
            <w:pPr>
              <w:bidi w:val="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建设单位原项目</w:t>
            </w:r>
            <w:r>
              <w:rPr>
                <w:rFonts w:hint="eastAsia"/>
                <w:color w:val="000000" w:themeColor="text1"/>
                <w14:textFill>
                  <w14:solidFill>
                    <w14:schemeClr w14:val="tx1"/>
                  </w14:solidFill>
                </w14:textFill>
              </w:rPr>
              <w:t>于202</w:t>
            </w:r>
            <w:r>
              <w:rPr>
                <w:rFonts w:hint="eastAsia"/>
                <w:color w:val="000000" w:themeColor="text1"/>
                <w:lang w:val="en-US" w:eastAsia="zh-CN"/>
                <w14:textFill>
                  <w14:solidFill>
                    <w14:schemeClr w14:val="tx1"/>
                  </w14:solidFill>
                </w14:textFill>
              </w:rPr>
              <w:t>2</w:t>
            </w:r>
            <w:r>
              <w:rPr>
                <w:rFonts w:hint="eastAsia"/>
                <w:color w:val="000000" w:themeColor="text1"/>
                <w14:textFill>
                  <w14:solidFill>
                    <w14:schemeClr w14:val="tx1"/>
                  </w14:solidFill>
                </w14:textFill>
              </w:rPr>
              <w:t>年0</w:t>
            </w: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31</w:t>
            </w:r>
            <w:r>
              <w:rPr>
                <w:rFonts w:hint="eastAsia"/>
                <w:color w:val="000000" w:themeColor="text1"/>
                <w14:textFill>
                  <w14:solidFill>
                    <w14:schemeClr w14:val="tx1"/>
                  </w14:solidFill>
                </w14:textFill>
              </w:rPr>
              <w:t>日</w:t>
            </w:r>
            <w:r>
              <w:rPr>
                <w:rFonts w:hint="eastAsia"/>
                <w:color w:val="000000" w:themeColor="text1"/>
                <w:lang w:val="en-US" w:eastAsia="zh-CN"/>
                <w14:textFill>
                  <w14:solidFill>
                    <w14:schemeClr w14:val="tx1"/>
                  </w14:solidFill>
                </w14:textFill>
              </w:rPr>
              <w:t>完成</w:t>
            </w:r>
            <w:r>
              <w:rPr>
                <w:rFonts w:hint="eastAsia"/>
                <w:color w:val="000000" w:themeColor="text1"/>
                <w14:textFill>
                  <w14:solidFill>
                    <w14:schemeClr w14:val="tx1"/>
                  </w14:solidFill>
                </w14:textFill>
              </w:rPr>
              <w:t>排污许可</w:t>
            </w:r>
            <w:r>
              <w:rPr>
                <w:rFonts w:hint="eastAsia"/>
                <w:color w:val="000000" w:themeColor="text1"/>
                <w:lang w:val="en-US" w:eastAsia="zh-CN"/>
                <w14:textFill>
                  <w14:solidFill>
                    <w14:schemeClr w14:val="tx1"/>
                  </w14:solidFill>
                </w14:textFill>
              </w:rPr>
              <w:t>登记表备案</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登记</w:t>
            </w:r>
            <w:r>
              <w:rPr>
                <w:rFonts w:hint="eastAsia"/>
                <w:color w:val="000000" w:themeColor="text1"/>
                <w14:textFill>
                  <w14:solidFill>
                    <w14:schemeClr w14:val="tx1"/>
                  </w14:solidFill>
                </w14:textFill>
              </w:rPr>
              <w:t>编号：91340200754867356K001X，有效期限：自202</w:t>
            </w:r>
            <w:r>
              <w:rPr>
                <w:rFonts w:hint="eastAsia"/>
                <w:color w:val="000000" w:themeColor="text1"/>
                <w:lang w:val="en-US" w:eastAsia="zh-CN"/>
                <w14:textFill>
                  <w14:solidFill>
                    <w14:schemeClr w14:val="tx1"/>
                  </w14:solidFill>
                </w14:textFill>
              </w:rPr>
              <w:t>2</w:t>
            </w:r>
            <w:r>
              <w:rPr>
                <w:rFonts w:hint="eastAsia"/>
                <w:color w:val="000000" w:themeColor="text1"/>
                <w14:textFill>
                  <w14:solidFill>
                    <w14:schemeClr w14:val="tx1"/>
                  </w14:solidFill>
                </w14:textFill>
              </w:rPr>
              <w:t>年0</w:t>
            </w: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31</w:t>
            </w:r>
            <w:r>
              <w:rPr>
                <w:rFonts w:hint="eastAsia"/>
                <w:color w:val="000000" w:themeColor="text1"/>
                <w14:textFill>
                  <w14:solidFill>
                    <w14:schemeClr w14:val="tx1"/>
                  </w14:solidFill>
                </w14:textFill>
              </w:rPr>
              <w:t>日至202</w:t>
            </w:r>
            <w:r>
              <w:rPr>
                <w:rFonts w:hint="eastAsia"/>
                <w:color w:val="000000" w:themeColor="text1"/>
                <w:lang w:val="en-US" w:eastAsia="zh-CN"/>
                <w14:textFill>
                  <w14:solidFill>
                    <w14:schemeClr w14:val="tx1"/>
                  </w14:solidFill>
                </w14:textFill>
              </w:rPr>
              <w:t>7</w:t>
            </w:r>
            <w:r>
              <w:rPr>
                <w:rFonts w:hint="eastAsia"/>
                <w:color w:val="000000" w:themeColor="text1"/>
                <w14:textFill>
                  <w14:solidFill>
                    <w14:schemeClr w14:val="tx1"/>
                  </w14:solidFill>
                </w14:textFill>
              </w:rPr>
              <w:t>年0</w:t>
            </w: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30</w:t>
            </w:r>
            <w:r>
              <w:rPr>
                <w:rFonts w:hint="eastAsia"/>
                <w:color w:val="000000" w:themeColor="text1"/>
                <w14:textFill>
                  <w14:solidFill>
                    <w14:schemeClr w14:val="tx1"/>
                  </w14:solidFill>
                </w14:textFill>
              </w:rPr>
              <w:t>日止，项目</w:t>
            </w:r>
            <w:r>
              <w:rPr>
                <w:rFonts w:hint="eastAsia"/>
                <w:color w:val="000000" w:themeColor="text1"/>
                <w:lang w:val="en-US" w:eastAsia="zh-CN"/>
                <w14:textFill>
                  <w14:solidFill>
                    <w14:schemeClr w14:val="tx1"/>
                  </w14:solidFill>
                </w14:textFill>
              </w:rPr>
              <w:t>迁建后</w:t>
            </w:r>
            <w:r>
              <w:rPr>
                <w:rFonts w:hint="eastAsia"/>
                <w:color w:val="000000" w:themeColor="text1"/>
                <w14:textFill>
                  <w14:solidFill>
                    <w14:schemeClr w14:val="tx1"/>
                  </w14:solidFill>
                </w14:textFill>
              </w:rPr>
              <w:t>应当在启动生产设施或者在实际排污前应对现有项目的排污许可</w:t>
            </w:r>
            <w:r>
              <w:rPr>
                <w:rFonts w:hint="eastAsia"/>
                <w:color w:val="000000" w:themeColor="text1"/>
                <w:lang w:val="en-US" w:eastAsia="zh-CN"/>
                <w14:textFill>
                  <w14:solidFill>
                    <w14:schemeClr w14:val="tx1"/>
                  </w14:solidFill>
                </w14:textFill>
              </w:rPr>
              <w:t>登记表</w:t>
            </w:r>
            <w:r>
              <w:rPr>
                <w:rFonts w:hint="eastAsia"/>
                <w:color w:val="000000" w:themeColor="text1"/>
                <w14:textFill>
                  <w14:solidFill>
                    <w14:schemeClr w14:val="tx1"/>
                  </w14:solidFill>
                </w14:textFill>
              </w:rPr>
              <w:t>进行变更或者重新申报。</w:t>
            </w:r>
          </w:p>
          <w:p>
            <w:pPr>
              <w:pStyle w:val="23"/>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表2-2</w:t>
            </w:r>
            <w:r>
              <w:rPr>
                <w:rFonts w:hint="eastAsia"/>
                <w:color w:val="000000" w:themeColor="text1"/>
                <w:lang w:val="en-US" w:eastAsia="zh-CN"/>
                <w14:textFill>
                  <w14:solidFill>
                    <w14:schemeClr w14:val="tx1"/>
                  </w14:solidFill>
                </w14:textFill>
              </w:rPr>
              <w:t xml:space="preserve"> </w:t>
            </w:r>
            <w:r>
              <w:rPr>
                <w:rFonts w:hint="eastAsia"/>
                <w:color w:val="000000" w:themeColor="text1"/>
                <w14:textFill>
                  <w14:solidFill>
                    <w14:schemeClr w14:val="tx1"/>
                  </w14:solidFill>
                </w14:textFill>
              </w:rPr>
              <w:t xml:space="preserve"> 固定污染源排污许可分类管理名录对照表</w:t>
            </w:r>
          </w:p>
          <w:tbl>
            <w:tblPr>
              <w:tblStyle w:val="15"/>
              <w:tblW w:w="5000" w:type="pct"/>
              <w:tblInd w:w="0" w:type="dxa"/>
              <w:tblBorders>
                <w:top w:val="single" w:color="auto" w:sz="12" w:space="0"/>
                <w:left w:val="none" w:color="auto" w:sz="6" w:space="0"/>
                <w:bottom w:val="single" w:color="auto" w:sz="12" w:space="0"/>
                <w:right w:val="none" w:color="auto" w:sz="6"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660"/>
              <w:gridCol w:w="846"/>
              <w:gridCol w:w="884"/>
              <w:gridCol w:w="5046"/>
              <w:gridCol w:w="955"/>
            </w:tblGrid>
            <w:tr>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trPr>
              <w:tc>
                <w:tcPr>
                  <w:tcW w:w="393" w:type="pct"/>
                  <w:tcBorders>
                    <w:top w:val="single" w:color="auto" w:sz="12" w:space="0"/>
                    <w:left w:val="nil"/>
                    <w:bottom w:val="single" w:color="auto" w:sz="4" w:space="0"/>
                    <w:right w:val="single" w:color="auto" w:sz="4" w:space="0"/>
                  </w:tcBorders>
                  <w:shd w:val="clear" w:color="auto" w:fill="auto"/>
                  <w:vAlign w:val="center"/>
                </w:tcPr>
                <w:p>
                  <w:pPr>
                    <w:pStyle w:val="22"/>
                    <w:bidi w:val="0"/>
                    <w:rPr>
                      <w:rFonts w:hint="default"/>
                      <w:b/>
                      <w:bCs/>
                      <w:color w:val="000000" w:themeColor="text1"/>
                      <w14:textFill>
                        <w14:solidFill>
                          <w14:schemeClr w14:val="tx1"/>
                        </w14:solidFill>
                      </w14:textFill>
                    </w:rPr>
                  </w:pPr>
                  <w:r>
                    <w:rPr>
                      <w:rFonts w:hint="eastAsia"/>
                      <w:b/>
                      <w:bCs/>
                      <w:color w:val="000000" w:themeColor="text1"/>
                      <w:lang w:val="en-US" w:eastAsia="zh-CN"/>
                      <w14:textFill>
                        <w14:solidFill>
                          <w14:schemeClr w14:val="tx1"/>
                        </w14:solidFill>
                      </w14:textFill>
                    </w:rPr>
                    <w:t>序号</w:t>
                  </w:r>
                </w:p>
              </w:tc>
              <w:tc>
                <w:tcPr>
                  <w:tcW w:w="504" w:type="pct"/>
                  <w:tcBorders>
                    <w:top w:val="single" w:color="auto" w:sz="12" w:space="0"/>
                    <w:left w:val="single" w:color="auto" w:sz="4" w:space="0"/>
                    <w:bottom w:val="single" w:color="auto" w:sz="4" w:space="0"/>
                    <w:right w:val="single" w:color="auto" w:sz="4" w:space="0"/>
                  </w:tcBorders>
                  <w:shd w:val="clear" w:color="auto" w:fill="auto"/>
                  <w:vAlign w:val="center"/>
                </w:tcPr>
                <w:p>
                  <w:pPr>
                    <w:pStyle w:val="22"/>
                    <w:bidi w:val="0"/>
                    <w:rPr>
                      <w:rFonts w:hint="default"/>
                      <w:b/>
                      <w:bCs/>
                      <w:color w:val="000000" w:themeColor="text1"/>
                      <w14:textFill>
                        <w14:solidFill>
                          <w14:schemeClr w14:val="tx1"/>
                        </w14:solidFill>
                      </w14:textFill>
                    </w:rPr>
                  </w:pPr>
                  <w:r>
                    <w:rPr>
                      <w:rFonts w:hint="eastAsia"/>
                      <w:b/>
                      <w:bCs/>
                      <w:color w:val="000000" w:themeColor="text1"/>
                      <w:lang w:val="en-US" w:eastAsia="zh-CN"/>
                      <w14:textFill>
                        <w14:solidFill>
                          <w14:schemeClr w14:val="tx1"/>
                        </w14:solidFill>
                      </w14:textFill>
                    </w:rPr>
                    <w:t>行业类别</w:t>
                  </w:r>
                </w:p>
              </w:tc>
              <w:tc>
                <w:tcPr>
                  <w:tcW w:w="527" w:type="pct"/>
                  <w:tcBorders>
                    <w:top w:val="single" w:color="auto" w:sz="12" w:space="0"/>
                    <w:left w:val="single" w:color="auto" w:sz="4" w:space="0"/>
                    <w:bottom w:val="single" w:color="auto" w:sz="4" w:space="0"/>
                    <w:right w:val="single" w:color="auto" w:sz="4" w:space="0"/>
                  </w:tcBorders>
                  <w:shd w:val="clear" w:color="auto" w:fill="FFFFFF"/>
                  <w:vAlign w:val="center"/>
                </w:tcPr>
                <w:p>
                  <w:pPr>
                    <w:pStyle w:val="22"/>
                    <w:bidi w:val="0"/>
                    <w:rPr>
                      <w:rFonts w:hint="eastAsia"/>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重点</w:t>
                  </w:r>
                </w:p>
                <w:p>
                  <w:pPr>
                    <w:pStyle w:val="22"/>
                    <w:bidi w:val="0"/>
                    <w:rPr>
                      <w:rFonts w:hint="default"/>
                      <w:b/>
                      <w:bCs/>
                      <w:color w:val="000000" w:themeColor="text1"/>
                      <w14:textFill>
                        <w14:solidFill>
                          <w14:schemeClr w14:val="tx1"/>
                        </w14:solidFill>
                      </w14:textFill>
                    </w:rPr>
                  </w:pPr>
                  <w:r>
                    <w:rPr>
                      <w:rFonts w:hint="eastAsia"/>
                      <w:b/>
                      <w:bCs/>
                      <w:color w:val="000000" w:themeColor="text1"/>
                      <w:lang w:val="en-US" w:eastAsia="zh-CN"/>
                      <w14:textFill>
                        <w14:solidFill>
                          <w14:schemeClr w14:val="tx1"/>
                        </w14:solidFill>
                      </w14:textFill>
                    </w:rPr>
                    <w:t>管理</w:t>
                  </w:r>
                </w:p>
              </w:tc>
              <w:tc>
                <w:tcPr>
                  <w:tcW w:w="3007" w:type="pct"/>
                  <w:tcBorders>
                    <w:top w:val="single" w:color="auto" w:sz="12" w:space="0"/>
                    <w:left w:val="single" w:color="auto" w:sz="4" w:space="0"/>
                    <w:bottom w:val="single" w:color="auto" w:sz="4" w:space="0"/>
                    <w:right w:val="single" w:color="auto" w:sz="4" w:space="0"/>
                  </w:tcBorders>
                  <w:shd w:val="clear" w:color="auto" w:fill="auto"/>
                  <w:vAlign w:val="center"/>
                </w:tcPr>
                <w:p>
                  <w:pPr>
                    <w:pStyle w:val="22"/>
                    <w:bidi w:val="0"/>
                    <w:rPr>
                      <w:rFonts w:hint="default"/>
                      <w:b/>
                      <w:bCs/>
                      <w:color w:val="000000" w:themeColor="text1"/>
                      <w14:textFill>
                        <w14:solidFill>
                          <w14:schemeClr w14:val="tx1"/>
                        </w14:solidFill>
                      </w14:textFill>
                    </w:rPr>
                  </w:pPr>
                  <w:r>
                    <w:rPr>
                      <w:rFonts w:hint="eastAsia"/>
                      <w:b/>
                      <w:bCs/>
                      <w:color w:val="000000" w:themeColor="text1"/>
                      <w:lang w:val="en-US" w:eastAsia="zh-CN"/>
                      <w14:textFill>
                        <w14:solidFill>
                          <w14:schemeClr w14:val="tx1"/>
                        </w14:solidFill>
                      </w14:textFill>
                    </w:rPr>
                    <w:t>简化管理</w:t>
                  </w:r>
                </w:p>
              </w:tc>
              <w:tc>
                <w:tcPr>
                  <w:tcW w:w="567" w:type="pct"/>
                  <w:tcBorders>
                    <w:top w:val="single" w:color="auto" w:sz="12" w:space="0"/>
                    <w:left w:val="single" w:color="auto" w:sz="4" w:space="0"/>
                    <w:bottom w:val="single" w:color="auto" w:sz="4" w:space="0"/>
                    <w:right w:val="nil"/>
                  </w:tcBorders>
                  <w:shd w:val="clear" w:color="auto" w:fill="A4A4A4" w:themeFill="background1" w:themeFillShade="A5"/>
                  <w:vAlign w:val="center"/>
                </w:tcPr>
                <w:p>
                  <w:pPr>
                    <w:pStyle w:val="22"/>
                    <w:bidi w:val="0"/>
                    <w:rPr>
                      <w:rFonts w:hint="eastAsia"/>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登记</w:t>
                  </w:r>
                </w:p>
                <w:p>
                  <w:pPr>
                    <w:pStyle w:val="22"/>
                    <w:bidi w:val="0"/>
                    <w:rPr>
                      <w:rFonts w:hint="default"/>
                      <w:b/>
                      <w:bCs/>
                      <w:color w:val="000000" w:themeColor="text1"/>
                      <w14:textFill>
                        <w14:solidFill>
                          <w14:schemeClr w14:val="tx1"/>
                        </w14:solidFill>
                      </w14:textFill>
                    </w:rPr>
                  </w:pPr>
                  <w:r>
                    <w:rPr>
                      <w:rFonts w:hint="eastAsia"/>
                      <w:b/>
                      <w:bCs/>
                      <w:color w:val="000000" w:themeColor="text1"/>
                      <w:lang w:val="en-US" w:eastAsia="zh-CN"/>
                      <w14:textFill>
                        <w14:solidFill>
                          <w14:schemeClr w14:val="tx1"/>
                        </w14:solidFill>
                      </w14:textFill>
                    </w:rPr>
                    <w:t>管理</w:t>
                  </w:r>
                </w:p>
              </w:tc>
            </w:tr>
            <w:tr>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00" w:type="pct"/>
                  <w:gridSpan w:val="5"/>
                  <w:tcBorders>
                    <w:top w:val="single" w:color="auto" w:sz="4" w:space="0"/>
                    <w:left w:val="nil"/>
                    <w:bottom w:val="single" w:color="auto" w:sz="4" w:space="0"/>
                    <w:right w:val="nil"/>
                  </w:tcBorders>
                  <w:shd w:val="clear" w:color="auto" w:fill="auto"/>
                  <w:vAlign w:val="center"/>
                </w:tcPr>
                <w:p>
                  <w:pPr>
                    <w:pStyle w:val="22"/>
                    <w:bidi w:val="0"/>
                    <w:jc w:val="left"/>
                    <w:rPr>
                      <w:rFonts w:hint="default"/>
                      <w:color w:val="000000" w:themeColor="text1"/>
                      <w14:textFill>
                        <w14:solidFill>
                          <w14:schemeClr w14:val="tx1"/>
                        </w14:solidFill>
                      </w14:textFill>
                    </w:rPr>
                  </w:pPr>
                  <w:r>
                    <w:rPr>
                      <w:rFonts w:hint="eastAsia"/>
                      <w:b/>
                      <w:bCs/>
                      <w:color w:val="000000" w:themeColor="text1"/>
                      <w:shd w:val="clear"/>
                      <w:lang w:val="en-US" w:eastAsia="zh-CN"/>
                      <w14:textFill>
                        <w14:solidFill>
                          <w14:schemeClr w14:val="tx1"/>
                        </w14:solidFill>
                      </w14:textFill>
                    </w:rPr>
                    <w:t>三十一、汽车制造业 36</w:t>
                  </w:r>
                </w:p>
              </w:tc>
            </w:tr>
            <w:tr>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3" w:type="pct"/>
                  <w:tcBorders>
                    <w:top w:val="single" w:color="auto" w:sz="4" w:space="0"/>
                    <w:left w:val="nil"/>
                    <w:bottom w:val="single" w:color="auto" w:sz="4" w:space="0"/>
                    <w:right w:val="single" w:color="auto" w:sz="4" w:space="0"/>
                  </w:tcBorders>
                  <w:shd w:val="clear" w:color="auto" w:fill="auto"/>
                  <w:vAlign w:val="center"/>
                </w:tcPr>
                <w:p>
                  <w:pPr>
                    <w:pStyle w:val="22"/>
                    <w:bidi w:val="0"/>
                    <w:rPr>
                      <w:rFonts w:hint="default"/>
                      <w:color w:val="000000" w:themeColor="text1"/>
                      <w14:textFill>
                        <w14:solidFill>
                          <w14:schemeClr w14:val="tx1"/>
                        </w14:solidFill>
                      </w14:textFill>
                    </w:rPr>
                  </w:pPr>
                  <w:r>
                    <w:rPr>
                      <w:rFonts w:hint="default"/>
                      <w:color w:val="000000" w:themeColor="text1"/>
                      <w:lang w:val="en-US" w:eastAsia="zh-CN"/>
                      <w14:textFill>
                        <w14:solidFill>
                          <w14:schemeClr w14:val="tx1"/>
                        </w14:solidFill>
                      </w14:textFill>
                    </w:rPr>
                    <w:t>8</w:t>
                  </w:r>
                  <w:r>
                    <w:rPr>
                      <w:rFonts w:hint="eastAsia"/>
                      <w:color w:val="000000" w:themeColor="text1"/>
                      <w:lang w:val="en-US" w:eastAsia="zh-CN"/>
                      <w14:textFill>
                        <w14:solidFill>
                          <w14:schemeClr w14:val="tx1"/>
                        </w14:solidFill>
                      </w14:textFill>
                    </w:rPr>
                    <w:t>5</w:t>
                  </w:r>
                </w:p>
              </w:tc>
              <w:tc>
                <w:tcPr>
                  <w:tcW w:w="504"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2"/>
                    <w:bidi w:val="0"/>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汽车零部件及配件制造367</w:t>
                  </w:r>
                </w:p>
              </w:tc>
              <w:tc>
                <w:tcPr>
                  <w:tcW w:w="527" w:type="pct"/>
                  <w:tcBorders>
                    <w:top w:val="single" w:color="auto" w:sz="4" w:space="0"/>
                    <w:left w:val="single" w:color="auto" w:sz="4" w:space="0"/>
                    <w:bottom w:val="single" w:color="auto" w:sz="4" w:space="0"/>
                    <w:right w:val="single" w:color="auto" w:sz="4" w:space="0"/>
                  </w:tcBorders>
                  <w:shd w:val="clear" w:color="auto" w:fill="FFFFFF"/>
                  <w:vAlign w:val="center"/>
                </w:tcPr>
                <w:p>
                  <w:pPr>
                    <w:pStyle w:val="22"/>
                    <w:bidi w:val="0"/>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纳入重点排污单位名录的</w:t>
                  </w:r>
                </w:p>
              </w:tc>
              <w:tc>
                <w:tcPr>
                  <w:tcW w:w="300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2"/>
                    <w:bidi w:val="0"/>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除重点管理以外的汽车整车制造361，除重点管理以外的年使用10吨及以上溶剂型涂料或者胶粘剂（含稀释剂、固化剂、清洗溶剂）的汽车用发动机制造362、改装汽车制造363、低速汽车制造364、电车制造365、汽车车身、挂车制造366、汽车零部件及配件制造367</w:t>
                  </w:r>
                </w:p>
              </w:tc>
              <w:tc>
                <w:tcPr>
                  <w:tcW w:w="567" w:type="pct"/>
                  <w:tcBorders>
                    <w:top w:val="single" w:color="auto" w:sz="4" w:space="0"/>
                    <w:left w:val="single" w:color="auto" w:sz="4" w:space="0"/>
                    <w:bottom w:val="single" w:color="auto" w:sz="4" w:space="0"/>
                    <w:right w:val="nil"/>
                  </w:tcBorders>
                  <w:shd w:val="clear" w:color="auto" w:fill="A4A4A4" w:themeFill="background1" w:themeFillShade="A5"/>
                  <w:vAlign w:val="center"/>
                </w:tcPr>
                <w:p>
                  <w:pPr>
                    <w:pStyle w:val="22"/>
                    <w:bidi w:val="0"/>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其他</w:t>
                  </w:r>
                </w:p>
              </w:tc>
            </w:tr>
          </w:tbl>
          <w:p>
            <w:pPr>
              <w:numPr>
                <w:ilvl w:val="0"/>
                <w:numId w:val="8"/>
              </w:numPr>
              <w:bidi w:val="0"/>
              <w:rPr>
                <w:rFonts w:hint="eastAsia"/>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产品方案</w:t>
            </w:r>
          </w:p>
          <w:p>
            <w:pPr>
              <w:adjustRightInd w:val="0"/>
              <w:snapToGrid w:val="0"/>
              <w:ind w:firstLine="480"/>
              <w:rPr>
                <w:color w:val="000000" w:themeColor="text1"/>
                <w14:textFill>
                  <w14:solidFill>
                    <w14:schemeClr w14:val="tx1"/>
                  </w14:solidFill>
                </w14:textFill>
              </w:rPr>
            </w:pPr>
            <w:r>
              <w:rPr>
                <w:rFonts w:hint="eastAsia"/>
                <w:color w:val="000000" w:themeColor="text1"/>
                <w:kern w:val="0"/>
                <w14:textFill>
                  <w14:solidFill>
                    <w14:schemeClr w14:val="tx1"/>
                  </w14:solidFill>
                </w14:textFill>
              </w:rPr>
              <w:t>项目迁建后，汽车模具（含夹检具）产能保持不变，</w:t>
            </w:r>
            <w:commentRangeStart w:id="4"/>
            <w:commentRangeStart w:id="5"/>
            <w:r>
              <w:rPr>
                <w:rFonts w:hint="eastAsia"/>
                <w:color w:val="000000" w:themeColor="text1"/>
                <w:kern w:val="0"/>
                <w:lang w:val="en-US" w:eastAsia="zh-CN"/>
                <w14:textFill>
                  <w14:solidFill>
                    <w14:schemeClr w14:val="tx1"/>
                  </w14:solidFill>
                </w14:textFill>
              </w:rPr>
              <w:t>新增</w:t>
            </w:r>
            <w:r>
              <w:rPr>
                <w:rFonts w:hint="eastAsia"/>
                <w:color w:val="000000" w:themeColor="text1"/>
                <w14:textFill>
                  <w14:solidFill>
                    <w14:schemeClr w14:val="tx1"/>
                  </w14:solidFill>
                </w14:textFill>
              </w:rPr>
              <w:t>新能源汽车冲焊件</w:t>
            </w:r>
            <w:r>
              <w:rPr>
                <w:rFonts w:hint="eastAsia"/>
                <w:color w:val="000000" w:themeColor="text1"/>
                <w:lang w:val="en-US" w:eastAsia="zh-CN"/>
                <w14:textFill>
                  <w14:solidFill>
                    <w14:schemeClr w14:val="tx1"/>
                  </w14:solidFill>
                </w14:textFill>
              </w:rPr>
              <w:t>3000万件</w:t>
            </w:r>
            <w:r>
              <w:rPr>
                <w:rFonts w:hint="eastAsia"/>
                <w:color w:val="000000" w:themeColor="text1"/>
                <w:kern w:val="0"/>
                <w14:textFill>
                  <w14:solidFill>
                    <w14:schemeClr w14:val="tx1"/>
                  </w14:solidFill>
                </w14:textFill>
              </w:rPr>
              <w:t>的生产规模，企业迁建前</w:t>
            </w:r>
            <w:commentRangeEnd w:id="4"/>
            <w:r>
              <w:rPr>
                <w:color w:val="000000" w:themeColor="text1"/>
                <w14:textFill>
                  <w14:solidFill>
                    <w14:schemeClr w14:val="tx1"/>
                  </w14:solidFill>
                </w14:textFill>
              </w:rPr>
              <w:commentReference w:id="4"/>
            </w:r>
            <w:commentRangeEnd w:id="5"/>
            <w:r>
              <w:rPr>
                <w:color w:val="000000" w:themeColor="text1"/>
                <w14:textFill>
                  <w14:solidFill>
                    <w14:schemeClr w14:val="tx1"/>
                  </w14:solidFill>
                </w14:textFill>
              </w:rPr>
              <w:commentReference w:id="5"/>
            </w:r>
            <w:r>
              <w:rPr>
                <w:rFonts w:hint="eastAsia"/>
                <w:color w:val="000000" w:themeColor="text1"/>
                <w:kern w:val="0"/>
                <w14:textFill>
                  <w14:solidFill>
                    <w14:schemeClr w14:val="tx1"/>
                  </w14:solidFill>
                </w14:textFill>
              </w:rPr>
              <w:t>后主要产品方案见表2-</w:t>
            </w:r>
            <w:r>
              <w:rPr>
                <w:rFonts w:hint="eastAsia"/>
                <w:color w:val="000000" w:themeColor="text1"/>
                <w:kern w:val="0"/>
                <w:lang w:val="en-US" w:eastAsia="zh-CN"/>
                <w14:textFill>
                  <w14:solidFill>
                    <w14:schemeClr w14:val="tx1"/>
                  </w14:solidFill>
                </w14:textFill>
              </w:rPr>
              <w:t>3</w:t>
            </w:r>
            <w:r>
              <w:rPr>
                <w:rFonts w:hint="eastAsia"/>
                <w:color w:val="000000" w:themeColor="text1"/>
                <w:kern w:val="0"/>
                <w14:textFill>
                  <w14:solidFill>
                    <w14:schemeClr w14:val="tx1"/>
                  </w14:solidFill>
                </w14:textFill>
              </w:rPr>
              <w:t>。</w:t>
            </w:r>
          </w:p>
          <w:p>
            <w:pPr>
              <w:pStyle w:val="23"/>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表2-3 </w:t>
            </w:r>
            <w:r>
              <w:rPr>
                <w:rFonts w:hint="eastAsia"/>
                <w:color w:val="000000" w:themeColor="text1"/>
                <w:lang w:val="en-US" w:eastAsia="zh-CN"/>
                <w14:textFill>
                  <w14:solidFill>
                    <w14:schemeClr w14:val="tx1"/>
                  </w14:solidFill>
                </w14:textFill>
              </w:rPr>
              <w:t xml:space="preserve"> </w:t>
            </w:r>
            <w:r>
              <w:rPr>
                <w:rFonts w:hint="eastAsia"/>
                <w:color w:val="000000" w:themeColor="text1"/>
                <w14:textFill>
                  <w14:solidFill>
                    <w14:schemeClr w14:val="tx1"/>
                  </w14:solidFill>
                </w14:textFill>
              </w:rPr>
              <w:t>产品、产量一览表</w:t>
            </w:r>
          </w:p>
          <w:tbl>
            <w:tblPr>
              <w:tblStyle w:val="15"/>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345"/>
              <w:gridCol w:w="1009"/>
              <w:gridCol w:w="1343"/>
              <w:gridCol w:w="1343"/>
              <w:gridCol w:w="134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1994" w:type="pct"/>
                  <w:vMerge w:val="restart"/>
                  <w:vAlign w:val="center"/>
                </w:tcPr>
                <w:p>
                  <w:pPr>
                    <w:pStyle w:val="22"/>
                    <w:rPr>
                      <w:b/>
                      <w:bCs/>
                      <w:color w:val="000000" w:themeColor="text1"/>
                      <w14:textFill>
                        <w14:solidFill>
                          <w14:schemeClr w14:val="tx1"/>
                        </w14:solidFill>
                      </w14:textFill>
                    </w:rPr>
                  </w:pPr>
                  <w:r>
                    <w:rPr>
                      <w:b/>
                      <w:bCs/>
                      <w:color w:val="000000" w:themeColor="text1"/>
                      <w14:textFill>
                        <w14:solidFill>
                          <w14:schemeClr w14:val="tx1"/>
                        </w14:solidFill>
                      </w14:textFill>
                    </w:rPr>
                    <w:t>产品名称</w:t>
                  </w:r>
                </w:p>
              </w:tc>
              <w:tc>
                <w:tcPr>
                  <w:tcW w:w="601" w:type="pct"/>
                  <w:vMerge w:val="restart"/>
                  <w:vAlign w:val="center"/>
                </w:tcPr>
                <w:p>
                  <w:pPr>
                    <w:pStyle w:val="22"/>
                    <w:ind w:firstLine="0" w:firstLineChars="0"/>
                    <w:rPr>
                      <w:rFonts w:ascii="Times New Roman" w:hAnsi="Times New Roman" w:eastAsia="宋体" w:cs="Times New Roman"/>
                      <w:b/>
                      <w:bCs/>
                      <w:color w:val="000000" w:themeColor="text1"/>
                      <w:kern w:val="2"/>
                      <w:sz w:val="21"/>
                      <w:szCs w:val="24"/>
                      <w:lang w:val="en-US" w:eastAsia="zh-CN" w:bidi="ar-SA"/>
                      <w14:textFill>
                        <w14:solidFill>
                          <w14:schemeClr w14:val="tx1"/>
                        </w14:solidFill>
                      </w14:textFill>
                    </w:rPr>
                  </w:pPr>
                  <w:r>
                    <w:rPr>
                      <w:b/>
                      <w:bCs/>
                      <w:color w:val="000000" w:themeColor="text1"/>
                      <w14:textFill>
                        <w14:solidFill>
                          <w14:schemeClr w14:val="tx1"/>
                        </w14:solidFill>
                      </w14:textFill>
                    </w:rPr>
                    <w:t>单位</w:t>
                  </w:r>
                </w:p>
              </w:tc>
              <w:tc>
                <w:tcPr>
                  <w:tcW w:w="2403" w:type="pct"/>
                  <w:gridSpan w:val="3"/>
                  <w:vAlign w:val="center"/>
                </w:tcPr>
                <w:p>
                  <w:pPr>
                    <w:pStyle w:val="22"/>
                    <w:rPr>
                      <w:rFonts w:hint="eastAsia" w:eastAsia="宋体"/>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数量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1994" w:type="pct"/>
                  <w:vMerge w:val="continue"/>
                  <w:vAlign w:val="center"/>
                </w:tcPr>
                <w:p>
                  <w:pPr>
                    <w:pStyle w:val="22"/>
                    <w:rPr>
                      <w:b/>
                      <w:bCs/>
                      <w:color w:val="000000" w:themeColor="text1"/>
                      <w14:textFill>
                        <w14:solidFill>
                          <w14:schemeClr w14:val="tx1"/>
                        </w14:solidFill>
                      </w14:textFill>
                    </w:rPr>
                  </w:pPr>
                </w:p>
              </w:tc>
              <w:tc>
                <w:tcPr>
                  <w:tcW w:w="601" w:type="pct"/>
                  <w:vMerge w:val="continue"/>
                  <w:vAlign w:val="center"/>
                </w:tcPr>
                <w:p>
                  <w:pPr>
                    <w:pStyle w:val="22"/>
                    <w:rPr>
                      <w:b/>
                      <w:bCs/>
                      <w:color w:val="000000" w:themeColor="text1"/>
                      <w14:textFill>
                        <w14:solidFill>
                          <w14:schemeClr w14:val="tx1"/>
                        </w14:solidFill>
                      </w14:textFill>
                    </w:rPr>
                  </w:pPr>
                </w:p>
              </w:tc>
              <w:tc>
                <w:tcPr>
                  <w:tcW w:w="800" w:type="pct"/>
                  <w:vAlign w:val="center"/>
                </w:tcPr>
                <w:p>
                  <w:pPr>
                    <w:pStyle w:val="22"/>
                    <w:rPr>
                      <w:rFonts w:hint="default" w:eastAsia="宋体"/>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迁建前</w:t>
                  </w:r>
                </w:p>
              </w:tc>
              <w:tc>
                <w:tcPr>
                  <w:tcW w:w="800" w:type="pct"/>
                  <w:vAlign w:val="center"/>
                </w:tcPr>
                <w:p>
                  <w:pPr>
                    <w:pStyle w:val="22"/>
                    <w:rPr>
                      <w:rFonts w:hint="eastAsia" w:eastAsia="宋体"/>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迁建后</w:t>
                  </w:r>
                </w:p>
              </w:tc>
              <w:tc>
                <w:tcPr>
                  <w:tcW w:w="803" w:type="pct"/>
                  <w:vAlign w:val="center"/>
                </w:tcPr>
                <w:p>
                  <w:pPr>
                    <w:pStyle w:val="22"/>
                    <w:rPr>
                      <w:rFonts w:hint="eastAsia" w:eastAsia="宋体"/>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增减量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6" w:hRule="atLeast"/>
                <w:jc w:val="center"/>
              </w:trPr>
              <w:tc>
                <w:tcPr>
                  <w:tcW w:w="1994" w:type="pct"/>
                  <w:vAlign w:val="center"/>
                </w:tcPr>
                <w:p>
                  <w:pPr>
                    <w:pStyle w:val="22"/>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模具</w:t>
                  </w:r>
                </w:p>
              </w:tc>
              <w:tc>
                <w:tcPr>
                  <w:tcW w:w="601" w:type="pct"/>
                  <w:vAlign w:val="center"/>
                </w:tcPr>
                <w:p>
                  <w:pPr>
                    <w:pStyle w:val="22"/>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14:textFill>
                        <w14:solidFill>
                          <w14:schemeClr w14:val="tx1"/>
                        </w14:solidFill>
                      </w14:textFill>
                    </w:rPr>
                    <w:t>t/a</w:t>
                  </w:r>
                </w:p>
              </w:tc>
              <w:tc>
                <w:tcPr>
                  <w:tcW w:w="800" w:type="pct"/>
                  <w:vAlign w:val="center"/>
                </w:tcPr>
                <w:p>
                  <w:pPr>
                    <w:pStyle w:val="2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800</w:t>
                  </w:r>
                </w:p>
              </w:tc>
              <w:tc>
                <w:tcPr>
                  <w:tcW w:w="800" w:type="pct"/>
                  <w:vAlign w:val="center"/>
                </w:tcPr>
                <w:p>
                  <w:pPr>
                    <w:pStyle w:val="22"/>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800</w:t>
                  </w:r>
                </w:p>
              </w:tc>
              <w:tc>
                <w:tcPr>
                  <w:tcW w:w="803" w:type="pct"/>
                  <w:vAlign w:val="center"/>
                </w:tcPr>
                <w:p>
                  <w:pPr>
                    <w:pStyle w:val="22"/>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6" w:hRule="atLeast"/>
                <w:jc w:val="center"/>
              </w:trPr>
              <w:tc>
                <w:tcPr>
                  <w:tcW w:w="1994" w:type="pct"/>
                  <w:vAlign w:val="center"/>
                </w:tcPr>
                <w:p>
                  <w:pPr>
                    <w:pStyle w:val="22"/>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夹具</w:t>
                  </w:r>
                </w:p>
              </w:tc>
              <w:tc>
                <w:tcPr>
                  <w:tcW w:w="601" w:type="pct"/>
                  <w:vAlign w:val="center"/>
                </w:tcPr>
                <w:p>
                  <w:pPr>
                    <w:pStyle w:val="22"/>
                    <w:ind w:firstLine="0" w:firstLineChars="0"/>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套</w:t>
                  </w:r>
                </w:p>
              </w:tc>
              <w:tc>
                <w:tcPr>
                  <w:tcW w:w="800" w:type="pct"/>
                  <w:vAlign w:val="center"/>
                </w:tcPr>
                <w:p>
                  <w:pPr>
                    <w:pStyle w:val="2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100</w:t>
                  </w:r>
                </w:p>
              </w:tc>
              <w:tc>
                <w:tcPr>
                  <w:tcW w:w="800" w:type="pct"/>
                  <w:vAlign w:val="center"/>
                </w:tcPr>
                <w:p>
                  <w:pPr>
                    <w:pStyle w:val="22"/>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100</w:t>
                  </w:r>
                </w:p>
              </w:tc>
              <w:tc>
                <w:tcPr>
                  <w:tcW w:w="803" w:type="pct"/>
                  <w:vAlign w:val="center"/>
                </w:tcPr>
                <w:p>
                  <w:pPr>
                    <w:pStyle w:val="22"/>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6" w:hRule="atLeast"/>
                <w:jc w:val="center"/>
              </w:trPr>
              <w:tc>
                <w:tcPr>
                  <w:tcW w:w="1994" w:type="pct"/>
                  <w:vAlign w:val="center"/>
                </w:tcPr>
                <w:p>
                  <w:pPr>
                    <w:pStyle w:val="22"/>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检具</w:t>
                  </w:r>
                </w:p>
              </w:tc>
              <w:tc>
                <w:tcPr>
                  <w:tcW w:w="601" w:type="pct"/>
                  <w:vAlign w:val="center"/>
                </w:tcPr>
                <w:p>
                  <w:pPr>
                    <w:pStyle w:val="22"/>
                    <w:ind w:firstLine="0" w:firstLineChars="0"/>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套</w:t>
                  </w:r>
                </w:p>
              </w:tc>
              <w:tc>
                <w:tcPr>
                  <w:tcW w:w="800" w:type="pct"/>
                  <w:vAlign w:val="center"/>
                </w:tcPr>
                <w:p>
                  <w:pPr>
                    <w:pStyle w:val="2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500</w:t>
                  </w:r>
                </w:p>
              </w:tc>
              <w:tc>
                <w:tcPr>
                  <w:tcW w:w="800" w:type="pct"/>
                  <w:vAlign w:val="center"/>
                </w:tcPr>
                <w:p>
                  <w:pPr>
                    <w:pStyle w:val="22"/>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500</w:t>
                  </w:r>
                </w:p>
              </w:tc>
              <w:tc>
                <w:tcPr>
                  <w:tcW w:w="803" w:type="pct"/>
                  <w:vAlign w:val="center"/>
                </w:tcPr>
                <w:p>
                  <w:pPr>
                    <w:pStyle w:val="22"/>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994" w:type="pct"/>
                  <w:vAlign w:val="center"/>
                </w:tcPr>
                <w:p>
                  <w:pPr>
                    <w:pStyle w:val="22"/>
                    <w:rPr>
                      <w:color w:val="000000" w:themeColor="text1"/>
                      <w14:textFill>
                        <w14:solidFill>
                          <w14:schemeClr w14:val="tx1"/>
                        </w14:solidFill>
                      </w14:textFill>
                    </w:rPr>
                  </w:pPr>
                  <w:r>
                    <w:rPr>
                      <w:rFonts w:hint="eastAsia"/>
                      <w:color w:val="000000" w:themeColor="text1"/>
                      <w14:textFill>
                        <w14:solidFill>
                          <w14:schemeClr w14:val="tx1"/>
                        </w14:solidFill>
                      </w14:textFill>
                    </w:rPr>
                    <w:t>新能源汽车冲焊件</w:t>
                  </w:r>
                </w:p>
              </w:tc>
              <w:tc>
                <w:tcPr>
                  <w:tcW w:w="601" w:type="pct"/>
                  <w:vAlign w:val="center"/>
                </w:tcPr>
                <w:p>
                  <w:pPr>
                    <w:pStyle w:val="22"/>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万件</w:t>
                  </w:r>
                </w:p>
              </w:tc>
              <w:tc>
                <w:tcPr>
                  <w:tcW w:w="800" w:type="pct"/>
                  <w:vAlign w:val="center"/>
                </w:tcPr>
                <w:p>
                  <w:pPr>
                    <w:pStyle w:val="22"/>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800" w:type="pct"/>
                  <w:vAlign w:val="center"/>
                </w:tcPr>
                <w:p>
                  <w:pPr>
                    <w:pStyle w:val="2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3000</w:t>
                  </w:r>
                </w:p>
              </w:tc>
              <w:tc>
                <w:tcPr>
                  <w:tcW w:w="803" w:type="pct"/>
                  <w:vAlign w:val="center"/>
                </w:tcPr>
                <w:p>
                  <w:pPr>
                    <w:pStyle w:val="22"/>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+3000</w:t>
                  </w:r>
                </w:p>
              </w:tc>
            </w:tr>
          </w:tbl>
          <w:p>
            <w:pPr>
              <w:numPr>
                <w:ilvl w:val="0"/>
                <w:numId w:val="8"/>
              </w:numPr>
              <w:bidi w:val="0"/>
              <w:rPr>
                <w:rFonts w:hint="eastAsia"/>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项目建设内容</w:t>
            </w:r>
          </w:p>
          <w:p>
            <w:pPr>
              <w:widowControl/>
              <w:spacing w:line="480" w:lineRule="exact"/>
              <w:ind w:firstLine="480"/>
              <w:jc w:val="left"/>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本项目租赁现有厂房，购置安装设备，本项目建设具体内容见表2-</w:t>
            </w:r>
            <w:r>
              <w:rPr>
                <w:rFonts w:hint="eastAsia"/>
                <w:color w:val="000000" w:themeColor="text1"/>
                <w:kern w:val="0"/>
                <w:lang w:val="en-US" w:eastAsia="zh-CN"/>
                <w14:textFill>
                  <w14:solidFill>
                    <w14:schemeClr w14:val="tx1"/>
                  </w14:solidFill>
                </w14:textFill>
              </w:rPr>
              <w:t>4</w:t>
            </w:r>
            <w:r>
              <w:rPr>
                <w:rFonts w:hint="eastAsia"/>
                <w:color w:val="000000" w:themeColor="text1"/>
                <w:kern w:val="0"/>
                <w14:textFill>
                  <w14:solidFill>
                    <w14:schemeClr w14:val="tx1"/>
                  </w14:solidFill>
                </w14:textFill>
              </w:rPr>
              <w:t>。</w:t>
            </w:r>
          </w:p>
          <w:p>
            <w:pPr>
              <w:pStyle w:val="23"/>
              <w:bidi w:val="0"/>
              <w:rPr>
                <w:color w:val="000000" w:themeColor="text1"/>
                <w14:textFill>
                  <w14:solidFill>
                    <w14:schemeClr w14:val="tx1"/>
                  </w14:solidFill>
                </w14:textFill>
              </w:rPr>
            </w:pPr>
            <w:r>
              <w:rPr>
                <w:color w:val="000000" w:themeColor="text1"/>
                <w14:textFill>
                  <w14:solidFill>
                    <w14:schemeClr w14:val="tx1"/>
                  </w14:solidFill>
                </w14:textFill>
              </w:rPr>
              <w:t>表</w:t>
            </w:r>
            <w:r>
              <w:rPr>
                <w:rFonts w:hint="eastAsia"/>
                <w:color w:val="000000" w:themeColor="text1"/>
                <w14:textFill>
                  <w14:solidFill>
                    <w14:schemeClr w14:val="tx1"/>
                  </w14:solidFill>
                </w14:textFill>
              </w:rPr>
              <w:t>2-</w:t>
            </w:r>
            <w:r>
              <w:rPr>
                <w:rFonts w:hint="eastAsia"/>
                <w:color w:val="000000" w:themeColor="text1"/>
                <w:lang w:val="en-US" w:eastAsia="zh-CN"/>
                <w14:textFill>
                  <w14:solidFill>
                    <w14:schemeClr w14:val="tx1"/>
                  </w14:solidFill>
                </w14:textFill>
              </w:rPr>
              <w:t>4</w:t>
            </w:r>
            <w:r>
              <w:rPr>
                <w:color w:val="000000" w:themeColor="text1"/>
                <w14:textFill>
                  <w14:solidFill>
                    <w14:schemeClr w14:val="tx1"/>
                  </w14:solidFill>
                </w14:textFill>
              </w:rPr>
              <w:t xml:space="preserve">  项目组成内容表</w:t>
            </w:r>
          </w:p>
          <w:tbl>
            <w:tblPr>
              <w:tblStyle w:val="1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60"/>
              <w:gridCol w:w="739"/>
              <w:gridCol w:w="740"/>
              <w:gridCol w:w="5087"/>
              <w:gridCol w:w="116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3" w:type="pct"/>
                  <w:vAlign w:val="center"/>
                </w:tcPr>
                <w:p>
                  <w:pPr>
                    <w:pStyle w:val="22"/>
                    <w:rPr>
                      <w:b/>
                      <w:bCs/>
                      <w:color w:val="000000" w:themeColor="text1"/>
                      <w14:textFill>
                        <w14:solidFill>
                          <w14:schemeClr w14:val="tx1"/>
                        </w14:solidFill>
                      </w14:textFill>
                    </w:rPr>
                  </w:pPr>
                  <w:r>
                    <w:rPr>
                      <w:b/>
                      <w:bCs/>
                      <w:color w:val="000000" w:themeColor="text1"/>
                      <w14:textFill>
                        <w14:solidFill>
                          <w14:schemeClr w14:val="tx1"/>
                        </w14:solidFill>
                      </w14:textFill>
                    </w:rPr>
                    <w:t>工程</w:t>
                  </w:r>
                  <w:r>
                    <w:rPr>
                      <w:rFonts w:hint="eastAsia"/>
                      <w:b/>
                      <w:bCs/>
                      <w:color w:val="000000" w:themeColor="text1"/>
                      <w14:textFill>
                        <w14:solidFill>
                          <w14:schemeClr w14:val="tx1"/>
                        </w14:solidFill>
                      </w14:textFill>
                    </w:rPr>
                    <w:t>名称</w:t>
                  </w:r>
                </w:p>
              </w:tc>
              <w:tc>
                <w:tcPr>
                  <w:tcW w:w="881" w:type="pct"/>
                  <w:gridSpan w:val="2"/>
                  <w:vAlign w:val="center"/>
                </w:tcPr>
                <w:p>
                  <w:pPr>
                    <w:pStyle w:val="22"/>
                    <w:rPr>
                      <w:b/>
                      <w:bCs/>
                      <w:color w:val="000000" w:themeColor="text1"/>
                      <w14:textFill>
                        <w14:solidFill>
                          <w14:schemeClr w14:val="tx1"/>
                        </w14:solidFill>
                      </w14:textFill>
                    </w:rPr>
                  </w:pPr>
                  <w:r>
                    <w:rPr>
                      <w:b/>
                      <w:bCs/>
                      <w:color w:val="000000" w:themeColor="text1"/>
                      <w14:textFill>
                        <w14:solidFill>
                          <w14:schemeClr w14:val="tx1"/>
                        </w14:solidFill>
                      </w14:textFill>
                    </w:rPr>
                    <w:t>工程名称</w:t>
                  </w:r>
                </w:p>
              </w:tc>
              <w:tc>
                <w:tcPr>
                  <w:tcW w:w="3030" w:type="pct"/>
                  <w:vAlign w:val="center"/>
                </w:tcPr>
                <w:p>
                  <w:pPr>
                    <w:pStyle w:val="22"/>
                    <w:rPr>
                      <w:b/>
                      <w:bCs/>
                      <w:color w:val="000000" w:themeColor="text1"/>
                      <w14:textFill>
                        <w14:solidFill>
                          <w14:schemeClr w14:val="tx1"/>
                        </w14:solidFill>
                      </w14:textFill>
                    </w:rPr>
                  </w:pPr>
                  <w:r>
                    <w:rPr>
                      <w:b/>
                      <w:bCs/>
                      <w:color w:val="000000" w:themeColor="text1"/>
                      <w14:textFill>
                        <w14:solidFill>
                          <w14:schemeClr w14:val="tx1"/>
                        </w14:solidFill>
                      </w14:textFill>
                    </w:rPr>
                    <w:t>工程内容及规模</w:t>
                  </w:r>
                </w:p>
              </w:tc>
              <w:tc>
                <w:tcPr>
                  <w:tcW w:w="694" w:type="pct"/>
                  <w:vAlign w:val="center"/>
                </w:tcPr>
                <w:p>
                  <w:pPr>
                    <w:pStyle w:val="22"/>
                    <w:rPr>
                      <w:rFonts w:hint="eastAsia" w:eastAsia="宋体"/>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393" w:type="pct"/>
                  <w:vAlign w:val="center"/>
                </w:tcPr>
                <w:p>
                  <w:pPr>
                    <w:pStyle w:val="22"/>
                    <w:rPr>
                      <w:color w:val="000000" w:themeColor="text1"/>
                      <w14:textFill>
                        <w14:solidFill>
                          <w14:schemeClr w14:val="tx1"/>
                        </w14:solidFill>
                      </w14:textFill>
                    </w:rPr>
                  </w:pPr>
                  <w:r>
                    <w:rPr>
                      <w:color w:val="000000" w:themeColor="text1"/>
                      <w14:textFill>
                        <w14:solidFill>
                          <w14:schemeClr w14:val="tx1"/>
                        </w14:solidFill>
                      </w14:textFill>
                    </w:rPr>
                    <w:t>主体工程</w:t>
                  </w:r>
                </w:p>
              </w:tc>
              <w:tc>
                <w:tcPr>
                  <w:tcW w:w="881" w:type="pct"/>
                  <w:gridSpan w:val="2"/>
                  <w:vAlign w:val="center"/>
                </w:tcPr>
                <w:p>
                  <w:pPr>
                    <w:pStyle w:val="22"/>
                    <w:rPr>
                      <w:color w:val="000000" w:themeColor="text1"/>
                      <w14:textFill>
                        <w14:solidFill>
                          <w14:schemeClr w14:val="tx1"/>
                        </w14:solidFill>
                      </w14:textFill>
                    </w:rPr>
                  </w:pPr>
                  <w:r>
                    <w:rPr>
                      <w:rFonts w:hint="eastAsia"/>
                      <w:color w:val="000000" w:themeColor="text1"/>
                      <w14:textFill>
                        <w14:solidFill>
                          <w14:schemeClr w14:val="tx1"/>
                        </w14:solidFill>
                      </w14:textFill>
                    </w:rPr>
                    <w:t>厂房</w:t>
                  </w:r>
                </w:p>
              </w:tc>
              <w:tc>
                <w:tcPr>
                  <w:tcW w:w="3030" w:type="pct"/>
                  <w:vAlign w:val="center"/>
                </w:tcPr>
                <w:p>
                  <w:pPr>
                    <w:pStyle w:val="22"/>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对租赁厂房进行适应性改造，改造面积12666.71</w:t>
                  </w:r>
                  <w:r>
                    <w:rPr>
                      <w:rFonts w:hint="eastAsia"/>
                      <w:color w:val="000000" w:themeColor="text1"/>
                      <w:lang w:val="en-US" w:eastAsia="zh-CN"/>
                      <w14:textFill>
                        <w14:solidFill>
                          <w14:schemeClr w14:val="tx1"/>
                        </w14:solidFill>
                      </w14:textFill>
                    </w:rPr>
                    <w:t>m</w:t>
                  </w:r>
                  <w:r>
                    <w:rPr>
                      <w:rFonts w:hint="eastAsia"/>
                      <w:color w:val="000000" w:themeColor="text1"/>
                      <w:vertAlign w:val="superscript"/>
                      <w:lang w:val="en-US" w:eastAsia="zh-CN"/>
                      <w14:textFill>
                        <w14:solidFill>
                          <w14:schemeClr w14:val="tx1"/>
                        </w14:solidFill>
                      </w14:textFill>
                    </w:rPr>
                    <w:t>2</w:t>
                  </w:r>
                  <w:r>
                    <w:rPr>
                      <w:rFonts w:hint="eastAsia"/>
                      <w:color w:val="000000" w:themeColor="text1"/>
                      <w14:textFill>
                        <w14:solidFill>
                          <w14:schemeClr w14:val="tx1"/>
                        </w14:solidFill>
                      </w14:textFill>
                    </w:rPr>
                    <w:t>，</w:t>
                  </w:r>
                  <w:r>
                    <w:rPr>
                      <w:rFonts w:hint="eastAsia" w:hAnsi="宋体"/>
                      <w:color w:val="000000" w:themeColor="text1"/>
                      <w:kern w:val="24"/>
                      <w:lang w:val="en-US" w:eastAsia="zh-CN"/>
                      <w14:textFill>
                        <w14:solidFill>
                          <w14:schemeClr w14:val="tx1"/>
                        </w14:solidFill>
                      </w14:textFill>
                    </w:rPr>
                    <w:t>北侧区域用于</w:t>
                  </w:r>
                  <w:r>
                    <w:rPr>
                      <w:rFonts w:hint="eastAsia"/>
                      <w:color w:val="000000" w:themeColor="text1"/>
                      <w:kern w:val="0"/>
                      <w14:textFill>
                        <w14:solidFill>
                          <w14:schemeClr w14:val="tx1"/>
                        </w14:solidFill>
                      </w14:textFill>
                    </w:rPr>
                    <w:t>汽车模具（含夹检具）</w:t>
                  </w:r>
                  <w:r>
                    <w:rPr>
                      <w:rFonts w:hint="eastAsia" w:hAnsi="宋体"/>
                      <w:color w:val="000000" w:themeColor="text1"/>
                      <w:kern w:val="24"/>
                      <w:lang w:val="en-US" w:eastAsia="zh-CN"/>
                      <w14:textFill>
                        <w14:solidFill>
                          <w14:schemeClr w14:val="tx1"/>
                        </w14:solidFill>
                      </w14:textFill>
                    </w:rPr>
                    <w:t>生产，由</w:t>
                  </w:r>
                  <w:r>
                    <w:rPr>
                      <w:rFonts w:hint="eastAsia" w:hAnsi="宋体"/>
                      <w:color w:val="000000" w:themeColor="text1"/>
                      <w:kern w:val="24"/>
                      <w14:textFill>
                        <w14:solidFill>
                          <w14:schemeClr w14:val="tx1"/>
                        </w14:solidFill>
                      </w14:textFill>
                    </w:rPr>
                    <w:t>西</w:t>
                  </w:r>
                  <w:r>
                    <w:rPr>
                      <w:rFonts w:hint="eastAsia" w:hAnsi="宋体"/>
                      <w:color w:val="000000" w:themeColor="text1"/>
                      <w:kern w:val="24"/>
                      <w:lang w:val="en-US" w:eastAsia="zh-CN"/>
                      <w14:textFill>
                        <w14:solidFill>
                          <w14:schemeClr w14:val="tx1"/>
                        </w14:solidFill>
                      </w14:textFill>
                    </w:rPr>
                    <w:t>向东</w:t>
                  </w:r>
                  <w:r>
                    <w:rPr>
                      <w:rFonts w:hint="eastAsia" w:hAnsi="宋体"/>
                      <w:color w:val="000000" w:themeColor="text1"/>
                      <w:kern w:val="24"/>
                      <w14:textFill>
                        <w14:solidFill>
                          <w14:schemeClr w14:val="tx1"/>
                        </w14:solidFill>
                      </w14:textFill>
                    </w:rPr>
                    <w:t>依次</w:t>
                  </w:r>
                  <w:r>
                    <w:rPr>
                      <w:rFonts w:hint="eastAsia" w:hAnsi="宋体"/>
                      <w:color w:val="000000" w:themeColor="text1"/>
                      <w:kern w:val="24"/>
                      <w:lang w:val="en-US" w:eastAsia="zh-CN"/>
                      <w14:textFill>
                        <w14:solidFill>
                          <w14:schemeClr w14:val="tx1"/>
                        </w14:solidFill>
                      </w14:textFill>
                    </w:rPr>
                    <w:t>设置</w:t>
                  </w:r>
                  <w:r>
                    <w:rPr>
                      <w:rFonts w:hint="eastAsia" w:hAnsi="宋体"/>
                      <w:color w:val="000000" w:themeColor="text1"/>
                      <w:kern w:val="24"/>
                      <w14:textFill>
                        <w14:solidFill>
                          <w14:schemeClr w14:val="tx1"/>
                        </w14:solidFill>
                      </w14:textFill>
                    </w:rPr>
                    <w:t>为</w:t>
                  </w:r>
                  <w:r>
                    <w:rPr>
                      <w:rFonts w:hint="eastAsia" w:hAnsi="宋体"/>
                      <w:color w:val="000000" w:themeColor="text1"/>
                      <w:kern w:val="24"/>
                      <w:lang w:val="en-US" w:eastAsia="zh-CN"/>
                      <w14:textFill>
                        <w14:solidFill>
                          <w14:schemeClr w14:val="tx1"/>
                        </w14:solidFill>
                      </w14:textFill>
                    </w:rPr>
                    <w:t>模具板材来料堆放区、机加工区、</w:t>
                  </w:r>
                  <w:r>
                    <w:rPr>
                      <w:rFonts w:hint="eastAsia" w:hAnsi="宋体"/>
                      <w:color w:val="000000" w:themeColor="text1"/>
                      <w:kern w:val="24"/>
                      <w14:textFill>
                        <w14:solidFill>
                          <w14:schemeClr w14:val="tx1"/>
                        </w14:solidFill>
                      </w14:textFill>
                    </w:rPr>
                    <w:t>模具装配区、模具研合调试区</w:t>
                  </w:r>
                  <w:r>
                    <w:rPr>
                      <w:rFonts w:hint="eastAsia" w:hAnsi="宋体"/>
                      <w:color w:val="000000" w:themeColor="text1"/>
                      <w:kern w:val="24"/>
                      <w:lang w:val="en-US" w:eastAsia="zh-CN"/>
                      <w14:textFill>
                        <w14:solidFill>
                          <w14:schemeClr w14:val="tx1"/>
                        </w14:solidFill>
                      </w14:textFill>
                    </w:rPr>
                    <w:t>和检具摆放区</w:t>
                  </w:r>
                  <w:r>
                    <w:rPr>
                      <w:rFonts w:hint="eastAsia" w:hAnsi="宋体"/>
                      <w:color w:val="000000" w:themeColor="text1"/>
                      <w:kern w:val="24"/>
                      <w14:textFill>
                        <w14:solidFill>
                          <w14:schemeClr w14:val="tx1"/>
                        </w14:solidFill>
                      </w14:textFill>
                    </w:rPr>
                    <w:t>，</w:t>
                  </w:r>
                  <w:r>
                    <w:rPr>
                      <w:rFonts w:hint="eastAsia" w:hAnsi="宋体"/>
                      <w:color w:val="000000" w:themeColor="text1"/>
                      <w:kern w:val="24"/>
                      <w:lang w:val="en-US" w:eastAsia="zh-CN"/>
                      <w14:textFill>
                        <w14:solidFill>
                          <w14:schemeClr w14:val="tx1"/>
                        </w14:solidFill>
                      </w14:textFill>
                    </w:rPr>
                    <w:t>机加工区布置了</w:t>
                  </w:r>
                  <w:r>
                    <w:rPr>
                      <w:rFonts w:hint="eastAsia" w:hAnsi="宋体"/>
                      <w:color w:val="000000" w:themeColor="text1"/>
                      <w:kern w:val="24"/>
                      <w14:textFill>
                        <w14:solidFill>
                          <w14:schemeClr w14:val="tx1"/>
                        </w14:solidFill>
                      </w14:textFill>
                    </w:rPr>
                    <w:t>线切割及车床、铣床加工区</w:t>
                  </w:r>
                  <w:r>
                    <w:rPr>
                      <w:rFonts w:hint="eastAsia" w:hAnsi="宋体"/>
                      <w:color w:val="000000" w:themeColor="text1"/>
                      <w:kern w:val="24"/>
                      <w:lang w:val="en-US" w:eastAsia="zh-CN"/>
                      <w14:textFill>
                        <w14:solidFill>
                          <w14:schemeClr w14:val="tx1"/>
                        </w14:solidFill>
                      </w14:textFill>
                    </w:rPr>
                    <w:t>和龙门加工中心，</w:t>
                  </w:r>
                  <w:r>
                    <w:rPr>
                      <w:rFonts w:hint="eastAsia"/>
                      <w:snapToGrid w:val="0"/>
                      <w:color w:val="000000" w:themeColor="text1"/>
                      <w:kern w:val="0"/>
                      <w:szCs w:val="21"/>
                      <w14:textFill>
                        <w14:solidFill>
                          <w14:schemeClr w14:val="tx1"/>
                        </w14:solidFill>
                      </w14:textFill>
                    </w:rPr>
                    <w:t>可年产</w:t>
                  </w:r>
                  <w:r>
                    <w:rPr>
                      <w:rFonts w:hint="eastAsia"/>
                      <w:color w:val="000000" w:themeColor="text1"/>
                      <w:kern w:val="0"/>
                      <w14:textFill>
                        <w14:solidFill>
                          <w14:schemeClr w14:val="tx1"/>
                        </w14:solidFill>
                      </w14:textFill>
                    </w:rPr>
                    <w:t>汽车模具（含夹检具）1000吨</w:t>
                  </w:r>
                  <w:r>
                    <w:rPr>
                      <w:rFonts w:hint="eastAsia" w:hAnsi="宋体"/>
                      <w:color w:val="000000" w:themeColor="text1"/>
                      <w:kern w:val="24"/>
                      <w:lang w:val="en-US" w:eastAsia="zh-CN"/>
                      <w14:textFill>
                        <w14:solidFill>
                          <w14:schemeClr w14:val="tx1"/>
                        </w14:solidFill>
                      </w14:textFill>
                    </w:rPr>
                    <w:t>；南侧区域用于新能源汽车冲焊件生产，由</w:t>
                  </w:r>
                  <w:r>
                    <w:rPr>
                      <w:rFonts w:hint="eastAsia" w:hAnsi="宋体"/>
                      <w:color w:val="000000" w:themeColor="text1"/>
                      <w:kern w:val="24"/>
                      <w14:textFill>
                        <w14:solidFill>
                          <w14:schemeClr w14:val="tx1"/>
                        </w14:solidFill>
                      </w14:textFill>
                    </w:rPr>
                    <w:t>西</w:t>
                  </w:r>
                  <w:r>
                    <w:rPr>
                      <w:rFonts w:hint="eastAsia" w:hAnsi="宋体"/>
                      <w:color w:val="000000" w:themeColor="text1"/>
                      <w:kern w:val="24"/>
                      <w:lang w:val="en-US" w:eastAsia="zh-CN"/>
                      <w14:textFill>
                        <w14:solidFill>
                          <w14:schemeClr w14:val="tx1"/>
                        </w14:solidFill>
                      </w14:textFill>
                    </w:rPr>
                    <w:t>向东</w:t>
                  </w:r>
                  <w:r>
                    <w:rPr>
                      <w:rFonts w:hint="eastAsia" w:hAnsi="宋体"/>
                      <w:color w:val="000000" w:themeColor="text1"/>
                      <w:kern w:val="24"/>
                      <w14:textFill>
                        <w14:solidFill>
                          <w14:schemeClr w14:val="tx1"/>
                        </w14:solidFill>
                      </w14:textFill>
                    </w:rPr>
                    <w:t>依次</w:t>
                  </w:r>
                  <w:r>
                    <w:rPr>
                      <w:rFonts w:hint="eastAsia" w:hAnsi="宋体"/>
                      <w:color w:val="000000" w:themeColor="text1"/>
                      <w:kern w:val="24"/>
                      <w:lang w:val="en-US" w:eastAsia="zh-CN"/>
                      <w14:textFill>
                        <w14:solidFill>
                          <w14:schemeClr w14:val="tx1"/>
                        </w14:solidFill>
                      </w14:textFill>
                    </w:rPr>
                    <w:t>设置</w:t>
                  </w:r>
                  <w:r>
                    <w:rPr>
                      <w:rFonts w:hint="eastAsia" w:hAnsi="宋体"/>
                      <w:color w:val="000000" w:themeColor="text1"/>
                      <w:kern w:val="24"/>
                      <w14:textFill>
                        <w14:solidFill>
                          <w14:schemeClr w14:val="tx1"/>
                        </w14:solidFill>
                      </w14:textFill>
                    </w:rPr>
                    <w:t>为</w:t>
                  </w:r>
                  <w:r>
                    <w:rPr>
                      <w:rFonts w:hint="eastAsia" w:hAnsi="宋体"/>
                      <w:color w:val="000000" w:themeColor="text1"/>
                      <w:kern w:val="24"/>
                      <w:lang w:val="en-US" w:eastAsia="zh-CN"/>
                      <w14:textFill>
                        <w14:solidFill>
                          <w14:schemeClr w14:val="tx1"/>
                        </w14:solidFill>
                      </w14:textFill>
                    </w:rPr>
                    <w:t>模具及材料堆放区、冲压区、凸焊区、冲压件仓库，</w:t>
                  </w:r>
                  <w:r>
                    <w:rPr>
                      <w:rFonts w:hint="eastAsia"/>
                      <w:snapToGrid w:val="0"/>
                      <w:color w:val="000000" w:themeColor="text1"/>
                      <w:kern w:val="0"/>
                      <w:szCs w:val="21"/>
                      <w14:textFill>
                        <w14:solidFill>
                          <w14:schemeClr w14:val="tx1"/>
                        </w14:solidFill>
                      </w14:textFill>
                    </w:rPr>
                    <w:t>可年产新增新能源汽车冲焊件3000万件</w:t>
                  </w:r>
                  <w:r>
                    <w:rPr>
                      <w:rFonts w:hint="eastAsia" w:hAnsi="宋体"/>
                      <w:color w:val="000000" w:themeColor="text1"/>
                      <w:kern w:val="24"/>
                      <w14:textFill>
                        <w14:solidFill>
                          <w14:schemeClr w14:val="tx1"/>
                        </w14:solidFill>
                      </w14:textFill>
                    </w:rPr>
                    <w:t>。</w:t>
                  </w:r>
                  <w:commentRangeStart w:id="6"/>
                  <w:commentRangeStart w:id="7"/>
                  <w:r>
                    <w:rPr>
                      <w:color w:val="000000" w:themeColor="text1"/>
                      <w14:textFill>
                        <w14:solidFill>
                          <w14:schemeClr w14:val="tx1"/>
                        </w14:solidFill>
                      </w14:textFill>
                    </w:rPr>
                    <w:commentReference w:id="6"/>
                  </w:r>
                  <w:commentRangeEnd w:id="6"/>
                  <w:commentRangeEnd w:id="7"/>
                  <w:r>
                    <w:rPr>
                      <w:color w:val="000000" w:themeColor="text1"/>
                      <w14:textFill>
                        <w14:solidFill>
                          <w14:schemeClr w14:val="tx1"/>
                        </w14:solidFill>
                      </w14:textFill>
                    </w:rPr>
                    <w:commentReference w:id="7"/>
                  </w:r>
                </w:p>
              </w:tc>
              <w:tc>
                <w:tcPr>
                  <w:tcW w:w="694" w:type="pct"/>
                  <w:vAlign w:val="center"/>
                </w:tcPr>
                <w:p>
                  <w:pPr>
                    <w:pStyle w:val="22"/>
                    <w:rPr>
                      <w:color w:val="000000" w:themeColor="text1"/>
                      <w14:textFill>
                        <w14:solidFill>
                          <w14:schemeClr w14:val="tx1"/>
                        </w14:solidFill>
                      </w14:textFill>
                    </w:rPr>
                  </w:pPr>
                  <w:r>
                    <w:rPr>
                      <w:rFonts w:hint="eastAsia"/>
                      <w:color w:val="000000" w:themeColor="text1"/>
                      <w14:textFill>
                        <w14:solidFill>
                          <w14:schemeClr w14:val="tx1"/>
                        </w14:solidFill>
                      </w14:textFill>
                    </w:rPr>
                    <w:t>厂房租赁，购置生产设备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393" w:type="pct"/>
                  <w:vAlign w:val="center"/>
                </w:tcPr>
                <w:p>
                  <w:pPr>
                    <w:pStyle w:val="22"/>
                    <w:rPr>
                      <w:color w:val="000000" w:themeColor="text1"/>
                      <w14:textFill>
                        <w14:solidFill>
                          <w14:schemeClr w14:val="tx1"/>
                        </w14:solidFill>
                      </w14:textFill>
                    </w:rPr>
                  </w:pPr>
                  <w:r>
                    <w:rPr>
                      <w:rFonts w:hint="eastAsia"/>
                      <w:color w:val="000000" w:themeColor="text1"/>
                      <w14:textFill>
                        <w14:solidFill>
                          <w14:schemeClr w14:val="tx1"/>
                        </w14:solidFill>
                      </w14:textFill>
                    </w:rPr>
                    <w:t>辅助工程</w:t>
                  </w:r>
                </w:p>
              </w:tc>
              <w:tc>
                <w:tcPr>
                  <w:tcW w:w="881" w:type="pct"/>
                  <w:gridSpan w:val="2"/>
                  <w:vAlign w:val="center"/>
                </w:tcPr>
                <w:p>
                  <w:pPr>
                    <w:pStyle w:val="22"/>
                    <w:rPr>
                      <w:color w:val="000000" w:themeColor="text1"/>
                      <w14:textFill>
                        <w14:solidFill>
                          <w14:schemeClr w14:val="tx1"/>
                        </w14:solidFill>
                      </w14:textFill>
                    </w:rPr>
                  </w:pPr>
                  <w:r>
                    <w:rPr>
                      <w:rFonts w:hint="eastAsia"/>
                      <w:color w:val="000000" w:themeColor="text1"/>
                      <w14:textFill>
                        <w14:solidFill>
                          <w14:schemeClr w14:val="tx1"/>
                        </w14:solidFill>
                      </w14:textFill>
                    </w:rPr>
                    <w:t>综合办公楼</w:t>
                  </w:r>
                </w:p>
              </w:tc>
              <w:tc>
                <w:tcPr>
                  <w:tcW w:w="3030" w:type="pct"/>
                  <w:vAlign w:val="center"/>
                </w:tcPr>
                <w:p>
                  <w:pPr>
                    <w:pStyle w:val="22"/>
                    <w:rPr>
                      <w:rFonts w:hint="default"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位于厂房</w:t>
                  </w:r>
                  <w:r>
                    <w:rPr>
                      <w:rFonts w:hint="eastAsia"/>
                      <w:color w:val="000000" w:themeColor="text1"/>
                      <w:lang w:val="en-US" w:eastAsia="zh-CN"/>
                      <w14:textFill>
                        <w14:solidFill>
                          <w14:schemeClr w14:val="tx1"/>
                        </w14:solidFill>
                      </w14:textFill>
                    </w:rPr>
                    <w:t>西南</w:t>
                  </w:r>
                  <w:r>
                    <w:rPr>
                      <w:rFonts w:hint="eastAsia"/>
                      <w:color w:val="000000" w:themeColor="text1"/>
                      <w14:textFill>
                        <w14:solidFill>
                          <w14:schemeClr w14:val="tx1"/>
                        </w14:solidFill>
                      </w14:textFill>
                    </w:rPr>
                    <w:t>侧</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共4层。其中，一层为三坐标、生产办公室、仓库、大厅；二层为综合办公用房；三层为员工食堂（员工用餐均为外送）；四层为员工宿舍。</w:t>
                  </w:r>
                </w:p>
              </w:tc>
              <w:tc>
                <w:tcPr>
                  <w:tcW w:w="694"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393" w:type="pct"/>
                  <w:vAlign w:val="center"/>
                </w:tcPr>
                <w:p>
                  <w:pPr>
                    <w:pStyle w:val="22"/>
                    <w:rPr>
                      <w:color w:val="000000" w:themeColor="text1"/>
                      <w14:textFill>
                        <w14:solidFill>
                          <w14:schemeClr w14:val="tx1"/>
                        </w14:solidFill>
                      </w14:textFill>
                    </w:rPr>
                  </w:pPr>
                  <w:r>
                    <w:rPr>
                      <w:color w:val="000000" w:themeColor="text1"/>
                      <w14:textFill>
                        <w14:solidFill>
                          <w14:schemeClr w14:val="tx1"/>
                        </w14:solidFill>
                      </w14:textFill>
                    </w:rPr>
                    <w:t>储运工程</w:t>
                  </w:r>
                </w:p>
              </w:tc>
              <w:tc>
                <w:tcPr>
                  <w:tcW w:w="881" w:type="pct"/>
                  <w:gridSpan w:val="2"/>
                  <w:vAlign w:val="center"/>
                </w:tcPr>
                <w:p>
                  <w:pPr>
                    <w:pStyle w:val="22"/>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仓库</w:t>
                  </w:r>
                </w:p>
              </w:tc>
              <w:tc>
                <w:tcPr>
                  <w:tcW w:w="3030" w:type="pct"/>
                  <w:vAlign w:val="center"/>
                </w:tcPr>
                <w:p>
                  <w:pPr>
                    <w:pStyle w:val="2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位于租赁厂房内，设置多处原材料堆放区域，冲压件仓库位于厂房东侧，详细平面布置见附图。</w:t>
                  </w:r>
                </w:p>
              </w:tc>
              <w:tc>
                <w:tcPr>
                  <w:tcW w:w="694"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393" w:type="pct"/>
                  <w:vMerge w:val="restart"/>
                  <w:vAlign w:val="center"/>
                </w:tcPr>
                <w:p>
                  <w:pPr>
                    <w:pStyle w:val="22"/>
                    <w:rPr>
                      <w:color w:val="000000" w:themeColor="text1"/>
                      <w14:textFill>
                        <w14:solidFill>
                          <w14:schemeClr w14:val="tx1"/>
                        </w14:solidFill>
                      </w14:textFill>
                    </w:rPr>
                  </w:pPr>
                  <w:r>
                    <w:rPr>
                      <w:color w:val="000000" w:themeColor="text1"/>
                      <w14:textFill>
                        <w14:solidFill>
                          <w14:schemeClr w14:val="tx1"/>
                        </w14:solidFill>
                      </w14:textFill>
                    </w:rPr>
                    <w:t>公用工程</w:t>
                  </w:r>
                </w:p>
              </w:tc>
              <w:tc>
                <w:tcPr>
                  <w:tcW w:w="881" w:type="pct"/>
                  <w:gridSpan w:val="2"/>
                  <w:vAlign w:val="center"/>
                </w:tcPr>
                <w:p>
                  <w:pPr>
                    <w:pStyle w:val="22"/>
                    <w:rPr>
                      <w:color w:val="000000" w:themeColor="text1"/>
                      <w14:textFill>
                        <w14:solidFill>
                          <w14:schemeClr w14:val="tx1"/>
                        </w14:solidFill>
                      </w14:textFill>
                    </w:rPr>
                  </w:pPr>
                  <w:r>
                    <w:rPr>
                      <w:rFonts w:hint="eastAsia"/>
                      <w:color w:val="000000" w:themeColor="text1"/>
                      <w14:textFill>
                        <w14:solidFill>
                          <w14:schemeClr w14:val="tx1"/>
                        </w14:solidFill>
                      </w14:textFill>
                    </w:rPr>
                    <w:t>供水</w:t>
                  </w:r>
                  <w:r>
                    <w:rPr>
                      <w:color w:val="000000" w:themeColor="text1"/>
                      <w14:textFill>
                        <w14:solidFill>
                          <w14:schemeClr w14:val="tx1"/>
                        </w14:solidFill>
                      </w14:textFill>
                    </w:rPr>
                    <w:t>工程</w:t>
                  </w:r>
                </w:p>
              </w:tc>
              <w:tc>
                <w:tcPr>
                  <w:tcW w:w="3030" w:type="pct"/>
                  <w:vAlign w:val="center"/>
                </w:tcPr>
                <w:p>
                  <w:pPr>
                    <w:pStyle w:val="22"/>
                    <w:rPr>
                      <w:rFonts w:hint="eastAsia" w:eastAsia="宋体"/>
                      <w:color w:val="000000" w:themeColor="text1"/>
                      <w:lang w:eastAsia="zh-CN"/>
                      <w14:textFill>
                        <w14:solidFill>
                          <w14:schemeClr w14:val="tx1"/>
                        </w14:solidFill>
                      </w14:textFill>
                    </w:rPr>
                  </w:pPr>
                  <w:r>
                    <w:rPr>
                      <w:color w:val="000000" w:themeColor="text1"/>
                      <w14:textFill>
                        <w14:solidFill>
                          <w14:schemeClr w14:val="tx1"/>
                        </w14:solidFill>
                      </w14:textFill>
                    </w:rPr>
                    <w:t>由市政供水管网提供</w:t>
                  </w:r>
                  <w:commentRangeStart w:id="8"/>
                  <w:commentRangeStart w:id="9"/>
                  <w:r>
                    <w:rPr>
                      <w:color w:val="000000" w:themeColor="text1"/>
                      <w14:textFill>
                        <w14:solidFill>
                          <w14:schemeClr w14:val="tx1"/>
                        </w14:solidFill>
                      </w14:textFill>
                    </w:rPr>
                    <w:commentReference w:id="8"/>
                  </w:r>
                  <w:commentRangeEnd w:id="8"/>
                  <w:commentRangeEnd w:id="9"/>
                  <w:r>
                    <w:rPr>
                      <w:color w:val="000000" w:themeColor="text1"/>
                      <w14:textFill>
                        <w14:solidFill>
                          <w14:schemeClr w14:val="tx1"/>
                        </w14:solidFill>
                      </w14:textFill>
                    </w:rPr>
                    <w:commentReference w:id="9"/>
                  </w:r>
                  <w:r>
                    <w:rPr>
                      <w:rFonts w:hint="eastAsia"/>
                      <w:color w:val="000000" w:themeColor="text1"/>
                      <w:lang w:eastAsia="zh-CN"/>
                      <w14:textFill>
                        <w14:solidFill>
                          <w14:schemeClr w14:val="tx1"/>
                        </w14:solidFill>
                      </w14:textFill>
                    </w:rPr>
                    <w:t>，</w:t>
                  </w:r>
                  <w:r>
                    <w:rPr>
                      <w:rFonts w:hint="eastAsia"/>
                      <w:color w:val="000000" w:themeColor="text1"/>
                      <w:szCs w:val="21"/>
                      <w14:textFill>
                        <w14:solidFill>
                          <w14:schemeClr w14:val="tx1"/>
                        </w14:solidFill>
                      </w14:textFill>
                    </w:rPr>
                    <w:t>用水量为</w:t>
                  </w:r>
                  <w:r>
                    <w:rPr>
                      <w:rFonts w:hint="eastAsia"/>
                      <w:color w:val="000000" w:themeColor="text1"/>
                      <w:szCs w:val="21"/>
                      <w:lang w:val="en-US" w:eastAsia="zh-CN"/>
                      <w14:textFill>
                        <w14:solidFill>
                          <w14:schemeClr w14:val="tx1"/>
                        </w14:solidFill>
                      </w14:textFill>
                    </w:rPr>
                    <w:t>1935</w:t>
                  </w:r>
                  <w:r>
                    <w:rPr>
                      <w:rFonts w:hint="eastAsia"/>
                      <w:color w:val="000000" w:themeColor="text1"/>
                      <w:szCs w:val="21"/>
                      <w14:textFill>
                        <w14:solidFill>
                          <w14:schemeClr w14:val="tx1"/>
                        </w14:solidFill>
                      </w14:textFill>
                    </w:rPr>
                    <w:t>t/a</w:t>
                  </w:r>
                </w:p>
              </w:tc>
              <w:tc>
                <w:tcPr>
                  <w:tcW w:w="694" w:type="pct"/>
                  <w:vAlign w:val="center"/>
                </w:tcPr>
                <w:p>
                  <w:pPr>
                    <w:pStyle w:val="2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依托现有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93" w:type="pct"/>
                  <w:vMerge w:val="continue"/>
                  <w:vAlign w:val="center"/>
                </w:tcPr>
                <w:p>
                  <w:pPr>
                    <w:pStyle w:val="22"/>
                    <w:rPr>
                      <w:color w:val="000000" w:themeColor="text1"/>
                      <w14:textFill>
                        <w14:solidFill>
                          <w14:schemeClr w14:val="tx1"/>
                        </w14:solidFill>
                      </w14:textFill>
                    </w:rPr>
                  </w:pPr>
                </w:p>
              </w:tc>
              <w:tc>
                <w:tcPr>
                  <w:tcW w:w="881" w:type="pct"/>
                  <w:gridSpan w:val="2"/>
                  <w:vAlign w:val="center"/>
                </w:tcPr>
                <w:p>
                  <w:pPr>
                    <w:pStyle w:val="22"/>
                    <w:rPr>
                      <w:color w:val="000000" w:themeColor="text1"/>
                      <w14:textFill>
                        <w14:solidFill>
                          <w14:schemeClr w14:val="tx1"/>
                        </w14:solidFill>
                      </w14:textFill>
                    </w:rPr>
                  </w:pPr>
                  <w:r>
                    <w:rPr>
                      <w:color w:val="000000" w:themeColor="text1"/>
                      <w14:textFill>
                        <w14:solidFill>
                          <w14:schemeClr w14:val="tx1"/>
                        </w14:solidFill>
                      </w14:textFill>
                    </w:rPr>
                    <w:t>供电工程</w:t>
                  </w:r>
                </w:p>
              </w:tc>
              <w:tc>
                <w:tcPr>
                  <w:tcW w:w="3030" w:type="pct"/>
                  <w:vAlign w:val="center"/>
                </w:tcPr>
                <w:p>
                  <w:pPr>
                    <w:pStyle w:val="22"/>
                    <w:rPr>
                      <w:rFonts w:hint="eastAsia" w:eastAsia="宋体"/>
                      <w:color w:val="000000" w:themeColor="text1"/>
                      <w:lang w:eastAsia="zh-CN"/>
                      <w14:textFill>
                        <w14:solidFill>
                          <w14:schemeClr w14:val="tx1"/>
                        </w14:solidFill>
                      </w14:textFill>
                    </w:rPr>
                  </w:pPr>
                  <w:r>
                    <w:rPr>
                      <w:color w:val="000000" w:themeColor="text1"/>
                      <w14:textFill>
                        <w14:solidFill>
                          <w14:schemeClr w14:val="tx1"/>
                        </w14:solidFill>
                      </w14:textFill>
                    </w:rPr>
                    <w:t>由市政供电管网提供</w:t>
                  </w:r>
                  <w:r>
                    <w:rPr>
                      <w:rFonts w:hint="eastAsia"/>
                      <w:color w:val="000000" w:themeColor="text1"/>
                      <w:lang w:eastAsia="zh-CN"/>
                      <w14:textFill>
                        <w14:solidFill>
                          <w14:schemeClr w14:val="tx1"/>
                        </w14:solidFill>
                      </w14:textFill>
                    </w:rPr>
                    <w:t>，用电量为181.94万kWh</w:t>
                  </w:r>
                </w:p>
              </w:tc>
              <w:tc>
                <w:tcPr>
                  <w:tcW w:w="694" w:type="pct"/>
                  <w:vAlign w:val="center"/>
                </w:tcPr>
                <w:p>
                  <w:pPr>
                    <w:pStyle w:val="22"/>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依托现有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93" w:type="pct"/>
                  <w:vMerge w:val="continue"/>
                  <w:vAlign w:val="center"/>
                </w:tcPr>
                <w:p>
                  <w:pPr>
                    <w:pStyle w:val="22"/>
                    <w:rPr>
                      <w:color w:val="000000" w:themeColor="text1"/>
                      <w14:textFill>
                        <w14:solidFill>
                          <w14:schemeClr w14:val="tx1"/>
                        </w14:solidFill>
                      </w14:textFill>
                    </w:rPr>
                  </w:pPr>
                </w:p>
              </w:tc>
              <w:tc>
                <w:tcPr>
                  <w:tcW w:w="881" w:type="pct"/>
                  <w:gridSpan w:val="2"/>
                  <w:vAlign w:val="center"/>
                </w:tcPr>
                <w:p>
                  <w:pPr>
                    <w:pStyle w:val="22"/>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排水工程</w:t>
                  </w:r>
                </w:p>
              </w:tc>
              <w:tc>
                <w:tcPr>
                  <w:tcW w:w="3030" w:type="pct"/>
                  <w:vAlign w:val="center"/>
                </w:tcPr>
                <w:p>
                  <w:pPr>
                    <w:pStyle w:val="22"/>
                    <w:rPr>
                      <w:color w:val="000000" w:themeColor="text1"/>
                      <w14:textFill>
                        <w14:solidFill>
                          <w14:schemeClr w14:val="tx1"/>
                        </w14:solidFill>
                      </w14:textFill>
                    </w:rPr>
                  </w:pPr>
                  <w:r>
                    <w:rPr>
                      <w:rFonts w:hint="eastAsia"/>
                      <w:color w:val="000000" w:themeColor="text1"/>
                      <w14:textFill>
                        <w14:solidFill>
                          <w14:schemeClr w14:val="tx1"/>
                        </w14:solidFill>
                      </w14:textFill>
                    </w:rPr>
                    <w:t>项目排水采用雨、污分流制，生活污水经化粪池预处理后接市政污水管网进入天门山污水处理厂集中处理，</w:t>
                  </w:r>
                  <w:r>
                    <w:rPr>
                      <w:rFonts w:hint="eastAsia"/>
                      <w:color w:val="000000" w:themeColor="text1"/>
                      <w:lang w:eastAsia="zh-CN"/>
                      <w14:textFill>
                        <w14:solidFill>
                          <w14:schemeClr w14:val="tx1"/>
                        </w14:solidFill>
                      </w14:textFill>
                    </w:rPr>
                    <w:t>本项目排水量</w:t>
                  </w:r>
                  <w:r>
                    <w:rPr>
                      <w:rFonts w:hint="eastAsia"/>
                      <w:color w:val="000000" w:themeColor="text1"/>
                      <w:lang w:val="en-US" w:eastAsia="zh-CN"/>
                      <w14:textFill>
                        <w14:solidFill>
                          <w14:schemeClr w14:val="tx1"/>
                        </w14:solidFill>
                      </w14:textFill>
                    </w:rPr>
                    <w:t xml:space="preserve">1530 </w:t>
                  </w:r>
                  <w:r>
                    <w:rPr>
                      <w:rFonts w:hint="eastAsia"/>
                      <w:color w:val="000000" w:themeColor="text1"/>
                      <w:lang w:eastAsia="zh-CN"/>
                      <w14:textFill>
                        <w14:solidFill>
                          <w14:schemeClr w14:val="tx1"/>
                        </w14:solidFill>
                      </w14:textFill>
                    </w:rPr>
                    <w:t>t/a</w:t>
                  </w:r>
                </w:p>
              </w:tc>
              <w:tc>
                <w:tcPr>
                  <w:tcW w:w="694" w:type="pct"/>
                  <w:vAlign w:val="center"/>
                </w:tcPr>
                <w:p>
                  <w:pPr>
                    <w:pStyle w:val="22"/>
                    <w:rPr>
                      <w:rFonts w:hint="eastAsia"/>
                      <w:color w:val="000000" w:themeColor="text1"/>
                      <w:lang w:val="en-US" w:eastAsia="zh-CN"/>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393" w:type="pct"/>
                  <w:vMerge w:val="restart"/>
                  <w:vAlign w:val="center"/>
                </w:tcPr>
                <w:p>
                  <w:pPr>
                    <w:pStyle w:val="22"/>
                    <w:rPr>
                      <w:color w:val="000000" w:themeColor="text1"/>
                      <w14:textFill>
                        <w14:solidFill>
                          <w14:schemeClr w14:val="tx1"/>
                        </w14:solidFill>
                      </w14:textFill>
                    </w:rPr>
                  </w:pPr>
                  <w:r>
                    <w:rPr>
                      <w:color w:val="000000" w:themeColor="text1"/>
                      <w14:textFill>
                        <w14:solidFill>
                          <w14:schemeClr w14:val="tx1"/>
                        </w14:solidFill>
                      </w14:textFill>
                    </w:rPr>
                    <w:t>环保工</w:t>
                  </w:r>
                  <w:commentRangeStart w:id="10"/>
                  <w:commentRangeStart w:id="11"/>
                  <w:r>
                    <w:rPr>
                      <w:color w:val="000000" w:themeColor="text1"/>
                      <w14:textFill>
                        <w14:solidFill>
                          <w14:schemeClr w14:val="tx1"/>
                        </w14:solidFill>
                      </w14:textFill>
                    </w:rPr>
                    <w:commentReference w:id="10"/>
                  </w:r>
                  <w:commentRangeEnd w:id="10"/>
                  <w:commentRangeEnd w:id="11"/>
                  <w:r>
                    <w:rPr>
                      <w:color w:val="000000" w:themeColor="text1"/>
                      <w14:textFill>
                        <w14:solidFill>
                          <w14:schemeClr w14:val="tx1"/>
                        </w14:solidFill>
                      </w14:textFill>
                    </w:rPr>
                    <w:commentReference w:id="11"/>
                  </w:r>
                  <w:r>
                    <w:rPr>
                      <w:color w:val="000000" w:themeColor="text1"/>
                      <w14:textFill>
                        <w14:solidFill>
                          <w14:schemeClr w14:val="tx1"/>
                        </w14:solidFill>
                      </w14:textFill>
                    </w:rPr>
                    <w:t>程</w:t>
                  </w:r>
                </w:p>
              </w:tc>
              <w:tc>
                <w:tcPr>
                  <w:tcW w:w="881" w:type="pct"/>
                  <w:gridSpan w:val="2"/>
                  <w:vAlign w:val="center"/>
                </w:tcPr>
                <w:p>
                  <w:pPr>
                    <w:pStyle w:val="22"/>
                    <w:rPr>
                      <w:color w:val="000000" w:themeColor="text1"/>
                      <w14:textFill>
                        <w14:solidFill>
                          <w14:schemeClr w14:val="tx1"/>
                        </w14:solidFill>
                      </w14:textFill>
                    </w:rPr>
                  </w:pPr>
                  <w:r>
                    <w:rPr>
                      <w:color w:val="000000" w:themeColor="text1"/>
                      <w14:textFill>
                        <w14:solidFill>
                          <w14:schemeClr w14:val="tx1"/>
                        </w14:solidFill>
                      </w14:textFill>
                    </w:rPr>
                    <w:t>废气</w:t>
                  </w:r>
                  <w:r>
                    <w:rPr>
                      <w:rFonts w:hint="eastAsia"/>
                      <w:color w:val="000000" w:themeColor="text1"/>
                      <w14:textFill>
                        <w14:solidFill>
                          <w14:schemeClr w14:val="tx1"/>
                        </w14:solidFill>
                      </w14:textFill>
                    </w:rPr>
                    <w:t>治理</w:t>
                  </w:r>
                </w:p>
              </w:tc>
              <w:tc>
                <w:tcPr>
                  <w:tcW w:w="3030" w:type="pct"/>
                  <w:vAlign w:val="center"/>
                </w:tcPr>
                <w:p>
                  <w:pPr>
                    <w:pStyle w:val="22"/>
                    <w:rPr>
                      <w:rFonts w:hint="eastAsia"/>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打磨粉尘经设备自带的除尘器处理后</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收集效率</w:t>
                  </w:r>
                  <w:r>
                    <w:rPr>
                      <w:rFonts w:hint="eastAsia"/>
                      <w:color w:val="000000" w:themeColor="text1"/>
                      <w:lang w:val="en-US" w:eastAsia="zh-CN"/>
                      <w14:textFill>
                        <w14:solidFill>
                          <w14:schemeClr w14:val="tx1"/>
                        </w14:solidFill>
                      </w14:textFill>
                    </w:rPr>
                    <w:t>8</w:t>
                  </w:r>
                  <w:r>
                    <w:rPr>
                      <w:rFonts w:hint="eastAsia"/>
                      <w:color w:val="000000" w:themeColor="text1"/>
                      <w14:textFill>
                        <w14:solidFill>
                          <w14:schemeClr w14:val="tx1"/>
                        </w14:solidFill>
                      </w14:textFill>
                    </w:rPr>
                    <w:t>0%，处理效率9</w:t>
                  </w:r>
                  <w:r>
                    <w:rPr>
                      <w:rFonts w:hint="eastAsia"/>
                      <w:color w:val="000000" w:themeColor="text1"/>
                      <w:lang w:val="en-US" w:eastAsia="zh-CN"/>
                      <w14:textFill>
                        <w14:solidFill>
                          <w14:schemeClr w14:val="tx1"/>
                        </w14:solidFill>
                      </w14:textFill>
                    </w:rPr>
                    <w:t>5</w:t>
                  </w:r>
                  <w:r>
                    <w:rPr>
                      <w:rFonts w:hint="eastAsia"/>
                      <w:color w:val="000000" w:themeColor="text1"/>
                      <w14:textFill>
                        <w14:solidFill>
                          <w14:schemeClr w14:val="tx1"/>
                        </w14:solidFill>
                      </w14:textFill>
                    </w:rPr>
                    <w:t>%</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无组织排放</w:t>
                  </w:r>
                </w:p>
                <w:p>
                  <w:pPr>
                    <w:pStyle w:val="2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焊接烟尘经移动式焊烟除尘器处理后（</w:t>
                  </w:r>
                  <w:r>
                    <w:rPr>
                      <w:rFonts w:hint="eastAsia"/>
                      <w:color w:val="000000" w:themeColor="text1"/>
                      <w14:textFill>
                        <w14:solidFill>
                          <w14:schemeClr w14:val="tx1"/>
                        </w14:solidFill>
                      </w14:textFill>
                    </w:rPr>
                    <w:t>收集效率</w:t>
                  </w:r>
                  <w:r>
                    <w:rPr>
                      <w:rFonts w:hint="eastAsia"/>
                      <w:color w:val="000000" w:themeColor="text1"/>
                      <w:lang w:val="en-US" w:eastAsia="zh-CN"/>
                      <w14:textFill>
                        <w14:solidFill>
                          <w14:schemeClr w14:val="tx1"/>
                        </w14:solidFill>
                      </w14:textFill>
                    </w:rPr>
                    <w:t>8</w:t>
                  </w:r>
                  <w:r>
                    <w:rPr>
                      <w:rFonts w:hint="eastAsia"/>
                      <w:color w:val="000000" w:themeColor="text1"/>
                      <w14:textFill>
                        <w14:solidFill>
                          <w14:schemeClr w14:val="tx1"/>
                        </w14:solidFill>
                      </w14:textFill>
                    </w:rPr>
                    <w:t>0%，处理效率9</w:t>
                  </w:r>
                  <w:r>
                    <w:rPr>
                      <w:rFonts w:hint="eastAsia"/>
                      <w:color w:val="000000" w:themeColor="text1"/>
                      <w:lang w:val="en-US" w:eastAsia="zh-CN"/>
                      <w14:textFill>
                        <w14:solidFill>
                          <w14:schemeClr w14:val="tx1"/>
                        </w14:solidFill>
                      </w14:textFill>
                    </w:rPr>
                    <w:t>5</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w:t>
                  </w:r>
                  <w:r>
                    <w:rPr>
                      <w:rFonts w:hint="eastAsia"/>
                      <w:color w:val="000000" w:themeColor="text1"/>
                      <w14:textFill>
                        <w14:solidFill>
                          <w14:schemeClr w14:val="tx1"/>
                        </w14:solidFill>
                      </w14:textFill>
                    </w:rPr>
                    <w:t>无组织排放</w:t>
                  </w:r>
                </w:p>
              </w:tc>
              <w:tc>
                <w:tcPr>
                  <w:tcW w:w="694" w:type="pct"/>
                  <w:vAlign w:val="center"/>
                </w:tcPr>
                <w:p>
                  <w:pPr>
                    <w:pStyle w:val="22"/>
                    <w:rPr>
                      <w:rFonts w:hint="eastAsia"/>
                      <w:color w:val="000000" w:themeColor="text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6" w:hRule="atLeast"/>
                <w:jc w:val="center"/>
              </w:trPr>
              <w:tc>
                <w:tcPr>
                  <w:tcW w:w="393" w:type="pct"/>
                  <w:vMerge w:val="continue"/>
                  <w:vAlign w:val="center"/>
                </w:tcPr>
                <w:p>
                  <w:pPr>
                    <w:pStyle w:val="22"/>
                    <w:rPr>
                      <w:color w:val="000000" w:themeColor="text1"/>
                      <w14:textFill>
                        <w14:solidFill>
                          <w14:schemeClr w14:val="tx1"/>
                        </w14:solidFill>
                      </w14:textFill>
                    </w:rPr>
                  </w:pPr>
                </w:p>
              </w:tc>
              <w:tc>
                <w:tcPr>
                  <w:tcW w:w="881" w:type="pct"/>
                  <w:gridSpan w:val="2"/>
                  <w:vAlign w:val="center"/>
                </w:tcPr>
                <w:p>
                  <w:pPr>
                    <w:pStyle w:val="22"/>
                    <w:rPr>
                      <w:color w:val="000000" w:themeColor="text1"/>
                      <w14:textFill>
                        <w14:solidFill>
                          <w14:schemeClr w14:val="tx1"/>
                        </w14:solidFill>
                      </w14:textFill>
                    </w:rPr>
                  </w:pPr>
                  <w:r>
                    <w:rPr>
                      <w:color w:val="000000" w:themeColor="text1"/>
                      <w14:textFill>
                        <w14:solidFill>
                          <w14:schemeClr w14:val="tx1"/>
                        </w14:solidFill>
                      </w14:textFill>
                    </w:rPr>
                    <w:t>废水</w:t>
                  </w:r>
                  <w:r>
                    <w:rPr>
                      <w:rFonts w:hint="eastAsia"/>
                      <w:color w:val="000000" w:themeColor="text1"/>
                      <w14:textFill>
                        <w14:solidFill>
                          <w14:schemeClr w14:val="tx1"/>
                        </w14:solidFill>
                      </w14:textFill>
                    </w:rPr>
                    <w:t>治理</w:t>
                  </w:r>
                </w:p>
              </w:tc>
              <w:tc>
                <w:tcPr>
                  <w:tcW w:w="3030" w:type="pct"/>
                  <w:vAlign w:val="center"/>
                </w:tcPr>
                <w:p>
                  <w:pPr>
                    <w:pStyle w:val="22"/>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生活废水经化粪池处理达标后</w:t>
                  </w:r>
                  <w:r>
                    <w:rPr>
                      <w:rFonts w:hint="eastAsia"/>
                      <w:color w:val="000000" w:themeColor="text1"/>
                      <w:lang w:val="en-US" w:eastAsia="zh-CN"/>
                      <w14:textFill>
                        <w14:solidFill>
                          <w14:schemeClr w14:val="tx1"/>
                        </w14:solidFill>
                      </w14:textFill>
                    </w:rPr>
                    <w:t>经</w:t>
                  </w:r>
                  <w:r>
                    <w:rPr>
                      <w:rFonts w:hint="eastAsia"/>
                      <w:color w:val="000000" w:themeColor="text1"/>
                      <w14:textFill>
                        <w14:solidFill>
                          <w14:schemeClr w14:val="tx1"/>
                        </w14:solidFill>
                      </w14:textFill>
                    </w:rPr>
                    <w:t>市政管网接管进入</w:t>
                  </w:r>
                  <w:r>
                    <w:rPr>
                      <w:rFonts w:hint="eastAsia"/>
                      <w:color w:val="000000" w:themeColor="text1"/>
                      <w:lang w:val="en-US" w:eastAsia="zh-CN"/>
                      <w14:textFill>
                        <w14:solidFill>
                          <w14:schemeClr w14:val="tx1"/>
                        </w14:solidFill>
                      </w14:textFill>
                    </w:rPr>
                    <w:t>天门山</w:t>
                  </w:r>
                  <w:r>
                    <w:rPr>
                      <w:rFonts w:hint="eastAsia"/>
                      <w:color w:val="000000" w:themeColor="text1"/>
                      <w14:textFill>
                        <w14:solidFill>
                          <w14:schemeClr w14:val="tx1"/>
                        </w14:solidFill>
                      </w14:textFill>
                    </w:rPr>
                    <w:t>污水处理厂集中处理</w:t>
                  </w:r>
                </w:p>
              </w:tc>
              <w:tc>
                <w:tcPr>
                  <w:tcW w:w="694" w:type="pct"/>
                  <w:vAlign w:val="center"/>
                </w:tcPr>
                <w:p>
                  <w:pPr>
                    <w:pStyle w:val="22"/>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依托现有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3" w:type="pct"/>
                  <w:vMerge w:val="continue"/>
                  <w:vAlign w:val="center"/>
                </w:tcPr>
                <w:p>
                  <w:pPr>
                    <w:pStyle w:val="22"/>
                    <w:rPr>
                      <w:color w:val="000000" w:themeColor="text1"/>
                      <w14:textFill>
                        <w14:solidFill>
                          <w14:schemeClr w14:val="tx1"/>
                        </w14:solidFill>
                      </w14:textFill>
                    </w:rPr>
                  </w:pPr>
                </w:p>
              </w:tc>
              <w:tc>
                <w:tcPr>
                  <w:tcW w:w="881" w:type="pct"/>
                  <w:gridSpan w:val="2"/>
                  <w:vAlign w:val="center"/>
                </w:tcPr>
                <w:p>
                  <w:pPr>
                    <w:pStyle w:val="22"/>
                    <w:rPr>
                      <w:color w:val="000000" w:themeColor="text1"/>
                      <w14:textFill>
                        <w14:solidFill>
                          <w14:schemeClr w14:val="tx1"/>
                        </w14:solidFill>
                      </w14:textFill>
                    </w:rPr>
                  </w:pPr>
                  <w:r>
                    <w:rPr>
                      <w:color w:val="000000" w:themeColor="text1"/>
                      <w14:textFill>
                        <w14:solidFill>
                          <w14:schemeClr w14:val="tx1"/>
                        </w14:solidFill>
                      </w14:textFill>
                    </w:rPr>
                    <w:t>噪声</w:t>
                  </w:r>
                  <w:r>
                    <w:rPr>
                      <w:rFonts w:hint="eastAsia"/>
                      <w:color w:val="000000" w:themeColor="text1"/>
                      <w14:textFill>
                        <w14:solidFill>
                          <w14:schemeClr w14:val="tx1"/>
                        </w14:solidFill>
                      </w14:textFill>
                    </w:rPr>
                    <w:t>治理</w:t>
                  </w:r>
                </w:p>
              </w:tc>
              <w:tc>
                <w:tcPr>
                  <w:tcW w:w="3030" w:type="pct"/>
                  <w:vAlign w:val="center"/>
                </w:tcPr>
                <w:p>
                  <w:pPr>
                    <w:pStyle w:val="22"/>
                    <w:rPr>
                      <w:color w:val="000000" w:themeColor="text1"/>
                      <w14:textFill>
                        <w14:solidFill>
                          <w14:schemeClr w14:val="tx1"/>
                        </w14:solidFill>
                      </w14:textFill>
                    </w:rPr>
                  </w:pPr>
                  <w:r>
                    <w:rPr>
                      <w:rFonts w:hint="eastAsia"/>
                      <w:color w:val="000000" w:themeColor="text1"/>
                      <w14:textFill>
                        <w14:solidFill>
                          <w14:schemeClr w14:val="tx1"/>
                        </w14:solidFill>
                      </w14:textFill>
                    </w:rPr>
                    <w:t>合理布局，墙体隔声，减震垫、采用先进设备</w:t>
                  </w:r>
                </w:p>
              </w:tc>
              <w:tc>
                <w:tcPr>
                  <w:tcW w:w="694" w:type="pct"/>
                  <w:vAlign w:val="center"/>
                </w:tcPr>
                <w:p>
                  <w:pPr>
                    <w:pStyle w:val="22"/>
                    <w:rPr>
                      <w:rFonts w:hint="eastAsia"/>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3" w:type="pct"/>
                  <w:vMerge w:val="continue"/>
                  <w:vAlign w:val="center"/>
                </w:tcPr>
                <w:p>
                  <w:pPr>
                    <w:pStyle w:val="22"/>
                    <w:rPr>
                      <w:color w:val="000000" w:themeColor="text1"/>
                      <w14:textFill>
                        <w14:solidFill>
                          <w14:schemeClr w14:val="tx1"/>
                        </w14:solidFill>
                      </w14:textFill>
                    </w:rPr>
                  </w:pPr>
                </w:p>
              </w:tc>
              <w:tc>
                <w:tcPr>
                  <w:tcW w:w="881" w:type="pct"/>
                  <w:gridSpan w:val="2"/>
                  <w:vAlign w:val="center"/>
                </w:tcPr>
                <w:p>
                  <w:pPr>
                    <w:pStyle w:val="22"/>
                    <w:rPr>
                      <w:color w:val="000000" w:themeColor="text1"/>
                      <w14:textFill>
                        <w14:solidFill>
                          <w14:schemeClr w14:val="tx1"/>
                        </w14:solidFill>
                      </w14:textFill>
                    </w:rPr>
                  </w:pPr>
                  <w:r>
                    <w:rPr>
                      <w:rFonts w:hint="eastAsia"/>
                      <w:color w:val="000000" w:themeColor="text1"/>
                      <w14:textFill>
                        <w14:solidFill>
                          <w14:schemeClr w14:val="tx1"/>
                        </w14:solidFill>
                      </w14:textFill>
                    </w:rPr>
                    <w:t>固废治理</w:t>
                  </w:r>
                </w:p>
              </w:tc>
              <w:tc>
                <w:tcPr>
                  <w:tcW w:w="3030" w:type="pct"/>
                  <w:vAlign w:val="center"/>
                </w:tcPr>
                <w:p>
                  <w:pPr>
                    <w:pStyle w:val="22"/>
                    <w:rPr>
                      <w:color w:val="000000" w:themeColor="text1"/>
                      <w14:textFill>
                        <w14:solidFill>
                          <w14:schemeClr w14:val="tx1"/>
                        </w14:solidFill>
                      </w14:textFill>
                    </w:rPr>
                  </w:pPr>
                  <w:r>
                    <w:rPr>
                      <w:rFonts w:hint="eastAsia"/>
                      <w:color w:val="000000" w:themeColor="text1"/>
                      <w14:textFill>
                        <w14:solidFill>
                          <w14:schemeClr w14:val="tx1"/>
                        </w14:solidFill>
                      </w14:textFill>
                    </w:rPr>
                    <w:t>边角料、不合格产品、打磨粉尘及除尘器收集的粉尘暂存于一般固废库中；危险废物暂存于危废仓库（</w:t>
                  </w:r>
                  <w:r>
                    <w:rPr>
                      <w:rFonts w:hint="eastAsia"/>
                      <w:color w:val="000000" w:themeColor="text1"/>
                      <w:lang w:val="en-US" w:eastAsia="zh-CN"/>
                      <w14:textFill>
                        <w14:solidFill>
                          <w14:schemeClr w14:val="tx1"/>
                        </w14:solidFill>
                      </w14:textFill>
                    </w:rPr>
                    <w:t>20</w:t>
                  </w:r>
                  <w:r>
                    <w:rPr>
                      <w:rFonts w:hint="eastAsia"/>
                      <w:color w:val="000000" w:themeColor="text1"/>
                      <w14:textFill>
                        <w14:solidFill>
                          <w14:schemeClr w14:val="tx1"/>
                        </w14:solidFill>
                      </w14:textFill>
                    </w:rPr>
                    <w:t>m</w:t>
                  </w:r>
                  <w:r>
                    <w:rPr>
                      <w:rFonts w:hint="eastAsia"/>
                      <w:color w:val="000000" w:themeColor="text1"/>
                      <w:vertAlign w:val="superscript"/>
                      <w14:textFill>
                        <w14:solidFill>
                          <w14:schemeClr w14:val="tx1"/>
                        </w14:solidFill>
                      </w14:textFill>
                    </w:rPr>
                    <w:t>2</w:t>
                  </w:r>
                  <w:r>
                    <w:rPr>
                      <w:rFonts w:hint="eastAsia"/>
                      <w:color w:val="000000" w:themeColor="text1"/>
                      <w14:textFill>
                        <w14:solidFill>
                          <w14:schemeClr w14:val="tx1"/>
                        </w14:solidFill>
                      </w14:textFill>
                    </w:rPr>
                    <w:t>），定期交由有相关资质的单位处理，</w:t>
                  </w:r>
                  <w:commentRangeStart w:id="12"/>
                  <w:commentRangeStart w:id="13"/>
                  <w:r>
                    <w:rPr>
                      <w:color w:val="000000" w:themeColor="text1"/>
                      <w14:textFill>
                        <w14:solidFill>
                          <w14:schemeClr w14:val="tx1"/>
                        </w14:solidFill>
                      </w14:textFill>
                    </w:rPr>
                    <w:commentReference w:id="12"/>
                  </w:r>
                  <w:commentRangeEnd w:id="12"/>
                  <w:commentRangeEnd w:id="13"/>
                  <w:r>
                    <w:rPr>
                      <w:color w:val="000000" w:themeColor="text1"/>
                      <w14:textFill>
                        <w14:solidFill>
                          <w14:schemeClr w14:val="tx1"/>
                        </w14:solidFill>
                      </w14:textFill>
                    </w:rPr>
                    <w:commentReference w:id="13"/>
                  </w:r>
                  <w:r>
                    <w:rPr>
                      <w:rFonts w:hint="eastAsia"/>
                      <w:color w:val="000000" w:themeColor="text1"/>
                      <w14:textFill>
                        <w14:solidFill>
                          <w14:schemeClr w14:val="tx1"/>
                        </w14:solidFill>
                      </w14:textFill>
                    </w:rPr>
                    <w:t>危险仓库按要求做好防腐、防渗等措施；生活垃圾交由环卫部门统一处理</w:t>
                  </w:r>
                </w:p>
              </w:tc>
              <w:tc>
                <w:tcPr>
                  <w:tcW w:w="694" w:type="pct"/>
                  <w:vAlign w:val="center"/>
                </w:tcPr>
                <w:p>
                  <w:pPr>
                    <w:pStyle w:val="22"/>
                    <w:rPr>
                      <w:rFonts w:hint="eastAsia"/>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3" w:type="pct"/>
                  <w:vMerge w:val="continue"/>
                  <w:vAlign w:val="center"/>
                </w:tcPr>
                <w:p>
                  <w:pPr>
                    <w:pStyle w:val="22"/>
                    <w:rPr>
                      <w:color w:val="000000" w:themeColor="text1"/>
                      <w14:textFill>
                        <w14:solidFill>
                          <w14:schemeClr w14:val="tx1"/>
                        </w14:solidFill>
                      </w14:textFill>
                    </w:rPr>
                  </w:pPr>
                </w:p>
              </w:tc>
              <w:tc>
                <w:tcPr>
                  <w:tcW w:w="440" w:type="pct"/>
                  <w:vMerge w:val="restart"/>
                  <w:vAlign w:val="center"/>
                </w:tcPr>
                <w:p>
                  <w:pPr>
                    <w:pStyle w:val="22"/>
                    <w:rPr>
                      <w:rFonts w:hint="eastAsia"/>
                      <w:color w:val="000000" w:themeColor="text1"/>
                      <w14:textFill>
                        <w14:solidFill>
                          <w14:schemeClr w14:val="tx1"/>
                        </w14:solidFill>
                      </w14:textFill>
                    </w:rPr>
                  </w:pPr>
                  <w:r>
                    <w:rPr>
                      <w:color w:val="000000" w:themeColor="text1"/>
                      <w14:textFill>
                        <w14:solidFill>
                          <w14:schemeClr w14:val="tx1"/>
                        </w14:solidFill>
                      </w14:textFill>
                    </w:rPr>
                    <w:t>地下水、土壤防护</w:t>
                  </w:r>
                </w:p>
              </w:tc>
              <w:tc>
                <w:tcPr>
                  <w:tcW w:w="440" w:type="pct"/>
                  <w:vAlign w:val="center"/>
                </w:tcPr>
                <w:p>
                  <w:pPr>
                    <w:pStyle w:val="22"/>
                    <w:bidi w:val="0"/>
                    <w:ind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重点防渗</w:t>
                  </w:r>
                </w:p>
              </w:tc>
              <w:tc>
                <w:tcPr>
                  <w:tcW w:w="3030" w:type="pct"/>
                  <w:vAlign w:val="center"/>
                </w:tcPr>
                <w:p>
                  <w:pPr>
                    <w:pStyle w:val="22"/>
                    <w:bidi w:val="0"/>
                    <w:ind w:firstLine="0" w:firstLineChars="0"/>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危废间、油类等液体原料存放区、铣床加工中心生产区域</w:t>
                  </w:r>
                  <w:r>
                    <w:rPr>
                      <w:rFonts w:hint="eastAsia"/>
                      <w:color w:val="000000" w:themeColor="text1"/>
                      <w:lang w:eastAsia="zh-CN"/>
                      <w14:textFill>
                        <w14:solidFill>
                          <w14:schemeClr w14:val="tx1"/>
                        </w14:solidFill>
                      </w14:textFill>
                    </w:rPr>
                    <w:t>，</w:t>
                  </w:r>
                  <w:r>
                    <w:rPr>
                      <w:color w:val="000000" w:themeColor="text1"/>
                      <w:szCs w:val="21"/>
                      <w14:textFill>
                        <w14:solidFill>
                          <w14:schemeClr w14:val="tx1"/>
                        </w14:solidFill>
                      </w14:textFill>
                    </w:rPr>
                    <w:t>防渗措施：</w:t>
                  </w:r>
                  <w:r>
                    <w:rPr>
                      <w:rFonts w:hint="eastAsia"/>
                      <w:color w:val="000000" w:themeColor="text1"/>
                      <w:szCs w:val="21"/>
                      <w14:textFill>
                        <w14:solidFill>
                          <w14:schemeClr w14:val="tx1"/>
                        </w14:solidFill>
                      </w14:textFill>
                    </w:rPr>
                    <w:t>采用混凝土基础，上层铺防腐防渗环氧树脂地坪</w:t>
                  </w:r>
                  <w:r>
                    <w:rPr>
                      <w:rFonts w:hint="eastAsia"/>
                      <w:color w:val="000000" w:themeColor="text1"/>
                      <w:szCs w:val="21"/>
                      <w:lang w:eastAsia="zh-CN"/>
                      <w14:textFill>
                        <w14:solidFill>
                          <w14:schemeClr w14:val="tx1"/>
                        </w14:solidFill>
                      </w14:textFill>
                    </w:rPr>
                    <w:t>，等效黏土防渗层Mb≥6.0m，K≤10-7cm/s；或参照GB18598执行</w:t>
                  </w:r>
                </w:p>
              </w:tc>
              <w:tc>
                <w:tcPr>
                  <w:tcW w:w="694" w:type="pct"/>
                  <w:vAlign w:val="center"/>
                </w:tcPr>
                <w:p>
                  <w:pPr>
                    <w:pStyle w:val="22"/>
                    <w:rPr>
                      <w:rFonts w:hint="eastAsia"/>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3" w:type="pct"/>
                  <w:vMerge w:val="continue"/>
                  <w:vAlign w:val="center"/>
                </w:tcPr>
                <w:p>
                  <w:pPr>
                    <w:pStyle w:val="22"/>
                    <w:rPr>
                      <w:color w:val="000000" w:themeColor="text1"/>
                      <w14:textFill>
                        <w14:solidFill>
                          <w14:schemeClr w14:val="tx1"/>
                        </w14:solidFill>
                      </w14:textFill>
                    </w:rPr>
                  </w:pPr>
                </w:p>
              </w:tc>
              <w:tc>
                <w:tcPr>
                  <w:tcW w:w="440" w:type="pct"/>
                  <w:vMerge w:val="continue"/>
                  <w:vAlign w:val="center"/>
                </w:tcPr>
                <w:p>
                  <w:pPr>
                    <w:pStyle w:val="22"/>
                    <w:rPr>
                      <w:rFonts w:hint="eastAsia"/>
                      <w:color w:val="000000" w:themeColor="text1"/>
                      <w14:textFill>
                        <w14:solidFill>
                          <w14:schemeClr w14:val="tx1"/>
                        </w14:solidFill>
                      </w14:textFill>
                    </w:rPr>
                  </w:pPr>
                </w:p>
              </w:tc>
              <w:tc>
                <w:tcPr>
                  <w:tcW w:w="440" w:type="pct"/>
                  <w:vAlign w:val="center"/>
                </w:tcPr>
                <w:p>
                  <w:pPr>
                    <w:pStyle w:val="22"/>
                    <w:bidi w:val="0"/>
                    <w:ind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一般防渗</w:t>
                  </w:r>
                </w:p>
              </w:tc>
              <w:tc>
                <w:tcPr>
                  <w:tcW w:w="3030" w:type="pct"/>
                  <w:vAlign w:val="center"/>
                </w:tcPr>
                <w:p>
                  <w:pPr>
                    <w:pStyle w:val="22"/>
                    <w:bidi w:val="0"/>
                    <w:ind w:firstLine="0" w:firstLineChars="0"/>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一般固废暂存区、生产车间</w:t>
                  </w:r>
                  <w:r>
                    <w:rPr>
                      <w:rFonts w:hint="eastAsia"/>
                      <w:color w:val="000000" w:themeColor="text1"/>
                      <w:lang w:eastAsia="zh-CN"/>
                      <w14:textFill>
                        <w14:solidFill>
                          <w14:schemeClr w14:val="tx1"/>
                        </w14:solidFill>
                      </w14:textFill>
                    </w:rPr>
                    <w:t>，</w:t>
                  </w:r>
                  <w:r>
                    <w:rPr>
                      <w:color w:val="000000" w:themeColor="text1"/>
                      <w:szCs w:val="21"/>
                      <w14:textFill>
                        <w14:solidFill>
                          <w14:schemeClr w14:val="tx1"/>
                        </w14:solidFill>
                      </w14:textFill>
                    </w:rPr>
                    <w:t>防渗措施：</w:t>
                  </w:r>
                  <w:r>
                    <w:rPr>
                      <w:rFonts w:hint="eastAsia"/>
                      <w:color w:val="000000" w:themeColor="text1"/>
                      <w:szCs w:val="21"/>
                      <w14:textFill>
                        <w14:solidFill>
                          <w14:schemeClr w14:val="tx1"/>
                        </w14:solidFill>
                      </w14:textFill>
                    </w:rPr>
                    <w:t>采用混凝土硬化</w:t>
                  </w:r>
                  <w:r>
                    <w:rPr>
                      <w:rFonts w:hint="eastAsia"/>
                      <w:color w:val="000000" w:themeColor="text1"/>
                      <w:szCs w:val="21"/>
                      <w:lang w:eastAsia="zh-CN"/>
                      <w14:textFill>
                        <w14:solidFill>
                          <w14:schemeClr w14:val="tx1"/>
                        </w14:solidFill>
                      </w14:textFill>
                    </w:rPr>
                    <w:t>，等效黏土防渗层Mb≥1.5m，K≤10-7cm/s；或参照GB16889执行</w:t>
                  </w:r>
                </w:p>
              </w:tc>
              <w:tc>
                <w:tcPr>
                  <w:tcW w:w="694" w:type="pct"/>
                  <w:vAlign w:val="center"/>
                </w:tcPr>
                <w:p>
                  <w:pPr>
                    <w:pStyle w:val="22"/>
                    <w:rPr>
                      <w:rFonts w:hint="eastAsia"/>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3" w:type="pct"/>
                  <w:vMerge w:val="continue"/>
                  <w:vAlign w:val="center"/>
                </w:tcPr>
                <w:p>
                  <w:pPr>
                    <w:pStyle w:val="22"/>
                    <w:rPr>
                      <w:color w:val="000000" w:themeColor="text1"/>
                      <w14:textFill>
                        <w14:solidFill>
                          <w14:schemeClr w14:val="tx1"/>
                        </w14:solidFill>
                      </w14:textFill>
                    </w:rPr>
                  </w:pPr>
                </w:p>
              </w:tc>
              <w:tc>
                <w:tcPr>
                  <w:tcW w:w="440" w:type="pct"/>
                  <w:vMerge w:val="continue"/>
                  <w:vAlign w:val="center"/>
                </w:tcPr>
                <w:p>
                  <w:pPr>
                    <w:pStyle w:val="22"/>
                    <w:rPr>
                      <w:rFonts w:hint="eastAsia"/>
                      <w:color w:val="000000" w:themeColor="text1"/>
                      <w14:textFill>
                        <w14:solidFill>
                          <w14:schemeClr w14:val="tx1"/>
                        </w14:solidFill>
                      </w14:textFill>
                    </w:rPr>
                  </w:pPr>
                </w:p>
              </w:tc>
              <w:tc>
                <w:tcPr>
                  <w:tcW w:w="440" w:type="pct"/>
                  <w:vAlign w:val="center"/>
                </w:tcPr>
                <w:p>
                  <w:pPr>
                    <w:pStyle w:val="22"/>
                    <w:bidi w:val="0"/>
                    <w:ind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简单防渗</w:t>
                  </w:r>
                </w:p>
              </w:tc>
              <w:tc>
                <w:tcPr>
                  <w:tcW w:w="3030" w:type="pct"/>
                  <w:vAlign w:val="center"/>
                </w:tcPr>
                <w:p>
                  <w:pPr>
                    <w:pStyle w:val="22"/>
                    <w:bidi w:val="0"/>
                    <w:ind w:firstLine="0" w:firstLineChars="0"/>
                    <w:rPr>
                      <w:rFonts w:hint="eastAsia" w:eastAsia="宋体"/>
                      <w:color w:val="000000" w:themeColor="text1"/>
                      <w:lang w:eastAsia="zh-CN"/>
                      <w14:textFill>
                        <w14:solidFill>
                          <w14:schemeClr w14:val="tx1"/>
                        </w14:solidFill>
                      </w14:textFill>
                    </w:rPr>
                  </w:pPr>
                  <w:r>
                    <w:rPr>
                      <w:rFonts w:hint="eastAsia" w:eastAsia="宋体"/>
                      <w:color w:val="000000" w:themeColor="text1"/>
                      <w:lang w:val="en-US" w:eastAsia="zh-CN"/>
                      <w14:textFill>
                        <w14:solidFill>
                          <w14:schemeClr w14:val="tx1"/>
                        </w14:solidFill>
                      </w14:textFill>
                    </w:rPr>
                    <w:t>重点、一般污染防治区之外的区域（包括办公区域、绿化区）</w:t>
                  </w:r>
                  <w:r>
                    <w:rPr>
                      <w:rFonts w:hint="eastAsia"/>
                      <w:color w:val="000000" w:themeColor="text1"/>
                      <w:lang w:val="en-US" w:eastAsia="zh-CN"/>
                      <w14:textFill>
                        <w14:solidFill>
                          <w14:schemeClr w14:val="tx1"/>
                        </w14:solidFill>
                      </w14:textFill>
                    </w:rPr>
                    <w:t>，</w:t>
                  </w:r>
                  <w:r>
                    <w:rPr>
                      <w:color w:val="000000" w:themeColor="text1"/>
                      <w:szCs w:val="21"/>
                      <w14:textFill>
                        <w14:solidFill>
                          <w14:schemeClr w14:val="tx1"/>
                        </w14:solidFill>
                      </w14:textFill>
                    </w:rPr>
                    <w:t>防渗措施：</w:t>
                  </w:r>
                  <w:r>
                    <w:rPr>
                      <w:rFonts w:hint="eastAsia"/>
                      <w:color w:val="000000" w:themeColor="text1"/>
                      <w:szCs w:val="21"/>
                      <w14:textFill>
                        <w14:solidFill>
                          <w14:schemeClr w14:val="tx1"/>
                        </w14:solidFill>
                      </w14:textFill>
                    </w:rPr>
                    <w:t>天然粘土层+一般地面硬化</w:t>
                  </w:r>
                </w:p>
              </w:tc>
              <w:tc>
                <w:tcPr>
                  <w:tcW w:w="694" w:type="pct"/>
                  <w:vAlign w:val="center"/>
                </w:tcPr>
                <w:p>
                  <w:pPr>
                    <w:pStyle w:val="22"/>
                    <w:rPr>
                      <w:rFonts w:hint="eastAsia"/>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3" w:type="pct"/>
                  <w:vMerge w:val="continue"/>
                  <w:vAlign w:val="center"/>
                </w:tcPr>
                <w:p>
                  <w:pPr>
                    <w:pStyle w:val="22"/>
                    <w:rPr>
                      <w:color w:val="000000" w:themeColor="text1"/>
                      <w14:textFill>
                        <w14:solidFill>
                          <w14:schemeClr w14:val="tx1"/>
                        </w14:solidFill>
                      </w14:textFill>
                    </w:rPr>
                  </w:pPr>
                </w:p>
              </w:tc>
              <w:tc>
                <w:tcPr>
                  <w:tcW w:w="881" w:type="pct"/>
                  <w:gridSpan w:val="2"/>
                  <w:vAlign w:val="center"/>
                </w:tcPr>
                <w:p>
                  <w:pPr>
                    <w:pStyle w:val="22"/>
                    <w:rPr>
                      <w:rFonts w:hint="eastAsia"/>
                      <w:color w:val="000000" w:themeColor="text1"/>
                      <w14:textFill>
                        <w14:solidFill>
                          <w14:schemeClr w14:val="tx1"/>
                        </w14:solidFill>
                      </w14:textFill>
                    </w:rPr>
                  </w:pPr>
                  <w:r>
                    <w:rPr>
                      <w:rFonts w:hint="eastAsia" w:hAnsi="宋体"/>
                      <w:color w:val="000000" w:themeColor="text1"/>
                      <w:kern w:val="24"/>
                      <w:szCs w:val="21"/>
                      <w14:textFill>
                        <w14:solidFill>
                          <w14:schemeClr w14:val="tx1"/>
                        </w14:solidFill>
                      </w14:textFill>
                    </w:rPr>
                    <w:t>风险防范措施</w:t>
                  </w:r>
                </w:p>
              </w:tc>
              <w:tc>
                <w:tcPr>
                  <w:tcW w:w="3030" w:type="pct"/>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配备风险防范物资，如安全帽、消防器材等，完善风险防范措施</w:t>
                  </w:r>
                </w:p>
              </w:tc>
              <w:tc>
                <w:tcPr>
                  <w:tcW w:w="694" w:type="pct"/>
                  <w:vAlign w:val="center"/>
                </w:tcPr>
                <w:p>
                  <w:pPr>
                    <w:pStyle w:val="22"/>
                    <w:rPr>
                      <w:rFonts w:hint="eastAsia"/>
                      <w:color w:val="000000" w:themeColor="text1"/>
                      <w14:textFill>
                        <w14:solidFill>
                          <w14:schemeClr w14:val="tx1"/>
                        </w14:solidFill>
                      </w14:textFill>
                    </w:rPr>
                  </w:pPr>
                </w:p>
              </w:tc>
            </w:tr>
          </w:tbl>
          <w:p>
            <w:pPr>
              <w:numPr>
                <w:ilvl w:val="0"/>
                <w:numId w:val="8"/>
              </w:numPr>
              <w:bidi w:val="0"/>
              <w:rPr>
                <w:rFonts w:hint="eastAsia"/>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主要生产设备</w:t>
            </w:r>
          </w:p>
          <w:p>
            <w:pPr>
              <w:ind w:firstLine="480"/>
              <w:jc w:val="left"/>
              <w:rPr>
                <w:rFonts w:hAnsi="宋体"/>
                <w:color w:val="000000" w:themeColor="text1"/>
                <w:kern w:val="24"/>
                <w14:textFill>
                  <w14:solidFill>
                    <w14:schemeClr w14:val="tx1"/>
                  </w14:solidFill>
                </w14:textFill>
              </w:rPr>
            </w:pPr>
            <w:r>
              <w:rPr>
                <w:rFonts w:hint="eastAsia" w:hAnsi="宋体"/>
                <w:color w:val="000000" w:themeColor="text1"/>
                <w:kern w:val="24"/>
                <w14:textFill>
                  <w14:solidFill>
                    <w14:schemeClr w14:val="tx1"/>
                  </w14:solidFill>
                </w14:textFill>
              </w:rPr>
              <w:t>项目迁建前后主要生产设备清单见表2-</w:t>
            </w:r>
            <w:r>
              <w:rPr>
                <w:rFonts w:hint="eastAsia" w:hAnsi="宋体"/>
                <w:color w:val="000000" w:themeColor="text1"/>
                <w:kern w:val="24"/>
                <w:lang w:val="en-US" w:eastAsia="zh-CN"/>
                <w14:textFill>
                  <w14:solidFill>
                    <w14:schemeClr w14:val="tx1"/>
                  </w14:solidFill>
                </w14:textFill>
              </w:rPr>
              <w:t>5</w:t>
            </w:r>
            <w:r>
              <w:rPr>
                <w:rFonts w:hint="eastAsia" w:hAnsi="宋体"/>
                <w:color w:val="000000" w:themeColor="text1"/>
                <w:kern w:val="24"/>
                <w14:textFill>
                  <w14:solidFill>
                    <w14:schemeClr w14:val="tx1"/>
                  </w14:solidFill>
                </w14:textFill>
              </w:rPr>
              <w:t>。</w:t>
            </w:r>
          </w:p>
          <w:p>
            <w:pPr>
              <w:pStyle w:val="23"/>
              <w:bidi w:val="0"/>
              <w:rPr>
                <w:color w:val="000000" w:themeColor="text1"/>
                <w14:textFill>
                  <w14:solidFill>
                    <w14:schemeClr w14:val="tx1"/>
                  </w14:solidFill>
                </w14:textFill>
              </w:rPr>
            </w:pPr>
            <w:r>
              <w:rPr>
                <w:color w:val="000000" w:themeColor="text1"/>
                <w14:textFill>
                  <w14:solidFill>
                    <w14:schemeClr w14:val="tx1"/>
                  </w14:solidFill>
                </w14:textFill>
              </w:rPr>
              <w:t>表</w:t>
            </w:r>
            <w:r>
              <w:rPr>
                <w:rFonts w:hint="eastAsia"/>
                <w:color w:val="000000" w:themeColor="text1"/>
                <w14:textFill>
                  <w14:solidFill>
                    <w14:schemeClr w14:val="tx1"/>
                  </w14:solidFill>
                </w14:textFill>
              </w:rPr>
              <w:t>2-</w:t>
            </w:r>
            <w:r>
              <w:rPr>
                <w:rFonts w:hint="eastAsia"/>
                <w:color w:val="000000" w:themeColor="text1"/>
                <w:lang w:val="en-US" w:eastAsia="zh-CN"/>
                <w14:textFill>
                  <w14:solidFill>
                    <w14:schemeClr w14:val="tx1"/>
                  </w14:solidFill>
                </w14:textFill>
              </w:rPr>
              <w:t>5</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 xml:space="preserve"> 项目</w:t>
            </w:r>
            <w:r>
              <w:rPr>
                <w:color w:val="000000" w:themeColor="text1"/>
                <w14:textFill>
                  <w14:solidFill>
                    <w14:schemeClr w14:val="tx1"/>
                  </w14:solidFill>
                </w14:textFill>
              </w:rPr>
              <w:t>主要生产设备一览表</w:t>
            </w:r>
          </w:p>
          <w:tbl>
            <w:tblPr>
              <w:tblStyle w:val="15"/>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56" w:type="dxa"/>
                <w:bottom w:w="0" w:type="dxa"/>
                <w:right w:w="56" w:type="dxa"/>
              </w:tblCellMar>
            </w:tblPr>
            <w:tblGrid>
              <w:gridCol w:w="614"/>
              <w:gridCol w:w="2320"/>
              <w:gridCol w:w="1875"/>
              <w:gridCol w:w="554"/>
              <w:gridCol w:w="816"/>
              <w:gridCol w:w="816"/>
              <w:gridCol w:w="871"/>
              <w:gridCol w:w="52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197" w:hRule="atLeast"/>
                <w:jc w:val="center"/>
              </w:trPr>
              <w:tc>
                <w:tcPr>
                  <w:tcW w:w="366" w:type="pct"/>
                  <w:vMerge w:val="restart"/>
                  <w:vAlign w:val="center"/>
                </w:tcPr>
                <w:p>
                  <w:pPr>
                    <w:pStyle w:val="22"/>
                    <w:rPr>
                      <w:b/>
                      <w:bCs/>
                      <w:color w:val="000000" w:themeColor="text1"/>
                      <w14:textFill>
                        <w14:solidFill>
                          <w14:schemeClr w14:val="tx1"/>
                        </w14:solidFill>
                      </w14:textFill>
                    </w:rPr>
                  </w:pPr>
                  <w:r>
                    <w:rPr>
                      <w:b/>
                      <w:bCs/>
                      <w:color w:val="000000" w:themeColor="text1"/>
                      <w14:textFill>
                        <w14:solidFill>
                          <w14:schemeClr w14:val="tx1"/>
                        </w14:solidFill>
                      </w14:textFill>
                    </w:rPr>
                    <w:t>序号</w:t>
                  </w:r>
                </w:p>
              </w:tc>
              <w:tc>
                <w:tcPr>
                  <w:tcW w:w="1382" w:type="pct"/>
                  <w:vMerge w:val="restart"/>
                  <w:vAlign w:val="center"/>
                </w:tcPr>
                <w:p>
                  <w:pPr>
                    <w:pStyle w:val="22"/>
                    <w:rPr>
                      <w:b/>
                      <w:bCs/>
                      <w:color w:val="000000" w:themeColor="text1"/>
                      <w14:textFill>
                        <w14:solidFill>
                          <w14:schemeClr w14:val="tx1"/>
                        </w14:solidFill>
                      </w14:textFill>
                    </w:rPr>
                  </w:pPr>
                  <w:r>
                    <w:rPr>
                      <w:b/>
                      <w:bCs/>
                      <w:color w:val="000000" w:themeColor="text1"/>
                      <w14:textFill>
                        <w14:solidFill>
                          <w14:schemeClr w14:val="tx1"/>
                        </w14:solidFill>
                      </w14:textFill>
                    </w:rPr>
                    <w:t>设备名称</w:t>
                  </w:r>
                </w:p>
              </w:tc>
              <w:tc>
                <w:tcPr>
                  <w:tcW w:w="1117" w:type="pct"/>
                  <w:vMerge w:val="restart"/>
                  <w:vAlign w:val="center"/>
                </w:tcPr>
                <w:p>
                  <w:pPr>
                    <w:pStyle w:val="22"/>
                    <w:rPr>
                      <w:rFonts w:hint="default"/>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设备型号</w:t>
                  </w:r>
                </w:p>
              </w:tc>
              <w:tc>
                <w:tcPr>
                  <w:tcW w:w="330" w:type="pct"/>
                  <w:vMerge w:val="restart"/>
                  <w:vAlign w:val="center"/>
                </w:tcPr>
                <w:p>
                  <w:pPr>
                    <w:pStyle w:val="22"/>
                    <w:rPr>
                      <w:rFonts w:hint="eastAsia" w:eastAsia="宋体"/>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单位</w:t>
                  </w:r>
                </w:p>
              </w:tc>
              <w:tc>
                <w:tcPr>
                  <w:tcW w:w="1491" w:type="pct"/>
                  <w:gridSpan w:val="3"/>
                  <w:vAlign w:val="center"/>
                </w:tcPr>
                <w:p>
                  <w:pPr>
                    <w:pStyle w:val="22"/>
                    <w:rPr>
                      <w:b/>
                      <w:bCs/>
                      <w:color w:val="000000" w:themeColor="text1"/>
                      <w14:textFill>
                        <w14:solidFill>
                          <w14:schemeClr w14:val="tx1"/>
                        </w14:solidFill>
                      </w14:textFill>
                    </w:rPr>
                  </w:pPr>
                  <w:r>
                    <w:rPr>
                      <w:b/>
                      <w:bCs/>
                      <w:color w:val="000000" w:themeColor="text1"/>
                      <w14:textFill>
                        <w14:solidFill>
                          <w14:schemeClr w14:val="tx1"/>
                        </w14:solidFill>
                      </w14:textFill>
                    </w:rPr>
                    <w:t>数量</w:t>
                  </w:r>
                </w:p>
              </w:tc>
              <w:tc>
                <w:tcPr>
                  <w:tcW w:w="311" w:type="pct"/>
                  <w:vMerge w:val="restart"/>
                  <w:vAlign w:val="center"/>
                </w:tcPr>
                <w:p>
                  <w:pPr>
                    <w:pStyle w:val="2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197" w:hRule="atLeast"/>
                <w:jc w:val="center"/>
              </w:trPr>
              <w:tc>
                <w:tcPr>
                  <w:tcW w:w="366" w:type="pct"/>
                  <w:vMerge w:val="continue"/>
                  <w:vAlign w:val="center"/>
                </w:tcPr>
                <w:p>
                  <w:pPr>
                    <w:pStyle w:val="22"/>
                    <w:rPr>
                      <w:color w:val="000000" w:themeColor="text1"/>
                      <w14:textFill>
                        <w14:solidFill>
                          <w14:schemeClr w14:val="tx1"/>
                        </w14:solidFill>
                      </w14:textFill>
                    </w:rPr>
                  </w:pPr>
                </w:p>
              </w:tc>
              <w:tc>
                <w:tcPr>
                  <w:tcW w:w="1382" w:type="pct"/>
                  <w:vMerge w:val="continue"/>
                  <w:vAlign w:val="center"/>
                </w:tcPr>
                <w:p>
                  <w:pPr>
                    <w:pStyle w:val="22"/>
                    <w:rPr>
                      <w:color w:val="000000" w:themeColor="text1"/>
                      <w14:textFill>
                        <w14:solidFill>
                          <w14:schemeClr w14:val="tx1"/>
                        </w14:solidFill>
                      </w14:textFill>
                    </w:rPr>
                  </w:pPr>
                </w:p>
              </w:tc>
              <w:tc>
                <w:tcPr>
                  <w:tcW w:w="1117" w:type="pct"/>
                  <w:vMerge w:val="continue"/>
                  <w:vAlign w:val="center"/>
                </w:tcPr>
                <w:p>
                  <w:pPr>
                    <w:pStyle w:val="22"/>
                    <w:rPr>
                      <w:rFonts w:hint="eastAsia"/>
                      <w:color w:val="000000" w:themeColor="text1"/>
                      <w:lang w:val="en-US" w:eastAsia="zh-CN"/>
                      <w14:textFill>
                        <w14:solidFill>
                          <w14:schemeClr w14:val="tx1"/>
                        </w14:solidFill>
                      </w14:textFill>
                    </w:rPr>
                  </w:pPr>
                </w:p>
              </w:tc>
              <w:tc>
                <w:tcPr>
                  <w:tcW w:w="330" w:type="pct"/>
                  <w:vMerge w:val="continue"/>
                  <w:vAlign w:val="center"/>
                </w:tcPr>
                <w:p>
                  <w:pPr>
                    <w:pStyle w:val="22"/>
                    <w:rPr>
                      <w:rFonts w:hint="eastAsia"/>
                      <w:color w:val="000000" w:themeColor="text1"/>
                      <w:lang w:val="en-US" w:eastAsia="zh-CN"/>
                      <w14:textFill>
                        <w14:solidFill>
                          <w14:schemeClr w14:val="tx1"/>
                        </w14:solidFill>
                      </w14:textFill>
                    </w:rPr>
                  </w:pPr>
                </w:p>
              </w:tc>
              <w:tc>
                <w:tcPr>
                  <w:tcW w:w="486" w:type="pct"/>
                  <w:vAlign w:val="center"/>
                </w:tcPr>
                <w:p>
                  <w:pPr>
                    <w:pStyle w:val="22"/>
                    <w:rPr>
                      <w:rFonts w:hint="eastAsia" w:eastAsia="宋体"/>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迁建前</w:t>
                  </w:r>
                </w:p>
              </w:tc>
              <w:tc>
                <w:tcPr>
                  <w:tcW w:w="486" w:type="pct"/>
                  <w:vAlign w:val="center"/>
                </w:tcPr>
                <w:p>
                  <w:pPr>
                    <w:pStyle w:val="22"/>
                    <w:rPr>
                      <w:rFonts w:hint="eastAsia" w:eastAsia="宋体"/>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迁建后</w:t>
                  </w:r>
                </w:p>
              </w:tc>
              <w:tc>
                <w:tcPr>
                  <w:tcW w:w="519" w:type="pct"/>
                  <w:vAlign w:val="center"/>
                </w:tcPr>
                <w:p>
                  <w:pPr>
                    <w:pStyle w:val="22"/>
                    <w:rPr>
                      <w:rFonts w:hint="eastAsia" w:eastAsia="宋体"/>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增减量</w:t>
                  </w:r>
                </w:p>
              </w:tc>
              <w:tc>
                <w:tcPr>
                  <w:tcW w:w="311" w:type="pct"/>
                  <w:vMerge w:val="continue"/>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1382"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1000吨油压机</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YQK27-1000</w:t>
                  </w:r>
                </w:p>
              </w:tc>
              <w:tc>
                <w:tcPr>
                  <w:tcW w:w="33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519"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2</w:t>
                  </w:r>
                </w:p>
              </w:tc>
              <w:tc>
                <w:tcPr>
                  <w:tcW w:w="1382"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315T液压机床</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YQ32-315</w:t>
                  </w:r>
                </w:p>
              </w:tc>
              <w:tc>
                <w:tcPr>
                  <w:tcW w:w="33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519"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3</w:t>
                  </w:r>
                </w:p>
              </w:tc>
              <w:tc>
                <w:tcPr>
                  <w:tcW w:w="1382" w:type="pct"/>
                  <w:vAlign w:val="center"/>
                </w:tcPr>
                <w:p>
                  <w:pPr>
                    <w:pStyle w:val="22"/>
                    <w:bidi w:val="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160T液压机床</w:t>
                  </w:r>
                </w:p>
              </w:tc>
              <w:tc>
                <w:tcPr>
                  <w:tcW w:w="1117" w:type="pct"/>
                  <w:vAlign w:val="center"/>
                </w:tcPr>
                <w:p>
                  <w:pPr>
                    <w:pStyle w:val="22"/>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33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519" w:type="pct"/>
                  <w:vAlign w:val="center"/>
                </w:tcPr>
                <w:p>
                  <w:pPr>
                    <w:pStyle w:val="22"/>
                    <w:bidi w:val="0"/>
                    <w:ind w:firstLine="0" w:firstLineChars="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4</w:t>
                  </w:r>
                </w:p>
              </w:tc>
              <w:tc>
                <w:tcPr>
                  <w:tcW w:w="1382"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63T液压机床</w:t>
                  </w:r>
                </w:p>
              </w:tc>
              <w:tc>
                <w:tcPr>
                  <w:tcW w:w="1117" w:type="pct"/>
                  <w:vAlign w:val="center"/>
                </w:tcPr>
                <w:p>
                  <w:pPr>
                    <w:pStyle w:val="22"/>
                    <w:bidi w:val="0"/>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s="Times New Roman"/>
                      <w:color w:val="000000" w:themeColor="text1"/>
                      <w:kern w:val="2"/>
                      <w:sz w:val="21"/>
                      <w:szCs w:val="24"/>
                      <w:lang w:val="en-US" w:eastAsia="zh-CN" w:bidi="ar-SA"/>
                      <w14:textFill>
                        <w14:solidFill>
                          <w14:schemeClr w14:val="tx1"/>
                        </w14:solidFill>
                      </w14:textFill>
                    </w:rPr>
                    <w:t>/</w:t>
                  </w:r>
                </w:p>
              </w:tc>
              <w:tc>
                <w:tcPr>
                  <w:tcW w:w="33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519" w:type="pct"/>
                  <w:vAlign w:val="center"/>
                </w:tcPr>
                <w:p>
                  <w:pPr>
                    <w:pStyle w:val="22"/>
                    <w:bidi w:val="0"/>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s="Times New Roman"/>
                      <w:color w:val="000000" w:themeColor="text1"/>
                      <w:kern w:val="2"/>
                      <w:sz w:val="21"/>
                      <w:szCs w:val="24"/>
                      <w:lang w:val="en-US" w:eastAsia="zh-CN" w:bidi="ar-SA"/>
                      <w14:textFill>
                        <w14:solidFill>
                          <w14:schemeClr w14:val="tx1"/>
                        </w14:solidFill>
                      </w14:textFill>
                    </w:rPr>
                    <w:t>-1</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5</w:t>
                  </w:r>
                </w:p>
              </w:tc>
              <w:tc>
                <w:tcPr>
                  <w:tcW w:w="1382"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315千牛四柱液压机</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YH32-315</w:t>
                  </w:r>
                </w:p>
              </w:tc>
              <w:tc>
                <w:tcPr>
                  <w:tcW w:w="33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519"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6</w:t>
                  </w:r>
                </w:p>
              </w:tc>
              <w:tc>
                <w:tcPr>
                  <w:tcW w:w="1382"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开式固定台压力机</w:t>
                  </w:r>
                </w:p>
              </w:tc>
              <w:tc>
                <w:tcPr>
                  <w:tcW w:w="1117" w:type="pct"/>
                  <w:vAlign w:val="center"/>
                </w:tcPr>
                <w:p>
                  <w:pPr>
                    <w:pStyle w:val="22"/>
                    <w:bidi w:val="0"/>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JH21-165</w:t>
                  </w:r>
                </w:p>
              </w:tc>
              <w:tc>
                <w:tcPr>
                  <w:tcW w:w="33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519" w:type="pct"/>
                  <w:vAlign w:val="center"/>
                </w:tcPr>
                <w:p>
                  <w:pPr>
                    <w:pStyle w:val="22"/>
                    <w:bidi w:val="0"/>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7</w:t>
                  </w:r>
                </w:p>
              </w:tc>
              <w:tc>
                <w:tcPr>
                  <w:tcW w:w="1382"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开式固定台压力机</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JH21-200</w:t>
                  </w:r>
                </w:p>
              </w:tc>
              <w:tc>
                <w:tcPr>
                  <w:tcW w:w="33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519"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8</w:t>
                  </w:r>
                </w:p>
              </w:tc>
              <w:tc>
                <w:tcPr>
                  <w:tcW w:w="1382" w:type="pct"/>
                  <w:vAlign w:val="center"/>
                </w:tcPr>
                <w:p>
                  <w:pPr>
                    <w:pStyle w:val="22"/>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台钻</w:t>
                  </w:r>
                </w:p>
              </w:tc>
              <w:tc>
                <w:tcPr>
                  <w:tcW w:w="1117" w:type="pct"/>
                  <w:vAlign w:val="center"/>
                </w:tcPr>
                <w:p>
                  <w:pPr>
                    <w:pStyle w:val="22"/>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ZS4019</w:t>
                  </w:r>
                </w:p>
              </w:tc>
              <w:tc>
                <w:tcPr>
                  <w:tcW w:w="33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519"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9</w:t>
                  </w:r>
                </w:p>
              </w:tc>
              <w:tc>
                <w:tcPr>
                  <w:tcW w:w="1382"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手摇数显平面磨床</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KSE-450/618</w:t>
                  </w:r>
                </w:p>
              </w:tc>
              <w:tc>
                <w:tcPr>
                  <w:tcW w:w="33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519"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10</w:t>
                  </w:r>
                </w:p>
              </w:tc>
              <w:tc>
                <w:tcPr>
                  <w:tcW w:w="1382"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卧式车床</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CA6140A</w:t>
                  </w:r>
                </w:p>
              </w:tc>
              <w:tc>
                <w:tcPr>
                  <w:tcW w:w="33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519"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11</w:t>
                  </w:r>
                </w:p>
              </w:tc>
              <w:tc>
                <w:tcPr>
                  <w:tcW w:w="1382"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摇臂钻床</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Z3050X16/1</w:t>
                  </w:r>
                </w:p>
              </w:tc>
              <w:tc>
                <w:tcPr>
                  <w:tcW w:w="33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3</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3</w:t>
                  </w:r>
                </w:p>
              </w:tc>
              <w:tc>
                <w:tcPr>
                  <w:tcW w:w="519" w:type="pct"/>
                  <w:vAlign w:val="center"/>
                </w:tcPr>
                <w:p>
                  <w:pPr>
                    <w:pStyle w:val="22"/>
                    <w:bidi w:val="0"/>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12</w:t>
                  </w:r>
                </w:p>
              </w:tc>
              <w:tc>
                <w:tcPr>
                  <w:tcW w:w="1382"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电火花数控线切割设备</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DK7780B</w:t>
                  </w:r>
                </w:p>
              </w:tc>
              <w:tc>
                <w:tcPr>
                  <w:tcW w:w="33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486" w:type="pct"/>
                  <w:vAlign w:val="center"/>
                </w:tcPr>
                <w:p>
                  <w:pPr>
                    <w:pStyle w:val="22"/>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519"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13</w:t>
                  </w:r>
                </w:p>
              </w:tc>
              <w:tc>
                <w:tcPr>
                  <w:tcW w:w="1382"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电火花数控线切割设备</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DK7765GB</w:t>
                  </w:r>
                </w:p>
              </w:tc>
              <w:tc>
                <w:tcPr>
                  <w:tcW w:w="33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486" w:type="pct"/>
                  <w:vAlign w:val="center"/>
                </w:tcPr>
                <w:p>
                  <w:pPr>
                    <w:pStyle w:val="22"/>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519"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14</w:t>
                  </w:r>
                </w:p>
              </w:tc>
              <w:tc>
                <w:tcPr>
                  <w:tcW w:w="1382"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电火花数控线切割设备</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DK7763B</w:t>
                  </w:r>
                </w:p>
              </w:tc>
              <w:tc>
                <w:tcPr>
                  <w:tcW w:w="33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2</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519"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340" w:hRule="atLeast"/>
                <w:jc w:val="center"/>
              </w:trPr>
              <w:tc>
                <w:tcPr>
                  <w:tcW w:w="36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15</w:t>
                  </w:r>
                </w:p>
              </w:tc>
              <w:tc>
                <w:tcPr>
                  <w:tcW w:w="1382"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电火花数控线切割设备</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DK7750GB</w:t>
                  </w:r>
                </w:p>
              </w:tc>
              <w:tc>
                <w:tcPr>
                  <w:tcW w:w="33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519"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16</w:t>
                  </w:r>
                </w:p>
              </w:tc>
              <w:tc>
                <w:tcPr>
                  <w:tcW w:w="1382"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中丝线切割设备</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EFH-54S</w:t>
                  </w:r>
                </w:p>
              </w:tc>
              <w:tc>
                <w:tcPr>
                  <w:tcW w:w="33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519"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17</w:t>
                  </w:r>
                </w:p>
              </w:tc>
              <w:tc>
                <w:tcPr>
                  <w:tcW w:w="1382"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中丝线切割设备</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EFH-55S</w:t>
                  </w:r>
                </w:p>
              </w:tc>
              <w:tc>
                <w:tcPr>
                  <w:tcW w:w="33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519"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18</w:t>
                  </w:r>
                </w:p>
              </w:tc>
              <w:tc>
                <w:tcPr>
                  <w:tcW w:w="1382"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立式加工中心</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DM4122LC</w:t>
                  </w:r>
                </w:p>
              </w:tc>
              <w:tc>
                <w:tcPr>
                  <w:tcW w:w="33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3</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2</w:t>
                  </w:r>
                </w:p>
              </w:tc>
              <w:tc>
                <w:tcPr>
                  <w:tcW w:w="519"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19</w:t>
                  </w:r>
                </w:p>
              </w:tc>
              <w:tc>
                <w:tcPr>
                  <w:tcW w:w="1382"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立式加工中心</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DM4120C</w:t>
                  </w:r>
                </w:p>
              </w:tc>
              <w:tc>
                <w:tcPr>
                  <w:tcW w:w="33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519"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20</w:t>
                  </w:r>
                </w:p>
              </w:tc>
              <w:tc>
                <w:tcPr>
                  <w:tcW w:w="1382"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立式加工中心</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DM4122LC</w:t>
                  </w:r>
                </w:p>
              </w:tc>
              <w:tc>
                <w:tcPr>
                  <w:tcW w:w="33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519"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21</w:t>
                  </w:r>
                </w:p>
              </w:tc>
              <w:tc>
                <w:tcPr>
                  <w:tcW w:w="1382"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龙门铣</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GMF3025L</w:t>
                  </w:r>
                </w:p>
              </w:tc>
              <w:tc>
                <w:tcPr>
                  <w:tcW w:w="33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519"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22</w:t>
                  </w:r>
                </w:p>
              </w:tc>
              <w:tc>
                <w:tcPr>
                  <w:tcW w:w="1382"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龙门铣</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GMF3028L</w:t>
                  </w:r>
                </w:p>
              </w:tc>
              <w:tc>
                <w:tcPr>
                  <w:tcW w:w="33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519"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23</w:t>
                  </w:r>
                </w:p>
              </w:tc>
              <w:tc>
                <w:tcPr>
                  <w:tcW w:w="1382"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龙门铣</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LM3223-25</w:t>
                  </w:r>
                </w:p>
              </w:tc>
              <w:tc>
                <w:tcPr>
                  <w:tcW w:w="33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519"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24</w:t>
                  </w:r>
                </w:p>
              </w:tc>
              <w:tc>
                <w:tcPr>
                  <w:tcW w:w="1382"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龙门铣</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LM3223-26</w:t>
                  </w:r>
                </w:p>
              </w:tc>
              <w:tc>
                <w:tcPr>
                  <w:tcW w:w="33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519"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25</w:t>
                  </w:r>
                </w:p>
              </w:tc>
              <w:tc>
                <w:tcPr>
                  <w:tcW w:w="1382"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空压机</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55KW蜗杆空压机</w:t>
                  </w:r>
                </w:p>
              </w:tc>
              <w:tc>
                <w:tcPr>
                  <w:tcW w:w="33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519"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26</w:t>
                  </w:r>
                </w:p>
              </w:tc>
              <w:tc>
                <w:tcPr>
                  <w:tcW w:w="1382"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单臂三维测量仪</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CLY-20-15-12KT2H</w:t>
                  </w:r>
                </w:p>
              </w:tc>
              <w:tc>
                <w:tcPr>
                  <w:tcW w:w="33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center"/>
                </w:tcPr>
                <w:p>
                  <w:pPr>
                    <w:pStyle w:val="22"/>
                    <w:bidi w:val="0"/>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eastAsia="宋体" w:cs="Times New Roman"/>
                      <w:color w:val="000000" w:themeColor="text1"/>
                      <w:kern w:val="2"/>
                      <w:sz w:val="21"/>
                      <w:szCs w:val="24"/>
                      <w:lang w:val="en-US" w:eastAsia="zh-CN" w:bidi="ar-SA"/>
                      <w14:textFill>
                        <w14:solidFill>
                          <w14:schemeClr w14:val="tx1"/>
                        </w14:solidFill>
                      </w14:textFill>
                    </w:rPr>
                    <w:t>1</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519"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27</w:t>
                  </w:r>
                </w:p>
              </w:tc>
              <w:tc>
                <w:tcPr>
                  <w:tcW w:w="1382"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桥式三坐标测量机</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GlObal Classic 05.07.05</w:t>
                  </w:r>
                </w:p>
              </w:tc>
              <w:tc>
                <w:tcPr>
                  <w:tcW w:w="33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519" w:type="pct"/>
                  <w:vAlign w:val="center"/>
                </w:tcPr>
                <w:p>
                  <w:pPr>
                    <w:pStyle w:val="22"/>
                    <w:bidi w:val="0"/>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28</w:t>
                  </w:r>
                </w:p>
              </w:tc>
              <w:tc>
                <w:tcPr>
                  <w:tcW w:w="1382"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14:textFill>
                        <w14:solidFill>
                          <w14:schemeClr w14:val="tx1"/>
                        </w14:solidFill>
                      </w14:textFill>
                    </w:rPr>
                    <w:t>龙门三坐标测量机</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Apollo Image 20.50.15</w:t>
                  </w:r>
                </w:p>
              </w:tc>
              <w:tc>
                <w:tcPr>
                  <w:tcW w:w="33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center"/>
                </w:tcPr>
                <w:p>
                  <w:pPr>
                    <w:pStyle w:val="22"/>
                    <w:bidi w:val="0"/>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eastAsia="宋体" w:cs="Times New Roman"/>
                      <w:color w:val="000000" w:themeColor="text1"/>
                      <w:kern w:val="2"/>
                      <w:sz w:val="21"/>
                      <w:szCs w:val="24"/>
                      <w:lang w:val="en-US" w:eastAsia="zh-CN" w:bidi="ar-SA"/>
                      <w14:textFill>
                        <w14:solidFill>
                          <w14:schemeClr w14:val="tx1"/>
                        </w14:solidFill>
                      </w14:textFill>
                    </w:rPr>
                    <w:t>1</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519"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29</w:t>
                  </w:r>
                </w:p>
              </w:tc>
              <w:tc>
                <w:tcPr>
                  <w:tcW w:w="1382"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气动打标机</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JM3-A</w:t>
                  </w:r>
                </w:p>
              </w:tc>
              <w:tc>
                <w:tcPr>
                  <w:tcW w:w="33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center"/>
                </w:tcPr>
                <w:p>
                  <w:pPr>
                    <w:pStyle w:val="22"/>
                    <w:bidi w:val="0"/>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eastAsia="宋体" w:cs="Times New Roman"/>
                      <w:color w:val="000000" w:themeColor="text1"/>
                      <w:kern w:val="2"/>
                      <w:sz w:val="21"/>
                      <w:szCs w:val="24"/>
                      <w:lang w:val="en-US" w:eastAsia="zh-CN" w:bidi="ar-SA"/>
                      <w14:textFill>
                        <w14:solidFill>
                          <w14:schemeClr w14:val="tx1"/>
                        </w14:solidFill>
                      </w14:textFill>
                    </w:rPr>
                    <w:t>1</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519" w:type="pct"/>
                  <w:vAlign w:val="center"/>
                </w:tcPr>
                <w:p>
                  <w:pPr>
                    <w:pStyle w:val="22"/>
                    <w:bidi w:val="0"/>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340" w:hRule="atLeast"/>
                <w:jc w:val="center"/>
              </w:trPr>
              <w:tc>
                <w:tcPr>
                  <w:tcW w:w="36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30</w:t>
                  </w:r>
                </w:p>
              </w:tc>
              <w:tc>
                <w:tcPr>
                  <w:tcW w:w="1382"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伺服电动攻丝机</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H-MOSS(M3-M16)</w:t>
                  </w:r>
                </w:p>
              </w:tc>
              <w:tc>
                <w:tcPr>
                  <w:tcW w:w="33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eastAsia="宋体" w:cs="Times New Roman"/>
                      <w:color w:val="000000" w:themeColor="text1"/>
                      <w:kern w:val="2"/>
                      <w:sz w:val="21"/>
                      <w:szCs w:val="24"/>
                      <w:lang w:val="en-US" w:eastAsia="zh-CN" w:bidi="ar-SA"/>
                      <w14:textFill>
                        <w14:solidFill>
                          <w14:schemeClr w14:val="tx1"/>
                        </w14:solidFill>
                      </w14:textFill>
                    </w:rPr>
                    <w:t>1</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519"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31</w:t>
                  </w:r>
                </w:p>
              </w:tc>
              <w:tc>
                <w:tcPr>
                  <w:tcW w:w="1382"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除尘式砂轮机</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MC3205</w:t>
                  </w:r>
                </w:p>
              </w:tc>
              <w:tc>
                <w:tcPr>
                  <w:tcW w:w="33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center"/>
                </w:tcPr>
                <w:p>
                  <w:pPr>
                    <w:pStyle w:val="22"/>
                    <w:bidi w:val="0"/>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eastAsia="宋体" w:cs="Times New Roman"/>
                      <w:color w:val="000000" w:themeColor="text1"/>
                      <w:kern w:val="2"/>
                      <w:sz w:val="21"/>
                      <w:szCs w:val="24"/>
                      <w:lang w:val="en-US" w:eastAsia="zh-CN" w:bidi="ar-SA"/>
                      <w14:textFill>
                        <w14:solidFill>
                          <w14:schemeClr w14:val="tx1"/>
                        </w14:solidFill>
                      </w14:textFill>
                    </w:rPr>
                    <w:t>1</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519" w:type="pct"/>
                  <w:vAlign w:val="center"/>
                </w:tcPr>
                <w:p>
                  <w:pPr>
                    <w:pStyle w:val="22"/>
                    <w:bidi w:val="0"/>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340" w:hRule="atLeast"/>
                <w:jc w:val="center"/>
              </w:trPr>
              <w:tc>
                <w:tcPr>
                  <w:tcW w:w="36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33</w:t>
                  </w:r>
                </w:p>
              </w:tc>
              <w:tc>
                <w:tcPr>
                  <w:tcW w:w="1382"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一体式永磁变频蜗杆空压机</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SW-10</w:t>
                  </w:r>
                </w:p>
              </w:tc>
              <w:tc>
                <w:tcPr>
                  <w:tcW w:w="330" w:type="pct"/>
                  <w:vAlign w:val="center"/>
                </w:tcPr>
                <w:p>
                  <w:pPr>
                    <w:pStyle w:val="22"/>
                    <w:bidi w:val="0"/>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center"/>
                </w:tcPr>
                <w:p>
                  <w:pPr>
                    <w:pStyle w:val="22"/>
                    <w:bidi w:val="0"/>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519"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34</w:t>
                  </w:r>
                </w:p>
              </w:tc>
              <w:tc>
                <w:tcPr>
                  <w:tcW w:w="1382"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储气罐</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0.84Mp</w:t>
                  </w:r>
                </w:p>
              </w:tc>
              <w:tc>
                <w:tcPr>
                  <w:tcW w:w="330" w:type="pct"/>
                  <w:vAlign w:val="center"/>
                </w:tcPr>
                <w:p>
                  <w:pPr>
                    <w:pStyle w:val="22"/>
                    <w:bidi w:val="0"/>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eastAsia="宋体" w:cs="Times New Roman"/>
                      <w:color w:val="000000" w:themeColor="text1"/>
                      <w:kern w:val="2"/>
                      <w:sz w:val="21"/>
                      <w:szCs w:val="24"/>
                      <w:lang w:val="en-US" w:eastAsia="zh-CN" w:bidi="ar-SA"/>
                      <w14:textFill>
                        <w14:solidFill>
                          <w14:schemeClr w14:val="tx1"/>
                        </w14:solidFill>
                      </w14:textFill>
                    </w:rPr>
                    <w:t>个</w:t>
                  </w:r>
                </w:p>
              </w:tc>
              <w:tc>
                <w:tcPr>
                  <w:tcW w:w="486" w:type="pct"/>
                  <w:vAlign w:val="center"/>
                </w:tcPr>
                <w:p>
                  <w:pPr>
                    <w:pStyle w:val="22"/>
                    <w:bidi w:val="0"/>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519" w:type="pct"/>
                  <w:vAlign w:val="center"/>
                </w:tcPr>
                <w:p>
                  <w:pPr>
                    <w:pStyle w:val="22"/>
                    <w:bidi w:val="0"/>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35</w:t>
                  </w:r>
                </w:p>
              </w:tc>
              <w:tc>
                <w:tcPr>
                  <w:tcW w:w="1382" w:type="pct"/>
                  <w:vAlign w:val="center"/>
                </w:tcPr>
                <w:p>
                  <w:pPr>
                    <w:pStyle w:val="22"/>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电动葫芦桥式起重机</w:t>
                  </w:r>
                </w:p>
              </w:tc>
              <w:tc>
                <w:tcPr>
                  <w:tcW w:w="1117" w:type="pct"/>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LH10/3t-22.5m A3</w:t>
                  </w:r>
                </w:p>
              </w:tc>
              <w:tc>
                <w:tcPr>
                  <w:tcW w:w="330" w:type="pct"/>
                  <w:vAlign w:val="center"/>
                </w:tcPr>
                <w:p>
                  <w:pPr>
                    <w:pStyle w:val="22"/>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center"/>
                </w:tcPr>
                <w:p>
                  <w:pPr>
                    <w:pStyle w:val="22"/>
                    <w:bidi w:val="0"/>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eastAsia="宋体" w:cs="Times New Roman"/>
                      <w:color w:val="000000" w:themeColor="text1"/>
                      <w:kern w:val="2"/>
                      <w:sz w:val="21"/>
                      <w:szCs w:val="24"/>
                      <w:lang w:val="en-US" w:eastAsia="zh-CN" w:bidi="ar-SA"/>
                      <w14:textFill>
                        <w14:solidFill>
                          <w14:schemeClr w14:val="tx1"/>
                        </w14:solidFill>
                      </w14:textFill>
                    </w:rPr>
                    <w:t>1</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519" w:type="pct"/>
                  <w:vAlign w:val="center"/>
                </w:tcPr>
                <w:p>
                  <w:pPr>
                    <w:pStyle w:val="22"/>
                    <w:bidi w:val="0"/>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s="Times New Roman"/>
                      <w:color w:val="000000" w:themeColor="text1"/>
                      <w:kern w:val="2"/>
                      <w:sz w:val="21"/>
                      <w:szCs w:val="24"/>
                      <w:lang w:val="en-US" w:eastAsia="zh-CN" w:bidi="ar-SA"/>
                      <w14:textFill>
                        <w14:solidFill>
                          <w14:schemeClr w14:val="tx1"/>
                        </w14:solidFill>
                      </w14:textFill>
                    </w:rPr>
                    <w:t>0</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34</w:t>
                  </w:r>
                </w:p>
              </w:tc>
              <w:tc>
                <w:tcPr>
                  <w:tcW w:w="1382"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万能摇臂 铣床</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X6325</w:t>
                  </w:r>
                </w:p>
              </w:tc>
              <w:tc>
                <w:tcPr>
                  <w:tcW w:w="33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519" w:type="pct"/>
                  <w:vAlign w:val="center"/>
                </w:tcPr>
                <w:p>
                  <w:pPr>
                    <w:pStyle w:val="22"/>
                    <w:bidi w:val="0"/>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36</w:t>
                  </w:r>
                </w:p>
              </w:tc>
              <w:tc>
                <w:tcPr>
                  <w:tcW w:w="1382"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普通卧轴矩台平面磨床</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HZ-500</w:t>
                  </w:r>
                </w:p>
              </w:tc>
              <w:tc>
                <w:tcPr>
                  <w:tcW w:w="33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519"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340" w:hRule="atLeast"/>
                <w:jc w:val="center"/>
              </w:trPr>
              <w:tc>
                <w:tcPr>
                  <w:tcW w:w="36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37</w:t>
                  </w:r>
                </w:p>
              </w:tc>
              <w:tc>
                <w:tcPr>
                  <w:tcW w:w="1382"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精密车床</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CX616A-1</w:t>
                  </w:r>
                </w:p>
              </w:tc>
              <w:tc>
                <w:tcPr>
                  <w:tcW w:w="33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519" w:type="pct"/>
                  <w:vAlign w:val="center"/>
                </w:tcPr>
                <w:p>
                  <w:pPr>
                    <w:pStyle w:val="22"/>
                    <w:bidi w:val="0"/>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90" w:hRule="atLeast"/>
                <w:jc w:val="center"/>
              </w:trPr>
              <w:tc>
                <w:tcPr>
                  <w:tcW w:w="36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38</w:t>
                  </w:r>
                </w:p>
              </w:tc>
              <w:tc>
                <w:tcPr>
                  <w:tcW w:w="1382"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摇臂钻床</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Z3035BX13</w:t>
                  </w:r>
                </w:p>
              </w:tc>
              <w:tc>
                <w:tcPr>
                  <w:tcW w:w="33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519" w:type="pct"/>
                  <w:vAlign w:val="center"/>
                </w:tcPr>
                <w:p>
                  <w:pPr>
                    <w:pStyle w:val="22"/>
                    <w:bidi w:val="0"/>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39</w:t>
                  </w:r>
                </w:p>
              </w:tc>
              <w:tc>
                <w:tcPr>
                  <w:tcW w:w="1382"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万能升降台铣床</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X6132C</w:t>
                  </w:r>
                </w:p>
              </w:tc>
              <w:tc>
                <w:tcPr>
                  <w:tcW w:w="33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519"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40</w:t>
                  </w:r>
                </w:p>
              </w:tc>
              <w:tc>
                <w:tcPr>
                  <w:tcW w:w="1382"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GB系列金属带锯床</w:t>
                  </w:r>
                </w:p>
              </w:tc>
              <w:tc>
                <w:tcPr>
                  <w:tcW w:w="1117" w:type="pct"/>
                  <w:vAlign w:val="center"/>
                </w:tcPr>
                <w:p>
                  <w:pPr>
                    <w:pStyle w:val="22"/>
                    <w:bidi w:val="0"/>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eastAsia="宋体" w:cs="Times New Roman"/>
                      <w:color w:val="000000" w:themeColor="text1"/>
                      <w:kern w:val="2"/>
                      <w:sz w:val="21"/>
                      <w:szCs w:val="24"/>
                      <w:lang w:val="en-US" w:eastAsia="zh-CN" w:bidi="ar-SA"/>
                      <w14:textFill>
                        <w14:solidFill>
                          <w14:schemeClr w14:val="tx1"/>
                        </w14:solidFill>
                      </w14:textFill>
                    </w:rPr>
                    <w:t>/</w:t>
                  </w:r>
                </w:p>
              </w:tc>
              <w:tc>
                <w:tcPr>
                  <w:tcW w:w="33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519" w:type="pct"/>
                  <w:vAlign w:val="center"/>
                </w:tcPr>
                <w:p>
                  <w:pPr>
                    <w:pStyle w:val="22"/>
                    <w:bidi w:val="0"/>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41</w:t>
                  </w:r>
                </w:p>
              </w:tc>
              <w:tc>
                <w:tcPr>
                  <w:tcW w:w="1382"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电火花高速小孔加工机</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DX703</w:t>
                  </w:r>
                </w:p>
              </w:tc>
              <w:tc>
                <w:tcPr>
                  <w:tcW w:w="33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519"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42</w:t>
                  </w:r>
                </w:p>
              </w:tc>
              <w:tc>
                <w:tcPr>
                  <w:tcW w:w="1382"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立式加工中心</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DK5226</w:t>
                  </w:r>
                </w:p>
              </w:tc>
              <w:tc>
                <w:tcPr>
                  <w:tcW w:w="33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519" w:type="pct"/>
                  <w:vAlign w:val="center"/>
                </w:tcPr>
                <w:p>
                  <w:pPr>
                    <w:pStyle w:val="22"/>
                    <w:bidi w:val="0"/>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43</w:t>
                  </w:r>
                </w:p>
              </w:tc>
              <w:tc>
                <w:tcPr>
                  <w:tcW w:w="1382"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立式升降台铣床</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X5040</w:t>
                  </w:r>
                </w:p>
              </w:tc>
              <w:tc>
                <w:tcPr>
                  <w:tcW w:w="33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519"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44</w:t>
                  </w:r>
                </w:p>
              </w:tc>
              <w:tc>
                <w:tcPr>
                  <w:tcW w:w="1382"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315油压机</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315研磨压机</w:t>
                  </w:r>
                </w:p>
              </w:tc>
              <w:tc>
                <w:tcPr>
                  <w:tcW w:w="33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bottom"/>
                </w:tcPr>
                <w:p>
                  <w:pPr>
                    <w:pStyle w:val="22"/>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519" w:type="pct"/>
                  <w:vAlign w:val="center"/>
                </w:tcPr>
                <w:p>
                  <w:pPr>
                    <w:pStyle w:val="22"/>
                    <w:bidi w:val="0"/>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45</w:t>
                  </w:r>
                </w:p>
              </w:tc>
              <w:tc>
                <w:tcPr>
                  <w:tcW w:w="1382"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20吨无轨电动地坪车</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20T</w:t>
                  </w:r>
                </w:p>
              </w:tc>
              <w:tc>
                <w:tcPr>
                  <w:tcW w:w="33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bottom"/>
                </w:tcPr>
                <w:p>
                  <w:pPr>
                    <w:pStyle w:val="22"/>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519" w:type="pct"/>
                  <w:vAlign w:val="center"/>
                </w:tcPr>
                <w:p>
                  <w:pPr>
                    <w:pStyle w:val="22"/>
                    <w:bidi w:val="0"/>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46</w:t>
                  </w:r>
                </w:p>
              </w:tc>
              <w:tc>
                <w:tcPr>
                  <w:tcW w:w="1382"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中丝线切割设备</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EFH-54S</w:t>
                  </w:r>
                </w:p>
              </w:tc>
              <w:tc>
                <w:tcPr>
                  <w:tcW w:w="33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bottom"/>
                </w:tcPr>
                <w:p>
                  <w:pPr>
                    <w:pStyle w:val="22"/>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3</w:t>
                  </w:r>
                </w:p>
              </w:tc>
              <w:tc>
                <w:tcPr>
                  <w:tcW w:w="519"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+3</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47</w:t>
                  </w:r>
                </w:p>
              </w:tc>
              <w:tc>
                <w:tcPr>
                  <w:tcW w:w="1382"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中丝线切割设备</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EFH-86S</w:t>
                  </w:r>
                </w:p>
              </w:tc>
              <w:tc>
                <w:tcPr>
                  <w:tcW w:w="33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bottom"/>
                </w:tcPr>
                <w:p>
                  <w:pPr>
                    <w:pStyle w:val="22"/>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48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519"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48</w:t>
                  </w:r>
                </w:p>
              </w:tc>
              <w:tc>
                <w:tcPr>
                  <w:tcW w:w="1382"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快丝线切割设备</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DK8050GB</w:t>
                  </w:r>
                </w:p>
              </w:tc>
              <w:tc>
                <w:tcPr>
                  <w:tcW w:w="33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bottom"/>
                </w:tcPr>
                <w:p>
                  <w:pPr>
                    <w:pStyle w:val="22"/>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48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519"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340" w:hRule="atLeast"/>
                <w:jc w:val="center"/>
              </w:trPr>
              <w:tc>
                <w:tcPr>
                  <w:tcW w:w="366" w:type="pct"/>
                  <w:vAlign w:val="center"/>
                </w:tcPr>
                <w:p>
                  <w:pPr>
                    <w:pStyle w:val="22"/>
                    <w:bidi w:val="0"/>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49</w:t>
                  </w:r>
                </w:p>
              </w:tc>
              <w:tc>
                <w:tcPr>
                  <w:tcW w:w="1382"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快丝线切割设备</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DK12080GB</w:t>
                  </w:r>
                </w:p>
              </w:tc>
              <w:tc>
                <w:tcPr>
                  <w:tcW w:w="33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bottom"/>
                </w:tcPr>
                <w:p>
                  <w:pPr>
                    <w:pStyle w:val="22"/>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48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519"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s="Times New Roman"/>
                      <w:color w:val="000000" w:themeColor="text1"/>
                      <w:kern w:val="2"/>
                      <w:sz w:val="21"/>
                      <w:szCs w:val="24"/>
                      <w:lang w:val="en-US" w:eastAsia="zh-CN" w:bidi="ar-SA"/>
                      <w14:textFill>
                        <w14:solidFill>
                          <w14:schemeClr w14:val="tx1"/>
                        </w14:solidFill>
                      </w14:textFill>
                    </w:rPr>
                    <w:t>50</w:t>
                  </w:r>
                </w:p>
              </w:tc>
              <w:tc>
                <w:tcPr>
                  <w:tcW w:w="1382"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开式固定台压力机</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JH21-400</w:t>
                  </w:r>
                </w:p>
              </w:tc>
              <w:tc>
                <w:tcPr>
                  <w:tcW w:w="33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bottom"/>
                </w:tcPr>
                <w:p>
                  <w:pPr>
                    <w:pStyle w:val="22"/>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48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6</w:t>
                  </w:r>
                </w:p>
              </w:tc>
              <w:tc>
                <w:tcPr>
                  <w:tcW w:w="519"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+6</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rPr>
                      <w:rFonts w:hint="default"/>
                      <w:color w:val="000000" w:themeColor="text1"/>
                      <w:lang w:val="en-US"/>
                      <w14:textFill>
                        <w14:solidFill>
                          <w14:schemeClr w14:val="tx1"/>
                        </w14:solidFill>
                      </w14:textFill>
                    </w:rPr>
                  </w:pPr>
                  <w:r>
                    <w:rPr>
                      <w:rFonts w:hint="eastAsia"/>
                      <w:color w:val="000000" w:themeColor="text1"/>
                      <w:lang w:val="en-US" w:eastAsia="zh-CN"/>
                      <w14:textFill>
                        <w14:solidFill>
                          <w14:schemeClr w14:val="tx1"/>
                        </w14:solidFill>
                      </w14:textFill>
                    </w:rPr>
                    <w:t>51</w:t>
                  </w:r>
                </w:p>
              </w:tc>
              <w:tc>
                <w:tcPr>
                  <w:tcW w:w="1382"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开式固定台压力机</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JH21-250</w:t>
                  </w:r>
                </w:p>
              </w:tc>
              <w:tc>
                <w:tcPr>
                  <w:tcW w:w="330"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bottom"/>
                </w:tcPr>
                <w:p>
                  <w:pPr>
                    <w:pStyle w:val="22"/>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48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12</w:t>
                  </w:r>
                </w:p>
              </w:tc>
              <w:tc>
                <w:tcPr>
                  <w:tcW w:w="519"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+12</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52</w:t>
                  </w:r>
                </w:p>
              </w:tc>
              <w:tc>
                <w:tcPr>
                  <w:tcW w:w="1382"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开式固定台压力机</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JH21-200</w:t>
                  </w:r>
                </w:p>
              </w:tc>
              <w:tc>
                <w:tcPr>
                  <w:tcW w:w="330"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bottom"/>
                </w:tcPr>
                <w:p>
                  <w:pPr>
                    <w:pStyle w:val="22"/>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48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6</w:t>
                  </w:r>
                </w:p>
              </w:tc>
              <w:tc>
                <w:tcPr>
                  <w:tcW w:w="519"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+6</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53</w:t>
                  </w:r>
                </w:p>
              </w:tc>
              <w:tc>
                <w:tcPr>
                  <w:tcW w:w="1382"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闭式双点压力机</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JM36-400</w:t>
                  </w:r>
                </w:p>
              </w:tc>
              <w:tc>
                <w:tcPr>
                  <w:tcW w:w="330"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bottom"/>
                </w:tcPr>
                <w:p>
                  <w:pPr>
                    <w:pStyle w:val="22"/>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48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2</w:t>
                  </w:r>
                </w:p>
              </w:tc>
              <w:tc>
                <w:tcPr>
                  <w:tcW w:w="519"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+2</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340" w:hRule="atLeast"/>
                <w:jc w:val="center"/>
              </w:trPr>
              <w:tc>
                <w:tcPr>
                  <w:tcW w:w="366" w:type="pct"/>
                  <w:vAlign w:val="center"/>
                </w:tcPr>
                <w:p>
                  <w:pPr>
                    <w:pStyle w:val="22"/>
                    <w:bidi w:val="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54</w:t>
                  </w:r>
                </w:p>
              </w:tc>
              <w:tc>
                <w:tcPr>
                  <w:tcW w:w="1382"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闭式双点压力机</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JM36-200</w:t>
                  </w:r>
                </w:p>
              </w:tc>
              <w:tc>
                <w:tcPr>
                  <w:tcW w:w="330"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bottom"/>
                </w:tcPr>
                <w:p>
                  <w:pPr>
                    <w:pStyle w:val="22"/>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48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2</w:t>
                  </w:r>
                </w:p>
              </w:tc>
              <w:tc>
                <w:tcPr>
                  <w:tcW w:w="519"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+2</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340" w:hRule="atLeast"/>
                <w:jc w:val="center"/>
              </w:trPr>
              <w:tc>
                <w:tcPr>
                  <w:tcW w:w="366" w:type="pct"/>
                  <w:vAlign w:val="center"/>
                </w:tcPr>
                <w:p>
                  <w:pPr>
                    <w:pStyle w:val="22"/>
                    <w:bidi w:val="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55</w:t>
                  </w:r>
                </w:p>
              </w:tc>
              <w:tc>
                <w:tcPr>
                  <w:tcW w:w="1382"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闭式双点压力机</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JM36-630</w:t>
                  </w:r>
                </w:p>
              </w:tc>
              <w:tc>
                <w:tcPr>
                  <w:tcW w:w="330"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bottom"/>
                </w:tcPr>
                <w:p>
                  <w:pPr>
                    <w:pStyle w:val="22"/>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48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3</w:t>
                  </w:r>
                </w:p>
              </w:tc>
              <w:tc>
                <w:tcPr>
                  <w:tcW w:w="519"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+3</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340" w:hRule="atLeast"/>
                <w:jc w:val="center"/>
              </w:trPr>
              <w:tc>
                <w:tcPr>
                  <w:tcW w:w="366" w:type="pct"/>
                  <w:vAlign w:val="center"/>
                </w:tcPr>
                <w:p>
                  <w:pPr>
                    <w:pStyle w:val="22"/>
                    <w:bidi w:val="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56</w:t>
                  </w:r>
                </w:p>
              </w:tc>
              <w:tc>
                <w:tcPr>
                  <w:tcW w:w="1382"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自动送料机</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500MM三合一</w:t>
                  </w:r>
                </w:p>
              </w:tc>
              <w:tc>
                <w:tcPr>
                  <w:tcW w:w="330"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bottom"/>
                </w:tcPr>
                <w:p>
                  <w:pPr>
                    <w:pStyle w:val="22"/>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48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2</w:t>
                  </w:r>
                </w:p>
              </w:tc>
              <w:tc>
                <w:tcPr>
                  <w:tcW w:w="519"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+2</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340" w:hRule="atLeast"/>
                <w:jc w:val="center"/>
              </w:trPr>
              <w:tc>
                <w:tcPr>
                  <w:tcW w:w="366" w:type="pct"/>
                  <w:vAlign w:val="center"/>
                </w:tcPr>
                <w:p>
                  <w:pPr>
                    <w:pStyle w:val="22"/>
                    <w:bidi w:val="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57</w:t>
                  </w:r>
                </w:p>
              </w:tc>
              <w:tc>
                <w:tcPr>
                  <w:tcW w:w="1382"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自动送料机</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600MM三合一</w:t>
                  </w:r>
                </w:p>
              </w:tc>
              <w:tc>
                <w:tcPr>
                  <w:tcW w:w="330"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bottom"/>
                </w:tcPr>
                <w:p>
                  <w:pPr>
                    <w:pStyle w:val="22"/>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48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5</w:t>
                  </w:r>
                </w:p>
              </w:tc>
              <w:tc>
                <w:tcPr>
                  <w:tcW w:w="519"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+5</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58</w:t>
                  </w:r>
                </w:p>
              </w:tc>
              <w:tc>
                <w:tcPr>
                  <w:tcW w:w="1382"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自动化线</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自动化机器人线</w:t>
                  </w:r>
                </w:p>
              </w:tc>
              <w:tc>
                <w:tcPr>
                  <w:tcW w:w="330"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套</w:t>
                  </w:r>
                </w:p>
              </w:tc>
              <w:tc>
                <w:tcPr>
                  <w:tcW w:w="486" w:type="pct"/>
                  <w:vAlign w:val="bottom"/>
                </w:tcPr>
                <w:p>
                  <w:pPr>
                    <w:pStyle w:val="22"/>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48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6</w:t>
                  </w:r>
                </w:p>
              </w:tc>
              <w:tc>
                <w:tcPr>
                  <w:tcW w:w="519"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+6</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59</w:t>
                  </w:r>
                </w:p>
              </w:tc>
              <w:tc>
                <w:tcPr>
                  <w:tcW w:w="1382"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凸焊机</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交流工频DN-100</w:t>
                  </w:r>
                </w:p>
              </w:tc>
              <w:tc>
                <w:tcPr>
                  <w:tcW w:w="330"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bottom"/>
                </w:tcPr>
                <w:p>
                  <w:pPr>
                    <w:pStyle w:val="22"/>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486"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4</w:t>
                  </w:r>
                </w:p>
              </w:tc>
              <w:tc>
                <w:tcPr>
                  <w:tcW w:w="519"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+4</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60</w:t>
                  </w:r>
                </w:p>
              </w:tc>
              <w:tc>
                <w:tcPr>
                  <w:tcW w:w="1382" w:type="pct"/>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CO</w:t>
                  </w:r>
                  <w:r>
                    <w:rPr>
                      <w:rFonts w:hint="eastAsia"/>
                      <w:color w:val="000000" w:themeColor="text1"/>
                      <w:vertAlign w:val="subscript"/>
                      <w:lang w:val="en-US" w:eastAsia="zh-CN"/>
                      <w14:textFill>
                        <w14:solidFill>
                          <w14:schemeClr w14:val="tx1"/>
                        </w14:solidFill>
                      </w14:textFill>
                    </w:rPr>
                    <w:t>2</w:t>
                  </w:r>
                  <w:r>
                    <w:rPr>
                      <w:rFonts w:hint="eastAsia"/>
                      <w:color w:val="000000" w:themeColor="text1"/>
                      <w:lang w:val="en-US" w:eastAsia="zh-CN"/>
                      <w14:textFill>
                        <w14:solidFill>
                          <w14:schemeClr w14:val="tx1"/>
                        </w14:solidFill>
                      </w14:textFill>
                    </w:rPr>
                    <w:t>保护焊机</w:t>
                  </w:r>
                </w:p>
              </w:tc>
              <w:tc>
                <w:tcPr>
                  <w:tcW w:w="1117" w:type="pct"/>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YD-200KF</w:t>
                  </w:r>
                </w:p>
              </w:tc>
              <w:tc>
                <w:tcPr>
                  <w:tcW w:w="330"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bottom"/>
                </w:tcPr>
                <w:p>
                  <w:pPr>
                    <w:pStyle w:val="22"/>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519"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61</w:t>
                  </w:r>
                </w:p>
              </w:tc>
              <w:tc>
                <w:tcPr>
                  <w:tcW w:w="1382" w:type="pct"/>
                  <w:vAlign w:val="center"/>
                </w:tcPr>
                <w:p>
                  <w:pPr>
                    <w:pStyle w:val="22"/>
                    <w:bidi w:val="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烟尘处理器</w:t>
                  </w:r>
                </w:p>
              </w:tc>
              <w:tc>
                <w:tcPr>
                  <w:tcW w:w="1117" w:type="pct"/>
                  <w:vAlign w:val="center"/>
                </w:tcPr>
                <w:p>
                  <w:pPr>
                    <w:pStyle w:val="22"/>
                    <w:bidi w:val="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DB3300(双臂3.0kw）</w:t>
                  </w:r>
                </w:p>
              </w:tc>
              <w:tc>
                <w:tcPr>
                  <w:tcW w:w="330" w:type="pct"/>
                  <w:vAlign w:val="center"/>
                </w:tcPr>
                <w:p>
                  <w:pPr>
                    <w:pStyle w:val="22"/>
                    <w:bidi w:val="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center"/>
                </w:tcPr>
                <w:p>
                  <w:pPr>
                    <w:pStyle w:val="22"/>
                    <w:bidi w:val="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486" w:type="pct"/>
                  <w:vAlign w:val="center"/>
                </w:tcPr>
                <w:p>
                  <w:pPr>
                    <w:pStyle w:val="22"/>
                    <w:bidi w:val="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p>
              </w:tc>
              <w:tc>
                <w:tcPr>
                  <w:tcW w:w="519" w:type="pct"/>
                  <w:vAlign w:val="center"/>
                </w:tcPr>
                <w:p>
                  <w:pPr>
                    <w:pStyle w:val="22"/>
                    <w:bidi w:val="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62</w:t>
                  </w:r>
                </w:p>
              </w:tc>
              <w:tc>
                <w:tcPr>
                  <w:tcW w:w="1382" w:type="pct"/>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交流弧焊机</w:t>
                  </w:r>
                </w:p>
              </w:tc>
              <w:tc>
                <w:tcPr>
                  <w:tcW w:w="1117" w:type="pct"/>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BX1-500-2</w:t>
                  </w:r>
                </w:p>
              </w:tc>
              <w:tc>
                <w:tcPr>
                  <w:tcW w:w="330"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bottom"/>
                </w:tcPr>
                <w:p>
                  <w:pPr>
                    <w:pStyle w:val="22"/>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519"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340" w:hRule="atLeast"/>
                <w:jc w:val="center"/>
              </w:trPr>
              <w:tc>
                <w:tcPr>
                  <w:tcW w:w="366" w:type="pct"/>
                  <w:vAlign w:val="center"/>
                </w:tcPr>
                <w:p>
                  <w:pPr>
                    <w:pStyle w:val="22"/>
                    <w:bidi w:val="0"/>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63</w:t>
                  </w:r>
                </w:p>
              </w:tc>
              <w:tc>
                <w:tcPr>
                  <w:tcW w:w="1382" w:type="pct"/>
                  <w:vAlign w:val="center"/>
                </w:tcPr>
                <w:p>
                  <w:pPr>
                    <w:pStyle w:val="22"/>
                    <w:bidi w:val="0"/>
                    <w:rPr>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直流氩弧焊机</w:t>
                  </w:r>
                </w:p>
              </w:tc>
              <w:tc>
                <w:tcPr>
                  <w:tcW w:w="1117" w:type="pct"/>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WS300A</w:t>
                  </w:r>
                </w:p>
              </w:tc>
              <w:tc>
                <w:tcPr>
                  <w:tcW w:w="330" w:type="pct"/>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bottom"/>
                </w:tcPr>
                <w:p>
                  <w:pPr>
                    <w:pStyle w:val="22"/>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519"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64</w:t>
                  </w:r>
                </w:p>
              </w:tc>
              <w:tc>
                <w:tcPr>
                  <w:tcW w:w="1382" w:type="pct"/>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无轨电动地坪车</w:t>
                  </w:r>
                </w:p>
              </w:tc>
              <w:tc>
                <w:tcPr>
                  <w:tcW w:w="1117" w:type="pct"/>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MGV-10T</w:t>
                  </w:r>
                </w:p>
              </w:tc>
              <w:tc>
                <w:tcPr>
                  <w:tcW w:w="330"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bottom"/>
                </w:tcPr>
                <w:p>
                  <w:pPr>
                    <w:pStyle w:val="22"/>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486"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519"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65</w:t>
                  </w:r>
                </w:p>
              </w:tc>
              <w:tc>
                <w:tcPr>
                  <w:tcW w:w="1382" w:type="pct"/>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电动单梁起重机（5吨）</w:t>
                  </w:r>
                </w:p>
              </w:tc>
              <w:tc>
                <w:tcPr>
                  <w:tcW w:w="1117" w:type="pct"/>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LDA5T-22.5A4</w:t>
                  </w:r>
                </w:p>
              </w:tc>
              <w:tc>
                <w:tcPr>
                  <w:tcW w:w="330"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bottom"/>
                </w:tcPr>
                <w:p>
                  <w:pPr>
                    <w:pStyle w:val="22"/>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486"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519"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66</w:t>
                  </w:r>
                </w:p>
              </w:tc>
              <w:tc>
                <w:tcPr>
                  <w:tcW w:w="1382"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冷冻机</w:t>
                  </w:r>
                </w:p>
              </w:tc>
              <w:tc>
                <w:tcPr>
                  <w:tcW w:w="1117"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工业冷水机</w:t>
                  </w:r>
                </w:p>
              </w:tc>
              <w:tc>
                <w:tcPr>
                  <w:tcW w:w="33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bottom"/>
                </w:tcPr>
                <w:p>
                  <w:pPr>
                    <w:pStyle w:val="22"/>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48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519"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67</w:t>
                  </w:r>
                </w:p>
              </w:tc>
              <w:tc>
                <w:tcPr>
                  <w:tcW w:w="1382" w:type="pct"/>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电动双樑起重机</w:t>
                  </w:r>
                </w:p>
              </w:tc>
              <w:tc>
                <w:tcPr>
                  <w:tcW w:w="1117" w:type="pct"/>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10T+3T</w:t>
                  </w:r>
                </w:p>
              </w:tc>
              <w:tc>
                <w:tcPr>
                  <w:tcW w:w="330"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bottom"/>
                </w:tcPr>
                <w:p>
                  <w:pPr>
                    <w:pStyle w:val="22"/>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486" w:type="pct"/>
                  <w:vAlign w:val="center"/>
                </w:tcPr>
                <w:p>
                  <w:pPr>
                    <w:pStyle w:val="22"/>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519" w:type="pct"/>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68</w:t>
                  </w:r>
                </w:p>
              </w:tc>
              <w:tc>
                <w:tcPr>
                  <w:tcW w:w="1382" w:type="pct"/>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电动单梁起重机</w:t>
                  </w:r>
                </w:p>
              </w:tc>
              <w:tc>
                <w:tcPr>
                  <w:tcW w:w="1117" w:type="pct"/>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10T</w:t>
                  </w:r>
                </w:p>
              </w:tc>
              <w:tc>
                <w:tcPr>
                  <w:tcW w:w="330"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bottom"/>
                </w:tcPr>
                <w:p>
                  <w:pPr>
                    <w:pStyle w:val="22"/>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486" w:type="pct"/>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519" w:type="pct"/>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340" w:hRule="atLeast"/>
                <w:jc w:val="center"/>
              </w:trPr>
              <w:tc>
                <w:tcPr>
                  <w:tcW w:w="36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69</w:t>
                  </w:r>
                </w:p>
              </w:tc>
              <w:tc>
                <w:tcPr>
                  <w:tcW w:w="1382" w:type="pct"/>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电动单梁起重机</w:t>
                  </w:r>
                </w:p>
              </w:tc>
              <w:tc>
                <w:tcPr>
                  <w:tcW w:w="1117" w:type="pct"/>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10T</w:t>
                  </w:r>
                </w:p>
              </w:tc>
              <w:tc>
                <w:tcPr>
                  <w:tcW w:w="330"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bottom"/>
                </w:tcPr>
                <w:p>
                  <w:pPr>
                    <w:pStyle w:val="22"/>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486" w:type="pct"/>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519" w:type="pct"/>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70</w:t>
                  </w:r>
                </w:p>
              </w:tc>
              <w:tc>
                <w:tcPr>
                  <w:tcW w:w="1382" w:type="pct"/>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电动双樑起重机</w:t>
                  </w:r>
                </w:p>
              </w:tc>
              <w:tc>
                <w:tcPr>
                  <w:tcW w:w="1117" w:type="pct"/>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10T+3T</w:t>
                  </w:r>
                </w:p>
              </w:tc>
              <w:tc>
                <w:tcPr>
                  <w:tcW w:w="330" w:type="pct"/>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bottom"/>
                </w:tcPr>
                <w:p>
                  <w:pPr>
                    <w:pStyle w:val="22"/>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486" w:type="pct"/>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519" w:type="pct"/>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71</w:t>
                  </w:r>
                </w:p>
              </w:tc>
              <w:tc>
                <w:tcPr>
                  <w:tcW w:w="1382" w:type="pct"/>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电动单梁起重机</w:t>
                  </w:r>
                </w:p>
              </w:tc>
              <w:tc>
                <w:tcPr>
                  <w:tcW w:w="1117" w:type="pct"/>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10T</w:t>
                  </w:r>
                </w:p>
              </w:tc>
              <w:tc>
                <w:tcPr>
                  <w:tcW w:w="330" w:type="pct"/>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bottom"/>
                </w:tcPr>
                <w:p>
                  <w:pPr>
                    <w:pStyle w:val="22"/>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486" w:type="pct"/>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519" w:type="pct"/>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72</w:t>
                  </w:r>
                </w:p>
              </w:tc>
              <w:tc>
                <w:tcPr>
                  <w:tcW w:w="1382" w:type="pct"/>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电动单梁起重机</w:t>
                  </w:r>
                </w:p>
              </w:tc>
              <w:tc>
                <w:tcPr>
                  <w:tcW w:w="1117" w:type="pct"/>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5T</w:t>
                  </w:r>
                </w:p>
              </w:tc>
              <w:tc>
                <w:tcPr>
                  <w:tcW w:w="330" w:type="pct"/>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bottom"/>
                </w:tcPr>
                <w:p>
                  <w:pPr>
                    <w:pStyle w:val="22"/>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486" w:type="pct"/>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519" w:type="pct"/>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311"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66" w:type="pct"/>
                  <w:vAlign w:val="center"/>
                </w:tcPr>
                <w:p>
                  <w:pPr>
                    <w:pStyle w:val="22"/>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73</w:t>
                  </w:r>
                </w:p>
              </w:tc>
              <w:tc>
                <w:tcPr>
                  <w:tcW w:w="1382" w:type="pct"/>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电动单梁起重机</w:t>
                  </w:r>
                </w:p>
              </w:tc>
              <w:tc>
                <w:tcPr>
                  <w:tcW w:w="1117" w:type="pct"/>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32.5T</w:t>
                  </w:r>
                </w:p>
              </w:tc>
              <w:tc>
                <w:tcPr>
                  <w:tcW w:w="330" w:type="pct"/>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86" w:type="pct"/>
                  <w:vAlign w:val="bottom"/>
                </w:tcPr>
                <w:p>
                  <w:pPr>
                    <w:pStyle w:val="22"/>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486" w:type="pct"/>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519" w:type="pct"/>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311" w:type="pct"/>
                  <w:vAlign w:val="center"/>
                </w:tcPr>
                <w:p>
                  <w:pPr>
                    <w:pStyle w:val="22"/>
                    <w:rPr>
                      <w:color w:val="000000" w:themeColor="text1"/>
                      <w14:textFill>
                        <w14:solidFill>
                          <w14:schemeClr w14:val="tx1"/>
                        </w14:solidFill>
                      </w14:textFill>
                    </w:rPr>
                  </w:pPr>
                </w:p>
              </w:tc>
            </w:tr>
          </w:tbl>
          <w:p>
            <w:pPr>
              <w:numPr>
                <w:ilvl w:val="0"/>
                <w:numId w:val="8"/>
              </w:numPr>
              <w:bidi w:val="0"/>
              <w:rPr>
                <w:rFonts w:hint="eastAsia"/>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主要原辅材料及能源消耗</w:t>
            </w:r>
          </w:p>
          <w:p>
            <w:pPr>
              <w:spacing w:line="400" w:lineRule="exact"/>
              <w:ind w:firstLine="480"/>
              <w:rPr>
                <w:rFonts w:hAnsi="宋体"/>
                <w:color w:val="000000" w:themeColor="text1"/>
                <w:kern w:val="24"/>
                <w14:textFill>
                  <w14:solidFill>
                    <w14:schemeClr w14:val="tx1"/>
                  </w14:solidFill>
                </w14:textFill>
              </w:rPr>
            </w:pPr>
            <w:r>
              <w:rPr>
                <w:rFonts w:hAnsi="宋体"/>
                <w:color w:val="000000" w:themeColor="text1"/>
                <w:kern w:val="24"/>
                <w14:textFill>
                  <w14:solidFill>
                    <w14:schemeClr w14:val="tx1"/>
                  </w14:solidFill>
                </w14:textFill>
              </w:rPr>
              <w:t>项目原辅材料消耗见表</w:t>
            </w:r>
            <w:r>
              <w:rPr>
                <w:rFonts w:hint="eastAsia" w:hAnsi="宋体"/>
                <w:color w:val="000000" w:themeColor="text1"/>
                <w:kern w:val="24"/>
                <w14:textFill>
                  <w14:solidFill>
                    <w14:schemeClr w14:val="tx1"/>
                  </w14:solidFill>
                </w14:textFill>
              </w:rPr>
              <w:t>2-</w:t>
            </w:r>
            <w:r>
              <w:rPr>
                <w:rFonts w:hint="eastAsia" w:hAnsi="宋体"/>
                <w:color w:val="000000" w:themeColor="text1"/>
                <w:kern w:val="24"/>
                <w:lang w:val="en-US" w:eastAsia="zh-CN"/>
                <w14:textFill>
                  <w14:solidFill>
                    <w14:schemeClr w14:val="tx1"/>
                  </w14:solidFill>
                </w14:textFill>
              </w:rPr>
              <w:t>6</w:t>
            </w:r>
            <w:r>
              <w:rPr>
                <w:rFonts w:hAnsi="宋体"/>
                <w:color w:val="000000" w:themeColor="text1"/>
                <w:kern w:val="24"/>
                <w14:textFill>
                  <w14:solidFill>
                    <w14:schemeClr w14:val="tx1"/>
                  </w14:solidFill>
                </w14:textFill>
              </w:rPr>
              <w:t>。</w:t>
            </w:r>
          </w:p>
          <w:p>
            <w:pPr>
              <w:pStyle w:val="23"/>
              <w:bidi w:val="0"/>
              <w:rPr>
                <w:color w:val="000000" w:themeColor="text1"/>
                <w14:textFill>
                  <w14:solidFill>
                    <w14:schemeClr w14:val="tx1"/>
                  </w14:solidFill>
                </w14:textFill>
              </w:rPr>
            </w:pPr>
            <w:r>
              <w:rPr>
                <w:color w:val="000000" w:themeColor="text1"/>
                <w14:textFill>
                  <w14:solidFill>
                    <w14:schemeClr w14:val="tx1"/>
                  </w14:solidFill>
                </w14:textFill>
              </w:rPr>
              <w:t>表</w:t>
            </w:r>
            <w:r>
              <w:rPr>
                <w:rFonts w:hint="eastAsia"/>
                <w:color w:val="000000" w:themeColor="text1"/>
                <w14:textFill>
                  <w14:solidFill>
                    <w14:schemeClr w14:val="tx1"/>
                  </w14:solidFill>
                </w14:textFill>
              </w:rPr>
              <w:t>2-</w:t>
            </w:r>
            <w:r>
              <w:rPr>
                <w:rFonts w:hint="eastAsia"/>
                <w:color w:val="000000" w:themeColor="text1"/>
                <w:lang w:val="en-US" w:eastAsia="zh-CN"/>
                <w14:textFill>
                  <w14:solidFill>
                    <w14:schemeClr w14:val="tx1"/>
                  </w14:solidFill>
                </w14:textFill>
              </w:rPr>
              <w:t>6</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项目原辅材料消耗表</w:t>
            </w:r>
          </w:p>
          <w:tbl>
            <w:tblPr>
              <w:tblStyle w:val="1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56" w:type="dxa"/>
                <w:bottom w:w="0" w:type="dxa"/>
                <w:right w:w="56" w:type="dxa"/>
              </w:tblCellMar>
            </w:tblPr>
            <w:tblGrid>
              <w:gridCol w:w="522"/>
              <w:gridCol w:w="529"/>
              <w:gridCol w:w="1711"/>
              <w:gridCol w:w="692"/>
              <w:gridCol w:w="873"/>
              <w:gridCol w:w="873"/>
              <w:gridCol w:w="878"/>
              <w:gridCol w:w="1163"/>
              <w:gridCol w:w="115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267" w:hRule="atLeast"/>
                <w:jc w:val="center"/>
              </w:trPr>
              <w:tc>
                <w:tcPr>
                  <w:tcW w:w="311" w:type="pct"/>
                  <w:vMerge w:val="restart"/>
                  <w:vAlign w:val="center"/>
                </w:tcPr>
                <w:p>
                  <w:pPr>
                    <w:pStyle w:val="22"/>
                    <w:rPr>
                      <w:b/>
                      <w:bCs/>
                      <w:color w:val="000000" w:themeColor="text1"/>
                      <w14:textFill>
                        <w14:solidFill>
                          <w14:schemeClr w14:val="tx1"/>
                        </w14:solidFill>
                      </w14:textFill>
                    </w:rPr>
                  </w:pPr>
                  <w:r>
                    <w:rPr>
                      <w:b/>
                      <w:bCs/>
                      <w:color w:val="000000" w:themeColor="text1"/>
                      <w14:textFill>
                        <w14:solidFill>
                          <w14:schemeClr w14:val="tx1"/>
                        </w14:solidFill>
                      </w14:textFill>
                    </w:rPr>
                    <w:t>序号</w:t>
                  </w:r>
                </w:p>
              </w:tc>
              <w:tc>
                <w:tcPr>
                  <w:tcW w:w="315" w:type="pct"/>
                  <w:vMerge w:val="restart"/>
                  <w:vAlign w:val="center"/>
                </w:tcPr>
                <w:p>
                  <w:pPr>
                    <w:pStyle w:val="2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类别</w:t>
                  </w:r>
                </w:p>
              </w:tc>
              <w:tc>
                <w:tcPr>
                  <w:tcW w:w="1019" w:type="pct"/>
                  <w:vMerge w:val="restart"/>
                  <w:vAlign w:val="center"/>
                </w:tcPr>
                <w:p>
                  <w:pPr>
                    <w:pStyle w:val="2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名称</w:t>
                  </w:r>
                </w:p>
              </w:tc>
              <w:tc>
                <w:tcPr>
                  <w:tcW w:w="412" w:type="pct"/>
                  <w:vMerge w:val="restart"/>
                  <w:vAlign w:val="center"/>
                </w:tcPr>
                <w:p>
                  <w:pPr>
                    <w:pStyle w:val="22"/>
                    <w:ind w:firstLine="0" w:firstLineChars="0"/>
                    <w:rPr>
                      <w:rFonts w:hint="eastAsia" w:ascii="Times New Roman" w:hAnsi="Times New Roman" w:eastAsia="宋体" w:cs="Times New Roman"/>
                      <w:b/>
                      <w:bCs/>
                      <w:color w:val="000000" w:themeColor="text1"/>
                      <w:kern w:val="2"/>
                      <w:sz w:val="21"/>
                      <w:szCs w:val="24"/>
                      <w:lang w:val="en-US" w:eastAsia="zh-CN" w:bidi="ar-SA"/>
                      <w14:textFill>
                        <w14:solidFill>
                          <w14:schemeClr w14:val="tx1"/>
                        </w14:solidFill>
                      </w14:textFill>
                    </w:rPr>
                  </w:pPr>
                  <w:r>
                    <w:rPr>
                      <w:rFonts w:hint="eastAsia"/>
                      <w:b/>
                      <w:bCs/>
                      <w:color w:val="000000" w:themeColor="text1"/>
                      <w14:textFill>
                        <w14:solidFill>
                          <w14:schemeClr w14:val="tx1"/>
                        </w14:solidFill>
                      </w14:textFill>
                    </w:rPr>
                    <w:t>单位</w:t>
                  </w:r>
                </w:p>
              </w:tc>
              <w:tc>
                <w:tcPr>
                  <w:tcW w:w="1563" w:type="pct"/>
                  <w:gridSpan w:val="3"/>
                  <w:vAlign w:val="center"/>
                </w:tcPr>
                <w:p>
                  <w:pPr>
                    <w:pStyle w:val="22"/>
                    <w:rPr>
                      <w:rFonts w:hint="eastAsia"/>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年用量</w:t>
                  </w:r>
                </w:p>
              </w:tc>
              <w:tc>
                <w:tcPr>
                  <w:tcW w:w="693" w:type="pct"/>
                  <w:vMerge w:val="restart"/>
                  <w:vAlign w:val="center"/>
                </w:tcPr>
                <w:p>
                  <w:pPr>
                    <w:pStyle w:val="22"/>
                    <w:rPr>
                      <w:rFonts w:hint="eastAsia" w:eastAsia="宋体"/>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最大存储量</w:t>
                  </w:r>
                </w:p>
              </w:tc>
              <w:tc>
                <w:tcPr>
                  <w:tcW w:w="684" w:type="pct"/>
                  <w:vMerge w:val="restart"/>
                  <w:vAlign w:val="center"/>
                </w:tcPr>
                <w:p>
                  <w:pPr>
                    <w:pStyle w:val="2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267" w:hRule="atLeast"/>
                <w:jc w:val="center"/>
              </w:trPr>
              <w:tc>
                <w:tcPr>
                  <w:tcW w:w="311" w:type="pct"/>
                  <w:vMerge w:val="continue"/>
                  <w:vAlign w:val="center"/>
                </w:tcPr>
                <w:p>
                  <w:pPr>
                    <w:pStyle w:val="22"/>
                    <w:rPr>
                      <w:color w:val="000000" w:themeColor="text1"/>
                      <w14:textFill>
                        <w14:solidFill>
                          <w14:schemeClr w14:val="tx1"/>
                        </w14:solidFill>
                      </w14:textFill>
                    </w:rPr>
                  </w:pPr>
                </w:p>
              </w:tc>
              <w:tc>
                <w:tcPr>
                  <w:tcW w:w="315" w:type="pct"/>
                  <w:vMerge w:val="continue"/>
                  <w:vAlign w:val="center"/>
                </w:tcPr>
                <w:p>
                  <w:pPr>
                    <w:pStyle w:val="22"/>
                    <w:rPr>
                      <w:color w:val="000000" w:themeColor="text1"/>
                      <w14:textFill>
                        <w14:solidFill>
                          <w14:schemeClr w14:val="tx1"/>
                        </w14:solidFill>
                      </w14:textFill>
                    </w:rPr>
                  </w:pPr>
                </w:p>
              </w:tc>
              <w:tc>
                <w:tcPr>
                  <w:tcW w:w="1019" w:type="pct"/>
                  <w:vMerge w:val="continue"/>
                  <w:vAlign w:val="center"/>
                </w:tcPr>
                <w:p>
                  <w:pPr>
                    <w:pStyle w:val="22"/>
                    <w:rPr>
                      <w:color w:val="000000" w:themeColor="text1"/>
                      <w14:textFill>
                        <w14:solidFill>
                          <w14:schemeClr w14:val="tx1"/>
                        </w14:solidFill>
                      </w14:textFill>
                    </w:rPr>
                  </w:pPr>
                </w:p>
              </w:tc>
              <w:tc>
                <w:tcPr>
                  <w:tcW w:w="412" w:type="pct"/>
                  <w:vMerge w:val="continue"/>
                  <w:vAlign w:val="center"/>
                </w:tcPr>
                <w:p>
                  <w:pPr>
                    <w:pStyle w:val="22"/>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p>
              </w:tc>
              <w:tc>
                <w:tcPr>
                  <w:tcW w:w="520" w:type="pct"/>
                  <w:vAlign w:val="center"/>
                </w:tcPr>
                <w:p>
                  <w:pPr>
                    <w:pStyle w:val="22"/>
                    <w:rPr>
                      <w:rFonts w:hint="eastAsia" w:eastAsia="宋体"/>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迁建前</w:t>
                  </w:r>
                </w:p>
              </w:tc>
              <w:tc>
                <w:tcPr>
                  <w:tcW w:w="520" w:type="pct"/>
                  <w:vAlign w:val="center"/>
                </w:tcPr>
                <w:p>
                  <w:pPr>
                    <w:pStyle w:val="22"/>
                    <w:rPr>
                      <w:rFonts w:hint="eastAsia" w:eastAsia="宋体"/>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迁建后</w:t>
                  </w:r>
                </w:p>
              </w:tc>
              <w:tc>
                <w:tcPr>
                  <w:tcW w:w="523" w:type="pct"/>
                  <w:vAlign w:val="center"/>
                </w:tcPr>
                <w:p>
                  <w:pPr>
                    <w:pStyle w:val="22"/>
                    <w:rPr>
                      <w:rFonts w:hint="eastAsia" w:eastAsia="宋体"/>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增减量</w:t>
                  </w:r>
                </w:p>
              </w:tc>
              <w:tc>
                <w:tcPr>
                  <w:tcW w:w="693" w:type="pct"/>
                  <w:vMerge w:val="continue"/>
                  <w:vAlign w:val="center"/>
                </w:tcPr>
                <w:p>
                  <w:pPr>
                    <w:pStyle w:val="22"/>
                    <w:rPr>
                      <w:rFonts w:hint="eastAsia"/>
                      <w:color w:val="000000" w:themeColor="text1"/>
                      <w14:textFill>
                        <w14:solidFill>
                          <w14:schemeClr w14:val="tx1"/>
                        </w14:solidFill>
                      </w14:textFill>
                    </w:rPr>
                  </w:pPr>
                </w:p>
              </w:tc>
              <w:tc>
                <w:tcPr>
                  <w:tcW w:w="684" w:type="pct"/>
                  <w:vMerge w:val="continue"/>
                  <w:vAlign w:val="center"/>
                </w:tcPr>
                <w:p>
                  <w:pPr>
                    <w:pStyle w:val="22"/>
                    <w:rPr>
                      <w:rFonts w:hint="eastAsia"/>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61" w:hRule="atLeast"/>
                <w:jc w:val="center"/>
              </w:trPr>
              <w:tc>
                <w:tcPr>
                  <w:tcW w:w="311" w:type="pct"/>
                  <w:vAlign w:val="center"/>
                </w:tcPr>
                <w:p>
                  <w:pPr>
                    <w:pStyle w:val="22"/>
                    <w:rPr>
                      <w:color w:val="000000" w:themeColor="text1"/>
                      <w14:textFill>
                        <w14:solidFill>
                          <w14:schemeClr w14:val="tx1"/>
                        </w14:solidFill>
                      </w14:textFill>
                    </w:rPr>
                  </w:pPr>
                  <w:r>
                    <w:rPr>
                      <w:color w:val="000000" w:themeColor="text1"/>
                      <w14:textFill>
                        <w14:solidFill>
                          <w14:schemeClr w14:val="tx1"/>
                        </w14:solidFill>
                      </w14:textFill>
                    </w:rPr>
                    <w:t>1</w:t>
                  </w:r>
                </w:p>
              </w:tc>
              <w:tc>
                <w:tcPr>
                  <w:tcW w:w="315" w:type="pct"/>
                  <w:vMerge w:val="restart"/>
                  <w:vAlign w:val="center"/>
                </w:tcPr>
                <w:p>
                  <w:pPr>
                    <w:pStyle w:val="22"/>
                    <w:rPr>
                      <w:color w:val="000000" w:themeColor="text1"/>
                      <w14:textFill>
                        <w14:solidFill>
                          <w14:schemeClr w14:val="tx1"/>
                        </w14:solidFill>
                      </w14:textFill>
                    </w:rPr>
                  </w:pPr>
                  <w:r>
                    <w:rPr>
                      <w:rFonts w:hint="eastAsia"/>
                      <w:color w:val="000000" w:themeColor="text1"/>
                      <w14:textFill>
                        <w14:solidFill>
                          <w14:schemeClr w14:val="tx1"/>
                        </w14:solidFill>
                      </w14:textFill>
                    </w:rPr>
                    <w:t>原</w:t>
                  </w:r>
                </w:p>
                <w:p>
                  <w:pPr>
                    <w:pStyle w:val="22"/>
                    <w:rPr>
                      <w:color w:val="000000" w:themeColor="text1"/>
                      <w14:textFill>
                        <w14:solidFill>
                          <w14:schemeClr w14:val="tx1"/>
                        </w14:solidFill>
                      </w14:textFill>
                    </w:rPr>
                  </w:pPr>
                  <w:r>
                    <w:rPr>
                      <w:rFonts w:hint="eastAsia"/>
                      <w:color w:val="000000" w:themeColor="text1"/>
                      <w14:textFill>
                        <w14:solidFill>
                          <w14:schemeClr w14:val="tx1"/>
                        </w14:solidFill>
                      </w14:textFill>
                    </w:rPr>
                    <w:t>辅</w:t>
                  </w:r>
                </w:p>
                <w:p>
                  <w:pPr>
                    <w:pStyle w:val="22"/>
                    <w:rPr>
                      <w:color w:val="000000" w:themeColor="text1"/>
                      <w14:textFill>
                        <w14:solidFill>
                          <w14:schemeClr w14:val="tx1"/>
                        </w14:solidFill>
                      </w14:textFill>
                    </w:rPr>
                  </w:pPr>
                  <w:r>
                    <w:rPr>
                      <w:rFonts w:hint="eastAsia"/>
                      <w:color w:val="000000" w:themeColor="text1"/>
                      <w14:textFill>
                        <w14:solidFill>
                          <w14:schemeClr w14:val="tx1"/>
                        </w14:solidFill>
                      </w14:textFill>
                    </w:rPr>
                    <w:t>料</w:t>
                  </w:r>
                </w:p>
              </w:tc>
              <w:tc>
                <w:tcPr>
                  <w:tcW w:w="1019" w:type="pct"/>
                  <w:vAlign w:val="center"/>
                </w:tcPr>
                <w:p>
                  <w:pPr>
                    <w:pStyle w:val="22"/>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钢材</w:t>
                  </w:r>
                </w:p>
              </w:tc>
              <w:tc>
                <w:tcPr>
                  <w:tcW w:w="412" w:type="pct"/>
                  <w:vAlign w:val="center"/>
                </w:tcPr>
                <w:p>
                  <w:pPr>
                    <w:pStyle w:val="22"/>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14:textFill>
                        <w14:solidFill>
                          <w14:schemeClr w14:val="tx1"/>
                        </w14:solidFill>
                      </w14:textFill>
                    </w:rPr>
                    <w:t>t/a</w:t>
                  </w:r>
                </w:p>
              </w:tc>
              <w:tc>
                <w:tcPr>
                  <w:tcW w:w="520" w:type="pct"/>
                  <w:vAlign w:val="center"/>
                </w:tcPr>
                <w:p>
                  <w:pPr>
                    <w:pStyle w:val="2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1020</w:t>
                  </w:r>
                </w:p>
              </w:tc>
              <w:tc>
                <w:tcPr>
                  <w:tcW w:w="873" w:type="dxa"/>
                  <w:vAlign w:val="center"/>
                </w:tcPr>
                <w:p>
                  <w:pPr>
                    <w:pStyle w:val="22"/>
                    <w:ind w:firstLine="0" w:firstLineChars="0"/>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1020</w:t>
                  </w:r>
                </w:p>
              </w:tc>
              <w:tc>
                <w:tcPr>
                  <w:tcW w:w="878" w:type="dxa"/>
                  <w:vAlign w:val="center"/>
                </w:tcPr>
                <w:p>
                  <w:pPr>
                    <w:pStyle w:val="22"/>
                    <w:ind w:firstLine="0" w:firstLineChars="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693" w:type="pct"/>
                  <w:vAlign w:val="center"/>
                </w:tcPr>
                <w:p>
                  <w:pPr>
                    <w:pStyle w:val="2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85</w:t>
                  </w:r>
                </w:p>
              </w:tc>
              <w:tc>
                <w:tcPr>
                  <w:tcW w:w="684"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437" w:hRule="atLeast"/>
                <w:jc w:val="center"/>
              </w:trPr>
              <w:tc>
                <w:tcPr>
                  <w:tcW w:w="311" w:type="pct"/>
                  <w:vAlign w:val="center"/>
                </w:tcPr>
                <w:p>
                  <w:pPr>
                    <w:pStyle w:val="22"/>
                    <w:rPr>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315" w:type="pct"/>
                  <w:vMerge w:val="continue"/>
                  <w:vAlign w:val="center"/>
                </w:tcPr>
                <w:p>
                  <w:pPr>
                    <w:pStyle w:val="22"/>
                    <w:rPr>
                      <w:color w:val="000000" w:themeColor="text1"/>
                      <w14:textFill>
                        <w14:solidFill>
                          <w14:schemeClr w14:val="tx1"/>
                        </w14:solidFill>
                      </w14:textFill>
                    </w:rPr>
                  </w:pPr>
                </w:p>
              </w:tc>
              <w:tc>
                <w:tcPr>
                  <w:tcW w:w="1019" w:type="pct"/>
                  <w:vAlign w:val="center"/>
                </w:tcPr>
                <w:p>
                  <w:pPr>
                    <w:pStyle w:val="22"/>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铝材</w:t>
                  </w:r>
                </w:p>
              </w:tc>
              <w:tc>
                <w:tcPr>
                  <w:tcW w:w="412" w:type="pct"/>
                  <w:vAlign w:val="center"/>
                </w:tcPr>
                <w:p>
                  <w:pPr>
                    <w:pStyle w:val="22"/>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14:textFill>
                        <w14:solidFill>
                          <w14:schemeClr w14:val="tx1"/>
                        </w14:solidFill>
                      </w14:textFill>
                    </w:rPr>
                    <w:t>t/a</w:t>
                  </w:r>
                </w:p>
              </w:tc>
              <w:tc>
                <w:tcPr>
                  <w:tcW w:w="520" w:type="pct"/>
                  <w:vAlign w:val="center"/>
                </w:tcPr>
                <w:p>
                  <w:pPr>
                    <w:pStyle w:val="2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60</w:t>
                  </w:r>
                </w:p>
              </w:tc>
              <w:tc>
                <w:tcPr>
                  <w:tcW w:w="873" w:type="dxa"/>
                  <w:vAlign w:val="center"/>
                </w:tcPr>
                <w:p>
                  <w:pPr>
                    <w:pStyle w:val="22"/>
                    <w:ind w:firstLine="0" w:firstLineChars="0"/>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60</w:t>
                  </w:r>
                </w:p>
              </w:tc>
              <w:tc>
                <w:tcPr>
                  <w:tcW w:w="878" w:type="dxa"/>
                  <w:vAlign w:val="center"/>
                </w:tcPr>
                <w:p>
                  <w:pPr>
                    <w:pStyle w:val="22"/>
                    <w:ind w:firstLine="0" w:firstLineChars="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693" w:type="pct"/>
                  <w:vAlign w:val="center"/>
                </w:tcPr>
                <w:p>
                  <w:pPr>
                    <w:pStyle w:val="2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w:t>
                  </w:r>
                </w:p>
              </w:tc>
              <w:tc>
                <w:tcPr>
                  <w:tcW w:w="684"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437" w:hRule="atLeast"/>
                <w:jc w:val="center"/>
              </w:trPr>
              <w:tc>
                <w:tcPr>
                  <w:tcW w:w="311" w:type="pct"/>
                  <w:vAlign w:val="center"/>
                </w:tcPr>
                <w:p>
                  <w:pPr>
                    <w:pStyle w:val="22"/>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3</w:t>
                  </w:r>
                </w:p>
              </w:tc>
              <w:tc>
                <w:tcPr>
                  <w:tcW w:w="315" w:type="pct"/>
                  <w:vMerge w:val="continue"/>
                  <w:vAlign w:val="center"/>
                </w:tcPr>
                <w:p>
                  <w:pPr>
                    <w:pStyle w:val="22"/>
                    <w:rPr>
                      <w:color w:val="000000" w:themeColor="text1"/>
                      <w14:textFill>
                        <w14:solidFill>
                          <w14:schemeClr w14:val="tx1"/>
                        </w14:solidFill>
                      </w14:textFill>
                    </w:rPr>
                  </w:pPr>
                </w:p>
              </w:tc>
              <w:tc>
                <w:tcPr>
                  <w:tcW w:w="1019" w:type="pct"/>
                  <w:vAlign w:val="center"/>
                </w:tcPr>
                <w:p>
                  <w:pPr>
                    <w:pStyle w:val="22"/>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切削液</w:t>
                  </w:r>
                </w:p>
              </w:tc>
              <w:tc>
                <w:tcPr>
                  <w:tcW w:w="412" w:type="pct"/>
                  <w:vAlign w:val="center"/>
                </w:tcPr>
                <w:p>
                  <w:pPr>
                    <w:pStyle w:val="22"/>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14:textFill>
                        <w14:solidFill>
                          <w14:schemeClr w14:val="tx1"/>
                        </w14:solidFill>
                      </w14:textFill>
                    </w:rPr>
                    <w:t>t/a</w:t>
                  </w:r>
                </w:p>
              </w:tc>
              <w:tc>
                <w:tcPr>
                  <w:tcW w:w="520" w:type="pct"/>
                  <w:vAlign w:val="center"/>
                </w:tcPr>
                <w:p>
                  <w:pPr>
                    <w:pStyle w:val="2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1.5</w:t>
                  </w:r>
                </w:p>
              </w:tc>
              <w:tc>
                <w:tcPr>
                  <w:tcW w:w="873" w:type="dxa"/>
                  <w:vAlign w:val="center"/>
                </w:tcPr>
                <w:p>
                  <w:pPr>
                    <w:pStyle w:val="22"/>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1.5</w:t>
                  </w:r>
                </w:p>
              </w:tc>
              <w:tc>
                <w:tcPr>
                  <w:tcW w:w="878" w:type="dxa"/>
                  <w:vAlign w:val="center"/>
                </w:tcPr>
                <w:p>
                  <w:pPr>
                    <w:pStyle w:val="22"/>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693" w:type="pct"/>
                  <w:vAlign w:val="center"/>
                </w:tcPr>
                <w:p>
                  <w:pPr>
                    <w:pStyle w:val="2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0.4</w:t>
                  </w:r>
                </w:p>
              </w:tc>
              <w:tc>
                <w:tcPr>
                  <w:tcW w:w="684"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437" w:hRule="atLeast"/>
                <w:jc w:val="center"/>
              </w:trPr>
              <w:tc>
                <w:tcPr>
                  <w:tcW w:w="311" w:type="pct"/>
                  <w:vAlign w:val="center"/>
                </w:tcPr>
                <w:p>
                  <w:pPr>
                    <w:pStyle w:val="22"/>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4</w:t>
                  </w:r>
                </w:p>
              </w:tc>
              <w:tc>
                <w:tcPr>
                  <w:tcW w:w="315" w:type="pct"/>
                  <w:vMerge w:val="continue"/>
                  <w:vAlign w:val="center"/>
                </w:tcPr>
                <w:p>
                  <w:pPr>
                    <w:pStyle w:val="22"/>
                    <w:rPr>
                      <w:color w:val="000000" w:themeColor="text1"/>
                      <w14:textFill>
                        <w14:solidFill>
                          <w14:schemeClr w14:val="tx1"/>
                        </w14:solidFill>
                      </w14:textFill>
                    </w:rPr>
                  </w:pPr>
                </w:p>
              </w:tc>
              <w:tc>
                <w:tcPr>
                  <w:tcW w:w="1019" w:type="pct"/>
                  <w:vAlign w:val="center"/>
                </w:tcPr>
                <w:p>
                  <w:pPr>
                    <w:pStyle w:val="22"/>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液压油</w:t>
                  </w:r>
                </w:p>
              </w:tc>
              <w:tc>
                <w:tcPr>
                  <w:tcW w:w="412" w:type="pct"/>
                  <w:vAlign w:val="center"/>
                </w:tcPr>
                <w:p>
                  <w:pPr>
                    <w:pStyle w:val="22"/>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14:textFill>
                        <w14:solidFill>
                          <w14:schemeClr w14:val="tx1"/>
                        </w14:solidFill>
                      </w14:textFill>
                    </w:rPr>
                    <w:t>t/a</w:t>
                  </w:r>
                </w:p>
              </w:tc>
              <w:tc>
                <w:tcPr>
                  <w:tcW w:w="520" w:type="pct"/>
                  <w:vAlign w:val="center"/>
                </w:tcPr>
                <w:p>
                  <w:pPr>
                    <w:pStyle w:val="2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p>
              </w:tc>
              <w:tc>
                <w:tcPr>
                  <w:tcW w:w="873" w:type="dxa"/>
                  <w:vAlign w:val="center"/>
                </w:tcPr>
                <w:p>
                  <w:pPr>
                    <w:pStyle w:val="22"/>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p>
              </w:tc>
              <w:tc>
                <w:tcPr>
                  <w:tcW w:w="878" w:type="dxa"/>
                  <w:vAlign w:val="center"/>
                </w:tcPr>
                <w:p>
                  <w:pPr>
                    <w:pStyle w:val="22"/>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693" w:type="pct"/>
                  <w:vAlign w:val="center"/>
                </w:tcPr>
                <w:p>
                  <w:pPr>
                    <w:pStyle w:val="2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0.6</w:t>
                  </w:r>
                </w:p>
              </w:tc>
              <w:tc>
                <w:tcPr>
                  <w:tcW w:w="684"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437" w:hRule="atLeast"/>
                <w:jc w:val="center"/>
              </w:trPr>
              <w:tc>
                <w:tcPr>
                  <w:tcW w:w="311" w:type="pct"/>
                  <w:vAlign w:val="center"/>
                </w:tcPr>
                <w:p>
                  <w:pPr>
                    <w:pStyle w:val="22"/>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5</w:t>
                  </w:r>
                </w:p>
              </w:tc>
              <w:tc>
                <w:tcPr>
                  <w:tcW w:w="315" w:type="pct"/>
                  <w:vMerge w:val="continue"/>
                  <w:vAlign w:val="center"/>
                </w:tcPr>
                <w:p>
                  <w:pPr>
                    <w:pStyle w:val="22"/>
                    <w:rPr>
                      <w:color w:val="000000" w:themeColor="text1"/>
                      <w14:textFill>
                        <w14:solidFill>
                          <w14:schemeClr w14:val="tx1"/>
                        </w14:solidFill>
                      </w14:textFill>
                    </w:rPr>
                  </w:pPr>
                </w:p>
              </w:tc>
              <w:tc>
                <w:tcPr>
                  <w:tcW w:w="1019" w:type="pct"/>
                  <w:vAlign w:val="center"/>
                </w:tcPr>
                <w:p>
                  <w:pPr>
                    <w:pStyle w:val="22"/>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润滑油</w:t>
                  </w:r>
                </w:p>
              </w:tc>
              <w:tc>
                <w:tcPr>
                  <w:tcW w:w="412" w:type="pct"/>
                  <w:vAlign w:val="center"/>
                </w:tcPr>
                <w:p>
                  <w:pPr>
                    <w:pStyle w:val="22"/>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14:textFill>
                        <w14:solidFill>
                          <w14:schemeClr w14:val="tx1"/>
                        </w14:solidFill>
                      </w14:textFill>
                    </w:rPr>
                    <w:t>t/a</w:t>
                  </w:r>
                </w:p>
              </w:tc>
              <w:tc>
                <w:tcPr>
                  <w:tcW w:w="520" w:type="pct"/>
                  <w:vAlign w:val="center"/>
                </w:tcPr>
                <w:p>
                  <w:pPr>
                    <w:pStyle w:val="2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p>
              </w:tc>
              <w:tc>
                <w:tcPr>
                  <w:tcW w:w="52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2.96</w:t>
                  </w:r>
                </w:p>
              </w:tc>
              <w:tc>
                <w:tcPr>
                  <w:tcW w:w="523" w:type="pct"/>
                  <w:vAlign w:val="center"/>
                </w:tcPr>
                <w:p>
                  <w:pPr>
                    <w:pStyle w:val="22"/>
                    <w:bidi w:val="0"/>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0.96</w:t>
                  </w:r>
                </w:p>
              </w:tc>
              <w:tc>
                <w:tcPr>
                  <w:tcW w:w="693" w:type="pct"/>
                  <w:vAlign w:val="center"/>
                </w:tcPr>
                <w:p>
                  <w:pPr>
                    <w:pStyle w:val="22"/>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0.6</w:t>
                  </w:r>
                </w:p>
              </w:tc>
              <w:tc>
                <w:tcPr>
                  <w:tcW w:w="684" w:type="pct"/>
                  <w:vAlign w:val="center"/>
                </w:tcPr>
                <w:p>
                  <w:pPr>
                    <w:pStyle w:val="22"/>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桶装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437" w:hRule="atLeast"/>
                <w:jc w:val="center"/>
              </w:trPr>
              <w:tc>
                <w:tcPr>
                  <w:tcW w:w="311" w:type="pct"/>
                  <w:vAlign w:val="center"/>
                </w:tcPr>
                <w:p>
                  <w:pPr>
                    <w:pStyle w:val="22"/>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6</w:t>
                  </w:r>
                </w:p>
              </w:tc>
              <w:tc>
                <w:tcPr>
                  <w:tcW w:w="315" w:type="pct"/>
                  <w:vMerge w:val="continue"/>
                  <w:vAlign w:val="center"/>
                </w:tcPr>
                <w:p>
                  <w:pPr>
                    <w:pStyle w:val="22"/>
                    <w:rPr>
                      <w:color w:val="000000" w:themeColor="text1"/>
                      <w14:textFill>
                        <w14:solidFill>
                          <w14:schemeClr w14:val="tx1"/>
                        </w14:solidFill>
                      </w14:textFill>
                    </w:rPr>
                  </w:pPr>
                </w:p>
              </w:tc>
              <w:tc>
                <w:tcPr>
                  <w:tcW w:w="1019" w:type="pct"/>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冷轧钢板</w:t>
                  </w:r>
                </w:p>
              </w:tc>
              <w:tc>
                <w:tcPr>
                  <w:tcW w:w="412" w:type="pct"/>
                  <w:vAlign w:val="center"/>
                </w:tcPr>
                <w:p>
                  <w:pPr>
                    <w:pStyle w:val="22"/>
                    <w:bidi w:val="0"/>
                    <w:rPr>
                      <w:rFonts w:hint="eastAsia"/>
                      <w:color w:val="000000" w:themeColor="text1"/>
                      <w14:textFill>
                        <w14:solidFill>
                          <w14:schemeClr w14:val="tx1"/>
                        </w14:solidFill>
                      </w14:textFill>
                    </w:rPr>
                  </w:pPr>
                  <w:r>
                    <w:rPr>
                      <w:rFonts w:hint="default"/>
                      <w:color w:val="000000" w:themeColor="text1"/>
                      <w:lang w:val="en-US" w:eastAsia="zh-CN"/>
                      <w14:textFill>
                        <w14:solidFill>
                          <w14:schemeClr w14:val="tx1"/>
                        </w14:solidFill>
                      </w14:textFill>
                    </w:rPr>
                    <w:t>t/a</w:t>
                  </w:r>
                </w:p>
              </w:tc>
              <w:tc>
                <w:tcPr>
                  <w:tcW w:w="520" w:type="pct"/>
                  <w:vAlign w:val="center"/>
                </w:tcPr>
                <w:p>
                  <w:pPr>
                    <w:pStyle w:val="22"/>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520" w:type="pct"/>
                  <w:vAlign w:val="center"/>
                </w:tcPr>
                <w:p>
                  <w:pPr>
                    <w:pStyle w:val="22"/>
                    <w:bidi w:val="0"/>
                    <w:rPr>
                      <w:rFonts w:hint="eastAsia"/>
                      <w:color w:val="000000" w:themeColor="text1"/>
                      <w14:textFill>
                        <w14:solidFill>
                          <w14:schemeClr w14:val="tx1"/>
                        </w14:solidFill>
                      </w14:textFill>
                    </w:rPr>
                  </w:pPr>
                  <w:r>
                    <w:rPr>
                      <w:rFonts w:hint="default"/>
                      <w:color w:val="000000" w:themeColor="text1"/>
                      <w:lang w:val="en-US" w:eastAsia="zh-CN"/>
                      <w14:textFill>
                        <w14:solidFill>
                          <w14:schemeClr w14:val="tx1"/>
                        </w14:solidFill>
                      </w14:textFill>
                    </w:rPr>
                    <w:t>9000</w:t>
                  </w:r>
                </w:p>
              </w:tc>
              <w:tc>
                <w:tcPr>
                  <w:tcW w:w="523" w:type="pct"/>
                  <w:vAlign w:val="center"/>
                </w:tcPr>
                <w:p>
                  <w:pPr>
                    <w:pStyle w:val="22"/>
                    <w:bidi w:val="0"/>
                    <w:ind w:firstLine="0" w:firstLineChars="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9000</w:t>
                  </w:r>
                </w:p>
              </w:tc>
              <w:tc>
                <w:tcPr>
                  <w:tcW w:w="693" w:type="pct"/>
                  <w:vAlign w:val="center"/>
                </w:tcPr>
                <w:p>
                  <w:pPr>
                    <w:pStyle w:val="22"/>
                    <w:bidi w:val="0"/>
                    <w:rPr>
                      <w:color w:val="000000" w:themeColor="text1"/>
                      <w14:textFill>
                        <w14:solidFill>
                          <w14:schemeClr w14:val="tx1"/>
                        </w14:solidFill>
                      </w14:textFill>
                    </w:rPr>
                  </w:pPr>
                  <w:r>
                    <w:rPr>
                      <w:rFonts w:hint="default"/>
                      <w:color w:val="000000" w:themeColor="text1"/>
                      <w:lang w:val="en-US" w:eastAsia="zh-CN"/>
                      <w14:textFill>
                        <w14:solidFill>
                          <w14:schemeClr w14:val="tx1"/>
                        </w14:solidFill>
                      </w14:textFill>
                    </w:rPr>
                    <w:t>1200</w:t>
                  </w:r>
                </w:p>
              </w:tc>
              <w:tc>
                <w:tcPr>
                  <w:tcW w:w="684"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437" w:hRule="atLeast"/>
                <w:jc w:val="center"/>
              </w:trPr>
              <w:tc>
                <w:tcPr>
                  <w:tcW w:w="311" w:type="pct"/>
                  <w:vAlign w:val="center"/>
                </w:tcPr>
                <w:p>
                  <w:pPr>
                    <w:pStyle w:val="22"/>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7</w:t>
                  </w:r>
                </w:p>
              </w:tc>
              <w:tc>
                <w:tcPr>
                  <w:tcW w:w="315" w:type="pct"/>
                  <w:vMerge w:val="continue"/>
                  <w:vAlign w:val="center"/>
                </w:tcPr>
                <w:p>
                  <w:pPr>
                    <w:pStyle w:val="22"/>
                    <w:rPr>
                      <w:color w:val="000000" w:themeColor="text1"/>
                      <w14:textFill>
                        <w14:solidFill>
                          <w14:schemeClr w14:val="tx1"/>
                        </w14:solidFill>
                      </w14:textFill>
                    </w:rPr>
                  </w:pPr>
                </w:p>
              </w:tc>
              <w:tc>
                <w:tcPr>
                  <w:tcW w:w="1019" w:type="pct"/>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铝板</w:t>
                  </w:r>
                </w:p>
              </w:tc>
              <w:tc>
                <w:tcPr>
                  <w:tcW w:w="412" w:type="pct"/>
                  <w:vAlign w:val="center"/>
                </w:tcPr>
                <w:p>
                  <w:pPr>
                    <w:pStyle w:val="22"/>
                    <w:bidi w:val="0"/>
                    <w:rPr>
                      <w:rFonts w:hint="eastAsia"/>
                      <w:color w:val="000000" w:themeColor="text1"/>
                      <w14:textFill>
                        <w14:solidFill>
                          <w14:schemeClr w14:val="tx1"/>
                        </w14:solidFill>
                      </w14:textFill>
                    </w:rPr>
                  </w:pPr>
                  <w:r>
                    <w:rPr>
                      <w:rFonts w:hint="default"/>
                      <w:color w:val="000000" w:themeColor="text1"/>
                      <w:lang w:val="en-US" w:eastAsia="zh-CN"/>
                      <w14:textFill>
                        <w14:solidFill>
                          <w14:schemeClr w14:val="tx1"/>
                        </w14:solidFill>
                      </w14:textFill>
                    </w:rPr>
                    <w:t>t/a</w:t>
                  </w:r>
                </w:p>
              </w:tc>
              <w:tc>
                <w:tcPr>
                  <w:tcW w:w="520" w:type="pct"/>
                  <w:vAlign w:val="center"/>
                </w:tcPr>
                <w:p>
                  <w:pPr>
                    <w:pStyle w:val="22"/>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520" w:type="pct"/>
                  <w:vAlign w:val="center"/>
                </w:tcPr>
                <w:p>
                  <w:pPr>
                    <w:pStyle w:val="22"/>
                    <w:bidi w:val="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20</w:t>
                  </w:r>
                </w:p>
              </w:tc>
              <w:tc>
                <w:tcPr>
                  <w:tcW w:w="523" w:type="pct"/>
                  <w:vAlign w:val="center"/>
                </w:tcPr>
                <w:p>
                  <w:pPr>
                    <w:pStyle w:val="22"/>
                    <w:bidi w:val="0"/>
                    <w:ind w:firstLine="0" w:firstLineChars="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+20</w:t>
                  </w:r>
                </w:p>
              </w:tc>
              <w:tc>
                <w:tcPr>
                  <w:tcW w:w="693" w:type="pct"/>
                  <w:vAlign w:val="center"/>
                </w:tcPr>
                <w:p>
                  <w:pPr>
                    <w:pStyle w:val="22"/>
                    <w:bidi w:val="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684"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437" w:hRule="atLeast"/>
                <w:jc w:val="center"/>
              </w:trPr>
              <w:tc>
                <w:tcPr>
                  <w:tcW w:w="311" w:type="pct"/>
                  <w:vAlign w:val="center"/>
                </w:tcPr>
                <w:p>
                  <w:pPr>
                    <w:pStyle w:val="22"/>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14:textFill>
                        <w14:solidFill>
                          <w14:schemeClr w14:val="tx1"/>
                        </w14:solidFill>
                      </w14:textFill>
                    </w:rPr>
                    <w:t>8</w:t>
                  </w:r>
                </w:p>
              </w:tc>
              <w:tc>
                <w:tcPr>
                  <w:tcW w:w="315" w:type="pct"/>
                  <w:vMerge w:val="continue"/>
                  <w:vAlign w:val="center"/>
                </w:tcPr>
                <w:p>
                  <w:pPr>
                    <w:pStyle w:val="22"/>
                    <w:rPr>
                      <w:color w:val="000000" w:themeColor="text1"/>
                      <w14:textFill>
                        <w14:solidFill>
                          <w14:schemeClr w14:val="tx1"/>
                        </w14:solidFill>
                      </w14:textFill>
                    </w:rPr>
                  </w:pPr>
                </w:p>
              </w:tc>
              <w:tc>
                <w:tcPr>
                  <w:tcW w:w="1019" w:type="pct"/>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45#/cr12mov钢材</w:t>
                  </w:r>
                </w:p>
              </w:tc>
              <w:tc>
                <w:tcPr>
                  <w:tcW w:w="412" w:type="pct"/>
                  <w:vAlign w:val="center"/>
                </w:tcPr>
                <w:p>
                  <w:pPr>
                    <w:pStyle w:val="22"/>
                    <w:bidi w:val="0"/>
                    <w:rPr>
                      <w:rFonts w:hint="eastAsia"/>
                      <w:color w:val="000000" w:themeColor="text1"/>
                      <w14:textFill>
                        <w14:solidFill>
                          <w14:schemeClr w14:val="tx1"/>
                        </w14:solidFill>
                      </w14:textFill>
                    </w:rPr>
                  </w:pPr>
                  <w:r>
                    <w:rPr>
                      <w:rFonts w:hint="default"/>
                      <w:color w:val="000000" w:themeColor="text1"/>
                      <w:lang w:val="en-US" w:eastAsia="zh-CN"/>
                      <w14:textFill>
                        <w14:solidFill>
                          <w14:schemeClr w14:val="tx1"/>
                        </w14:solidFill>
                      </w14:textFill>
                    </w:rPr>
                    <w:t>t/a</w:t>
                  </w:r>
                </w:p>
              </w:tc>
              <w:tc>
                <w:tcPr>
                  <w:tcW w:w="520" w:type="pct"/>
                  <w:vAlign w:val="center"/>
                </w:tcPr>
                <w:p>
                  <w:pPr>
                    <w:pStyle w:val="22"/>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52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800</w:t>
                  </w:r>
                </w:p>
              </w:tc>
              <w:tc>
                <w:tcPr>
                  <w:tcW w:w="523" w:type="pct"/>
                  <w:vAlign w:val="center"/>
                </w:tcPr>
                <w:p>
                  <w:pPr>
                    <w:pStyle w:val="22"/>
                    <w:bidi w:val="0"/>
                    <w:ind w:firstLine="0" w:firstLineChars="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+800</w:t>
                  </w:r>
                </w:p>
              </w:tc>
              <w:tc>
                <w:tcPr>
                  <w:tcW w:w="693" w:type="pct"/>
                  <w:vAlign w:val="center"/>
                </w:tcPr>
                <w:p>
                  <w:pPr>
                    <w:pStyle w:val="22"/>
                    <w:bidi w:val="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10</w:t>
                  </w:r>
                </w:p>
              </w:tc>
              <w:tc>
                <w:tcPr>
                  <w:tcW w:w="684"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437" w:hRule="atLeast"/>
                <w:jc w:val="center"/>
              </w:trPr>
              <w:tc>
                <w:tcPr>
                  <w:tcW w:w="311" w:type="pct"/>
                  <w:vAlign w:val="center"/>
                </w:tcPr>
                <w:p>
                  <w:pPr>
                    <w:pStyle w:val="22"/>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9</w:t>
                  </w:r>
                </w:p>
              </w:tc>
              <w:tc>
                <w:tcPr>
                  <w:tcW w:w="315" w:type="pct"/>
                  <w:vMerge w:val="continue"/>
                  <w:vAlign w:val="center"/>
                </w:tcPr>
                <w:p>
                  <w:pPr>
                    <w:pStyle w:val="22"/>
                    <w:rPr>
                      <w:color w:val="000000" w:themeColor="text1"/>
                      <w14:textFill>
                        <w14:solidFill>
                          <w14:schemeClr w14:val="tx1"/>
                        </w14:solidFill>
                      </w14:textFill>
                    </w:rPr>
                  </w:pPr>
                </w:p>
              </w:tc>
              <w:tc>
                <w:tcPr>
                  <w:tcW w:w="1019" w:type="pct"/>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标准件/非标件</w:t>
                  </w:r>
                </w:p>
              </w:tc>
              <w:tc>
                <w:tcPr>
                  <w:tcW w:w="412" w:type="pct"/>
                  <w:vAlign w:val="center"/>
                </w:tcPr>
                <w:p>
                  <w:pPr>
                    <w:pStyle w:val="22"/>
                    <w:bidi w:val="0"/>
                    <w:rPr>
                      <w:rFonts w:hint="eastAsia"/>
                      <w:color w:val="000000" w:themeColor="text1"/>
                      <w14:textFill>
                        <w14:solidFill>
                          <w14:schemeClr w14:val="tx1"/>
                        </w14:solidFill>
                      </w14:textFill>
                    </w:rPr>
                  </w:pPr>
                  <w:r>
                    <w:rPr>
                      <w:rFonts w:hint="default"/>
                      <w:color w:val="000000" w:themeColor="text1"/>
                      <w:lang w:val="en-US" w:eastAsia="zh-CN"/>
                      <w14:textFill>
                        <w14:solidFill>
                          <w14:schemeClr w14:val="tx1"/>
                        </w14:solidFill>
                      </w14:textFill>
                    </w:rPr>
                    <w:t>t/a</w:t>
                  </w:r>
                </w:p>
              </w:tc>
              <w:tc>
                <w:tcPr>
                  <w:tcW w:w="520" w:type="pct"/>
                  <w:vAlign w:val="center"/>
                </w:tcPr>
                <w:p>
                  <w:pPr>
                    <w:pStyle w:val="22"/>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52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180</w:t>
                  </w:r>
                </w:p>
              </w:tc>
              <w:tc>
                <w:tcPr>
                  <w:tcW w:w="523" w:type="pct"/>
                  <w:vAlign w:val="center"/>
                </w:tcPr>
                <w:p>
                  <w:pPr>
                    <w:pStyle w:val="22"/>
                    <w:bidi w:val="0"/>
                    <w:ind w:firstLine="0" w:firstLineChars="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+180</w:t>
                  </w:r>
                </w:p>
              </w:tc>
              <w:tc>
                <w:tcPr>
                  <w:tcW w:w="693" w:type="pct"/>
                  <w:vAlign w:val="center"/>
                </w:tcPr>
                <w:p>
                  <w:pPr>
                    <w:pStyle w:val="22"/>
                    <w:bidi w:val="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684"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437" w:hRule="atLeast"/>
                <w:jc w:val="center"/>
              </w:trPr>
              <w:tc>
                <w:tcPr>
                  <w:tcW w:w="311" w:type="pct"/>
                  <w:vAlign w:val="center"/>
                </w:tcPr>
                <w:p>
                  <w:pPr>
                    <w:pStyle w:val="22"/>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10</w:t>
                  </w:r>
                </w:p>
              </w:tc>
              <w:tc>
                <w:tcPr>
                  <w:tcW w:w="315" w:type="pct"/>
                  <w:vMerge w:val="continue"/>
                  <w:vAlign w:val="center"/>
                </w:tcPr>
                <w:p>
                  <w:pPr>
                    <w:pStyle w:val="22"/>
                    <w:rPr>
                      <w:color w:val="000000" w:themeColor="text1"/>
                      <w14:textFill>
                        <w14:solidFill>
                          <w14:schemeClr w14:val="tx1"/>
                        </w14:solidFill>
                      </w14:textFill>
                    </w:rPr>
                  </w:pPr>
                </w:p>
              </w:tc>
              <w:tc>
                <w:tcPr>
                  <w:tcW w:w="1019" w:type="pct"/>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凸焊螺母</w:t>
                  </w:r>
                </w:p>
              </w:tc>
              <w:tc>
                <w:tcPr>
                  <w:tcW w:w="412" w:type="pct"/>
                  <w:vAlign w:val="center"/>
                </w:tcPr>
                <w:p>
                  <w:pPr>
                    <w:pStyle w:val="22"/>
                    <w:bidi w:val="0"/>
                    <w:rPr>
                      <w:rFonts w:hint="eastAsia"/>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t/a</w:t>
                  </w:r>
                </w:p>
              </w:tc>
              <w:tc>
                <w:tcPr>
                  <w:tcW w:w="520" w:type="pct"/>
                  <w:vAlign w:val="center"/>
                </w:tcPr>
                <w:p>
                  <w:pPr>
                    <w:pStyle w:val="22"/>
                    <w:ind w:firstLine="0" w:firstLineChars="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52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6</w:t>
                  </w:r>
                </w:p>
              </w:tc>
              <w:tc>
                <w:tcPr>
                  <w:tcW w:w="523" w:type="pct"/>
                  <w:vAlign w:val="center"/>
                </w:tcPr>
                <w:p>
                  <w:pPr>
                    <w:pStyle w:val="22"/>
                    <w:bidi w:val="0"/>
                    <w:ind w:firstLine="0" w:firstLineChars="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+6</w:t>
                  </w:r>
                </w:p>
              </w:tc>
              <w:tc>
                <w:tcPr>
                  <w:tcW w:w="693" w:type="pct"/>
                  <w:vAlign w:val="center"/>
                </w:tcPr>
                <w:p>
                  <w:pPr>
                    <w:pStyle w:val="22"/>
                    <w:bidi w:val="0"/>
                    <w:rPr>
                      <w:color w:val="000000" w:themeColor="text1"/>
                      <w14:textFill>
                        <w14:solidFill>
                          <w14:schemeClr w14:val="tx1"/>
                        </w14:solidFill>
                      </w14:textFill>
                    </w:rPr>
                  </w:pPr>
                  <w:r>
                    <w:rPr>
                      <w:rFonts w:hint="default"/>
                      <w:color w:val="000000" w:themeColor="text1"/>
                      <w:lang w:val="en-US" w:eastAsia="zh-CN"/>
                      <w14:textFill>
                        <w14:solidFill>
                          <w14:schemeClr w14:val="tx1"/>
                        </w14:solidFill>
                      </w14:textFill>
                    </w:rPr>
                    <w:t>0.4</w:t>
                  </w:r>
                </w:p>
              </w:tc>
              <w:tc>
                <w:tcPr>
                  <w:tcW w:w="684"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437" w:hRule="atLeast"/>
                <w:jc w:val="center"/>
              </w:trPr>
              <w:tc>
                <w:tcPr>
                  <w:tcW w:w="311" w:type="pct"/>
                  <w:vAlign w:val="center"/>
                </w:tcPr>
                <w:p>
                  <w:pPr>
                    <w:pStyle w:val="22"/>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11</w:t>
                  </w:r>
                </w:p>
              </w:tc>
              <w:tc>
                <w:tcPr>
                  <w:tcW w:w="315" w:type="pct"/>
                  <w:vMerge w:val="continue"/>
                  <w:vAlign w:val="center"/>
                </w:tcPr>
                <w:p>
                  <w:pPr>
                    <w:pStyle w:val="22"/>
                    <w:rPr>
                      <w:color w:val="000000" w:themeColor="text1"/>
                      <w14:textFill>
                        <w14:solidFill>
                          <w14:schemeClr w14:val="tx1"/>
                        </w14:solidFill>
                      </w14:textFill>
                    </w:rPr>
                  </w:pPr>
                </w:p>
              </w:tc>
              <w:tc>
                <w:tcPr>
                  <w:tcW w:w="1019" w:type="pct"/>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电极帽</w:t>
                  </w:r>
                </w:p>
              </w:tc>
              <w:tc>
                <w:tcPr>
                  <w:tcW w:w="412" w:type="pct"/>
                  <w:vAlign w:val="center"/>
                </w:tcPr>
                <w:p>
                  <w:pPr>
                    <w:pStyle w:val="22"/>
                    <w:bidi w:val="0"/>
                    <w:rPr>
                      <w:rFonts w:hint="eastAsia"/>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t/a</w:t>
                  </w:r>
                </w:p>
              </w:tc>
              <w:tc>
                <w:tcPr>
                  <w:tcW w:w="520" w:type="pct"/>
                  <w:vAlign w:val="center"/>
                </w:tcPr>
                <w:p>
                  <w:pPr>
                    <w:pStyle w:val="22"/>
                    <w:ind w:firstLine="0" w:firstLineChars="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520" w:type="pct"/>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color w:val="000000" w:themeColor="text1"/>
                      <w:lang w:val="en-US" w:eastAsia="zh-CN"/>
                      <w14:textFill>
                        <w14:solidFill>
                          <w14:schemeClr w14:val="tx1"/>
                        </w14:solidFill>
                      </w14:textFill>
                    </w:rPr>
                    <w:t>1</w:t>
                  </w:r>
                </w:p>
              </w:tc>
              <w:tc>
                <w:tcPr>
                  <w:tcW w:w="523" w:type="pct"/>
                  <w:vAlign w:val="center"/>
                </w:tcPr>
                <w:p>
                  <w:pPr>
                    <w:pStyle w:val="22"/>
                    <w:bidi w:val="0"/>
                    <w:ind w:firstLine="0" w:firstLineChars="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1</w:t>
                  </w:r>
                </w:p>
              </w:tc>
              <w:tc>
                <w:tcPr>
                  <w:tcW w:w="693" w:type="pct"/>
                  <w:vAlign w:val="center"/>
                </w:tcPr>
                <w:p>
                  <w:pPr>
                    <w:pStyle w:val="22"/>
                    <w:bidi w:val="0"/>
                    <w:rPr>
                      <w:color w:val="000000" w:themeColor="text1"/>
                      <w14:textFill>
                        <w14:solidFill>
                          <w14:schemeClr w14:val="tx1"/>
                        </w14:solidFill>
                      </w14:textFill>
                    </w:rPr>
                  </w:pPr>
                  <w:r>
                    <w:rPr>
                      <w:rFonts w:hint="default"/>
                      <w:color w:val="000000" w:themeColor="text1"/>
                      <w:lang w:val="en-US" w:eastAsia="zh-CN"/>
                      <w14:textFill>
                        <w14:solidFill>
                          <w14:schemeClr w14:val="tx1"/>
                        </w14:solidFill>
                      </w14:textFill>
                    </w:rPr>
                    <w:t>0.05</w:t>
                  </w:r>
                </w:p>
              </w:tc>
              <w:tc>
                <w:tcPr>
                  <w:tcW w:w="684" w:type="pct"/>
                  <w:vAlign w:val="center"/>
                </w:tcPr>
                <w:p>
                  <w:pPr>
                    <w:pStyle w:val="22"/>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437" w:hRule="atLeast"/>
                <w:jc w:val="center"/>
              </w:trPr>
              <w:tc>
                <w:tcPr>
                  <w:tcW w:w="311" w:type="pct"/>
                  <w:vAlign w:val="center"/>
                </w:tcPr>
                <w:p>
                  <w:pPr>
                    <w:pStyle w:val="22"/>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12</w:t>
                  </w:r>
                </w:p>
              </w:tc>
              <w:tc>
                <w:tcPr>
                  <w:tcW w:w="315" w:type="pct"/>
                  <w:vMerge w:val="continue"/>
                  <w:vAlign w:val="center"/>
                </w:tcPr>
                <w:p>
                  <w:pPr>
                    <w:pStyle w:val="22"/>
                    <w:rPr>
                      <w:color w:val="000000" w:themeColor="text1"/>
                      <w14:textFill>
                        <w14:solidFill>
                          <w14:schemeClr w14:val="tx1"/>
                        </w14:solidFill>
                      </w14:textFill>
                    </w:rPr>
                  </w:pPr>
                </w:p>
              </w:tc>
              <w:tc>
                <w:tcPr>
                  <w:tcW w:w="1019" w:type="pct"/>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润滑脂</w:t>
                  </w:r>
                </w:p>
              </w:tc>
              <w:tc>
                <w:tcPr>
                  <w:tcW w:w="412" w:type="pct"/>
                  <w:vAlign w:val="center"/>
                </w:tcPr>
                <w:p>
                  <w:pPr>
                    <w:pStyle w:val="22"/>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t/a</w:t>
                  </w:r>
                </w:p>
              </w:tc>
              <w:tc>
                <w:tcPr>
                  <w:tcW w:w="520" w:type="pct"/>
                  <w:vAlign w:val="center"/>
                </w:tcPr>
                <w:p>
                  <w:pPr>
                    <w:pStyle w:val="22"/>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520" w:type="pct"/>
                  <w:vAlign w:val="center"/>
                </w:tcPr>
                <w:p>
                  <w:pPr>
                    <w:pStyle w:val="22"/>
                    <w:bidi w:val="0"/>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color w:val="000000" w:themeColor="text1"/>
                      <w:lang w:val="en-US" w:eastAsia="zh-CN"/>
                      <w14:textFill>
                        <w14:solidFill>
                          <w14:schemeClr w14:val="tx1"/>
                        </w14:solidFill>
                      </w14:textFill>
                    </w:rPr>
                    <w:t>0.3</w:t>
                  </w:r>
                </w:p>
              </w:tc>
              <w:tc>
                <w:tcPr>
                  <w:tcW w:w="523" w:type="pct"/>
                  <w:vAlign w:val="center"/>
                </w:tcPr>
                <w:p>
                  <w:pPr>
                    <w:pStyle w:val="22"/>
                    <w:bidi w:val="0"/>
                    <w:ind w:firstLine="0" w:firstLineChars="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0.3</w:t>
                  </w:r>
                </w:p>
              </w:tc>
              <w:tc>
                <w:tcPr>
                  <w:tcW w:w="693" w:type="pct"/>
                  <w:vAlign w:val="center"/>
                </w:tcPr>
                <w:p>
                  <w:pPr>
                    <w:pStyle w:val="22"/>
                    <w:bidi w:val="0"/>
                    <w:rPr>
                      <w:color w:val="000000" w:themeColor="text1"/>
                      <w14:textFill>
                        <w14:solidFill>
                          <w14:schemeClr w14:val="tx1"/>
                        </w14:solidFill>
                      </w14:textFill>
                    </w:rPr>
                  </w:pPr>
                  <w:r>
                    <w:rPr>
                      <w:rFonts w:hint="default"/>
                      <w:color w:val="000000" w:themeColor="text1"/>
                      <w:lang w:val="en-US" w:eastAsia="zh-CN"/>
                      <w14:textFill>
                        <w14:solidFill>
                          <w14:schemeClr w14:val="tx1"/>
                        </w14:solidFill>
                      </w14:textFill>
                    </w:rPr>
                    <w:t>0.03</w:t>
                  </w:r>
                </w:p>
              </w:tc>
              <w:tc>
                <w:tcPr>
                  <w:tcW w:w="684" w:type="pct"/>
                  <w:vAlign w:val="center"/>
                </w:tcPr>
                <w:p>
                  <w:pPr>
                    <w:pStyle w:val="22"/>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桶装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411" w:hRule="atLeast"/>
                <w:jc w:val="center"/>
              </w:trPr>
              <w:tc>
                <w:tcPr>
                  <w:tcW w:w="311" w:type="pct"/>
                  <w:vAlign w:val="center"/>
                </w:tcPr>
                <w:p>
                  <w:pPr>
                    <w:pStyle w:val="22"/>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13</w:t>
                  </w:r>
                </w:p>
              </w:tc>
              <w:tc>
                <w:tcPr>
                  <w:tcW w:w="315" w:type="pct"/>
                  <w:vMerge w:val="restart"/>
                  <w:vAlign w:val="center"/>
                </w:tcPr>
                <w:p>
                  <w:pPr>
                    <w:pStyle w:val="22"/>
                    <w:rPr>
                      <w:color w:val="000000" w:themeColor="text1"/>
                      <w14:textFill>
                        <w14:solidFill>
                          <w14:schemeClr w14:val="tx1"/>
                        </w14:solidFill>
                      </w14:textFill>
                    </w:rPr>
                  </w:pPr>
                  <w:r>
                    <w:rPr>
                      <w:rFonts w:hint="eastAsia"/>
                      <w:color w:val="000000" w:themeColor="text1"/>
                      <w14:textFill>
                        <w14:solidFill>
                          <w14:schemeClr w14:val="tx1"/>
                        </w14:solidFill>
                      </w14:textFill>
                    </w:rPr>
                    <w:t>能源</w:t>
                  </w:r>
                </w:p>
              </w:tc>
              <w:tc>
                <w:tcPr>
                  <w:tcW w:w="1019" w:type="pct"/>
                  <w:vAlign w:val="center"/>
                </w:tcPr>
                <w:p>
                  <w:pPr>
                    <w:pStyle w:val="22"/>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14:textFill>
                        <w14:solidFill>
                          <w14:schemeClr w14:val="tx1"/>
                        </w14:solidFill>
                      </w14:textFill>
                    </w:rPr>
                    <w:t>水</w:t>
                  </w:r>
                </w:p>
              </w:tc>
              <w:tc>
                <w:tcPr>
                  <w:tcW w:w="412" w:type="pct"/>
                  <w:vAlign w:val="center"/>
                </w:tcPr>
                <w:p>
                  <w:pPr>
                    <w:pStyle w:val="22"/>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14:textFill>
                        <w14:solidFill>
                          <w14:schemeClr w14:val="tx1"/>
                        </w14:solidFill>
                      </w14:textFill>
                    </w:rPr>
                    <w:t>t/a</w:t>
                  </w:r>
                </w:p>
              </w:tc>
              <w:tc>
                <w:tcPr>
                  <w:tcW w:w="520" w:type="pct"/>
                  <w:vAlign w:val="center"/>
                </w:tcPr>
                <w:p>
                  <w:pPr>
                    <w:pStyle w:val="22"/>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1615</w:t>
                  </w:r>
                </w:p>
              </w:tc>
              <w:tc>
                <w:tcPr>
                  <w:tcW w:w="520" w:type="pct"/>
                  <w:vAlign w:val="center"/>
                </w:tcPr>
                <w:p>
                  <w:pPr>
                    <w:pStyle w:val="22"/>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s="Times New Roman"/>
                      <w:color w:val="000000" w:themeColor="text1"/>
                      <w:kern w:val="2"/>
                      <w:sz w:val="21"/>
                      <w:szCs w:val="24"/>
                      <w:lang w:val="en-US" w:eastAsia="zh-CN" w:bidi="ar-SA"/>
                      <w14:textFill>
                        <w14:solidFill>
                          <w14:schemeClr w14:val="tx1"/>
                        </w14:solidFill>
                      </w14:textFill>
                    </w:rPr>
                    <w:t>1935</w:t>
                  </w:r>
                </w:p>
              </w:tc>
              <w:tc>
                <w:tcPr>
                  <w:tcW w:w="523" w:type="pct"/>
                  <w:vAlign w:val="center"/>
                </w:tcPr>
                <w:p>
                  <w:pPr>
                    <w:pStyle w:val="22"/>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s="Times New Roman"/>
                      <w:color w:val="000000" w:themeColor="text1"/>
                      <w:kern w:val="2"/>
                      <w:sz w:val="21"/>
                      <w:szCs w:val="24"/>
                      <w:lang w:val="en-US" w:eastAsia="zh-CN" w:bidi="ar-SA"/>
                      <w14:textFill>
                        <w14:solidFill>
                          <w14:schemeClr w14:val="tx1"/>
                        </w14:solidFill>
                      </w14:textFill>
                    </w:rPr>
                    <w:t>320</w:t>
                  </w:r>
                </w:p>
              </w:tc>
              <w:tc>
                <w:tcPr>
                  <w:tcW w:w="1378" w:type="pct"/>
                  <w:gridSpan w:val="2"/>
                  <w:vAlign w:val="center"/>
                </w:tcPr>
                <w:p>
                  <w:pPr>
                    <w:pStyle w:val="22"/>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color w:val="000000" w:themeColor="text1"/>
                      <w14:textFill>
                        <w14:solidFill>
                          <w14:schemeClr w14:val="tx1"/>
                        </w14:solidFill>
                      </w14:textFill>
                    </w:rPr>
                    <w:t>供</w:t>
                  </w:r>
                  <w:r>
                    <w:rPr>
                      <w:rFonts w:hint="eastAsia"/>
                      <w:color w:val="000000" w:themeColor="text1"/>
                      <w14:textFill>
                        <w14:solidFill>
                          <w14:schemeClr w14:val="tx1"/>
                        </w14:solidFill>
                      </w14:textFill>
                    </w:rPr>
                    <w:t>水管网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411" w:hRule="atLeast"/>
                <w:jc w:val="center"/>
              </w:trPr>
              <w:tc>
                <w:tcPr>
                  <w:tcW w:w="311" w:type="pct"/>
                  <w:vAlign w:val="center"/>
                </w:tcPr>
                <w:p>
                  <w:pPr>
                    <w:pStyle w:val="22"/>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14</w:t>
                  </w:r>
                </w:p>
              </w:tc>
              <w:tc>
                <w:tcPr>
                  <w:tcW w:w="315" w:type="pct"/>
                  <w:vMerge w:val="continue"/>
                  <w:vAlign w:val="center"/>
                </w:tcPr>
                <w:p>
                  <w:pPr>
                    <w:pStyle w:val="22"/>
                    <w:rPr>
                      <w:rFonts w:hint="eastAsia"/>
                      <w:color w:val="000000" w:themeColor="text1"/>
                      <w14:textFill>
                        <w14:solidFill>
                          <w14:schemeClr w14:val="tx1"/>
                        </w14:solidFill>
                      </w14:textFill>
                    </w:rPr>
                  </w:pPr>
                </w:p>
              </w:tc>
              <w:tc>
                <w:tcPr>
                  <w:tcW w:w="1019" w:type="pct"/>
                  <w:vAlign w:val="center"/>
                </w:tcPr>
                <w:p>
                  <w:pPr>
                    <w:pStyle w:val="22"/>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14:textFill>
                        <w14:solidFill>
                          <w14:schemeClr w14:val="tx1"/>
                        </w14:solidFill>
                      </w14:textFill>
                    </w:rPr>
                    <w:t>电</w:t>
                  </w:r>
                </w:p>
              </w:tc>
              <w:tc>
                <w:tcPr>
                  <w:tcW w:w="412" w:type="pct"/>
                  <w:vAlign w:val="center"/>
                </w:tcPr>
                <w:p>
                  <w:pPr>
                    <w:pStyle w:val="22"/>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kWh</w:t>
                  </w:r>
                  <w:r>
                    <w:rPr>
                      <w:color w:val="000000" w:themeColor="text1"/>
                      <w14:textFill>
                        <w14:solidFill>
                          <w14:schemeClr w14:val="tx1"/>
                        </w14:solidFill>
                      </w14:textFill>
                    </w:rPr>
                    <w:t>/a</w:t>
                  </w:r>
                </w:p>
              </w:tc>
              <w:tc>
                <w:tcPr>
                  <w:tcW w:w="520" w:type="pct"/>
                  <w:vAlign w:val="center"/>
                </w:tcPr>
                <w:p>
                  <w:pPr>
                    <w:pStyle w:val="22"/>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156.31</w:t>
                  </w:r>
                  <w:r>
                    <w:rPr>
                      <w:rFonts w:hint="eastAsia"/>
                      <w:color w:val="000000" w:themeColor="text1"/>
                      <w14:textFill>
                        <w14:solidFill>
                          <w14:schemeClr w14:val="tx1"/>
                        </w14:solidFill>
                      </w14:textFill>
                    </w:rPr>
                    <w:t>万</w:t>
                  </w:r>
                </w:p>
              </w:tc>
              <w:tc>
                <w:tcPr>
                  <w:tcW w:w="520" w:type="pct"/>
                  <w:vAlign w:val="center"/>
                </w:tcPr>
                <w:p>
                  <w:pPr>
                    <w:pStyle w:val="22"/>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181.94</w:t>
                  </w:r>
                  <w:r>
                    <w:rPr>
                      <w:rFonts w:hint="eastAsia" w:cs="Times New Roman"/>
                      <w:color w:val="000000" w:themeColor="text1"/>
                      <w:kern w:val="2"/>
                      <w:sz w:val="21"/>
                      <w:szCs w:val="24"/>
                      <w:lang w:val="en-US" w:eastAsia="zh-CN" w:bidi="ar-SA"/>
                      <w14:textFill>
                        <w14:solidFill>
                          <w14:schemeClr w14:val="tx1"/>
                        </w14:solidFill>
                      </w14:textFill>
                    </w:rPr>
                    <w:t>万</w:t>
                  </w:r>
                </w:p>
              </w:tc>
              <w:tc>
                <w:tcPr>
                  <w:tcW w:w="523" w:type="pct"/>
                  <w:vAlign w:val="center"/>
                </w:tcPr>
                <w:p>
                  <w:pPr>
                    <w:pStyle w:val="22"/>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s="Times New Roman"/>
                      <w:color w:val="000000" w:themeColor="text1"/>
                      <w:kern w:val="2"/>
                      <w:sz w:val="21"/>
                      <w:szCs w:val="24"/>
                      <w:lang w:val="en-US" w:eastAsia="zh-CN" w:bidi="ar-SA"/>
                      <w14:textFill>
                        <w14:solidFill>
                          <w14:schemeClr w14:val="tx1"/>
                        </w14:solidFill>
                      </w14:textFill>
                    </w:rPr>
                    <w:t>+25.63万</w:t>
                  </w:r>
                </w:p>
              </w:tc>
              <w:tc>
                <w:tcPr>
                  <w:tcW w:w="1378" w:type="pct"/>
                  <w:gridSpan w:val="2"/>
                  <w:vAlign w:val="center"/>
                </w:tcPr>
                <w:p>
                  <w:pPr>
                    <w:pStyle w:val="22"/>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color w:val="000000" w:themeColor="text1"/>
                      <w14:textFill>
                        <w14:solidFill>
                          <w14:schemeClr w14:val="tx1"/>
                        </w14:solidFill>
                      </w14:textFill>
                    </w:rPr>
                    <w:t>供电管网</w:t>
                  </w:r>
                </w:p>
              </w:tc>
            </w:tr>
          </w:tbl>
          <w:p>
            <w:pPr>
              <w:numPr>
                <w:ilvl w:val="0"/>
                <w:numId w:val="8"/>
              </w:numPr>
              <w:bidi w:val="0"/>
              <w:rPr>
                <w:rFonts w:hint="eastAsia"/>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生产制度和劳动定员</w:t>
            </w:r>
          </w:p>
          <w:p>
            <w:pPr>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劳动定员：项目迁建后劳动人员120人。</w:t>
            </w:r>
          </w:p>
          <w:p>
            <w:pPr>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工作制度：年工作日为320天，实行双班制，</w:t>
            </w:r>
            <w:r>
              <w:rPr>
                <w:rFonts w:hint="eastAsia"/>
                <w:color w:val="000000" w:themeColor="text1"/>
                <w:lang w:val="en-US" w:eastAsia="zh-CN"/>
                <w14:textFill>
                  <w14:solidFill>
                    <w14:schemeClr w14:val="tx1"/>
                  </w14:solidFill>
                </w14:textFill>
              </w:rPr>
              <w:t>每班</w:t>
            </w:r>
            <w:r>
              <w:rPr>
                <w:rFonts w:hint="eastAsia"/>
                <w:color w:val="000000" w:themeColor="text1"/>
                <w14:textFill>
                  <w14:solidFill>
                    <w14:schemeClr w14:val="tx1"/>
                  </w14:solidFill>
                </w14:textFill>
              </w:rPr>
              <w:t>工作时间为8小时，本项目年工作5120h。</w:t>
            </w:r>
          </w:p>
          <w:p>
            <w:pPr>
              <w:numPr>
                <w:ilvl w:val="0"/>
                <w:numId w:val="8"/>
              </w:numPr>
              <w:bidi w:val="0"/>
              <w:rPr>
                <w:rFonts w:hint="eastAsia"/>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项目平面布局合理性</w:t>
            </w:r>
          </w:p>
          <w:p>
            <w:pPr>
              <w:autoSpaceDE w:val="0"/>
              <w:autoSpaceDN w:val="0"/>
              <w:adjustRightInd w:val="0"/>
              <w:ind w:firstLine="480"/>
              <w:rPr>
                <w:rFonts w:hint="eastAsia"/>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项目位于</w:t>
            </w:r>
            <w:r>
              <w:rPr>
                <w:rFonts w:hint="eastAsia" w:cs="宋体"/>
                <w:color w:val="000000" w:themeColor="text1"/>
                <w14:textFill>
                  <w14:solidFill>
                    <w14:schemeClr w14:val="tx1"/>
                  </w14:solidFill>
                </w14:textFill>
              </w:rPr>
              <w:t>安徽省芜湖市经济技术开发区</w:t>
            </w:r>
            <w:r>
              <w:rPr>
                <w:rFonts w:hint="eastAsia"/>
                <w:color w:val="000000" w:themeColor="text1"/>
                <w14:textFill>
                  <w14:solidFill>
                    <w14:schemeClr w14:val="tx1"/>
                  </w14:solidFill>
                </w14:textFill>
              </w:rPr>
              <w:t>，租赁芜湖戎征达伺服智能装备研发与中试基地建设项目综合厂房</w:t>
            </w:r>
            <w:r>
              <w:rPr>
                <w:rFonts w:hint="eastAsia" w:cs="宋体"/>
                <w:color w:val="000000" w:themeColor="text1"/>
                <w:lang w:eastAsia="zh-CN"/>
                <w14:textFill>
                  <w14:solidFill>
                    <w14:schemeClr w14:val="tx1"/>
                  </w14:solidFill>
                </w14:textFill>
              </w:rPr>
              <w:t>（</w:t>
            </w:r>
            <w:r>
              <w:rPr>
                <w:rFonts w:hint="eastAsia" w:cs="宋体"/>
                <w:color w:val="000000" w:themeColor="text1"/>
                <w14:textFill>
                  <w14:solidFill>
                    <w14:schemeClr w14:val="tx1"/>
                  </w14:solidFill>
                </w14:textFill>
              </w:rPr>
              <w:t>芜湖市经济技术开发区龙山街道祥和路52号</w:t>
            </w:r>
            <w:r>
              <w:rPr>
                <w:rFonts w:hint="eastAsia" w:cs="宋体"/>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进行生产</w:t>
            </w:r>
            <w:r>
              <w:rPr>
                <w:rFonts w:hint="eastAsia"/>
                <w:color w:val="000000" w:themeColor="text1"/>
                <w:lang w:eastAsia="zh-CN"/>
                <w14:textFill>
                  <w14:solidFill>
                    <w14:schemeClr w14:val="tx1"/>
                  </w14:solidFill>
                </w14:textFill>
              </w:rPr>
              <w:t>。厂区内主要设置有</w:t>
            </w:r>
            <w:r>
              <w:rPr>
                <w:rFonts w:hint="eastAsia"/>
                <w:color w:val="000000" w:themeColor="text1"/>
                <w:lang w:val="en-US" w:eastAsia="zh-CN"/>
                <w14:textFill>
                  <w14:solidFill>
                    <w14:schemeClr w14:val="tx1"/>
                  </w14:solidFill>
                </w14:textFill>
              </w:rPr>
              <w:t>综合</w:t>
            </w:r>
            <w:r>
              <w:rPr>
                <w:rFonts w:hint="eastAsia"/>
                <w:color w:val="000000" w:themeColor="text1"/>
                <w:lang w:eastAsia="zh-CN"/>
                <w14:textFill>
                  <w14:solidFill>
                    <w14:schemeClr w14:val="tx1"/>
                  </w14:solidFill>
                </w14:textFill>
              </w:rPr>
              <w:t>办公楼以及生产车间，厂区主出入口位于厂区西侧。生产车间位于厂区中部，为单层的结构，主要提供生产以及生产人员办公场地；</w:t>
            </w:r>
            <w:r>
              <w:rPr>
                <w:rFonts w:hint="eastAsia"/>
                <w:color w:val="000000" w:themeColor="text1"/>
                <w:lang w:val="en-US" w:eastAsia="zh-CN"/>
                <w14:textFill>
                  <w14:solidFill>
                    <w14:schemeClr w14:val="tx1"/>
                  </w14:solidFill>
                </w14:textFill>
              </w:rPr>
              <w:t>综合</w:t>
            </w:r>
            <w:r>
              <w:rPr>
                <w:rFonts w:hint="eastAsia"/>
                <w:color w:val="000000" w:themeColor="text1"/>
                <w:lang w:eastAsia="zh-CN"/>
                <w14:textFill>
                  <w14:solidFill>
                    <w14:schemeClr w14:val="tx1"/>
                  </w14:solidFill>
                </w14:textFill>
              </w:rPr>
              <w:t>办公楼位于生产车间西侧，为4层楼结构，办公楼一层与生产车间相连通，办公楼2-4层主要用于日常办公生活。</w:t>
            </w:r>
          </w:p>
          <w:p>
            <w:pPr>
              <w:autoSpaceDE w:val="0"/>
              <w:autoSpaceDN w:val="0"/>
              <w:adjustRightInd w:val="0"/>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对租赁厂房进行适应性改造，改造面积12666.71</w:t>
            </w:r>
            <w:r>
              <w:rPr>
                <w:rFonts w:hint="eastAsia"/>
                <w:color w:val="000000" w:themeColor="text1"/>
                <w:lang w:val="en-US" w:eastAsia="zh-CN"/>
                <w14:textFill>
                  <w14:solidFill>
                    <w14:schemeClr w14:val="tx1"/>
                  </w14:solidFill>
                </w14:textFill>
              </w:rPr>
              <w:t>m</w:t>
            </w:r>
            <w:r>
              <w:rPr>
                <w:rFonts w:hint="eastAsia"/>
                <w:color w:val="000000" w:themeColor="text1"/>
                <w:vertAlign w:val="superscript"/>
                <w:lang w:val="en-US" w:eastAsia="zh-CN"/>
                <w14:textFill>
                  <w14:solidFill>
                    <w14:schemeClr w14:val="tx1"/>
                  </w14:solidFill>
                </w14:textFill>
              </w:rPr>
              <w:t>2</w:t>
            </w:r>
            <w:r>
              <w:rPr>
                <w:rFonts w:hint="eastAsia"/>
                <w:color w:val="000000" w:themeColor="text1"/>
                <w14:textFill>
                  <w14:solidFill>
                    <w14:schemeClr w14:val="tx1"/>
                  </w14:solidFill>
                </w14:textFill>
              </w:rPr>
              <w:t>，购置线切割、多工位自动化冲压生产线、凸焊生产线等设备及配套设备</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改造</w:t>
            </w:r>
            <w:r>
              <w:rPr>
                <w:rFonts w:hint="eastAsia"/>
                <w:color w:val="000000" w:themeColor="text1"/>
                <w:lang w:val="en-US" w:eastAsia="zh-CN"/>
                <w14:textFill>
                  <w14:solidFill>
                    <w14:schemeClr w14:val="tx1"/>
                  </w14:solidFill>
                </w14:textFill>
              </w:rPr>
              <w:t>后</w:t>
            </w:r>
            <w:r>
              <w:rPr>
                <w:rFonts w:hint="eastAsia" w:hAnsi="宋体"/>
                <w:color w:val="000000" w:themeColor="text1"/>
                <w:kern w:val="24"/>
                <w:lang w:val="en-US" w:eastAsia="zh-CN"/>
                <w14:textFill>
                  <w14:solidFill>
                    <w14:schemeClr w14:val="tx1"/>
                  </w14:solidFill>
                </w14:textFill>
              </w:rPr>
              <w:t>厂房分南北两个区域，北侧区域用于</w:t>
            </w:r>
            <w:r>
              <w:rPr>
                <w:rFonts w:hint="eastAsia"/>
                <w:color w:val="000000" w:themeColor="text1"/>
                <w:kern w:val="0"/>
                <w14:textFill>
                  <w14:solidFill>
                    <w14:schemeClr w14:val="tx1"/>
                  </w14:solidFill>
                </w14:textFill>
              </w:rPr>
              <w:t>汽车模具（含夹检具）</w:t>
            </w:r>
            <w:r>
              <w:rPr>
                <w:rFonts w:hint="eastAsia" w:hAnsi="宋体"/>
                <w:color w:val="000000" w:themeColor="text1"/>
                <w:kern w:val="24"/>
                <w:lang w:val="en-US" w:eastAsia="zh-CN"/>
                <w14:textFill>
                  <w14:solidFill>
                    <w14:schemeClr w14:val="tx1"/>
                  </w14:solidFill>
                </w14:textFill>
              </w:rPr>
              <w:t>生产，由</w:t>
            </w:r>
            <w:r>
              <w:rPr>
                <w:rFonts w:hint="eastAsia" w:hAnsi="宋体"/>
                <w:color w:val="000000" w:themeColor="text1"/>
                <w:kern w:val="24"/>
                <w14:textFill>
                  <w14:solidFill>
                    <w14:schemeClr w14:val="tx1"/>
                  </w14:solidFill>
                </w14:textFill>
              </w:rPr>
              <w:t>西</w:t>
            </w:r>
            <w:r>
              <w:rPr>
                <w:rFonts w:hint="eastAsia" w:hAnsi="宋体"/>
                <w:color w:val="000000" w:themeColor="text1"/>
                <w:kern w:val="24"/>
                <w:lang w:val="en-US" w:eastAsia="zh-CN"/>
                <w14:textFill>
                  <w14:solidFill>
                    <w14:schemeClr w14:val="tx1"/>
                  </w14:solidFill>
                </w14:textFill>
              </w:rPr>
              <w:t>向东</w:t>
            </w:r>
            <w:r>
              <w:rPr>
                <w:rFonts w:hint="eastAsia" w:hAnsi="宋体"/>
                <w:color w:val="000000" w:themeColor="text1"/>
                <w:kern w:val="24"/>
                <w14:textFill>
                  <w14:solidFill>
                    <w14:schemeClr w14:val="tx1"/>
                  </w14:solidFill>
                </w14:textFill>
              </w:rPr>
              <w:t>依次</w:t>
            </w:r>
            <w:r>
              <w:rPr>
                <w:rFonts w:hint="eastAsia" w:hAnsi="宋体"/>
                <w:color w:val="000000" w:themeColor="text1"/>
                <w:kern w:val="24"/>
                <w:lang w:val="en-US" w:eastAsia="zh-CN"/>
                <w14:textFill>
                  <w14:solidFill>
                    <w14:schemeClr w14:val="tx1"/>
                  </w14:solidFill>
                </w14:textFill>
              </w:rPr>
              <w:t>设置</w:t>
            </w:r>
            <w:r>
              <w:rPr>
                <w:rFonts w:hint="eastAsia" w:hAnsi="宋体"/>
                <w:color w:val="000000" w:themeColor="text1"/>
                <w:kern w:val="24"/>
                <w14:textFill>
                  <w14:solidFill>
                    <w14:schemeClr w14:val="tx1"/>
                  </w14:solidFill>
                </w14:textFill>
              </w:rPr>
              <w:t>为</w:t>
            </w:r>
            <w:r>
              <w:rPr>
                <w:rFonts w:hint="eastAsia" w:hAnsi="宋体"/>
                <w:color w:val="000000" w:themeColor="text1"/>
                <w:kern w:val="24"/>
                <w:lang w:val="en-US" w:eastAsia="zh-CN"/>
                <w14:textFill>
                  <w14:solidFill>
                    <w14:schemeClr w14:val="tx1"/>
                  </w14:solidFill>
                </w14:textFill>
              </w:rPr>
              <w:t>模具板材来料堆放区、机加工区、</w:t>
            </w:r>
            <w:r>
              <w:rPr>
                <w:rFonts w:hint="eastAsia" w:hAnsi="宋体"/>
                <w:color w:val="000000" w:themeColor="text1"/>
                <w:kern w:val="24"/>
                <w14:textFill>
                  <w14:solidFill>
                    <w14:schemeClr w14:val="tx1"/>
                  </w14:solidFill>
                </w14:textFill>
              </w:rPr>
              <w:t>模具装配区、模具研合调试区</w:t>
            </w:r>
            <w:r>
              <w:rPr>
                <w:rFonts w:hint="eastAsia" w:hAnsi="宋体"/>
                <w:color w:val="000000" w:themeColor="text1"/>
                <w:kern w:val="24"/>
                <w:lang w:val="en-US" w:eastAsia="zh-CN"/>
                <w14:textFill>
                  <w14:solidFill>
                    <w14:schemeClr w14:val="tx1"/>
                  </w14:solidFill>
                </w14:textFill>
              </w:rPr>
              <w:t>和检具摆放区</w:t>
            </w:r>
            <w:r>
              <w:rPr>
                <w:rFonts w:hint="eastAsia" w:hAnsi="宋体"/>
                <w:color w:val="000000" w:themeColor="text1"/>
                <w:kern w:val="24"/>
                <w14:textFill>
                  <w14:solidFill>
                    <w14:schemeClr w14:val="tx1"/>
                  </w14:solidFill>
                </w14:textFill>
              </w:rPr>
              <w:t>，</w:t>
            </w:r>
            <w:r>
              <w:rPr>
                <w:rFonts w:hint="eastAsia" w:hAnsi="宋体"/>
                <w:color w:val="000000" w:themeColor="text1"/>
                <w:kern w:val="24"/>
                <w:lang w:val="en-US" w:eastAsia="zh-CN"/>
                <w14:textFill>
                  <w14:solidFill>
                    <w14:schemeClr w14:val="tx1"/>
                  </w14:solidFill>
                </w14:textFill>
              </w:rPr>
              <w:t>机加工区布置了</w:t>
            </w:r>
            <w:r>
              <w:rPr>
                <w:rFonts w:hint="eastAsia" w:hAnsi="宋体"/>
                <w:color w:val="000000" w:themeColor="text1"/>
                <w:kern w:val="24"/>
                <w14:textFill>
                  <w14:solidFill>
                    <w14:schemeClr w14:val="tx1"/>
                  </w14:solidFill>
                </w14:textFill>
              </w:rPr>
              <w:t>线切割及车床、铣床加工区</w:t>
            </w:r>
            <w:r>
              <w:rPr>
                <w:rFonts w:hint="eastAsia" w:hAnsi="宋体"/>
                <w:color w:val="000000" w:themeColor="text1"/>
                <w:kern w:val="24"/>
                <w:lang w:val="en-US" w:eastAsia="zh-CN"/>
                <w14:textFill>
                  <w14:solidFill>
                    <w14:schemeClr w14:val="tx1"/>
                  </w14:solidFill>
                </w14:textFill>
              </w:rPr>
              <w:t>和龙门加工中心；南侧区域用于新能源汽车冲焊件生产，由</w:t>
            </w:r>
            <w:r>
              <w:rPr>
                <w:rFonts w:hint="eastAsia" w:hAnsi="宋体"/>
                <w:color w:val="000000" w:themeColor="text1"/>
                <w:kern w:val="24"/>
                <w14:textFill>
                  <w14:solidFill>
                    <w14:schemeClr w14:val="tx1"/>
                  </w14:solidFill>
                </w14:textFill>
              </w:rPr>
              <w:t>西</w:t>
            </w:r>
            <w:r>
              <w:rPr>
                <w:rFonts w:hint="eastAsia" w:hAnsi="宋体"/>
                <w:color w:val="000000" w:themeColor="text1"/>
                <w:kern w:val="24"/>
                <w:lang w:val="en-US" w:eastAsia="zh-CN"/>
                <w14:textFill>
                  <w14:solidFill>
                    <w14:schemeClr w14:val="tx1"/>
                  </w14:solidFill>
                </w14:textFill>
              </w:rPr>
              <w:t>向东</w:t>
            </w:r>
            <w:r>
              <w:rPr>
                <w:rFonts w:hint="eastAsia" w:hAnsi="宋体"/>
                <w:color w:val="000000" w:themeColor="text1"/>
                <w:kern w:val="24"/>
                <w14:textFill>
                  <w14:solidFill>
                    <w14:schemeClr w14:val="tx1"/>
                  </w14:solidFill>
                </w14:textFill>
              </w:rPr>
              <w:t>依次</w:t>
            </w:r>
            <w:r>
              <w:rPr>
                <w:rFonts w:hint="eastAsia" w:hAnsi="宋体"/>
                <w:color w:val="000000" w:themeColor="text1"/>
                <w:kern w:val="24"/>
                <w:lang w:val="en-US" w:eastAsia="zh-CN"/>
                <w14:textFill>
                  <w14:solidFill>
                    <w14:schemeClr w14:val="tx1"/>
                  </w14:solidFill>
                </w14:textFill>
              </w:rPr>
              <w:t>设置</w:t>
            </w:r>
            <w:r>
              <w:rPr>
                <w:rFonts w:hint="eastAsia" w:hAnsi="宋体"/>
                <w:color w:val="000000" w:themeColor="text1"/>
                <w:kern w:val="24"/>
                <w14:textFill>
                  <w14:solidFill>
                    <w14:schemeClr w14:val="tx1"/>
                  </w14:solidFill>
                </w14:textFill>
              </w:rPr>
              <w:t>为</w:t>
            </w:r>
            <w:r>
              <w:rPr>
                <w:rFonts w:hint="eastAsia" w:hAnsi="宋体"/>
                <w:color w:val="000000" w:themeColor="text1"/>
                <w:kern w:val="24"/>
                <w:lang w:val="en-US" w:eastAsia="zh-CN"/>
                <w14:textFill>
                  <w14:solidFill>
                    <w14:schemeClr w14:val="tx1"/>
                  </w14:solidFill>
                </w14:textFill>
              </w:rPr>
              <w:t>模具及材料堆放区、冲压区、凸焊区、冲压件仓库</w:t>
            </w:r>
            <w:r>
              <w:rPr>
                <w:rFonts w:hint="eastAsia" w:hAnsi="宋体"/>
                <w:color w:val="000000" w:themeColor="text1"/>
                <w:kern w:val="24"/>
                <w14:textFill>
                  <w14:solidFill>
                    <w14:schemeClr w14:val="tx1"/>
                  </w14:solidFill>
                </w14:textFill>
              </w:rPr>
              <w:t>。</w:t>
            </w:r>
            <w:r>
              <w:rPr>
                <w:rFonts w:hint="eastAsia"/>
                <w:color w:val="000000" w:themeColor="text1"/>
                <w14:textFill>
                  <w14:solidFill>
                    <w14:schemeClr w14:val="tx1"/>
                  </w14:solidFill>
                </w14:textFill>
              </w:rPr>
              <w:t>具体车间平面布局图见附图8。项目平面布局紧凑，各功能单位分布明朗，互不影响，组织有序，确保生产时物料流通顺畅，布置较为合理。</w:t>
            </w:r>
          </w:p>
          <w:p>
            <w:pPr>
              <w:numPr>
                <w:ilvl w:val="0"/>
                <w:numId w:val="8"/>
              </w:numPr>
              <w:bidi w:val="0"/>
              <w:rPr>
                <w:rFonts w:hint="eastAsia"/>
                <w:b/>
                <w:bCs/>
                <w:color w:val="000000" w:themeColor="text1"/>
                <w14:textFill>
                  <w14:solidFill>
                    <w14:schemeClr w14:val="tx1"/>
                  </w14:solidFill>
                </w14:textFill>
              </w:rPr>
            </w:pPr>
            <w:r>
              <w:rPr>
                <w:rFonts w:hint="eastAsia"/>
                <w:b/>
                <w:bCs/>
                <w:color w:val="000000" w:themeColor="text1"/>
                <w:lang w:val="en-US" w:eastAsia="zh-CN"/>
                <w14:textFill>
                  <w14:solidFill>
                    <w14:schemeClr w14:val="tx1"/>
                  </w14:solidFill>
                </w14:textFill>
              </w:rPr>
              <w:t>项目水平衡分析</w:t>
            </w:r>
          </w:p>
          <w:p>
            <w:pP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本项目用水主要为生活用水和切削液配置用水；废水主要为生活污水。</w:t>
            </w:r>
          </w:p>
          <w:p>
            <w:pP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（1）切削液配制用水</w:t>
            </w:r>
          </w:p>
          <w:p>
            <w:pP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本项目使用的切削液需与水按1：10的比例配制后使用，该工序切削液用量为1.5t，则配置用水量为15t/a。产生的废切削液作为危废暂存至危废仓库定期交由有资质单位处理。</w:t>
            </w:r>
          </w:p>
          <w:p>
            <w:pP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（2）生活污水</w:t>
            </w:r>
          </w:p>
          <w:p>
            <w:pP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项目劳动定员1</w:t>
            </w:r>
            <w:r>
              <w:rPr>
                <w:rFonts w:hint="eastAsia"/>
                <w:color w:val="000000" w:themeColor="text1"/>
                <w:lang w:val="en-US" w:eastAsia="zh-CN"/>
                <w14:textFill>
                  <w14:solidFill>
                    <w14:schemeClr w14:val="tx1"/>
                  </w14:solidFill>
                </w14:textFill>
              </w:rPr>
              <w:t>2</w:t>
            </w:r>
            <w:r>
              <w:rPr>
                <w:rFonts w:hint="eastAsia"/>
                <w:color w:val="000000" w:themeColor="text1"/>
                <w14:textFill>
                  <w14:solidFill>
                    <w14:schemeClr w14:val="tx1"/>
                  </w14:solidFill>
                </w14:textFill>
              </w:rPr>
              <w:t>0人，年工作320天，生活用水以50L/人·d计，因此生活用水量</w:t>
            </w:r>
            <w:r>
              <w:rPr>
                <w:rFonts w:hint="eastAsia"/>
                <w:color w:val="000000" w:themeColor="text1"/>
                <w:lang w:val="en-US" w:eastAsia="zh-CN"/>
                <w14:textFill>
                  <w14:solidFill>
                    <w14:schemeClr w14:val="tx1"/>
                  </w14:solidFill>
                </w14:textFill>
              </w:rPr>
              <w:t>6</w:t>
            </w:r>
            <w:r>
              <w:rPr>
                <w:rFonts w:hint="eastAsia"/>
                <w:color w:val="000000" w:themeColor="text1"/>
                <w14:textFill>
                  <w14:solidFill>
                    <w14:schemeClr w14:val="tx1"/>
                  </w14:solidFill>
                </w14:textFill>
              </w:rPr>
              <w:t>t/d、1</w:t>
            </w:r>
            <w:r>
              <w:rPr>
                <w:rFonts w:hint="eastAsia"/>
                <w:color w:val="000000" w:themeColor="text1"/>
                <w:lang w:val="en-US" w:eastAsia="zh-CN"/>
                <w14:textFill>
                  <w14:solidFill>
                    <w14:schemeClr w14:val="tx1"/>
                  </w14:solidFill>
                </w14:textFill>
              </w:rPr>
              <w:t>92</w:t>
            </w:r>
            <w:r>
              <w:rPr>
                <w:rFonts w:hint="eastAsia"/>
                <w:color w:val="000000" w:themeColor="text1"/>
                <w14:textFill>
                  <w14:solidFill>
                    <w14:schemeClr w14:val="tx1"/>
                  </w14:solidFill>
                </w14:textFill>
              </w:rPr>
              <w:t>0t/a，产污系数按80%计算，生活污水排放量为</w:t>
            </w:r>
            <w:r>
              <w:rPr>
                <w:rFonts w:hint="eastAsia"/>
                <w:color w:val="000000" w:themeColor="text1"/>
                <w:lang w:val="en-US" w:eastAsia="zh-CN"/>
                <w14:textFill>
                  <w14:solidFill>
                    <w14:schemeClr w14:val="tx1"/>
                  </w14:solidFill>
                </w14:textFill>
              </w:rPr>
              <w:t>4.8</w:t>
            </w:r>
            <w:r>
              <w:rPr>
                <w:rFonts w:hint="eastAsia"/>
                <w:color w:val="000000" w:themeColor="text1"/>
                <w14:textFill>
                  <w14:solidFill>
                    <w14:schemeClr w14:val="tx1"/>
                  </w14:solidFill>
                </w14:textFill>
              </w:rPr>
              <w:t>t/d，</w:t>
            </w:r>
            <w:r>
              <w:rPr>
                <w:rFonts w:hint="eastAsia"/>
                <w:color w:val="000000" w:themeColor="text1"/>
                <w:lang w:val="en-US" w:eastAsia="zh-CN"/>
                <w14:textFill>
                  <w14:solidFill>
                    <w14:schemeClr w14:val="tx1"/>
                  </w14:solidFill>
                </w14:textFill>
              </w:rPr>
              <w:t>1530</w:t>
            </w:r>
            <w:r>
              <w:rPr>
                <w:rFonts w:hint="eastAsia"/>
                <w:color w:val="000000" w:themeColor="text1"/>
                <w14:textFill>
                  <w14:solidFill>
                    <w14:schemeClr w14:val="tx1"/>
                  </w14:solidFill>
                </w14:textFill>
              </w:rPr>
              <w:t>t/a。</w:t>
            </w:r>
          </w:p>
          <w:p>
            <w:pP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本项目水平衡见下图。</w:t>
            </w:r>
          </w:p>
          <w:p>
            <w:pPr>
              <w:pStyle w:val="23"/>
              <w:bidi w:val="0"/>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5001260" cy="1610995"/>
                  <wp:effectExtent l="0" t="0" r="0" b="0"/>
                  <wp:docPr id="4" name="ECB019B1-382A-4266-B25C-5B523AA43C14-1" descr="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ECB019B1-382A-4266-B25C-5B523AA43C14-1" descr="wps"/>
                          <pic:cNvPicPr>
                            <a:picLocks noChangeAspect="1"/>
                          </pic:cNvPicPr>
                        </pic:nvPicPr>
                        <pic:blipFill>
                          <a:blip r:embed="rId9"/>
                          <a:srcRect l="4116" t="6562" r="1909" b="10611"/>
                          <a:stretch>
                            <a:fillRect/>
                          </a:stretch>
                        </pic:blipFill>
                        <pic:spPr>
                          <a:xfrm>
                            <a:off x="0" y="0"/>
                            <a:ext cx="5001260" cy="1610995"/>
                          </a:xfrm>
                          <a:prstGeom prst="rect">
                            <a:avLst/>
                          </a:prstGeom>
                        </pic:spPr>
                      </pic:pic>
                    </a:graphicData>
                  </a:graphic>
                </wp:inline>
              </w:drawing>
            </w:r>
          </w:p>
          <w:p>
            <w:pPr>
              <w:pStyle w:val="23"/>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 xml:space="preserve">图2-1  </w:t>
            </w:r>
            <w:r>
              <w:rPr>
                <w:rFonts w:hint="eastAsia"/>
                <w:color w:val="000000" w:themeColor="text1"/>
                <w14:textFill>
                  <w14:solidFill>
                    <w14:schemeClr w14:val="tx1"/>
                  </w14:solidFill>
                </w14:textFill>
              </w:rPr>
              <w:t>本项目水平衡图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13" w:hRule="atLeast"/>
          <w:jc w:val="center"/>
        </w:trPr>
        <w:tc>
          <w:tcPr>
            <w:tcW w:w="719" w:type="dxa"/>
            <w:vAlign w:val="center"/>
          </w:tcPr>
          <w:p>
            <w:pPr>
              <w:autoSpaceDE w:val="0"/>
              <w:autoSpaceDN w:val="0"/>
              <w:adjustRightInd w:val="0"/>
              <w:snapToGrid w:val="0"/>
              <w:ind w:firstLine="0" w:firstLineChars="0"/>
              <w:rPr>
                <w:rFonts w:cs="宋体"/>
                <w:color w:val="000000" w:themeColor="text1"/>
                <w:kern w:val="0"/>
                <w14:textFill>
                  <w14:solidFill>
                    <w14:schemeClr w14:val="tx1"/>
                  </w14:solidFill>
                </w14:textFill>
              </w:rPr>
            </w:pPr>
            <w:r>
              <w:rPr>
                <w:rFonts w:hint="eastAsia" w:cs="宋体"/>
                <w:color w:val="000000" w:themeColor="text1"/>
                <w:kern w:val="0"/>
                <w14:textFill>
                  <w14:solidFill>
                    <w14:schemeClr w14:val="tx1"/>
                  </w14:solidFill>
                </w14:textFill>
              </w:rPr>
              <w:t>工艺流程和产排污环节</w:t>
            </w:r>
          </w:p>
        </w:tc>
        <w:tc>
          <w:tcPr>
            <w:tcW w:w="8339" w:type="dxa"/>
          </w:tcPr>
          <w:p>
            <w:pPr>
              <w:numPr>
                <w:ilvl w:val="0"/>
                <w:numId w:val="9"/>
              </w:numPr>
              <w:spacing w:before="156"/>
              <w:ind w:firstLine="482"/>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施工期工艺流程及产污环节分析</w:t>
            </w:r>
          </w:p>
          <w:p>
            <w:pPr>
              <w:ind w:firstLine="48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项目为迁建，依托已建成厂房进行生产，不涉及厂房基建，施工期仅为设备安装调试等，对周边环境影响很小，本次评价仅作定性分析。</w:t>
            </w:r>
          </w:p>
          <w:p>
            <w:pPr>
              <w:bidi w:val="0"/>
              <w:rPr>
                <w:color w:val="000000" w:themeColor="text1"/>
                <w14:textFill>
                  <w14:solidFill>
                    <w14:schemeClr w14:val="tx1"/>
                  </w14:solidFill>
                </w14:textFill>
              </w:rPr>
            </w:pPr>
          </w:p>
          <w:p>
            <w:pPr>
              <w:bidi w:val="0"/>
              <w:rPr>
                <w:rFonts w:hint="eastAsia"/>
                <w:color w:val="000000" w:themeColor="text1"/>
                <w14:textFill>
                  <w14:solidFill>
                    <w14:schemeClr w14:val="tx1"/>
                  </w14:solidFill>
                </w14:textFill>
              </w:rPr>
            </w:pPr>
          </w:p>
          <w:p>
            <w:pPr>
              <w:bidi w:val="0"/>
              <w:rPr>
                <w:color w:val="000000" w:themeColor="text1"/>
                <w14:textFill>
                  <w14:solidFill>
                    <w14:schemeClr w14:val="tx1"/>
                  </w14:solidFill>
                </w14:textFill>
              </w:rPr>
            </w:pPr>
          </w:p>
          <w:p>
            <w:pPr>
              <w:bidi w:val="0"/>
              <w:rPr>
                <w:rFonts w:hint="eastAsia"/>
                <w:color w:val="000000" w:themeColor="text1"/>
                <w14:textFill>
                  <w14:solidFill>
                    <w14:schemeClr w14:val="tx1"/>
                  </w14:solidFill>
                </w14:textFill>
              </w:rPr>
            </w:pPr>
          </w:p>
          <w:p>
            <w:pPr>
              <w:bidi w:val="0"/>
              <w:rPr>
                <w:color w:val="000000" w:themeColor="text1"/>
                <w14:textFill>
                  <w14:solidFill>
                    <w14:schemeClr w14:val="tx1"/>
                  </w14:solidFill>
                </w14:textFill>
              </w:rPr>
            </w:pPr>
          </w:p>
          <w:p>
            <w:pPr>
              <w:bidi w:val="0"/>
              <w:rPr>
                <w:rFonts w:hint="eastAsia"/>
                <w:color w:val="000000" w:themeColor="text1"/>
                <w14:textFill>
                  <w14:solidFill>
                    <w14:schemeClr w14:val="tx1"/>
                  </w14:solidFill>
                </w14:textFill>
              </w:rPr>
            </w:pPr>
          </w:p>
          <w:p>
            <w:pPr>
              <w:bidi w:val="0"/>
              <w:rPr>
                <w:color w:val="000000" w:themeColor="text1"/>
                <w14:textFill>
                  <w14:solidFill>
                    <w14:schemeClr w14:val="tx1"/>
                  </w14:solidFill>
                </w14:textFill>
              </w:rPr>
            </w:pPr>
          </w:p>
          <w:p>
            <w:pPr>
              <w:bidi w:val="0"/>
              <w:rPr>
                <w:rFonts w:hint="eastAsia"/>
                <w:color w:val="000000" w:themeColor="text1"/>
                <w14:textFill>
                  <w14:solidFill>
                    <w14:schemeClr w14:val="tx1"/>
                  </w14:solidFill>
                </w14:textFill>
              </w:rPr>
            </w:pPr>
          </w:p>
          <w:p>
            <w:pPr>
              <w:bidi w:val="0"/>
              <w:rPr>
                <w:color w:val="000000" w:themeColor="text1"/>
                <w14:textFill>
                  <w14:solidFill>
                    <w14:schemeClr w14:val="tx1"/>
                  </w14:solidFill>
                </w14:textFill>
              </w:rPr>
            </w:pPr>
          </w:p>
          <w:p>
            <w:pPr>
              <w:numPr>
                <w:ilvl w:val="0"/>
                <w:numId w:val="9"/>
              </w:numPr>
              <w:spacing w:before="156"/>
              <w:ind w:firstLine="482"/>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营运期生产工艺流程及产污环节分析</w:t>
            </w:r>
          </w:p>
          <w:p>
            <w:pPr>
              <w:pStyle w:val="22"/>
              <w:bidi w:val="0"/>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5319395" cy="2480310"/>
                  <wp:effectExtent l="0" t="0" r="0" b="0"/>
                  <wp:docPr id="6" name="ECB019B1-382A-4266-B25C-5B523AA43C14-2" descr="C:/Users/MY/AppData/Local/Temp/wps.RKyQRn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ECB019B1-382A-4266-B25C-5B523AA43C14-2" descr="C:/Users/MY/AppData/Local/Temp/wps.RKyQRnwps"/>
                          <pic:cNvPicPr>
                            <a:picLocks noChangeAspect="1"/>
                          </pic:cNvPicPr>
                        </pic:nvPicPr>
                        <pic:blipFill>
                          <a:blip r:embed="rId10"/>
                          <a:stretch>
                            <a:fillRect/>
                          </a:stretch>
                        </pic:blipFill>
                        <pic:spPr>
                          <a:xfrm>
                            <a:off x="0" y="0"/>
                            <a:ext cx="5319395" cy="2480310"/>
                          </a:xfrm>
                          <a:prstGeom prst="rect">
                            <a:avLst/>
                          </a:prstGeom>
                        </pic:spPr>
                      </pic:pic>
                    </a:graphicData>
                  </a:graphic>
                </wp:inline>
              </w:drawing>
            </w:r>
          </w:p>
          <w:p>
            <w:pPr>
              <w:pStyle w:val="23"/>
              <w:bidi w:val="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图2-2  汽车模具（含夹检具）</w:t>
            </w:r>
            <w:r>
              <w:rPr>
                <w:rFonts w:hint="eastAsia"/>
                <w:color w:val="000000" w:themeColor="text1"/>
                <w14:textFill>
                  <w14:solidFill>
                    <w14:schemeClr w14:val="tx1"/>
                  </w14:solidFill>
                </w14:textFill>
              </w:rPr>
              <w:t>生产工艺流程及产污环节图</w:t>
            </w:r>
          </w:p>
          <w:p>
            <w:pPr>
              <w:bidi w:val="0"/>
              <w:rPr>
                <w:rFonts w:hint="eastAsia"/>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生产工艺流程简述</w:t>
            </w:r>
            <w:r>
              <w:rPr>
                <w:rFonts w:hint="eastAsia"/>
                <w:color w:val="000000" w:themeColor="text1"/>
                <w:lang w:eastAsia="zh-CN"/>
                <w14:textFill>
                  <w14:solidFill>
                    <w14:schemeClr w14:val="tx1"/>
                  </w14:solidFill>
                </w14:textFill>
              </w:rPr>
              <w:t>：</w:t>
            </w:r>
          </w:p>
          <w:p>
            <w:pPr>
              <w:bidi w:val="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（1）工艺及结构设计：根据客户要求进行工艺及结构的设计工作并出图纸。</w:t>
            </w:r>
          </w:p>
          <w:p>
            <w:pPr>
              <w:bidi w:val="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（2）入料检验：原材料通过IQC进行质量检验进入生产线。</w:t>
            </w:r>
          </w:p>
          <w:p>
            <w:pPr>
              <w:bidi w:val="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（3）线切割：根据设计图纸，</w:t>
            </w:r>
            <w:r>
              <w:rPr>
                <w:rFonts w:hint="eastAsia"/>
                <w:color w:val="000000" w:themeColor="text1"/>
                <w:highlight w:val="none"/>
                <w:lang w:eastAsia="zh-CN"/>
                <w14:textFill>
                  <w14:solidFill>
                    <w14:schemeClr w14:val="tx1"/>
                  </w14:solidFill>
                </w14:textFill>
              </w:rPr>
              <w:t>对钢材等原料进行湿式线切割加工，</w:t>
            </w:r>
            <w:r>
              <w:rPr>
                <w:rFonts w:hint="eastAsia"/>
                <w:color w:val="000000" w:themeColor="text1"/>
                <w:highlight w:val="none"/>
                <w:lang w:val="en-US" w:eastAsia="zh-CN"/>
                <w14:textFill>
                  <w14:solidFill>
                    <w14:schemeClr w14:val="tx1"/>
                  </w14:solidFill>
                </w14:textFill>
              </w:rPr>
              <w:t>线切割</w:t>
            </w:r>
            <w:r>
              <w:rPr>
                <w:rFonts w:hint="eastAsia"/>
                <w:color w:val="000000" w:themeColor="text1"/>
                <w:highlight w:val="none"/>
                <w:lang w:eastAsia="zh-CN"/>
                <w14:textFill>
                  <w14:solidFill>
                    <w14:schemeClr w14:val="tx1"/>
                  </w14:solidFill>
                </w14:textFill>
              </w:rPr>
              <w:t>加工</w:t>
            </w:r>
            <w:r>
              <w:rPr>
                <w:rFonts w:hint="eastAsia"/>
                <w:color w:val="000000" w:themeColor="text1"/>
                <w:highlight w:val="none"/>
                <w:lang w:val="en-US" w:eastAsia="zh-CN"/>
                <w14:textFill>
                  <w14:solidFill>
                    <w14:schemeClr w14:val="tx1"/>
                  </w14:solidFill>
                </w14:textFill>
              </w:rPr>
              <w:t>过程中持续向工件表面喷洒切削液，</w:t>
            </w:r>
            <w:r>
              <w:rPr>
                <w:rFonts w:hint="eastAsia"/>
                <w:color w:val="000000" w:themeColor="text1"/>
                <w:highlight w:val="none"/>
                <w:lang w:eastAsia="zh-CN"/>
                <w14:textFill>
                  <w14:solidFill>
                    <w14:schemeClr w14:val="tx1"/>
                  </w14:solidFill>
                </w14:textFill>
              </w:rPr>
              <w:t>加工</w:t>
            </w:r>
            <w:r>
              <w:rPr>
                <w:rFonts w:hint="eastAsia"/>
                <w:color w:val="000000" w:themeColor="text1"/>
                <w:highlight w:val="none"/>
                <w:lang w:val="en-US" w:eastAsia="zh-CN"/>
                <w14:textFill>
                  <w14:solidFill>
                    <w14:schemeClr w14:val="tx1"/>
                  </w14:solidFill>
                </w14:textFill>
              </w:rPr>
              <w:t>过程中不会产生粉尘</w:t>
            </w:r>
            <w:r>
              <w:rPr>
                <w:rFonts w:hint="eastAsia"/>
                <w:color w:val="000000" w:themeColor="text1"/>
                <w:lang w:eastAsia="zh-CN"/>
                <w14:textFill>
                  <w14:solidFill>
                    <w14:schemeClr w14:val="tx1"/>
                  </w14:solidFill>
                </w14:textFill>
              </w:rPr>
              <w:t>。该工序会产生</w:t>
            </w:r>
            <w:r>
              <w:rPr>
                <w:rFonts w:hint="eastAsia"/>
                <w:color w:val="000000" w:themeColor="text1"/>
                <w:lang w:val="en-US" w:eastAsia="zh-CN"/>
                <w14:textFill>
                  <w14:solidFill>
                    <w14:schemeClr w14:val="tx1"/>
                  </w14:solidFill>
                </w14:textFill>
              </w:rPr>
              <w:t>废金属屑</w:t>
            </w:r>
            <w:r>
              <w:rPr>
                <w:rFonts w:hint="eastAsia"/>
                <w:color w:val="000000" w:themeColor="text1"/>
                <w:lang w:eastAsia="zh-CN"/>
                <w14:textFill>
                  <w14:solidFill>
                    <w14:schemeClr w14:val="tx1"/>
                  </w14:solidFill>
                </w14:textFill>
              </w:rPr>
              <w:t>S</w:t>
            </w:r>
            <w:r>
              <w:rPr>
                <w:rFonts w:hint="eastAsia"/>
                <w:color w:val="000000" w:themeColor="text1"/>
                <w:lang w:val="en-US" w:eastAsia="zh-CN"/>
                <w14:textFill>
                  <w14:solidFill>
                    <w14:schemeClr w14:val="tx1"/>
                  </w14:solidFill>
                </w14:textFill>
              </w:rPr>
              <w:t>1、</w:t>
            </w:r>
            <w:r>
              <w:rPr>
                <w:rFonts w:hint="eastAsia"/>
                <w:color w:val="000000" w:themeColor="text1"/>
                <w:lang w:eastAsia="zh-CN"/>
                <w14:textFill>
                  <w14:solidFill>
                    <w14:schemeClr w14:val="tx1"/>
                  </w14:solidFill>
                </w14:textFill>
              </w:rPr>
              <w:t>废切削液S</w:t>
            </w:r>
            <w:r>
              <w:rPr>
                <w:rFonts w:hint="eastAsia"/>
                <w:color w:val="000000" w:themeColor="text1"/>
                <w:lang w:val="en-US" w:eastAsia="zh-CN"/>
                <w14:textFill>
                  <w14:solidFill>
                    <w14:schemeClr w14:val="tx1"/>
                  </w14:solidFill>
                </w14:textFill>
              </w:rPr>
              <w:t>2</w:t>
            </w:r>
            <w:r>
              <w:rPr>
                <w:rFonts w:hint="eastAsia"/>
                <w:color w:val="000000" w:themeColor="text1"/>
                <w:lang w:eastAsia="zh-CN"/>
                <w14:textFill>
                  <w14:solidFill>
                    <w14:schemeClr w14:val="tx1"/>
                  </w14:solidFill>
                </w14:textFill>
              </w:rPr>
              <w:t>。</w:t>
            </w:r>
          </w:p>
          <w:p>
            <w:pPr>
              <w:bidi w:val="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（4）数控铣削：利用龙门铣床对工件上下两个面进行铣削加工，再利用立式加工中心对工件进行进一步的深加工，主要为车、铣、镗铣等工序。立式加工中心会产生</w:t>
            </w:r>
            <w:r>
              <w:rPr>
                <w:rFonts w:hint="eastAsia"/>
                <w:color w:val="000000" w:themeColor="text1"/>
                <w:lang w:val="en-US" w:eastAsia="zh-CN"/>
                <w14:textFill>
                  <w14:solidFill>
                    <w14:schemeClr w14:val="tx1"/>
                  </w14:solidFill>
                </w14:textFill>
              </w:rPr>
              <w:t>废金属屑</w:t>
            </w:r>
            <w:r>
              <w:rPr>
                <w:rFonts w:hint="eastAsia"/>
                <w:color w:val="000000" w:themeColor="text1"/>
                <w:lang w:eastAsia="zh-CN"/>
                <w14:textFill>
                  <w14:solidFill>
                    <w14:schemeClr w14:val="tx1"/>
                  </w14:solidFill>
                </w14:textFill>
              </w:rPr>
              <w:t>S</w:t>
            </w:r>
            <w:r>
              <w:rPr>
                <w:rFonts w:hint="eastAsia"/>
                <w:color w:val="000000" w:themeColor="text1"/>
                <w:lang w:val="en-US" w:eastAsia="zh-CN"/>
                <w14:textFill>
                  <w14:solidFill>
                    <w14:schemeClr w14:val="tx1"/>
                  </w14:solidFill>
                </w14:textFill>
              </w:rPr>
              <w:t>1、</w:t>
            </w:r>
            <w:r>
              <w:rPr>
                <w:rFonts w:hint="eastAsia"/>
                <w:color w:val="000000" w:themeColor="text1"/>
                <w:lang w:eastAsia="zh-CN"/>
                <w14:textFill>
                  <w14:solidFill>
                    <w14:schemeClr w14:val="tx1"/>
                  </w14:solidFill>
                </w14:textFill>
              </w:rPr>
              <w:t>废切削液S</w:t>
            </w:r>
            <w:r>
              <w:rPr>
                <w:rFonts w:hint="eastAsia"/>
                <w:color w:val="000000" w:themeColor="text1"/>
                <w:lang w:val="en-US" w:eastAsia="zh-CN"/>
                <w14:textFill>
                  <w14:solidFill>
                    <w14:schemeClr w14:val="tx1"/>
                  </w14:solidFill>
                </w14:textFill>
              </w:rPr>
              <w:t>2</w:t>
            </w:r>
            <w:r>
              <w:rPr>
                <w:rFonts w:hint="eastAsia"/>
                <w:color w:val="000000" w:themeColor="text1"/>
                <w:lang w:eastAsia="zh-CN"/>
                <w14:textFill>
                  <w14:solidFill>
                    <w14:schemeClr w14:val="tx1"/>
                  </w14:solidFill>
                </w14:textFill>
              </w:rPr>
              <w:t>。</w:t>
            </w:r>
          </w:p>
          <w:p>
            <w:pPr>
              <w:bidi w:val="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（5）钻孔：根据图纸要求，利用钻床对数控铣削后的工件进行</w:t>
            </w:r>
            <w:commentRangeStart w:id="14"/>
            <w:commentRangeStart w:id="15"/>
            <w:r>
              <w:rPr>
                <w:color w:val="000000" w:themeColor="text1"/>
                <w14:textFill>
                  <w14:solidFill>
                    <w14:schemeClr w14:val="tx1"/>
                  </w14:solidFill>
                </w14:textFill>
              </w:rPr>
              <w:commentReference w:id="14"/>
            </w:r>
            <w:commentRangeEnd w:id="14"/>
            <w:commentRangeEnd w:id="15"/>
            <w:r>
              <w:rPr>
                <w:color w:val="000000" w:themeColor="text1"/>
                <w14:textFill>
                  <w14:solidFill>
                    <w14:schemeClr w14:val="tx1"/>
                  </w14:solidFill>
                </w14:textFill>
              </w:rPr>
              <w:commentReference w:id="15"/>
            </w:r>
            <w:r>
              <w:rPr>
                <w:rFonts w:hint="eastAsia"/>
                <w:color w:val="000000" w:themeColor="text1"/>
                <w:lang w:eastAsia="zh-CN"/>
                <w14:textFill>
                  <w14:solidFill>
                    <w14:schemeClr w14:val="tx1"/>
                  </w14:solidFill>
                </w14:textFill>
              </w:rPr>
              <w:t>钻孔操作。该工序会产生</w:t>
            </w:r>
            <w:r>
              <w:rPr>
                <w:rFonts w:hint="eastAsia"/>
                <w:color w:val="000000" w:themeColor="text1"/>
                <w:lang w:val="en-US" w:eastAsia="zh-CN"/>
                <w14:textFill>
                  <w14:solidFill>
                    <w14:schemeClr w14:val="tx1"/>
                  </w14:solidFill>
                </w14:textFill>
              </w:rPr>
              <w:t>废金属屑</w:t>
            </w:r>
            <w:r>
              <w:rPr>
                <w:rFonts w:hint="eastAsia"/>
                <w:color w:val="000000" w:themeColor="text1"/>
                <w:lang w:eastAsia="zh-CN"/>
                <w14:textFill>
                  <w14:solidFill>
                    <w14:schemeClr w14:val="tx1"/>
                  </w14:solidFill>
                </w14:textFill>
              </w:rPr>
              <w:t>S</w:t>
            </w:r>
            <w:r>
              <w:rPr>
                <w:rFonts w:hint="eastAsia"/>
                <w:color w:val="000000" w:themeColor="text1"/>
                <w:lang w:val="en-US" w:eastAsia="zh-CN"/>
                <w14:textFill>
                  <w14:solidFill>
                    <w14:schemeClr w14:val="tx1"/>
                  </w14:solidFill>
                </w14:textFill>
              </w:rPr>
              <w:t>1、</w:t>
            </w:r>
            <w:r>
              <w:rPr>
                <w:rFonts w:hint="eastAsia"/>
                <w:color w:val="000000" w:themeColor="text1"/>
                <w:lang w:eastAsia="zh-CN"/>
                <w14:textFill>
                  <w14:solidFill>
                    <w14:schemeClr w14:val="tx1"/>
                  </w14:solidFill>
                </w14:textFill>
              </w:rPr>
              <w:t>废切削液S</w:t>
            </w:r>
            <w:r>
              <w:rPr>
                <w:rFonts w:hint="eastAsia"/>
                <w:color w:val="000000" w:themeColor="text1"/>
                <w:lang w:val="en-US" w:eastAsia="zh-CN"/>
                <w14:textFill>
                  <w14:solidFill>
                    <w14:schemeClr w14:val="tx1"/>
                  </w14:solidFill>
                </w14:textFill>
              </w:rPr>
              <w:t>2</w:t>
            </w:r>
            <w:r>
              <w:rPr>
                <w:rFonts w:hint="eastAsia"/>
                <w:color w:val="000000" w:themeColor="text1"/>
                <w:lang w:eastAsia="zh-CN"/>
                <w14:textFill>
                  <w14:solidFill>
                    <w14:schemeClr w14:val="tx1"/>
                  </w14:solidFill>
                </w14:textFill>
              </w:rPr>
              <w:t>。</w:t>
            </w:r>
          </w:p>
          <w:p>
            <w:pPr>
              <w:bidi w:val="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（6）攻丝：利用攻丝机对工件进行攻丝操作以加工出所需要的内螺纹。该工序会产生</w:t>
            </w:r>
            <w:r>
              <w:rPr>
                <w:rFonts w:hint="eastAsia"/>
                <w:color w:val="000000" w:themeColor="text1"/>
                <w:lang w:val="en-US" w:eastAsia="zh-CN"/>
                <w14:textFill>
                  <w14:solidFill>
                    <w14:schemeClr w14:val="tx1"/>
                  </w14:solidFill>
                </w14:textFill>
              </w:rPr>
              <w:t>废金属屑</w:t>
            </w:r>
            <w:r>
              <w:rPr>
                <w:rFonts w:hint="eastAsia"/>
                <w:color w:val="000000" w:themeColor="text1"/>
                <w:lang w:eastAsia="zh-CN"/>
                <w14:textFill>
                  <w14:solidFill>
                    <w14:schemeClr w14:val="tx1"/>
                  </w14:solidFill>
                </w14:textFill>
              </w:rPr>
              <w:t>S</w:t>
            </w:r>
            <w:r>
              <w:rPr>
                <w:rFonts w:hint="eastAsia"/>
                <w:color w:val="000000" w:themeColor="text1"/>
                <w:lang w:val="en-US" w:eastAsia="zh-CN"/>
                <w14:textFill>
                  <w14:solidFill>
                    <w14:schemeClr w14:val="tx1"/>
                  </w14:solidFill>
                </w14:textFill>
              </w:rPr>
              <w:t>1、</w:t>
            </w:r>
            <w:r>
              <w:rPr>
                <w:rFonts w:hint="eastAsia"/>
                <w:color w:val="000000" w:themeColor="text1"/>
                <w:lang w:eastAsia="zh-CN"/>
                <w14:textFill>
                  <w14:solidFill>
                    <w14:schemeClr w14:val="tx1"/>
                  </w14:solidFill>
                </w14:textFill>
              </w:rPr>
              <w:t>废切削液S</w:t>
            </w:r>
            <w:r>
              <w:rPr>
                <w:rFonts w:hint="eastAsia"/>
                <w:color w:val="000000" w:themeColor="text1"/>
                <w:lang w:val="en-US" w:eastAsia="zh-CN"/>
                <w14:textFill>
                  <w14:solidFill>
                    <w14:schemeClr w14:val="tx1"/>
                  </w14:solidFill>
                </w14:textFill>
              </w:rPr>
              <w:t>2</w:t>
            </w:r>
            <w:r>
              <w:rPr>
                <w:rFonts w:hint="eastAsia"/>
                <w:color w:val="000000" w:themeColor="text1"/>
                <w:lang w:eastAsia="zh-CN"/>
                <w14:textFill>
                  <w14:solidFill>
                    <w14:schemeClr w14:val="tx1"/>
                  </w14:solidFill>
                </w14:textFill>
              </w:rPr>
              <w:t>。</w:t>
            </w:r>
          </w:p>
          <w:p>
            <w:pPr>
              <w:bidi w:val="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7）打磨、组立装配：加工完成后的工件经人工进行组装。在装配之前需要使用磨床对模具表面机加工的痕迹进行打磨，然后使用油石对模具的型腔表面进行打磨，使模具的工作表面能够光亮如镜。干式磨床会产生打磨粉尘G1、湿式磨床会产生废切削液S</w:t>
            </w:r>
            <w:r>
              <w:rPr>
                <w:rFonts w:hint="eastAsia"/>
                <w:color w:val="000000" w:themeColor="text1"/>
                <w:lang w:val="en-US" w:eastAsia="zh-CN"/>
                <w14:textFill>
                  <w14:solidFill>
                    <w14:schemeClr w14:val="tx1"/>
                  </w14:solidFill>
                </w14:textFill>
              </w:rPr>
              <w:t>2</w:t>
            </w:r>
            <w:r>
              <w:rPr>
                <w:rFonts w:hint="eastAsia"/>
                <w:color w:val="000000" w:themeColor="text1"/>
                <w:lang w:eastAsia="zh-CN"/>
                <w14:textFill>
                  <w14:solidFill>
                    <w14:schemeClr w14:val="tx1"/>
                  </w14:solidFill>
                </w14:textFill>
              </w:rPr>
              <w:t>。</w:t>
            </w:r>
          </w:p>
          <w:p>
            <w:pPr>
              <w:bidi w:val="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（8）研合调试：将装配好的模具安装到油压机上，制作出客户需要的样品。</w:t>
            </w:r>
          </w:p>
          <w:p>
            <w:pPr>
              <w:bidi w:val="0"/>
              <w:rPr>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（9）验收发货：样品被客户验收合格后即将生产的模具发货给客户。</w:t>
            </w:r>
            <w:commentRangeStart w:id="16"/>
            <w:commentRangeStart w:id="17"/>
            <w:r>
              <w:rPr>
                <w:color w:val="000000" w:themeColor="text1"/>
                <w14:textFill>
                  <w14:solidFill>
                    <w14:schemeClr w14:val="tx1"/>
                  </w14:solidFill>
                </w14:textFill>
              </w:rPr>
              <w:commentReference w:id="16"/>
            </w:r>
            <w:commentRangeEnd w:id="16"/>
            <w:commentRangeEnd w:id="17"/>
            <w:r>
              <w:rPr>
                <w:color w:val="000000" w:themeColor="text1"/>
                <w14:textFill>
                  <w14:solidFill>
                    <w14:schemeClr w14:val="tx1"/>
                  </w14:solidFill>
                </w14:textFill>
              </w:rPr>
              <w:commentReference w:id="17"/>
            </w:r>
          </w:p>
          <w:p>
            <w:pPr>
              <w:pStyle w:val="23"/>
              <w:bidi w:val="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drawing>
                <wp:inline distT="0" distB="0" distL="114300" distR="114300">
                  <wp:extent cx="5361940" cy="2665730"/>
                  <wp:effectExtent l="0" t="0" r="0" b="0"/>
                  <wp:docPr id="5" name="ECB019B1-382A-4266-B25C-5B523AA43C14-3" descr="C:/Users/Admin/AppData/Local/Temp/wps.sVqLRO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ECB019B1-382A-4266-B25C-5B523AA43C14-3" descr="C:/Users/Admin/AppData/Local/Temp/wps.sVqLROwps"/>
                          <pic:cNvPicPr>
                            <a:picLocks noChangeAspect="1"/>
                          </pic:cNvPicPr>
                        </pic:nvPicPr>
                        <pic:blipFill>
                          <a:blip r:embed="rId11"/>
                          <a:srcRect l="2995" r="3062"/>
                          <a:stretch>
                            <a:fillRect/>
                          </a:stretch>
                        </pic:blipFill>
                        <pic:spPr>
                          <a:xfrm>
                            <a:off x="0" y="0"/>
                            <a:ext cx="5361940" cy="2665730"/>
                          </a:xfrm>
                          <a:prstGeom prst="rect">
                            <a:avLst/>
                          </a:prstGeom>
                        </pic:spPr>
                      </pic:pic>
                    </a:graphicData>
                  </a:graphic>
                </wp:inline>
              </w:drawing>
            </w:r>
          </w:p>
          <w:p>
            <w:pPr>
              <w:pStyle w:val="23"/>
              <w:bidi w:val="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 xml:space="preserve">图2-3  </w:t>
            </w:r>
            <w:r>
              <w:rPr>
                <w:rFonts w:hint="eastAsia"/>
                <w:color w:val="000000" w:themeColor="text1"/>
                <w14:textFill>
                  <w14:solidFill>
                    <w14:schemeClr w14:val="tx1"/>
                  </w14:solidFill>
                </w14:textFill>
              </w:rPr>
              <w:t>新能源汽车冲焊件工艺流程及产污环节图</w:t>
            </w:r>
          </w:p>
          <w:p>
            <w:pPr>
              <w:bidi w:val="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生产工艺流程简述：</w:t>
            </w:r>
          </w:p>
          <w:p>
            <w:pPr>
              <w:bidi w:val="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根据客户要求进行设计并出图纸，</w:t>
            </w:r>
            <w:r>
              <w:rPr>
                <w:rFonts w:hint="eastAsia"/>
                <w:color w:val="000000" w:themeColor="text1"/>
                <w:lang w:val="en-US" w:eastAsia="zh-CN"/>
                <w14:textFill>
                  <w14:solidFill>
                    <w14:schemeClr w14:val="tx1"/>
                  </w14:solidFill>
                </w14:textFill>
              </w:rPr>
              <w:t>利用冲压机进行冲压，无需焊接拼装的冲压件由质检员进行质量检测，合格后入库；需要的进行焊接拼装的冲压件进入凸焊生产/过程控制工序进行焊接拼装，焊接拼装完成后由质检员进行质量检测，合格后入库。</w:t>
            </w:r>
            <w:r>
              <w:rPr>
                <w:rFonts w:hint="eastAsia"/>
                <w:color w:val="000000" w:themeColor="text1"/>
                <w14:textFill>
                  <w14:solidFill>
                    <w14:schemeClr w14:val="tx1"/>
                  </w14:solidFill>
                </w14:textFill>
              </w:rPr>
              <w:t>生产过程</w:t>
            </w:r>
            <w:r>
              <w:rPr>
                <w:rFonts w:hint="eastAsia"/>
                <w:color w:val="000000" w:themeColor="text1"/>
                <w:lang w:val="en-US" w:eastAsia="zh-CN"/>
                <w14:textFill>
                  <w14:solidFill>
                    <w14:schemeClr w14:val="tx1"/>
                  </w14:solidFill>
                </w14:textFill>
              </w:rPr>
              <w:t>中产生</w:t>
            </w:r>
            <w:r>
              <w:rPr>
                <w:color w:val="000000" w:themeColor="text1"/>
                <w14:textFill>
                  <w14:solidFill>
                    <w14:schemeClr w14:val="tx1"/>
                  </w14:solidFill>
                </w14:textFill>
              </w:rPr>
              <w:t>废边角料及不合格品</w:t>
            </w:r>
            <w:r>
              <w:rPr>
                <w:rFonts w:hint="eastAsia"/>
                <w:color w:val="000000" w:themeColor="text1"/>
                <w:lang w:val="en-US" w:eastAsia="zh-CN"/>
                <w14:textFill>
                  <w14:solidFill>
                    <w14:schemeClr w14:val="tx1"/>
                  </w14:solidFill>
                </w14:textFill>
              </w:rPr>
              <w:t>S1</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焊接过程中会产生焊接烟尘G2</w:t>
            </w:r>
            <w:r>
              <w:rPr>
                <w:rFonts w:hint="eastAsia"/>
                <w:color w:val="000000" w:themeColor="text1"/>
                <w:lang w:eastAsia="zh-CN"/>
                <w14:textFill>
                  <w14:solidFill>
                    <w14:schemeClr w14:val="tx1"/>
                  </w14:solidFill>
                </w14:textFill>
              </w:rPr>
              <w:t>。</w:t>
            </w:r>
          </w:p>
          <w:p>
            <w:pPr>
              <w:bidi w:val="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项目运营期主要污染工序及污染因子见下表。</w:t>
            </w:r>
          </w:p>
          <w:p>
            <w:pPr>
              <w:pStyle w:val="23"/>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表2-</w:t>
            </w:r>
            <w:r>
              <w:rPr>
                <w:rFonts w:hint="eastAsia"/>
                <w:color w:val="000000" w:themeColor="text1"/>
                <w:lang w:val="en-US" w:eastAsia="zh-CN"/>
                <w14:textFill>
                  <w14:solidFill>
                    <w14:schemeClr w14:val="tx1"/>
                  </w14:solidFill>
                </w14:textFill>
              </w:rPr>
              <w:t>7</w:t>
            </w:r>
            <w:r>
              <w:rPr>
                <w:rFonts w:hint="eastAsia"/>
                <w:color w:val="000000" w:themeColor="text1"/>
                <w14:textFill>
                  <w14:solidFill>
                    <w14:schemeClr w14:val="tx1"/>
                  </w14:solidFill>
                </w14:textFill>
              </w:rPr>
              <w:t xml:space="preserve"> </w:t>
            </w:r>
            <w:r>
              <w:rPr>
                <w:rFonts w:hint="eastAsia"/>
                <w:color w:val="000000" w:themeColor="text1"/>
                <w:lang w:val="en-US" w:eastAsia="zh-CN"/>
                <w14:textFill>
                  <w14:solidFill>
                    <w14:schemeClr w14:val="tx1"/>
                  </w14:solidFill>
                </w14:textFill>
              </w:rPr>
              <w:t xml:space="preserve"> </w:t>
            </w:r>
            <w:r>
              <w:rPr>
                <w:rFonts w:hint="eastAsia"/>
                <w:color w:val="000000" w:themeColor="text1"/>
                <w14:textFill>
                  <w14:solidFill>
                    <w14:schemeClr w14:val="tx1"/>
                  </w14:solidFill>
                </w14:textFill>
              </w:rPr>
              <w:t>运营期主要污染工序一览表</w:t>
            </w:r>
          </w:p>
          <w:tbl>
            <w:tblPr>
              <w:tblStyle w:val="1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Layout w:type="autofit"/>
              <w:tblCellMar>
                <w:top w:w="0" w:type="dxa"/>
                <w:left w:w="108" w:type="dxa"/>
                <w:bottom w:w="0" w:type="dxa"/>
                <w:right w:w="108" w:type="dxa"/>
              </w:tblCellMar>
            </w:tblPr>
            <w:tblGrid>
              <w:gridCol w:w="1010"/>
              <w:gridCol w:w="811"/>
              <w:gridCol w:w="2"/>
              <w:gridCol w:w="2708"/>
              <w:gridCol w:w="3860"/>
            </w:tblGrid>
            <w:tr>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CellMar>
                  <w:top w:w="0" w:type="dxa"/>
                  <w:left w:w="108" w:type="dxa"/>
                  <w:bottom w:w="0" w:type="dxa"/>
                  <w:right w:w="108" w:type="dxa"/>
                </w:tblCellMar>
              </w:tblPrEx>
              <w:trPr>
                <w:trHeight w:val="369" w:hRule="atLeast"/>
                <w:jc w:val="center"/>
              </w:trPr>
              <w:tc>
                <w:tcPr>
                  <w:tcW w:w="602" w:type="pct"/>
                  <w:tcBorders>
                    <w:tl2br w:val="nil"/>
                    <w:tr2bl w:val="nil"/>
                  </w:tcBorders>
                  <w:vAlign w:val="center"/>
                </w:tcPr>
                <w:p>
                  <w:pPr>
                    <w:pStyle w:val="22"/>
                    <w:rPr>
                      <w:color w:val="000000" w:themeColor="text1"/>
                      <w14:textFill>
                        <w14:solidFill>
                          <w14:schemeClr w14:val="tx1"/>
                        </w14:solidFill>
                      </w14:textFill>
                    </w:rPr>
                  </w:pPr>
                  <w:r>
                    <w:rPr>
                      <w:color w:val="000000" w:themeColor="text1"/>
                      <w14:textFill>
                        <w14:solidFill>
                          <w14:schemeClr w14:val="tx1"/>
                        </w14:solidFill>
                      </w14:textFill>
                    </w:rPr>
                    <w:t>名称</w:t>
                  </w:r>
                </w:p>
              </w:tc>
              <w:tc>
                <w:tcPr>
                  <w:tcW w:w="2097" w:type="pct"/>
                  <w:gridSpan w:val="3"/>
                  <w:tcBorders>
                    <w:tl2br w:val="nil"/>
                    <w:tr2bl w:val="nil"/>
                  </w:tcBorders>
                  <w:vAlign w:val="center"/>
                </w:tcPr>
                <w:p>
                  <w:pPr>
                    <w:pStyle w:val="22"/>
                    <w:rPr>
                      <w:color w:val="000000" w:themeColor="text1"/>
                      <w14:textFill>
                        <w14:solidFill>
                          <w14:schemeClr w14:val="tx1"/>
                        </w14:solidFill>
                      </w14:textFill>
                    </w:rPr>
                  </w:pPr>
                  <w:r>
                    <w:rPr>
                      <w:color w:val="000000" w:themeColor="text1"/>
                      <w14:textFill>
                        <w14:solidFill>
                          <w14:schemeClr w14:val="tx1"/>
                        </w14:solidFill>
                      </w14:textFill>
                    </w:rPr>
                    <w:t>污染来源</w:t>
                  </w:r>
                </w:p>
              </w:tc>
              <w:tc>
                <w:tcPr>
                  <w:tcW w:w="2299" w:type="pct"/>
                  <w:tcBorders>
                    <w:tl2br w:val="nil"/>
                    <w:tr2bl w:val="nil"/>
                  </w:tcBorders>
                  <w:vAlign w:val="center"/>
                </w:tcPr>
                <w:p>
                  <w:pPr>
                    <w:pStyle w:val="22"/>
                    <w:rPr>
                      <w:color w:val="000000" w:themeColor="text1"/>
                      <w14:textFill>
                        <w14:solidFill>
                          <w14:schemeClr w14:val="tx1"/>
                        </w14:solidFill>
                      </w14:textFill>
                    </w:rPr>
                  </w:pPr>
                  <w:r>
                    <w:rPr>
                      <w:color w:val="000000" w:themeColor="text1"/>
                      <w14:textFill>
                        <w14:solidFill>
                          <w14:schemeClr w14:val="tx1"/>
                        </w14:solidFill>
                      </w14:textFill>
                    </w:rPr>
                    <w:t>主要污染物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CellMar>
                  <w:top w:w="0" w:type="dxa"/>
                  <w:left w:w="108" w:type="dxa"/>
                  <w:bottom w:w="0" w:type="dxa"/>
                  <w:right w:w="108" w:type="dxa"/>
                </w:tblCellMar>
              </w:tblPrEx>
              <w:trPr>
                <w:trHeight w:val="179" w:hRule="atLeast"/>
                <w:jc w:val="center"/>
              </w:trPr>
              <w:tc>
                <w:tcPr>
                  <w:tcW w:w="602" w:type="pct"/>
                  <w:vMerge w:val="restart"/>
                  <w:tcBorders>
                    <w:tl2br w:val="nil"/>
                    <w:tr2bl w:val="nil"/>
                  </w:tcBorders>
                  <w:vAlign w:val="center"/>
                </w:tcPr>
                <w:p>
                  <w:pPr>
                    <w:pStyle w:val="22"/>
                    <w:rPr>
                      <w:color w:val="000000" w:themeColor="text1"/>
                      <w14:textFill>
                        <w14:solidFill>
                          <w14:schemeClr w14:val="tx1"/>
                        </w14:solidFill>
                      </w14:textFill>
                    </w:rPr>
                  </w:pPr>
                  <w:r>
                    <w:rPr>
                      <w:color w:val="000000" w:themeColor="text1"/>
                      <w14:textFill>
                        <w14:solidFill>
                          <w14:schemeClr w14:val="tx1"/>
                        </w14:solidFill>
                      </w14:textFill>
                    </w:rPr>
                    <w:t>废气</w:t>
                  </w:r>
                </w:p>
              </w:tc>
              <w:tc>
                <w:tcPr>
                  <w:tcW w:w="484" w:type="pct"/>
                  <w:gridSpan w:val="2"/>
                  <w:tcBorders>
                    <w:tl2br w:val="nil"/>
                    <w:tr2bl w:val="nil"/>
                  </w:tcBorders>
                  <w:vAlign w:val="center"/>
                </w:tcPr>
                <w:p>
                  <w:pPr>
                    <w:pStyle w:val="2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G1</w:t>
                  </w:r>
                </w:p>
              </w:tc>
              <w:tc>
                <w:tcPr>
                  <w:tcW w:w="1613" w:type="pct"/>
                  <w:tcBorders>
                    <w:tl2br w:val="nil"/>
                    <w:tr2bl w:val="nil"/>
                  </w:tcBorders>
                  <w:vAlign w:val="center"/>
                </w:tcPr>
                <w:p>
                  <w:pPr>
                    <w:pStyle w:val="22"/>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打磨</w:t>
                  </w:r>
                </w:p>
              </w:tc>
              <w:tc>
                <w:tcPr>
                  <w:tcW w:w="2299" w:type="pct"/>
                  <w:tcBorders>
                    <w:tl2br w:val="nil"/>
                    <w:tr2bl w:val="nil"/>
                  </w:tcBorders>
                  <w:vAlign w:val="center"/>
                </w:tcPr>
                <w:p>
                  <w:pPr>
                    <w:pStyle w:val="22"/>
                    <w:rPr>
                      <w:rFonts w:hint="eastAsia"/>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颗粒物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CellMar>
                  <w:top w:w="0" w:type="dxa"/>
                  <w:left w:w="108" w:type="dxa"/>
                  <w:bottom w:w="0" w:type="dxa"/>
                  <w:right w:w="108" w:type="dxa"/>
                </w:tblCellMar>
              </w:tblPrEx>
              <w:trPr>
                <w:trHeight w:val="179" w:hRule="atLeast"/>
                <w:jc w:val="center"/>
              </w:trPr>
              <w:tc>
                <w:tcPr>
                  <w:tcW w:w="602" w:type="pct"/>
                  <w:vMerge w:val="continue"/>
                  <w:tcBorders>
                    <w:tl2br w:val="nil"/>
                    <w:tr2bl w:val="nil"/>
                  </w:tcBorders>
                  <w:vAlign w:val="center"/>
                </w:tcPr>
                <w:p>
                  <w:pPr>
                    <w:pStyle w:val="22"/>
                    <w:rPr>
                      <w:color w:val="000000" w:themeColor="text1"/>
                      <w14:textFill>
                        <w14:solidFill>
                          <w14:schemeClr w14:val="tx1"/>
                        </w14:solidFill>
                      </w14:textFill>
                    </w:rPr>
                  </w:pPr>
                </w:p>
              </w:tc>
              <w:tc>
                <w:tcPr>
                  <w:tcW w:w="484" w:type="pct"/>
                  <w:gridSpan w:val="2"/>
                  <w:tcBorders>
                    <w:tl2br w:val="nil"/>
                    <w:tr2bl w:val="nil"/>
                  </w:tcBorders>
                  <w:vAlign w:val="center"/>
                </w:tcPr>
                <w:p>
                  <w:pPr>
                    <w:pStyle w:val="2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G2</w:t>
                  </w:r>
                </w:p>
              </w:tc>
              <w:tc>
                <w:tcPr>
                  <w:tcW w:w="1613" w:type="pct"/>
                  <w:tcBorders>
                    <w:tl2br w:val="nil"/>
                    <w:tr2bl w:val="nil"/>
                  </w:tcBorders>
                  <w:vAlign w:val="center"/>
                </w:tcPr>
                <w:p>
                  <w:pPr>
                    <w:pStyle w:val="22"/>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焊接</w:t>
                  </w:r>
                </w:p>
              </w:tc>
              <w:tc>
                <w:tcPr>
                  <w:tcW w:w="2299" w:type="pct"/>
                  <w:tcBorders>
                    <w:tl2br w:val="nil"/>
                    <w:tr2bl w:val="nil"/>
                  </w:tcBorders>
                  <w:vAlign w:val="center"/>
                </w:tcPr>
                <w:p>
                  <w:pPr>
                    <w:pStyle w:val="2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颗粒物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CellMar>
                  <w:top w:w="0" w:type="dxa"/>
                  <w:left w:w="108" w:type="dxa"/>
                  <w:bottom w:w="0" w:type="dxa"/>
                  <w:right w:w="108" w:type="dxa"/>
                </w:tblCellMar>
              </w:tblPrEx>
              <w:trPr>
                <w:trHeight w:val="369" w:hRule="atLeast"/>
                <w:jc w:val="center"/>
              </w:trPr>
              <w:tc>
                <w:tcPr>
                  <w:tcW w:w="602" w:type="pct"/>
                  <w:tcBorders>
                    <w:tl2br w:val="nil"/>
                    <w:tr2bl w:val="nil"/>
                  </w:tcBorders>
                  <w:vAlign w:val="center"/>
                </w:tcPr>
                <w:p>
                  <w:pPr>
                    <w:pStyle w:val="22"/>
                    <w:rPr>
                      <w:color w:val="000000" w:themeColor="text1"/>
                      <w14:textFill>
                        <w14:solidFill>
                          <w14:schemeClr w14:val="tx1"/>
                        </w14:solidFill>
                      </w14:textFill>
                    </w:rPr>
                  </w:pPr>
                  <w:r>
                    <w:rPr>
                      <w:color w:val="000000" w:themeColor="text1"/>
                      <w14:textFill>
                        <w14:solidFill>
                          <w14:schemeClr w14:val="tx1"/>
                        </w14:solidFill>
                      </w14:textFill>
                    </w:rPr>
                    <w:t>废水</w:t>
                  </w:r>
                </w:p>
              </w:tc>
              <w:tc>
                <w:tcPr>
                  <w:tcW w:w="2097" w:type="pct"/>
                  <w:gridSpan w:val="3"/>
                  <w:tcBorders>
                    <w:tl2br w:val="nil"/>
                    <w:tr2bl w:val="nil"/>
                  </w:tcBorders>
                  <w:vAlign w:val="center"/>
                </w:tcPr>
                <w:p>
                  <w:pPr>
                    <w:pStyle w:val="22"/>
                    <w:rPr>
                      <w:color w:val="000000" w:themeColor="text1"/>
                      <w14:textFill>
                        <w14:solidFill>
                          <w14:schemeClr w14:val="tx1"/>
                        </w14:solidFill>
                      </w14:textFill>
                    </w:rPr>
                  </w:pPr>
                  <w:r>
                    <w:rPr>
                      <w:color w:val="000000" w:themeColor="text1"/>
                      <w14:textFill>
                        <w14:solidFill>
                          <w14:schemeClr w14:val="tx1"/>
                        </w14:solidFill>
                      </w14:textFill>
                    </w:rPr>
                    <w:t>生活污水</w:t>
                  </w:r>
                </w:p>
              </w:tc>
              <w:tc>
                <w:tcPr>
                  <w:tcW w:w="2299" w:type="pct"/>
                  <w:tcBorders>
                    <w:tl2br w:val="nil"/>
                    <w:tr2bl w:val="nil"/>
                  </w:tcBorders>
                  <w:vAlign w:val="center"/>
                </w:tcPr>
                <w:p>
                  <w:pPr>
                    <w:pStyle w:val="22"/>
                    <w:rPr>
                      <w:color w:val="000000" w:themeColor="text1"/>
                      <w14:textFill>
                        <w14:solidFill>
                          <w14:schemeClr w14:val="tx1"/>
                        </w14:solidFill>
                      </w14:textFill>
                    </w:rPr>
                  </w:pPr>
                  <w:r>
                    <w:rPr>
                      <w:color w:val="000000" w:themeColor="text1"/>
                      <w14:textFill>
                        <w14:solidFill>
                          <w14:schemeClr w14:val="tx1"/>
                        </w14:solidFill>
                      </w14:textFill>
                    </w:rPr>
                    <w:t>COD、BOD5、氨氮、SS</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CellMar>
                  <w:top w:w="0" w:type="dxa"/>
                  <w:left w:w="108" w:type="dxa"/>
                  <w:bottom w:w="0" w:type="dxa"/>
                  <w:right w:w="108" w:type="dxa"/>
                </w:tblCellMar>
              </w:tblPrEx>
              <w:trPr>
                <w:trHeight w:val="369" w:hRule="atLeast"/>
                <w:jc w:val="center"/>
              </w:trPr>
              <w:tc>
                <w:tcPr>
                  <w:tcW w:w="602" w:type="pct"/>
                  <w:tcBorders>
                    <w:tl2br w:val="nil"/>
                    <w:tr2bl w:val="nil"/>
                  </w:tcBorders>
                  <w:vAlign w:val="center"/>
                </w:tcPr>
                <w:p>
                  <w:pPr>
                    <w:pStyle w:val="22"/>
                    <w:rPr>
                      <w:color w:val="000000" w:themeColor="text1"/>
                      <w14:textFill>
                        <w14:solidFill>
                          <w14:schemeClr w14:val="tx1"/>
                        </w14:solidFill>
                      </w14:textFill>
                    </w:rPr>
                  </w:pPr>
                  <w:r>
                    <w:rPr>
                      <w:color w:val="000000" w:themeColor="text1"/>
                      <w14:textFill>
                        <w14:solidFill>
                          <w14:schemeClr w14:val="tx1"/>
                        </w14:solidFill>
                      </w14:textFill>
                    </w:rPr>
                    <w:t>噪声</w:t>
                  </w:r>
                </w:p>
              </w:tc>
              <w:tc>
                <w:tcPr>
                  <w:tcW w:w="2097" w:type="pct"/>
                  <w:gridSpan w:val="3"/>
                  <w:tcBorders>
                    <w:tl2br w:val="nil"/>
                    <w:tr2bl w:val="nil"/>
                  </w:tcBorders>
                  <w:vAlign w:val="center"/>
                </w:tcPr>
                <w:p>
                  <w:pPr>
                    <w:pStyle w:val="22"/>
                    <w:rPr>
                      <w:color w:val="000000" w:themeColor="text1"/>
                      <w14:textFill>
                        <w14:solidFill>
                          <w14:schemeClr w14:val="tx1"/>
                        </w14:solidFill>
                      </w14:textFill>
                    </w:rPr>
                  </w:pPr>
                  <w:r>
                    <w:rPr>
                      <w:color w:val="000000" w:themeColor="text1"/>
                      <w14:textFill>
                        <w14:solidFill>
                          <w14:schemeClr w14:val="tx1"/>
                        </w14:solidFill>
                      </w14:textFill>
                    </w:rPr>
                    <w:t>生产设备</w:t>
                  </w:r>
                </w:p>
              </w:tc>
              <w:tc>
                <w:tcPr>
                  <w:tcW w:w="2299" w:type="pct"/>
                  <w:tcBorders>
                    <w:tl2br w:val="nil"/>
                    <w:tr2bl w:val="nil"/>
                  </w:tcBorders>
                  <w:vAlign w:val="center"/>
                </w:tcPr>
                <w:p>
                  <w:pPr>
                    <w:pStyle w:val="22"/>
                    <w:rPr>
                      <w:color w:val="000000" w:themeColor="text1"/>
                      <w14:textFill>
                        <w14:solidFill>
                          <w14:schemeClr w14:val="tx1"/>
                        </w14:solidFill>
                      </w14:textFill>
                    </w:rPr>
                  </w:pPr>
                  <w:r>
                    <w:rPr>
                      <w:color w:val="000000" w:themeColor="text1"/>
                      <w14:textFill>
                        <w14:solidFill>
                          <w14:schemeClr w14:val="tx1"/>
                        </w14:solidFill>
                      </w14:textFill>
                    </w:rPr>
                    <w:t>噪声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CellMar>
                  <w:top w:w="0" w:type="dxa"/>
                  <w:left w:w="108" w:type="dxa"/>
                  <w:bottom w:w="0" w:type="dxa"/>
                  <w:right w:w="108" w:type="dxa"/>
                </w:tblCellMar>
              </w:tblPrEx>
              <w:trPr>
                <w:trHeight w:val="369" w:hRule="atLeast"/>
                <w:jc w:val="center"/>
              </w:trPr>
              <w:tc>
                <w:tcPr>
                  <w:tcW w:w="602" w:type="pct"/>
                  <w:vMerge w:val="restart"/>
                  <w:tcBorders>
                    <w:tl2br w:val="nil"/>
                    <w:tr2bl w:val="nil"/>
                  </w:tcBorders>
                  <w:vAlign w:val="center"/>
                </w:tcPr>
                <w:p>
                  <w:pPr>
                    <w:pStyle w:val="22"/>
                    <w:rPr>
                      <w:color w:val="000000" w:themeColor="text1"/>
                      <w14:textFill>
                        <w14:solidFill>
                          <w14:schemeClr w14:val="tx1"/>
                        </w14:solidFill>
                      </w14:textFill>
                    </w:rPr>
                  </w:pPr>
                  <w:r>
                    <w:rPr>
                      <w:color w:val="000000" w:themeColor="text1"/>
                      <w14:textFill>
                        <w14:solidFill>
                          <w14:schemeClr w14:val="tx1"/>
                        </w14:solidFill>
                      </w14:textFill>
                    </w:rPr>
                    <w:t>固废</w:t>
                  </w:r>
                </w:p>
              </w:tc>
              <w:tc>
                <w:tcPr>
                  <w:tcW w:w="483" w:type="pct"/>
                  <w:tcBorders>
                    <w:tl2br w:val="nil"/>
                    <w:tr2bl w:val="nil"/>
                  </w:tcBorders>
                  <w:vAlign w:val="center"/>
                </w:tcPr>
                <w:p>
                  <w:pPr>
                    <w:pStyle w:val="22"/>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S1</w:t>
                  </w:r>
                </w:p>
              </w:tc>
              <w:tc>
                <w:tcPr>
                  <w:tcW w:w="1614" w:type="pct"/>
                  <w:gridSpan w:val="2"/>
                  <w:tcBorders>
                    <w:tl2br w:val="nil"/>
                    <w:tr2bl w:val="nil"/>
                  </w:tcBorders>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生产过程</w:t>
                  </w:r>
                </w:p>
              </w:tc>
              <w:tc>
                <w:tcPr>
                  <w:tcW w:w="2299" w:type="pct"/>
                  <w:tcBorders>
                    <w:tl2br w:val="nil"/>
                    <w:tr2bl w:val="nil"/>
                  </w:tcBorders>
                  <w:vAlign w:val="center"/>
                </w:tcPr>
                <w:p>
                  <w:pPr>
                    <w:pStyle w:val="22"/>
                    <w:bidi w:val="0"/>
                    <w:rPr>
                      <w:color w:val="000000" w:themeColor="text1"/>
                      <w14:textFill>
                        <w14:solidFill>
                          <w14:schemeClr w14:val="tx1"/>
                        </w14:solidFill>
                      </w14:textFill>
                    </w:rPr>
                  </w:pPr>
                  <w:r>
                    <w:rPr>
                      <w:color w:val="000000" w:themeColor="text1"/>
                      <w14:textFill>
                        <w14:solidFill>
                          <w14:schemeClr w14:val="tx1"/>
                        </w14:solidFill>
                      </w14:textFill>
                    </w:rPr>
                    <w:t>废边角料</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金属屑</w:t>
                  </w:r>
                  <w:r>
                    <w:rPr>
                      <w:color w:val="000000" w:themeColor="text1"/>
                      <w14:textFill>
                        <w14:solidFill>
                          <w14:schemeClr w14:val="tx1"/>
                        </w14:solidFill>
                      </w14:textFill>
                    </w:rPr>
                    <w:t>及不合格品</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CellMar>
                  <w:top w:w="0" w:type="dxa"/>
                  <w:left w:w="108" w:type="dxa"/>
                  <w:bottom w:w="0" w:type="dxa"/>
                  <w:right w:w="108" w:type="dxa"/>
                </w:tblCellMar>
              </w:tblPrEx>
              <w:trPr>
                <w:trHeight w:val="369" w:hRule="atLeast"/>
                <w:jc w:val="center"/>
              </w:trPr>
              <w:tc>
                <w:tcPr>
                  <w:tcW w:w="602" w:type="pct"/>
                  <w:vMerge w:val="continue"/>
                  <w:tcBorders>
                    <w:tl2br w:val="nil"/>
                    <w:tr2bl w:val="nil"/>
                  </w:tcBorders>
                  <w:vAlign w:val="center"/>
                </w:tcPr>
                <w:p>
                  <w:pPr>
                    <w:pStyle w:val="22"/>
                    <w:rPr>
                      <w:color w:val="000000" w:themeColor="text1"/>
                      <w14:textFill>
                        <w14:solidFill>
                          <w14:schemeClr w14:val="tx1"/>
                        </w14:solidFill>
                      </w14:textFill>
                    </w:rPr>
                  </w:pPr>
                </w:p>
              </w:tc>
              <w:tc>
                <w:tcPr>
                  <w:tcW w:w="483" w:type="pct"/>
                  <w:tcBorders>
                    <w:tl2br w:val="nil"/>
                    <w:tr2bl w:val="nil"/>
                  </w:tcBorders>
                  <w:vAlign w:val="center"/>
                </w:tcPr>
                <w:p>
                  <w:pPr>
                    <w:pStyle w:val="22"/>
                    <w:bidi w:val="0"/>
                    <w:rPr>
                      <w:rFonts w:hint="default"/>
                      <w:color w:val="000000" w:themeColor="text1"/>
                      <w:lang w:val="en-US"/>
                      <w14:textFill>
                        <w14:solidFill>
                          <w14:schemeClr w14:val="tx1"/>
                        </w14:solidFill>
                      </w14:textFill>
                    </w:rPr>
                  </w:pPr>
                  <w:r>
                    <w:rPr>
                      <w:rFonts w:hint="eastAsia"/>
                      <w:color w:val="000000" w:themeColor="text1"/>
                      <w:lang w:val="en-US" w:eastAsia="zh-CN"/>
                      <w14:textFill>
                        <w14:solidFill>
                          <w14:schemeClr w14:val="tx1"/>
                        </w14:solidFill>
                      </w14:textFill>
                    </w:rPr>
                    <w:t>S2</w:t>
                  </w:r>
                </w:p>
              </w:tc>
              <w:tc>
                <w:tcPr>
                  <w:tcW w:w="1614" w:type="pct"/>
                  <w:gridSpan w:val="2"/>
                  <w:tcBorders>
                    <w:tl2br w:val="nil"/>
                    <w:tr2bl w:val="nil"/>
                  </w:tcBorders>
                  <w:vAlign w:val="center"/>
                </w:tcPr>
                <w:p>
                  <w:pPr>
                    <w:pStyle w:val="22"/>
                    <w:bidi w:val="0"/>
                    <w:ind w:firstLine="0" w:firstLineChars="0"/>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14:textFill>
                        <w14:solidFill>
                          <w14:schemeClr w14:val="tx1"/>
                        </w14:solidFill>
                      </w14:textFill>
                    </w:rPr>
                    <w:t>线切割、加工中心</w:t>
                  </w:r>
                  <w:r>
                    <w:rPr>
                      <w:rFonts w:hint="eastAsia"/>
                      <w:color w:val="000000" w:themeColor="text1"/>
                      <w:lang w:eastAsia="zh-CN"/>
                      <w14:textFill>
                        <w14:solidFill>
                          <w14:schemeClr w14:val="tx1"/>
                        </w14:solidFill>
                      </w14:textFill>
                    </w:rPr>
                    <w:t>、打磨</w:t>
                  </w:r>
                </w:p>
              </w:tc>
              <w:tc>
                <w:tcPr>
                  <w:tcW w:w="2299" w:type="pct"/>
                  <w:tcBorders>
                    <w:tl2br w:val="nil"/>
                    <w:tr2bl w:val="nil"/>
                  </w:tcBorders>
                  <w:vAlign w:val="center"/>
                </w:tcPr>
                <w:p>
                  <w:pPr>
                    <w:pStyle w:val="22"/>
                    <w:bidi w:val="0"/>
                    <w:ind w:firstLine="0" w:firstLineChars="0"/>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14:textFill>
                        <w14:solidFill>
                          <w14:schemeClr w14:val="tx1"/>
                        </w14:solidFill>
                      </w14:textFill>
                    </w:rPr>
                    <w:t>废切削液</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CellMar>
                  <w:top w:w="0" w:type="dxa"/>
                  <w:left w:w="108" w:type="dxa"/>
                  <w:bottom w:w="0" w:type="dxa"/>
                  <w:right w:w="108" w:type="dxa"/>
                </w:tblCellMar>
              </w:tblPrEx>
              <w:trPr>
                <w:trHeight w:val="119" w:hRule="atLeast"/>
                <w:jc w:val="center"/>
              </w:trPr>
              <w:tc>
                <w:tcPr>
                  <w:tcW w:w="602" w:type="pct"/>
                  <w:vMerge w:val="continue"/>
                  <w:tcBorders>
                    <w:tl2br w:val="nil"/>
                    <w:tr2bl w:val="nil"/>
                  </w:tcBorders>
                  <w:vAlign w:val="center"/>
                </w:tcPr>
                <w:p>
                  <w:pPr>
                    <w:pStyle w:val="22"/>
                    <w:rPr>
                      <w:color w:val="000000" w:themeColor="text1"/>
                      <w14:textFill>
                        <w14:solidFill>
                          <w14:schemeClr w14:val="tx1"/>
                        </w14:solidFill>
                      </w14:textFill>
                    </w:rPr>
                  </w:pPr>
                </w:p>
              </w:tc>
              <w:tc>
                <w:tcPr>
                  <w:tcW w:w="483" w:type="pct"/>
                  <w:tcBorders>
                    <w:tl2br w:val="nil"/>
                    <w:tr2bl w:val="nil"/>
                  </w:tcBorders>
                  <w:vAlign w:val="center"/>
                </w:tcPr>
                <w:p>
                  <w:pPr>
                    <w:pStyle w:val="22"/>
                    <w:bidi w:val="0"/>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S3</w:t>
                  </w:r>
                </w:p>
              </w:tc>
              <w:tc>
                <w:tcPr>
                  <w:tcW w:w="1614" w:type="pct"/>
                  <w:gridSpan w:val="2"/>
                  <w:tcBorders>
                    <w:tl2br w:val="nil"/>
                    <w:tr2bl w:val="nil"/>
                  </w:tcBorders>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eastAsia="zh-CN"/>
                      <w14:textFill>
                        <w14:solidFill>
                          <w14:schemeClr w14:val="tx1"/>
                        </w14:solidFill>
                      </w14:textFill>
                    </w:rPr>
                    <w:t>油压机</w:t>
                  </w:r>
                </w:p>
              </w:tc>
              <w:tc>
                <w:tcPr>
                  <w:tcW w:w="2299" w:type="pct"/>
                  <w:tcBorders>
                    <w:tl2br w:val="nil"/>
                    <w:tr2bl w:val="nil"/>
                  </w:tcBorders>
                  <w:vAlign w:val="center"/>
                </w:tcPr>
                <w:p>
                  <w:pPr>
                    <w:pStyle w:val="22"/>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废液压油</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CellMar>
                  <w:top w:w="0" w:type="dxa"/>
                  <w:left w:w="108" w:type="dxa"/>
                  <w:bottom w:w="0" w:type="dxa"/>
                  <w:right w:w="108" w:type="dxa"/>
                </w:tblCellMar>
              </w:tblPrEx>
              <w:trPr>
                <w:trHeight w:val="369" w:hRule="atLeast"/>
                <w:jc w:val="center"/>
              </w:trPr>
              <w:tc>
                <w:tcPr>
                  <w:tcW w:w="602" w:type="pct"/>
                  <w:vMerge w:val="continue"/>
                  <w:tcBorders>
                    <w:tl2br w:val="nil"/>
                    <w:tr2bl w:val="nil"/>
                  </w:tcBorders>
                  <w:vAlign w:val="center"/>
                </w:tcPr>
                <w:p>
                  <w:pPr>
                    <w:pStyle w:val="22"/>
                    <w:rPr>
                      <w:color w:val="000000" w:themeColor="text1"/>
                      <w14:textFill>
                        <w14:solidFill>
                          <w14:schemeClr w14:val="tx1"/>
                        </w14:solidFill>
                      </w14:textFill>
                    </w:rPr>
                  </w:pPr>
                </w:p>
              </w:tc>
              <w:tc>
                <w:tcPr>
                  <w:tcW w:w="483" w:type="pct"/>
                  <w:tcBorders>
                    <w:tl2br w:val="nil"/>
                    <w:tr2bl w:val="nil"/>
                  </w:tcBorders>
                  <w:vAlign w:val="center"/>
                </w:tcPr>
                <w:p>
                  <w:pPr>
                    <w:pStyle w:val="22"/>
                    <w:bidi w:val="0"/>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S4</w:t>
                  </w:r>
                </w:p>
              </w:tc>
              <w:tc>
                <w:tcPr>
                  <w:tcW w:w="1614" w:type="pct"/>
                  <w:gridSpan w:val="2"/>
                  <w:tcBorders>
                    <w:tl2br w:val="nil"/>
                    <w:tr2bl w:val="nil"/>
                  </w:tcBorders>
                  <w:vAlign w:val="center"/>
                </w:tcPr>
                <w:p>
                  <w:pPr>
                    <w:pStyle w:val="22"/>
                    <w:bidi w:val="0"/>
                    <w:ind w:firstLine="0" w:firstLineChars="0"/>
                    <w:rPr>
                      <w:color w:val="000000" w:themeColor="text1"/>
                      <w:lang w:val="en-US" w:eastAsia="zh-CN"/>
                      <w14:textFill>
                        <w14:solidFill>
                          <w14:schemeClr w14:val="tx1"/>
                        </w14:solidFill>
                      </w14:textFill>
                    </w:rPr>
                  </w:pPr>
                  <w:r>
                    <w:rPr>
                      <w:color w:val="000000" w:themeColor="text1"/>
                      <w14:textFill>
                        <w14:solidFill>
                          <w14:schemeClr w14:val="tx1"/>
                        </w14:solidFill>
                      </w14:textFill>
                    </w:rPr>
                    <w:t>设备维修保养</w:t>
                  </w:r>
                </w:p>
              </w:tc>
              <w:tc>
                <w:tcPr>
                  <w:tcW w:w="2299" w:type="pct"/>
                  <w:tcBorders>
                    <w:tl2br w:val="nil"/>
                    <w:tr2bl w:val="nil"/>
                  </w:tcBorders>
                  <w:vAlign w:val="center"/>
                </w:tcPr>
                <w:p>
                  <w:pPr>
                    <w:pStyle w:val="22"/>
                    <w:bidi w:val="0"/>
                    <w:rPr>
                      <w:color w:val="000000" w:themeColor="text1"/>
                      <w14:textFill>
                        <w14:solidFill>
                          <w14:schemeClr w14:val="tx1"/>
                        </w14:solidFill>
                      </w14:textFill>
                    </w:rPr>
                  </w:pPr>
                  <w:r>
                    <w:rPr>
                      <w:color w:val="000000" w:themeColor="text1"/>
                      <w14:textFill>
                        <w14:solidFill>
                          <w14:schemeClr w14:val="tx1"/>
                        </w14:solidFill>
                      </w14:textFill>
                    </w:rPr>
                    <w:t>废润滑油</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CellMar>
                  <w:top w:w="0" w:type="dxa"/>
                  <w:left w:w="108" w:type="dxa"/>
                  <w:bottom w:w="0" w:type="dxa"/>
                  <w:right w:w="108" w:type="dxa"/>
                </w:tblCellMar>
              </w:tblPrEx>
              <w:trPr>
                <w:trHeight w:val="369" w:hRule="atLeast"/>
                <w:jc w:val="center"/>
              </w:trPr>
              <w:tc>
                <w:tcPr>
                  <w:tcW w:w="602" w:type="pct"/>
                  <w:vMerge w:val="continue"/>
                  <w:tcBorders>
                    <w:tl2br w:val="nil"/>
                    <w:tr2bl w:val="nil"/>
                  </w:tcBorders>
                  <w:vAlign w:val="center"/>
                </w:tcPr>
                <w:p>
                  <w:pPr>
                    <w:pStyle w:val="22"/>
                    <w:rPr>
                      <w:color w:val="000000" w:themeColor="text1"/>
                      <w14:textFill>
                        <w14:solidFill>
                          <w14:schemeClr w14:val="tx1"/>
                        </w14:solidFill>
                      </w14:textFill>
                    </w:rPr>
                  </w:pPr>
                </w:p>
              </w:tc>
              <w:tc>
                <w:tcPr>
                  <w:tcW w:w="483" w:type="pct"/>
                  <w:tcBorders>
                    <w:tl2br w:val="nil"/>
                    <w:tr2bl w:val="nil"/>
                  </w:tcBorders>
                  <w:vAlign w:val="center"/>
                </w:tcPr>
                <w:p>
                  <w:pPr>
                    <w:pStyle w:val="22"/>
                    <w:bidi w:val="0"/>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S5</w:t>
                  </w:r>
                </w:p>
              </w:tc>
              <w:tc>
                <w:tcPr>
                  <w:tcW w:w="1614" w:type="pct"/>
                  <w:gridSpan w:val="2"/>
                  <w:tcBorders>
                    <w:tl2br w:val="nil"/>
                    <w:tr2bl w:val="nil"/>
                  </w:tcBorders>
                  <w:vAlign w:val="center"/>
                </w:tcPr>
                <w:p>
                  <w:pPr>
                    <w:pStyle w:val="22"/>
                    <w:bidi w:val="0"/>
                    <w:ind w:firstLine="0" w:firstLineChars="0"/>
                    <w:rPr>
                      <w:color w:val="000000" w:themeColor="text1"/>
                      <w:lang w:val="en-US" w:eastAsia="zh-CN"/>
                      <w14:textFill>
                        <w14:solidFill>
                          <w14:schemeClr w14:val="tx1"/>
                        </w14:solidFill>
                      </w14:textFill>
                    </w:rPr>
                  </w:pPr>
                  <w:r>
                    <w:rPr>
                      <w:color w:val="000000" w:themeColor="text1"/>
                      <w14:textFill>
                        <w14:solidFill>
                          <w14:schemeClr w14:val="tx1"/>
                        </w14:solidFill>
                      </w14:textFill>
                    </w:rPr>
                    <w:t>设备维修保养</w:t>
                  </w:r>
                </w:p>
              </w:tc>
              <w:tc>
                <w:tcPr>
                  <w:tcW w:w="2299" w:type="pct"/>
                  <w:tcBorders>
                    <w:tl2br w:val="nil"/>
                    <w:tr2bl w:val="nil"/>
                  </w:tcBorders>
                  <w:vAlign w:val="center"/>
                </w:tcPr>
                <w:p>
                  <w:pPr>
                    <w:pStyle w:val="22"/>
                    <w:bidi w:val="0"/>
                    <w:rPr>
                      <w:color w:val="000000" w:themeColor="text1"/>
                      <w14:textFill>
                        <w14:solidFill>
                          <w14:schemeClr w14:val="tx1"/>
                        </w14:solidFill>
                      </w14:textFill>
                    </w:rPr>
                  </w:pPr>
                  <w:r>
                    <w:rPr>
                      <w:color w:val="000000" w:themeColor="text1"/>
                      <w14:textFill>
                        <w14:solidFill>
                          <w14:schemeClr w14:val="tx1"/>
                        </w14:solidFill>
                      </w14:textFill>
                    </w:rPr>
                    <w:t>废</w:t>
                  </w:r>
                  <w:r>
                    <w:rPr>
                      <w:rFonts w:hint="eastAsia"/>
                      <w:color w:val="000000" w:themeColor="text1"/>
                      <w14:textFill>
                        <w14:solidFill>
                          <w14:schemeClr w14:val="tx1"/>
                        </w14:solidFill>
                      </w14:textFill>
                    </w:rPr>
                    <w:t>包装</w:t>
                  </w:r>
                  <w:r>
                    <w:rPr>
                      <w:color w:val="000000" w:themeColor="text1"/>
                      <w14:textFill>
                        <w14:solidFill>
                          <w14:schemeClr w14:val="tx1"/>
                        </w14:solidFill>
                      </w14:textFill>
                    </w:rPr>
                    <w:t>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CellMar>
                  <w:top w:w="0" w:type="dxa"/>
                  <w:left w:w="108" w:type="dxa"/>
                  <w:bottom w:w="0" w:type="dxa"/>
                  <w:right w:w="108" w:type="dxa"/>
                </w:tblCellMar>
              </w:tblPrEx>
              <w:trPr>
                <w:trHeight w:val="369" w:hRule="atLeast"/>
                <w:jc w:val="center"/>
              </w:trPr>
              <w:tc>
                <w:tcPr>
                  <w:tcW w:w="602" w:type="pct"/>
                  <w:vMerge w:val="continue"/>
                  <w:tcBorders>
                    <w:tl2br w:val="nil"/>
                    <w:tr2bl w:val="nil"/>
                  </w:tcBorders>
                  <w:vAlign w:val="center"/>
                </w:tcPr>
                <w:p>
                  <w:pPr>
                    <w:pStyle w:val="22"/>
                    <w:rPr>
                      <w:color w:val="000000" w:themeColor="text1"/>
                      <w14:textFill>
                        <w14:solidFill>
                          <w14:schemeClr w14:val="tx1"/>
                        </w14:solidFill>
                      </w14:textFill>
                    </w:rPr>
                  </w:pPr>
                </w:p>
              </w:tc>
              <w:tc>
                <w:tcPr>
                  <w:tcW w:w="483" w:type="pct"/>
                  <w:tcBorders>
                    <w:tl2br w:val="nil"/>
                    <w:tr2bl w:val="nil"/>
                  </w:tcBorders>
                  <w:vAlign w:val="center"/>
                </w:tcPr>
                <w:p>
                  <w:pPr>
                    <w:pStyle w:val="22"/>
                    <w:bidi w:val="0"/>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S6</w:t>
                  </w:r>
                </w:p>
              </w:tc>
              <w:tc>
                <w:tcPr>
                  <w:tcW w:w="1614" w:type="pct"/>
                  <w:gridSpan w:val="2"/>
                  <w:tcBorders>
                    <w:tl2br w:val="nil"/>
                    <w:tr2bl w:val="nil"/>
                  </w:tcBorders>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生产过程</w:t>
                  </w:r>
                </w:p>
              </w:tc>
              <w:tc>
                <w:tcPr>
                  <w:tcW w:w="2299" w:type="pct"/>
                  <w:tcBorders>
                    <w:tl2br w:val="nil"/>
                    <w:tr2bl w:val="nil"/>
                  </w:tcBorders>
                  <w:vAlign w:val="center"/>
                </w:tcPr>
                <w:p>
                  <w:pPr>
                    <w:pStyle w:val="22"/>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废含油抹布手套</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CellMar>
                  <w:top w:w="0" w:type="dxa"/>
                  <w:left w:w="108" w:type="dxa"/>
                  <w:bottom w:w="0" w:type="dxa"/>
                  <w:right w:w="108" w:type="dxa"/>
                </w:tblCellMar>
              </w:tblPrEx>
              <w:trPr>
                <w:trHeight w:val="369" w:hRule="atLeast"/>
                <w:jc w:val="center"/>
              </w:trPr>
              <w:tc>
                <w:tcPr>
                  <w:tcW w:w="602" w:type="pct"/>
                  <w:vMerge w:val="continue"/>
                  <w:tcBorders>
                    <w:tl2br w:val="nil"/>
                    <w:tr2bl w:val="nil"/>
                  </w:tcBorders>
                  <w:vAlign w:val="center"/>
                </w:tcPr>
                <w:p>
                  <w:pPr>
                    <w:pStyle w:val="22"/>
                    <w:rPr>
                      <w:color w:val="000000" w:themeColor="text1"/>
                      <w14:textFill>
                        <w14:solidFill>
                          <w14:schemeClr w14:val="tx1"/>
                        </w14:solidFill>
                      </w14:textFill>
                    </w:rPr>
                  </w:pPr>
                </w:p>
              </w:tc>
              <w:tc>
                <w:tcPr>
                  <w:tcW w:w="483" w:type="pct"/>
                  <w:tcBorders>
                    <w:tl2br w:val="nil"/>
                    <w:tr2bl w:val="nil"/>
                  </w:tcBorders>
                  <w:vAlign w:val="center"/>
                </w:tcPr>
                <w:p>
                  <w:pPr>
                    <w:pStyle w:val="22"/>
                    <w:bidi w:val="0"/>
                    <w:ind w:firstLine="0" w:firstLineChars="0"/>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S7</w:t>
                  </w:r>
                </w:p>
              </w:tc>
              <w:tc>
                <w:tcPr>
                  <w:tcW w:w="1614" w:type="pct"/>
                  <w:gridSpan w:val="2"/>
                  <w:tcBorders>
                    <w:tl2br w:val="nil"/>
                    <w:tr2bl w:val="nil"/>
                  </w:tcBorders>
                  <w:vAlign w:val="center"/>
                </w:tcPr>
                <w:p>
                  <w:pPr>
                    <w:pStyle w:val="22"/>
                    <w:bidi w:val="0"/>
                    <w:ind w:firstLine="0" w:firstLineChars="0"/>
                    <w:rPr>
                      <w:color w:val="000000" w:themeColor="text1"/>
                      <w:lang w:val="en-US" w:eastAsia="zh-CN"/>
                      <w14:textFill>
                        <w14:solidFill>
                          <w14:schemeClr w14:val="tx1"/>
                        </w14:solidFill>
                      </w14:textFill>
                    </w:rPr>
                  </w:pPr>
                  <w:r>
                    <w:rPr>
                      <w:color w:val="000000" w:themeColor="text1"/>
                      <w14:textFill>
                        <w14:solidFill>
                          <w14:schemeClr w14:val="tx1"/>
                        </w14:solidFill>
                      </w14:textFill>
                    </w:rPr>
                    <w:t>员工生活</w:t>
                  </w:r>
                </w:p>
              </w:tc>
              <w:tc>
                <w:tcPr>
                  <w:tcW w:w="2299" w:type="pct"/>
                  <w:tcBorders>
                    <w:tl2br w:val="nil"/>
                    <w:tr2bl w:val="nil"/>
                  </w:tcBorders>
                  <w:vAlign w:val="center"/>
                </w:tcPr>
                <w:p>
                  <w:pPr>
                    <w:pStyle w:val="22"/>
                    <w:bidi w:val="0"/>
                    <w:rPr>
                      <w:color w:val="000000" w:themeColor="text1"/>
                      <w14:textFill>
                        <w14:solidFill>
                          <w14:schemeClr w14:val="tx1"/>
                        </w14:solidFill>
                      </w14:textFill>
                    </w:rPr>
                  </w:pPr>
                  <w:r>
                    <w:rPr>
                      <w:color w:val="000000" w:themeColor="text1"/>
                      <w14:textFill>
                        <w14:solidFill>
                          <w14:schemeClr w14:val="tx1"/>
                        </w14:solidFill>
                      </w14:textFill>
                    </w:rPr>
                    <w:t>生活垃圾</w:t>
                  </w:r>
                </w:p>
              </w:tc>
            </w:tr>
          </w:tbl>
          <w:p>
            <w:pPr>
              <w:bidi w:val="0"/>
              <w:rPr>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545" w:hRule="atLeast"/>
          <w:jc w:val="center"/>
        </w:trPr>
        <w:tc>
          <w:tcPr>
            <w:tcW w:w="719" w:type="dxa"/>
            <w:vAlign w:val="center"/>
          </w:tcPr>
          <w:p>
            <w:pPr>
              <w:autoSpaceDE w:val="0"/>
              <w:autoSpaceDN w:val="0"/>
              <w:adjustRightInd w:val="0"/>
              <w:snapToGrid w:val="0"/>
              <w:ind w:firstLine="0" w:firstLineChars="0"/>
              <w:rPr>
                <w:rFonts w:hint="eastAsia" w:cs="宋体"/>
                <w:color w:val="000000" w:themeColor="text1"/>
                <w:kern w:val="0"/>
                <w14:textFill>
                  <w14:solidFill>
                    <w14:schemeClr w14:val="tx1"/>
                  </w14:solidFill>
                </w14:textFill>
              </w:rPr>
            </w:pPr>
            <w:r>
              <w:rPr>
                <w:rFonts w:hint="eastAsia" w:cs="宋体"/>
                <w:color w:val="000000" w:themeColor="text1"/>
                <w:kern w:val="0"/>
                <w14:textFill>
                  <w14:solidFill>
                    <w14:schemeClr w14:val="tx1"/>
                  </w14:solidFill>
                </w14:textFill>
              </w:rPr>
              <w:t>与项目有关的原有环境污染问题</w:t>
            </w:r>
          </w:p>
        </w:tc>
        <w:tc>
          <w:tcPr>
            <w:tcW w:w="8339" w:type="dxa"/>
          </w:tcPr>
          <w:p>
            <w:pPr>
              <w:bidi w:val="0"/>
              <w:ind w:left="0" w:leftChars="0" w:firstLine="0" w:firstLineChars="0"/>
              <w:rPr>
                <w:rFonts w:hint="eastAsia"/>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与本项目有关的原有污染情况及主要环境问题:</w:t>
            </w:r>
          </w:p>
          <w:p>
            <w:pPr>
              <w:autoSpaceDE w:val="0"/>
              <w:autoSpaceDN w:val="0"/>
              <w:adjustRightInd w:val="0"/>
              <w:snapToGrid w:val="0"/>
              <w:ind w:firstLine="480"/>
              <w:rPr>
                <w:rFonts w:hint="eastAsia"/>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芜湖中山科技有限公司投资1200万元租赁芜湖中瑞汽车零部件有限公司厂房</w:t>
            </w:r>
            <w:r>
              <w:rPr>
                <w:rFonts w:hint="eastAsia"/>
                <w:color w:val="000000" w:themeColor="text1"/>
                <w:lang w:val="en-US" w:eastAsia="zh-CN"/>
                <w14:textFill>
                  <w14:solidFill>
                    <w14:schemeClr w14:val="tx1"/>
                  </w14:solidFill>
                </w14:textFill>
              </w:rPr>
              <w:t>建设</w:t>
            </w:r>
            <w:r>
              <w:rPr>
                <w:rFonts w:hint="eastAsia"/>
                <w:color w:val="000000" w:themeColor="text1"/>
                <w14:textFill>
                  <w14:solidFill>
                    <w14:schemeClr w14:val="tx1"/>
                  </w14:solidFill>
                </w14:textFill>
              </w:rPr>
              <w:t>“年产800吨模具、100套夹具及500套检具项目”。项目于2022年</w:t>
            </w:r>
            <w:r>
              <w:rPr>
                <w:rFonts w:hint="eastAsia"/>
                <w:color w:val="000000" w:themeColor="text1"/>
                <w:lang w:val="en-US" w:eastAsia="zh-CN"/>
                <w14:textFill>
                  <w14:solidFill>
                    <w14:schemeClr w14:val="tx1"/>
                  </w14:solidFill>
                </w14:textFill>
              </w:rPr>
              <w:t>4</w:t>
            </w:r>
            <w:r>
              <w:rPr>
                <w:rFonts w:hint="eastAsia"/>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7</w:t>
            </w:r>
            <w:r>
              <w:rPr>
                <w:rFonts w:hint="eastAsia"/>
                <w:color w:val="000000" w:themeColor="text1"/>
                <w14:textFill>
                  <w14:solidFill>
                    <w14:schemeClr w14:val="tx1"/>
                  </w14:solidFill>
                </w14:textFill>
              </w:rPr>
              <w:t>日获得了芜湖市鸠江区发展和改革委员会备案（备案编号：鸠发改告〔2022〕50号），于2022年4月15日取得芜湖市生态环境局的批复(芜环行审(2022)70号)。</w:t>
            </w:r>
            <w:r>
              <w:rPr>
                <w:rFonts w:hint="eastAsia"/>
                <w:color w:val="000000" w:themeColor="text1"/>
                <w:lang w:val="en-US" w:eastAsia="zh-CN"/>
                <w14:textFill>
                  <w14:solidFill>
                    <w14:schemeClr w14:val="tx1"/>
                  </w14:solidFill>
                </w14:textFill>
              </w:rPr>
              <w:t>2022年7月25日</w:t>
            </w:r>
            <w:r>
              <w:rPr>
                <w:rFonts w:hint="eastAsia"/>
                <w:color w:val="000000" w:themeColor="text1"/>
                <w14:textFill>
                  <w14:solidFill>
                    <w14:schemeClr w14:val="tx1"/>
                  </w14:solidFill>
                </w14:textFill>
              </w:rPr>
              <w:t>芜湖中山科技有限公司</w:t>
            </w:r>
            <w:r>
              <w:rPr>
                <w:rFonts w:hint="eastAsia"/>
                <w:color w:val="000000" w:themeColor="text1"/>
                <w:lang w:val="en-US" w:eastAsia="zh-CN"/>
                <w14:textFill>
                  <w14:solidFill>
                    <w14:schemeClr w14:val="tx1"/>
                  </w14:solidFill>
                </w14:textFill>
              </w:rPr>
              <w:t>完成该项目自主验收工作。</w:t>
            </w:r>
            <w:r>
              <w:rPr>
                <w:rFonts w:hint="eastAsia"/>
                <w:color w:val="000000" w:themeColor="text1"/>
                <w14:textFill>
                  <w14:solidFill>
                    <w14:schemeClr w14:val="tx1"/>
                  </w14:solidFill>
                </w14:textFill>
              </w:rPr>
              <w:t>目前</w:t>
            </w:r>
            <w:r>
              <w:rPr>
                <w:rFonts w:hint="eastAsia"/>
                <w:color w:val="000000" w:themeColor="text1"/>
                <w:lang w:val="en-US" w:eastAsia="zh-CN"/>
                <w14:textFill>
                  <w14:solidFill>
                    <w14:schemeClr w14:val="tx1"/>
                  </w14:solidFill>
                </w14:textFill>
              </w:rPr>
              <w:t>该</w:t>
            </w:r>
            <w:r>
              <w:rPr>
                <w:rFonts w:hint="eastAsia"/>
                <w:color w:val="000000" w:themeColor="text1"/>
                <w14:textFill>
                  <w14:solidFill>
                    <w14:schemeClr w14:val="tx1"/>
                  </w14:solidFill>
                </w14:textFill>
              </w:rPr>
              <w:t>项目己停止生产，</w:t>
            </w:r>
            <w:commentRangeStart w:id="18"/>
            <w:commentRangeStart w:id="19"/>
            <w:r>
              <w:rPr>
                <w:color w:val="000000" w:themeColor="text1"/>
                <w:highlight w:val="none"/>
                <w14:textFill>
                  <w14:solidFill>
                    <w14:schemeClr w14:val="tx1"/>
                  </w14:solidFill>
                </w14:textFill>
              </w:rPr>
              <w:commentReference w:id="18"/>
            </w:r>
            <w:commentRangeEnd w:id="18"/>
            <w:commentRangeEnd w:id="19"/>
            <w:r>
              <w:rPr>
                <w:color w:val="000000" w:themeColor="text1"/>
                <w:highlight w:val="none"/>
                <w14:textFill>
                  <w14:solidFill>
                    <w14:schemeClr w14:val="tx1"/>
                  </w14:solidFill>
                </w14:textFill>
              </w:rPr>
              <w:commentReference w:id="19"/>
            </w:r>
            <w:r>
              <w:rPr>
                <w:rFonts w:hint="eastAsia"/>
                <w:color w:val="000000" w:themeColor="text1"/>
                <w:highlight w:val="none"/>
                <w:lang w:val="en-US" w:eastAsia="zh-CN"/>
                <w14:textFill>
                  <w14:solidFill>
                    <w14:schemeClr w14:val="tx1"/>
                  </w14:solidFill>
                </w14:textFill>
              </w:rPr>
              <w:t>根据原环评验收意见可知：原项目打磨粉尘经设备自带的除尘器处理后在厂区内无组织排放，厂界无组织颗粒物浓度满足上海市《大气污染物综合排放标准》(DB31/933-2015)中表3厂界监控浓度限值。生活污水经化粪池预处理后接管进入朱家桥污水处理厂集中处理，项目废水总排口pH值、COD、BOD</w:t>
            </w:r>
            <w:r>
              <w:rPr>
                <w:rFonts w:hint="eastAsia"/>
                <w:color w:val="000000" w:themeColor="text1"/>
                <w:highlight w:val="none"/>
                <w:vertAlign w:val="subscript"/>
                <w:lang w:val="en-US" w:eastAsia="zh-CN"/>
                <w14:textFill>
                  <w14:solidFill>
                    <w14:schemeClr w14:val="tx1"/>
                  </w14:solidFill>
                </w14:textFill>
              </w:rPr>
              <w:t>5</w:t>
            </w:r>
            <w:r>
              <w:rPr>
                <w:rFonts w:hint="eastAsia"/>
                <w:color w:val="000000" w:themeColor="text1"/>
                <w:highlight w:val="none"/>
                <w:lang w:val="en-US" w:eastAsia="zh-CN"/>
                <w14:textFill>
                  <w14:solidFill>
                    <w14:schemeClr w14:val="tx1"/>
                  </w14:solidFill>
                </w14:textFill>
              </w:rPr>
              <w:t>、氨氮、SS监测结果均符合《污水综合排放标准》(GB8978-1996)中表4三级标准限值要求。设备噪声主要通过隔声、减振的方法处理，厂界噪声监测结果满足《工业企业厂界环境噪声排放标准》GB12348-2008)中3类标准限值要求。运营过程中产生的一般固废主要边角料及不合格产品、打磨粉尘、除尘器收集的粉尘，厂区设一般固废区收集暂存，定期外售综合利用。危险废物为废切削液、油桶、废润滑油、废液压油，暂存于危废暂存区。项目运营过程中产生的生活垃圾，收集后委托环卫部门清运处理。原环评生产期间废气、废水、噪声、固废均稳定达标排放</w:t>
            </w:r>
            <w:r>
              <w:rPr>
                <w:rFonts w:hint="eastAsia"/>
                <w:color w:val="000000" w:themeColor="text1"/>
                <w:highlight w:val="none"/>
                <w14:textFill>
                  <w14:solidFill>
                    <w14:schemeClr w14:val="tx1"/>
                  </w14:solidFill>
                </w14:textFill>
              </w:rPr>
              <w:t>，</w:t>
            </w:r>
            <w:r>
              <w:rPr>
                <w:rFonts w:hint="eastAsia"/>
                <w:color w:val="000000" w:themeColor="text1"/>
                <w14:textFill>
                  <w14:solidFill>
                    <w14:schemeClr w14:val="tx1"/>
                  </w14:solidFill>
                </w14:textFill>
              </w:rPr>
              <w:t>因此本次评价根据原环评确定原有污染内容，大致汇总如下</w:t>
            </w:r>
            <w:r>
              <w:rPr>
                <w:rFonts w:hint="eastAsia"/>
                <w:color w:val="000000" w:themeColor="text1"/>
                <w:lang w:eastAsia="zh-CN"/>
                <w14:textFill>
                  <w14:solidFill>
                    <w14:schemeClr w14:val="tx1"/>
                  </w14:solidFill>
                </w14:textFill>
              </w:rPr>
              <w:t>：</w:t>
            </w:r>
          </w:p>
          <w:p>
            <w:pPr>
              <w:numPr>
                <w:ilvl w:val="0"/>
                <w:numId w:val="10"/>
              </w:numPr>
              <w:bidi w:val="0"/>
              <w:rPr>
                <w:rFonts w:hint="eastAsia"/>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原有项目产品方案</w:t>
            </w:r>
          </w:p>
          <w:p>
            <w:pPr>
              <w:pStyle w:val="23"/>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表2-8  原有项目产品方案一览表</w:t>
            </w:r>
          </w:p>
          <w:tbl>
            <w:tblPr>
              <w:tblStyle w:val="1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975"/>
              <w:gridCol w:w="3587"/>
              <w:gridCol w:w="282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12" w:type="dxa"/>
                  <w:tcBorders>
                    <w:tl2br w:val="nil"/>
                    <w:tr2bl w:val="nil"/>
                  </w:tcBorders>
                  <w:vAlign w:val="center"/>
                </w:tcPr>
                <w:p>
                  <w:pPr>
                    <w:pStyle w:val="22"/>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序号</w:t>
                  </w:r>
                </w:p>
              </w:tc>
              <w:tc>
                <w:tcPr>
                  <w:tcW w:w="3472" w:type="dxa"/>
                  <w:tcBorders>
                    <w:tl2br w:val="nil"/>
                    <w:tr2bl w:val="nil"/>
                  </w:tcBorders>
                  <w:vAlign w:val="center"/>
                </w:tcPr>
                <w:p>
                  <w:pPr>
                    <w:pStyle w:val="2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产品名称</w:t>
                  </w:r>
                </w:p>
              </w:tc>
              <w:tc>
                <w:tcPr>
                  <w:tcW w:w="2739" w:type="dxa"/>
                  <w:tcBorders>
                    <w:tl2br w:val="nil"/>
                    <w:tr2bl w:val="nil"/>
                  </w:tcBorders>
                  <w:vAlign w:val="center"/>
                </w:tcPr>
                <w:p>
                  <w:pPr>
                    <w:pStyle w:val="22"/>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年产量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12" w:type="dxa"/>
                  <w:tcBorders>
                    <w:tl2br w:val="nil"/>
                    <w:tr2bl w:val="nil"/>
                  </w:tcBorders>
                  <w:vAlign w:val="center"/>
                </w:tcPr>
                <w:p>
                  <w:pPr>
                    <w:pStyle w:val="22"/>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3472" w:type="dxa"/>
                  <w:tcBorders>
                    <w:tl2br w:val="nil"/>
                    <w:tr2bl w:val="nil"/>
                  </w:tcBorders>
                  <w:vAlign w:val="center"/>
                </w:tcPr>
                <w:p>
                  <w:pPr>
                    <w:pStyle w:val="22"/>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模具</w:t>
                  </w:r>
                </w:p>
              </w:tc>
              <w:tc>
                <w:tcPr>
                  <w:tcW w:w="2739" w:type="dxa"/>
                  <w:tcBorders>
                    <w:tl2br w:val="nil"/>
                    <w:tr2bl w:val="nil"/>
                  </w:tcBorders>
                  <w:vAlign w:val="center"/>
                </w:tcPr>
                <w:p>
                  <w:pPr>
                    <w:pStyle w:val="2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800吨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12" w:type="dxa"/>
                  <w:tcBorders>
                    <w:tl2br w:val="nil"/>
                    <w:tr2bl w:val="nil"/>
                  </w:tcBorders>
                  <w:vAlign w:val="center"/>
                </w:tcPr>
                <w:p>
                  <w:pPr>
                    <w:pStyle w:val="22"/>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p>
              </w:tc>
              <w:tc>
                <w:tcPr>
                  <w:tcW w:w="3472" w:type="dxa"/>
                  <w:tcBorders>
                    <w:tl2br w:val="nil"/>
                    <w:tr2bl w:val="nil"/>
                  </w:tcBorders>
                  <w:vAlign w:val="center"/>
                </w:tcPr>
                <w:p>
                  <w:pPr>
                    <w:pStyle w:val="22"/>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夹具</w:t>
                  </w:r>
                </w:p>
              </w:tc>
              <w:tc>
                <w:tcPr>
                  <w:tcW w:w="2739" w:type="dxa"/>
                  <w:tcBorders>
                    <w:tl2br w:val="nil"/>
                    <w:tr2bl w:val="nil"/>
                  </w:tcBorders>
                  <w:vAlign w:val="center"/>
                </w:tcPr>
                <w:p>
                  <w:pPr>
                    <w:pStyle w:val="2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100套</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12" w:type="dxa"/>
                  <w:tcBorders>
                    <w:tl2br w:val="nil"/>
                    <w:tr2bl w:val="nil"/>
                  </w:tcBorders>
                  <w:vAlign w:val="center"/>
                </w:tcPr>
                <w:p>
                  <w:pPr>
                    <w:pStyle w:val="22"/>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p>
              </w:tc>
              <w:tc>
                <w:tcPr>
                  <w:tcW w:w="3472" w:type="dxa"/>
                  <w:tcBorders>
                    <w:tl2br w:val="nil"/>
                    <w:tr2bl w:val="nil"/>
                  </w:tcBorders>
                  <w:vAlign w:val="center"/>
                </w:tcPr>
                <w:p>
                  <w:pPr>
                    <w:pStyle w:val="22"/>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检具</w:t>
                  </w:r>
                </w:p>
              </w:tc>
              <w:tc>
                <w:tcPr>
                  <w:tcW w:w="2739" w:type="dxa"/>
                  <w:tcBorders>
                    <w:tl2br w:val="nil"/>
                    <w:tr2bl w:val="nil"/>
                  </w:tcBorders>
                  <w:vAlign w:val="center"/>
                </w:tcPr>
                <w:p>
                  <w:pPr>
                    <w:pStyle w:val="2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500套</w:t>
                  </w:r>
                </w:p>
              </w:tc>
            </w:tr>
          </w:tbl>
          <w:p>
            <w:pPr>
              <w:numPr>
                <w:ilvl w:val="0"/>
                <w:numId w:val="10"/>
              </w:numPr>
              <w:bidi w:val="0"/>
              <w:rPr>
                <w:rFonts w:hint="eastAsia"/>
                <w:b/>
                <w:bCs/>
                <w:color w:val="000000" w:themeColor="text1"/>
                <w14:textFill>
                  <w14:solidFill>
                    <w14:schemeClr w14:val="tx1"/>
                  </w14:solidFill>
                </w14:textFill>
              </w:rPr>
            </w:pPr>
            <w:r>
              <w:rPr>
                <w:rFonts w:hint="eastAsia"/>
                <w:b/>
                <w:bCs/>
                <w:color w:val="000000" w:themeColor="text1"/>
                <w:lang w:val="en-US" w:eastAsia="zh-CN"/>
                <w14:textFill>
                  <w14:solidFill>
                    <w14:schemeClr w14:val="tx1"/>
                  </w14:solidFill>
                </w14:textFill>
              </w:rPr>
              <w:t>原有项目主要原辅材料</w:t>
            </w:r>
          </w:p>
          <w:p>
            <w:pPr>
              <w:pStyle w:val="23"/>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表2-9  原有项目主要原辅材料一览表</w:t>
            </w:r>
          </w:p>
          <w:tbl>
            <w:tblPr>
              <w:tblStyle w:val="16"/>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24"/>
              <w:gridCol w:w="1094"/>
              <w:gridCol w:w="1094"/>
              <w:gridCol w:w="1002"/>
              <w:gridCol w:w="1365"/>
              <w:gridCol w:w="1643"/>
              <w:gridCol w:w="136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91" w:type="pct"/>
                  <w:tcBorders>
                    <w:tl2br w:val="nil"/>
                    <w:tr2bl w:val="nil"/>
                  </w:tcBorders>
                  <w:vAlign w:val="center"/>
                </w:tcPr>
                <w:p>
                  <w:pPr>
                    <w:pStyle w:val="22"/>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序号</w:t>
                  </w:r>
                </w:p>
              </w:tc>
              <w:tc>
                <w:tcPr>
                  <w:tcW w:w="1304" w:type="pct"/>
                  <w:gridSpan w:val="2"/>
                  <w:tcBorders>
                    <w:tl2br w:val="nil"/>
                    <w:tr2bl w:val="nil"/>
                  </w:tcBorders>
                  <w:vAlign w:val="center"/>
                </w:tcPr>
                <w:p>
                  <w:pPr>
                    <w:pStyle w:val="22"/>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产品名称</w:t>
                  </w:r>
                </w:p>
              </w:tc>
              <w:tc>
                <w:tcPr>
                  <w:tcW w:w="597" w:type="pct"/>
                  <w:tcBorders>
                    <w:tl2br w:val="nil"/>
                    <w:tr2bl w:val="nil"/>
                  </w:tcBorders>
                  <w:vAlign w:val="center"/>
                </w:tcPr>
                <w:p>
                  <w:pPr>
                    <w:pStyle w:val="2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单位</w:t>
                  </w:r>
                </w:p>
              </w:tc>
              <w:tc>
                <w:tcPr>
                  <w:tcW w:w="813" w:type="pct"/>
                  <w:tcBorders>
                    <w:tl2br w:val="nil"/>
                    <w:tr2bl w:val="nil"/>
                  </w:tcBorders>
                  <w:vAlign w:val="center"/>
                </w:tcPr>
                <w:p>
                  <w:pPr>
                    <w:pStyle w:val="2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用量</w:t>
                  </w:r>
                </w:p>
              </w:tc>
              <w:tc>
                <w:tcPr>
                  <w:tcW w:w="979" w:type="pct"/>
                  <w:tcBorders>
                    <w:tl2br w:val="nil"/>
                    <w:tr2bl w:val="nil"/>
                  </w:tcBorders>
                  <w:vAlign w:val="center"/>
                </w:tcPr>
                <w:p>
                  <w:pPr>
                    <w:pStyle w:val="2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最大存储量</w:t>
                  </w:r>
                </w:p>
              </w:tc>
              <w:tc>
                <w:tcPr>
                  <w:tcW w:w="813" w:type="pct"/>
                  <w:tcBorders>
                    <w:tl2br w:val="nil"/>
                    <w:tr2bl w:val="nil"/>
                  </w:tcBorders>
                  <w:vAlign w:val="center"/>
                </w:tcPr>
                <w:p>
                  <w:pPr>
                    <w:pStyle w:val="22"/>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91" w:type="pct"/>
                  <w:tcBorders>
                    <w:tl2br w:val="nil"/>
                    <w:tr2bl w:val="nil"/>
                  </w:tcBorders>
                  <w:vAlign w:val="center"/>
                </w:tcPr>
                <w:p>
                  <w:pPr>
                    <w:pStyle w:val="22"/>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652" w:type="pct"/>
                  <w:vMerge w:val="restart"/>
                  <w:tcBorders>
                    <w:tl2br w:val="nil"/>
                    <w:tr2bl w:val="nil"/>
                  </w:tcBorders>
                  <w:vAlign w:val="center"/>
                </w:tcPr>
                <w:p>
                  <w:pPr>
                    <w:pStyle w:val="2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原材料</w:t>
                  </w:r>
                </w:p>
              </w:tc>
              <w:tc>
                <w:tcPr>
                  <w:tcW w:w="652" w:type="pct"/>
                  <w:tcBorders>
                    <w:tl2br w:val="nil"/>
                    <w:tr2bl w:val="nil"/>
                  </w:tcBorders>
                  <w:vAlign w:val="center"/>
                </w:tcPr>
                <w:p>
                  <w:pPr>
                    <w:pStyle w:val="2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钢材</w:t>
                  </w:r>
                </w:p>
              </w:tc>
              <w:tc>
                <w:tcPr>
                  <w:tcW w:w="597" w:type="pct"/>
                  <w:tcBorders>
                    <w:tl2br w:val="nil"/>
                    <w:tr2bl w:val="nil"/>
                  </w:tcBorders>
                  <w:vAlign w:val="center"/>
                </w:tcPr>
                <w:p>
                  <w:pPr>
                    <w:pStyle w:val="2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t/a</w:t>
                  </w:r>
                </w:p>
              </w:tc>
              <w:tc>
                <w:tcPr>
                  <w:tcW w:w="813" w:type="pct"/>
                  <w:tcBorders>
                    <w:tl2br w:val="nil"/>
                    <w:tr2bl w:val="nil"/>
                  </w:tcBorders>
                  <w:vAlign w:val="center"/>
                </w:tcPr>
                <w:p>
                  <w:pPr>
                    <w:pStyle w:val="22"/>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1020</w:t>
                  </w:r>
                </w:p>
              </w:tc>
              <w:tc>
                <w:tcPr>
                  <w:tcW w:w="979" w:type="pct"/>
                  <w:tcBorders>
                    <w:tl2br w:val="nil"/>
                    <w:tr2bl w:val="nil"/>
                  </w:tcBorders>
                  <w:vAlign w:val="center"/>
                </w:tcPr>
                <w:p>
                  <w:pPr>
                    <w:pStyle w:val="2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85</w:t>
                  </w:r>
                </w:p>
              </w:tc>
              <w:tc>
                <w:tcPr>
                  <w:tcW w:w="813" w:type="pct"/>
                  <w:tcBorders>
                    <w:tl2br w:val="nil"/>
                    <w:tr2bl w:val="nil"/>
                  </w:tcBorders>
                  <w:vAlign w:val="center"/>
                </w:tcPr>
                <w:p>
                  <w:pPr>
                    <w:pStyle w:val="2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91" w:type="pct"/>
                  <w:tcBorders>
                    <w:tl2br w:val="nil"/>
                    <w:tr2bl w:val="nil"/>
                  </w:tcBorders>
                  <w:vAlign w:val="center"/>
                </w:tcPr>
                <w:p>
                  <w:pPr>
                    <w:pStyle w:val="22"/>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p>
              </w:tc>
              <w:tc>
                <w:tcPr>
                  <w:tcW w:w="652" w:type="pct"/>
                  <w:vMerge w:val="continue"/>
                  <w:tcBorders>
                    <w:tl2br w:val="nil"/>
                    <w:tr2bl w:val="nil"/>
                  </w:tcBorders>
                  <w:vAlign w:val="center"/>
                </w:tcPr>
                <w:p>
                  <w:pPr>
                    <w:pStyle w:val="22"/>
                    <w:rPr>
                      <w:rFonts w:hint="eastAsia"/>
                      <w:color w:val="000000" w:themeColor="text1"/>
                      <w:lang w:val="en-US" w:eastAsia="zh-CN"/>
                      <w14:textFill>
                        <w14:solidFill>
                          <w14:schemeClr w14:val="tx1"/>
                        </w14:solidFill>
                      </w14:textFill>
                    </w:rPr>
                  </w:pPr>
                </w:p>
              </w:tc>
              <w:tc>
                <w:tcPr>
                  <w:tcW w:w="652" w:type="pct"/>
                  <w:tcBorders>
                    <w:tl2br w:val="nil"/>
                    <w:tr2bl w:val="nil"/>
                  </w:tcBorders>
                  <w:vAlign w:val="center"/>
                </w:tcPr>
                <w:p>
                  <w:pPr>
                    <w:pStyle w:val="2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铝材</w:t>
                  </w:r>
                </w:p>
              </w:tc>
              <w:tc>
                <w:tcPr>
                  <w:tcW w:w="597" w:type="pct"/>
                  <w:tcBorders>
                    <w:tl2br w:val="nil"/>
                    <w:tr2bl w:val="nil"/>
                  </w:tcBorders>
                  <w:vAlign w:val="center"/>
                </w:tcPr>
                <w:p>
                  <w:pPr>
                    <w:pStyle w:val="22"/>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t/a</w:t>
                  </w:r>
                </w:p>
              </w:tc>
              <w:tc>
                <w:tcPr>
                  <w:tcW w:w="813" w:type="pct"/>
                  <w:tcBorders>
                    <w:tl2br w:val="nil"/>
                    <w:tr2bl w:val="nil"/>
                  </w:tcBorders>
                  <w:vAlign w:val="center"/>
                </w:tcPr>
                <w:p>
                  <w:pPr>
                    <w:pStyle w:val="22"/>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60</w:t>
                  </w:r>
                </w:p>
              </w:tc>
              <w:tc>
                <w:tcPr>
                  <w:tcW w:w="979" w:type="pct"/>
                  <w:tcBorders>
                    <w:tl2br w:val="nil"/>
                    <w:tr2bl w:val="nil"/>
                  </w:tcBorders>
                  <w:vAlign w:val="center"/>
                </w:tcPr>
                <w:p>
                  <w:pPr>
                    <w:pStyle w:val="2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w:t>
                  </w:r>
                </w:p>
              </w:tc>
              <w:tc>
                <w:tcPr>
                  <w:tcW w:w="813" w:type="pct"/>
                  <w:tcBorders>
                    <w:tl2br w:val="nil"/>
                    <w:tr2bl w:val="nil"/>
                  </w:tcBorders>
                  <w:vAlign w:val="center"/>
                </w:tcPr>
                <w:p>
                  <w:pPr>
                    <w:pStyle w:val="22"/>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91" w:type="pct"/>
                  <w:tcBorders>
                    <w:tl2br w:val="nil"/>
                    <w:tr2bl w:val="nil"/>
                  </w:tcBorders>
                  <w:vAlign w:val="center"/>
                </w:tcPr>
                <w:p>
                  <w:pPr>
                    <w:pStyle w:val="22"/>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p>
              </w:tc>
              <w:tc>
                <w:tcPr>
                  <w:tcW w:w="652" w:type="pct"/>
                  <w:vMerge w:val="restart"/>
                  <w:tcBorders>
                    <w:tl2br w:val="nil"/>
                    <w:tr2bl w:val="nil"/>
                  </w:tcBorders>
                  <w:vAlign w:val="center"/>
                </w:tcPr>
                <w:p>
                  <w:pPr>
                    <w:pStyle w:val="2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辅料</w:t>
                  </w:r>
                </w:p>
              </w:tc>
              <w:tc>
                <w:tcPr>
                  <w:tcW w:w="652" w:type="pct"/>
                  <w:tcBorders>
                    <w:tl2br w:val="nil"/>
                    <w:tr2bl w:val="nil"/>
                  </w:tcBorders>
                  <w:vAlign w:val="center"/>
                </w:tcPr>
                <w:p>
                  <w:pPr>
                    <w:pStyle w:val="2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切削液</w:t>
                  </w:r>
                </w:p>
              </w:tc>
              <w:tc>
                <w:tcPr>
                  <w:tcW w:w="597" w:type="pct"/>
                  <w:tcBorders>
                    <w:tl2br w:val="nil"/>
                    <w:tr2bl w:val="nil"/>
                  </w:tcBorders>
                  <w:vAlign w:val="center"/>
                </w:tcPr>
                <w:p>
                  <w:pPr>
                    <w:pStyle w:val="22"/>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t/a</w:t>
                  </w:r>
                </w:p>
              </w:tc>
              <w:tc>
                <w:tcPr>
                  <w:tcW w:w="813" w:type="pct"/>
                  <w:tcBorders>
                    <w:tl2br w:val="nil"/>
                    <w:tr2bl w:val="nil"/>
                  </w:tcBorders>
                  <w:vAlign w:val="center"/>
                </w:tcPr>
                <w:p>
                  <w:pPr>
                    <w:pStyle w:val="22"/>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1.5</w:t>
                  </w:r>
                </w:p>
              </w:tc>
              <w:tc>
                <w:tcPr>
                  <w:tcW w:w="979" w:type="pct"/>
                  <w:tcBorders>
                    <w:tl2br w:val="nil"/>
                    <w:tr2bl w:val="nil"/>
                  </w:tcBorders>
                  <w:vAlign w:val="center"/>
                </w:tcPr>
                <w:p>
                  <w:pPr>
                    <w:pStyle w:val="2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0.4</w:t>
                  </w:r>
                </w:p>
              </w:tc>
              <w:tc>
                <w:tcPr>
                  <w:tcW w:w="813" w:type="pct"/>
                  <w:tcBorders>
                    <w:tl2br w:val="nil"/>
                    <w:tr2bl w:val="nil"/>
                  </w:tcBorders>
                  <w:vAlign w:val="center"/>
                </w:tcPr>
                <w:p>
                  <w:pPr>
                    <w:pStyle w:val="22"/>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91" w:type="pct"/>
                  <w:tcBorders>
                    <w:tl2br w:val="nil"/>
                    <w:tr2bl w:val="nil"/>
                  </w:tcBorders>
                  <w:vAlign w:val="center"/>
                </w:tcPr>
                <w:p>
                  <w:pPr>
                    <w:pStyle w:val="2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w:t>
                  </w:r>
                </w:p>
              </w:tc>
              <w:tc>
                <w:tcPr>
                  <w:tcW w:w="652" w:type="pct"/>
                  <w:vMerge w:val="continue"/>
                  <w:tcBorders>
                    <w:tl2br w:val="nil"/>
                    <w:tr2bl w:val="nil"/>
                  </w:tcBorders>
                  <w:vAlign w:val="center"/>
                </w:tcPr>
                <w:p>
                  <w:pPr>
                    <w:pStyle w:val="22"/>
                    <w:rPr>
                      <w:rFonts w:hint="eastAsia"/>
                      <w:color w:val="000000" w:themeColor="text1"/>
                      <w:lang w:val="en-US" w:eastAsia="zh-CN"/>
                      <w14:textFill>
                        <w14:solidFill>
                          <w14:schemeClr w14:val="tx1"/>
                        </w14:solidFill>
                      </w14:textFill>
                    </w:rPr>
                  </w:pPr>
                </w:p>
              </w:tc>
              <w:tc>
                <w:tcPr>
                  <w:tcW w:w="652" w:type="pct"/>
                  <w:tcBorders>
                    <w:tl2br w:val="nil"/>
                    <w:tr2bl w:val="nil"/>
                  </w:tcBorders>
                  <w:vAlign w:val="center"/>
                </w:tcPr>
                <w:p>
                  <w:pPr>
                    <w:pStyle w:val="2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液压油</w:t>
                  </w:r>
                </w:p>
              </w:tc>
              <w:tc>
                <w:tcPr>
                  <w:tcW w:w="597" w:type="pct"/>
                  <w:tcBorders>
                    <w:tl2br w:val="nil"/>
                    <w:tr2bl w:val="nil"/>
                  </w:tcBorders>
                  <w:vAlign w:val="center"/>
                </w:tcPr>
                <w:p>
                  <w:pPr>
                    <w:pStyle w:val="22"/>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t/a</w:t>
                  </w:r>
                </w:p>
              </w:tc>
              <w:tc>
                <w:tcPr>
                  <w:tcW w:w="813" w:type="pct"/>
                  <w:tcBorders>
                    <w:tl2br w:val="nil"/>
                    <w:tr2bl w:val="nil"/>
                  </w:tcBorders>
                  <w:vAlign w:val="center"/>
                </w:tcPr>
                <w:p>
                  <w:pPr>
                    <w:pStyle w:val="22"/>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p>
              </w:tc>
              <w:tc>
                <w:tcPr>
                  <w:tcW w:w="979" w:type="pct"/>
                  <w:tcBorders>
                    <w:tl2br w:val="nil"/>
                    <w:tr2bl w:val="nil"/>
                  </w:tcBorders>
                  <w:vAlign w:val="center"/>
                </w:tcPr>
                <w:p>
                  <w:pPr>
                    <w:pStyle w:val="2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0.6</w:t>
                  </w:r>
                </w:p>
              </w:tc>
              <w:tc>
                <w:tcPr>
                  <w:tcW w:w="813" w:type="pct"/>
                  <w:tcBorders>
                    <w:tl2br w:val="nil"/>
                    <w:tr2bl w:val="nil"/>
                  </w:tcBorders>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91" w:type="pct"/>
                  <w:tcBorders>
                    <w:tl2br w:val="nil"/>
                    <w:tr2bl w:val="nil"/>
                  </w:tcBorders>
                  <w:vAlign w:val="center"/>
                </w:tcPr>
                <w:p>
                  <w:pPr>
                    <w:pStyle w:val="2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w:t>
                  </w:r>
                </w:p>
              </w:tc>
              <w:tc>
                <w:tcPr>
                  <w:tcW w:w="652" w:type="pct"/>
                  <w:vMerge w:val="continue"/>
                  <w:tcBorders>
                    <w:tl2br w:val="nil"/>
                    <w:tr2bl w:val="nil"/>
                  </w:tcBorders>
                  <w:vAlign w:val="center"/>
                </w:tcPr>
                <w:p>
                  <w:pPr>
                    <w:pStyle w:val="22"/>
                    <w:rPr>
                      <w:rFonts w:hint="eastAsia"/>
                      <w:color w:val="000000" w:themeColor="text1"/>
                      <w:lang w:val="en-US" w:eastAsia="zh-CN"/>
                      <w14:textFill>
                        <w14:solidFill>
                          <w14:schemeClr w14:val="tx1"/>
                        </w14:solidFill>
                      </w14:textFill>
                    </w:rPr>
                  </w:pPr>
                </w:p>
              </w:tc>
              <w:tc>
                <w:tcPr>
                  <w:tcW w:w="652" w:type="pct"/>
                  <w:tcBorders>
                    <w:tl2br w:val="nil"/>
                    <w:tr2bl w:val="nil"/>
                  </w:tcBorders>
                  <w:vAlign w:val="center"/>
                </w:tcPr>
                <w:p>
                  <w:pPr>
                    <w:pStyle w:val="2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润滑油</w:t>
                  </w:r>
                </w:p>
              </w:tc>
              <w:tc>
                <w:tcPr>
                  <w:tcW w:w="597" w:type="pct"/>
                  <w:tcBorders>
                    <w:tl2br w:val="nil"/>
                    <w:tr2bl w:val="nil"/>
                  </w:tcBorders>
                  <w:vAlign w:val="center"/>
                </w:tcPr>
                <w:p>
                  <w:pPr>
                    <w:pStyle w:val="22"/>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t/a</w:t>
                  </w:r>
                </w:p>
              </w:tc>
              <w:tc>
                <w:tcPr>
                  <w:tcW w:w="813" w:type="pct"/>
                  <w:tcBorders>
                    <w:tl2br w:val="nil"/>
                    <w:tr2bl w:val="nil"/>
                  </w:tcBorders>
                  <w:vAlign w:val="center"/>
                </w:tcPr>
                <w:p>
                  <w:pPr>
                    <w:pStyle w:val="22"/>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p>
              </w:tc>
              <w:tc>
                <w:tcPr>
                  <w:tcW w:w="979" w:type="pct"/>
                  <w:tcBorders>
                    <w:tl2br w:val="nil"/>
                    <w:tr2bl w:val="nil"/>
                  </w:tcBorders>
                  <w:vAlign w:val="center"/>
                </w:tcPr>
                <w:p>
                  <w:pPr>
                    <w:pStyle w:val="2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0.6</w:t>
                  </w:r>
                </w:p>
              </w:tc>
              <w:tc>
                <w:tcPr>
                  <w:tcW w:w="813" w:type="pct"/>
                  <w:tcBorders>
                    <w:tl2br w:val="nil"/>
                    <w:tr2bl w:val="nil"/>
                  </w:tcBorders>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91" w:type="pct"/>
                  <w:tcBorders>
                    <w:tl2br w:val="nil"/>
                    <w:tr2bl w:val="nil"/>
                  </w:tcBorders>
                  <w:vAlign w:val="center"/>
                </w:tcPr>
                <w:p>
                  <w:pPr>
                    <w:pStyle w:val="2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w:t>
                  </w:r>
                </w:p>
              </w:tc>
              <w:tc>
                <w:tcPr>
                  <w:tcW w:w="652" w:type="pct"/>
                  <w:vMerge w:val="restart"/>
                  <w:tcBorders>
                    <w:tl2br w:val="nil"/>
                    <w:tr2bl w:val="nil"/>
                  </w:tcBorders>
                  <w:vAlign w:val="center"/>
                </w:tcPr>
                <w:p>
                  <w:pPr>
                    <w:pStyle w:val="2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能源</w:t>
                  </w:r>
                </w:p>
              </w:tc>
              <w:tc>
                <w:tcPr>
                  <w:tcW w:w="652" w:type="pct"/>
                  <w:tcBorders>
                    <w:tl2br w:val="nil"/>
                    <w:tr2bl w:val="nil"/>
                  </w:tcBorders>
                  <w:vAlign w:val="center"/>
                </w:tcPr>
                <w:p>
                  <w:pPr>
                    <w:pStyle w:val="2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自来水</w:t>
                  </w:r>
                </w:p>
              </w:tc>
              <w:tc>
                <w:tcPr>
                  <w:tcW w:w="597" w:type="pct"/>
                  <w:tcBorders>
                    <w:tl2br w:val="nil"/>
                    <w:tr2bl w:val="nil"/>
                  </w:tcBorders>
                  <w:vAlign w:val="center"/>
                </w:tcPr>
                <w:p>
                  <w:pPr>
                    <w:pStyle w:val="22"/>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t/a</w:t>
                  </w:r>
                </w:p>
              </w:tc>
              <w:tc>
                <w:tcPr>
                  <w:tcW w:w="813" w:type="pct"/>
                  <w:tcBorders>
                    <w:tl2br w:val="nil"/>
                    <w:tr2bl w:val="nil"/>
                  </w:tcBorders>
                  <w:vAlign w:val="center"/>
                </w:tcPr>
                <w:p>
                  <w:pPr>
                    <w:pStyle w:val="22"/>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1637.5</w:t>
                  </w:r>
                </w:p>
              </w:tc>
              <w:tc>
                <w:tcPr>
                  <w:tcW w:w="979" w:type="pct"/>
                  <w:tcBorders>
                    <w:tl2br w:val="nil"/>
                    <w:tr2bl w:val="nil"/>
                  </w:tcBorders>
                  <w:vAlign w:val="center"/>
                </w:tcPr>
                <w:p>
                  <w:pPr>
                    <w:pStyle w:val="2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813" w:type="pct"/>
                  <w:tcBorders>
                    <w:tl2br w:val="nil"/>
                    <w:tr2bl w:val="nil"/>
                  </w:tcBorders>
                  <w:vAlign w:val="center"/>
                </w:tcPr>
                <w:p>
                  <w:pPr>
                    <w:pStyle w:val="2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供水管网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91" w:type="pct"/>
                  <w:tcBorders>
                    <w:tl2br w:val="nil"/>
                    <w:tr2bl w:val="nil"/>
                  </w:tcBorders>
                  <w:vAlign w:val="center"/>
                </w:tcPr>
                <w:p>
                  <w:pPr>
                    <w:pStyle w:val="2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w:t>
                  </w:r>
                </w:p>
              </w:tc>
              <w:tc>
                <w:tcPr>
                  <w:tcW w:w="652" w:type="pct"/>
                  <w:vMerge w:val="continue"/>
                  <w:tcBorders>
                    <w:tl2br w:val="nil"/>
                    <w:tr2bl w:val="nil"/>
                  </w:tcBorders>
                  <w:vAlign w:val="center"/>
                </w:tcPr>
                <w:p>
                  <w:pPr>
                    <w:pStyle w:val="22"/>
                    <w:rPr>
                      <w:rFonts w:hint="eastAsia"/>
                      <w:color w:val="000000" w:themeColor="text1"/>
                      <w:lang w:val="en-US" w:eastAsia="zh-CN"/>
                      <w14:textFill>
                        <w14:solidFill>
                          <w14:schemeClr w14:val="tx1"/>
                        </w14:solidFill>
                      </w14:textFill>
                    </w:rPr>
                  </w:pPr>
                </w:p>
              </w:tc>
              <w:tc>
                <w:tcPr>
                  <w:tcW w:w="652" w:type="pct"/>
                  <w:tcBorders>
                    <w:tl2br w:val="nil"/>
                    <w:tr2bl w:val="nil"/>
                  </w:tcBorders>
                  <w:vAlign w:val="center"/>
                </w:tcPr>
                <w:p>
                  <w:pPr>
                    <w:pStyle w:val="2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电</w:t>
                  </w:r>
                </w:p>
              </w:tc>
              <w:tc>
                <w:tcPr>
                  <w:tcW w:w="597" w:type="pct"/>
                  <w:tcBorders>
                    <w:tl2br w:val="nil"/>
                    <w:tr2bl w:val="nil"/>
                  </w:tcBorders>
                  <w:vAlign w:val="center"/>
                </w:tcPr>
                <w:p>
                  <w:pPr>
                    <w:pStyle w:val="2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kWh/a</w:t>
                  </w:r>
                </w:p>
              </w:tc>
              <w:tc>
                <w:tcPr>
                  <w:tcW w:w="813" w:type="pct"/>
                  <w:tcBorders>
                    <w:tl2br w:val="nil"/>
                    <w:tr2bl w:val="nil"/>
                  </w:tcBorders>
                  <w:vAlign w:val="center"/>
                </w:tcPr>
                <w:p>
                  <w:pPr>
                    <w:pStyle w:val="22"/>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156.31</w:t>
                  </w:r>
                  <w:r>
                    <w:rPr>
                      <w:rFonts w:hint="eastAsia"/>
                      <w:color w:val="000000" w:themeColor="text1"/>
                      <w14:textFill>
                        <w14:solidFill>
                          <w14:schemeClr w14:val="tx1"/>
                        </w14:solidFill>
                      </w14:textFill>
                    </w:rPr>
                    <w:t>万</w:t>
                  </w:r>
                </w:p>
              </w:tc>
              <w:tc>
                <w:tcPr>
                  <w:tcW w:w="979" w:type="pct"/>
                  <w:tcBorders>
                    <w:tl2br w:val="nil"/>
                    <w:tr2bl w:val="nil"/>
                  </w:tcBorders>
                  <w:vAlign w:val="center"/>
                </w:tcPr>
                <w:p>
                  <w:pPr>
                    <w:pStyle w:val="2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813" w:type="pct"/>
                  <w:tcBorders>
                    <w:tl2br w:val="nil"/>
                    <w:tr2bl w:val="nil"/>
                  </w:tcBorders>
                  <w:vAlign w:val="center"/>
                </w:tcPr>
                <w:p>
                  <w:pPr>
                    <w:pStyle w:val="2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供电官网</w:t>
                  </w:r>
                </w:p>
              </w:tc>
            </w:tr>
          </w:tbl>
          <w:p>
            <w:pPr>
              <w:numPr>
                <w:ilvl w:val="0"/>
                <w:numId w:val="10"/>
              </w:numPr>
              <w:bidi w:val="0"/>
              <w:rPr>
                <w:rFonts w:hint="eastAsia"/>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原有项目设备情况</w:t>
            </w:r>
          </w:p>
          <w:p>
            <w:pPr>
              <w:pStyle w:val="23"/>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表2-10  原有项目主要原辅材料一览表</w:t>
            </w:r>
          </w:p>
          <w:tbl>
            <w:tblPr>
              <w:tblStyle w:val="15"/>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56" w:type="dxa"/>
                <w:bottom w:w="0" w:type="dxa"/>
                <w:right w:w="56" w:type="dxa"/>
              </w:tblCellMar>
            </w:tblPr>
            <w:tblGrid>
              <w:gridCol w:w="696"/>
              <w:gridCol w:w="3447"/>
              <w:gridCol w:w="2850"/>
              <w:gridCol w:w="696"/>
              <w:gridCol w:w="69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12" w:hRule="atLeast"/>
                <w:jc w:val="center"/>
              </w:trPr>
              <w:tc>
                <w:tcPr>
                  <w:tcW w:w="415" w:type="pct"/>
                  <w:vMerge w:val="restart"/>
                  <w:vAlign w:val="center"/>
                </w:tcPr>
                <w:p>
                  <w:pPr>
                    <w:pStyle w:val="22"/>
                    <w:rPr>
                      <w:color w:val="000000" w:themeColor="text1"/>
                      <w14:textFill>
                        <w14:solidFill>
                          <w14:schemeClr w14:val="tx1"/>
                        </w14:solidFill>
                      </w14:textFill>
                    </w:rPr>
                  </w:pPr>
                  <w:r>
                    <w:rPr>
                      <w:color w:val="000000" w:themeColor="text1"/>
                      <w14:textFill>
                        <w14:solidFill>
                          <w14:schemeClr w14:val="tx1"/>
                        </w14:solidFill>
                      </w14:textFill>
                    </w:rPr>
                    <w:t>序号</w:t>
                  </w:r>
                </w:p>
              </w:tc>
              <w:tc>
                <w:tcPr>
                  <w:tcW w:w="2055" w:type="pct"/>
                  <w:vMerge w:val="restart"/>
                  <w:vAlign w:val="center"/>
                </w:tcPr>
                <w:p>
                  <w:pPr>
                    <w:pStyle w:val="22"/>
                    <w:rPr>
                      <w:color w:val="000000" w:themeColor="text1"/>
                      <w14:textFill>
                        <w14:solidFill>
                          <w14:schemeClr w14:val="tx1"/>
                        </w14:solidFill>
                      </w14:textFill>
                    </w:rPr>
                  </w:pPr>
                  <w:r>
                    <w:rPr>
                      <w:color w:val="000000" w:themeColor="text1"/>
                      <w14:textFill>
                        <w14:solidFill>
                          <w14:schemeClr w14:val="tx1"/>
                        </w14:solidFill>
                      </w14:textFill>
                    </w:rPr>
                    <w:t>设备名称</w:t>
                  </w:r>
                </w:p>
              </w:tc>
              <w:tc>
                <w:tcPr>
                  <w:tcW w:w="1699" w:type="pct"/>
                  <w:vMerge w:val="restart"/>
                  <w:vAlign w:val="center"/>
                </w:tcPr>
                <w:p>
                  <w:pPr>
                    <w:pStyle w:val="2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设备型号</w:t>
                  </w:r>
                </w:p>
              </w:tc>
              <w:tc>
                <w:tcPr>
                  <w:tcW w:w="415" w:type="pct"/>
                  <w:vMerge w:val="restart"/>
                  <w:vAlign w:val="center"/>
                </w:tcPr>
                <w:p>
                  <w:pPr>
                    <w:pStyle w:val="22"/>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单位</w:t>
                  </w:r>
                </w:p>
              </w:tc>
              <w:tc>
                <w:tcPr>
                  <w:tcW w:w="415" w:type="pct"/>
                  <w:vMerge w:val="restart"/>
                  <w:vAlign w:val="center"/>
                </w:tcPr>
                <w:p>
                  <w:pPr>
                    <w:pStyle w:val="22"/>
                    <w:rPr>
                      <w:color w:val="000000" w:themeColor="text1"/>
                      <w14:textFill>
                        <w14:solidFill>
                          <w14:schemeClr w14:val="tx1"/>
                        </w14:solidFill>
                      </w14:textFill>
                    </w:rPr>
                  </w:pPr>
                  <w:r>
                    <w:rPr>
                      <w:color w:val="000000" w:themeColor="text1"/>
                      <w14:textFill>
                        <w14:solidFill>
                          <w14:schemeClr w14:val="tx1"/>
                        </w14:solidFill>
                      </w14:textFill>
                    </w:rPr>
                    <w:t>数量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12" w:hRule="atLeast"/>
                <w:jc w:val="center"/>
              </w:trPr>
              <w:tc>
                <w:tcPr>
                  <w:tcW w:w="415" w:type="pct"/>
                  <w:vMerge w:val="continue"/>
                  <w:vAlign w:val="center"/>
                </w:tcPr>
                <w:p>
                  <w:pPr>
                    <w:pStyle w:val="22"/>
                    <w:rPr>
                      <w:color w:val="000000" w:themeColor="text1"/>
                      <w14:textFill>
                        <w14:solidFill>
                          <w14:schemeClr w14:val="tx1"/>
                        </w14:solidFill>
                      </w14:textFill>
                    </w:rPr>
                  </w:pPr>
                </w:p>
              </w:tc>
              <w:tc>
                <w:tcPr>
                  <w:tcW w:w="2055" w:type="pct"/>
                  <w:vMerge w:val="continue"/>
                  <w:vAlign w:val="center"/>
                </w:tcPr>
                <w:p>
                  <w:pPr>
                    <w:pStyle w:val="22"/>
                    <w:rPr>
                      <w:color w:val="000000" w:themeColor="text1"/>
                      <w14:textFill>
                        <w14:solidFill>
                          <w14:schemeClr w14:val="tx1"/>
                        </w14:solidFill>
                      </w14:textFill>
                    </w:rPr>
                  </w:pPr>
                </w:p>
              </w:tc>
              <w:tc>
                <w:tcPr>
                  <w:tcW w:w="1699" w:type="pct"/>
                  <w:vMerge w:val="continue"/>
                  <w:vAlign w:val="center"/>
                </w:tcPr>
                <w:p>
                  <w:pPr>
                    <w:pStyle w:val="22"/>
                    <w:rPr>
                      <w:rFonts w:hint="eastAsia"/>
                      <w:color w:val="000000" w:themeColor="text1"/>
                      <w:lang w:val="en-US" w:eastAsia="zh-CN"/>
                      <w14:textFill>
                        <w14:solidFill>
                          <w14:schemeClr w14:val="tx1"/>
                        </w14:solidFill>
                      </w14:textFill>
                    </w:rPr>
                  </w:pPr>
                </w:p>
              </w:tc>
              <w:tc>
                <w:tcPr>
                  <w:tcW w:w="415" w:type="pct"/>
                  <w:vMerge w:val="continue"/>
                  <w:vAlign w:val="center"/>
                </w:tcPr>
                <w:p>
                  <w:pPr>
                    <w:pStyle w:val="22"/>
                    <w:rPr>
                      <w:rFonts w:hint="eastAsia"/>
                      <w:color w:val="000000" w:themeColor="text1"/>
                      <w:lang w:val="en-US" w:eastAsia="zh-CN"/>
                      <w14:textFill>
                        <w14:solidFill>
                          <w14:schemeClr w14:val="tx1"/>
                        </w14:solidFill>
                      </w14:textFill>
                    </w:rPr>
                  </w:pPr>
                </w:p>
              </w:tc>
              <w:tc>
                <w:tcPr>
                  <w:tcW w:w="415" w:type="pct"/>
                  <w:vMerge w:val="continue"/>
                  <w:vAlign w:val="center"/>
                </w:tcPr>
                <w:p>
                  <w:pPr>
                    <w:pStyle w:val="22"/>
                    <w:rPr>
                      <w:rFonts w:hint="eastAsia"/>
                      <w:color w:val="000000" w:themeColor="text1"/>
                      <w:lang w:val="en-US" w:eastAsia="zh-CN"/>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415" w:type="pct"/>
                  <w:vAlign w:val="center"/>
                </w:tcPr>
                <w:p>
                  <w:pPr>
                    <w:pStyle w:val="22"/>
                    <w:bidi w:val="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2055" w:type="pct"/>
                  <w:vAlign w:val="center"/>
                </w:tcPr>
                <w:p>
                  <w:pPr>
                    <w:pStyle w:val="22"/>
                    <w:bidi w:val="0"/>
                    <w:ind w:firstLine="0" w:firstLineChars="0"/>
                    <w:rPr>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1000吨油压机</w:t>
                  </w:r>
                </w:p>
              </w:tc>
              <w:tc>
                <w:tcPr>
                  <w:tcW w:w="1699"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YQK27-1000</w:t>
                  </w:r>
                </w:p>
              </w:tc>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15" w:type="pct"/>
                  <w:vAlign w:val="center"/>
                </w:tcPr>
                <w:p>
                  <w:pPr>
                    <w:pStyle w:val="22"/>
                    <w:bidi w:val="0"/>
                    <w:ind w:firstLine="0" w:firstLineChars="0"/>
                    <w:rPr>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415" w:type="pct"/>
                  <w:vAlign w:val="center"/>
                </w:tcPr>
                <w:p>
                  <w:pPr>
                    <w:pStyle w:val="22"/>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p>
              </w:tc>
              <w:tc>
                <w:tcPr>
                  <w:tcW w:w="2055" w:type="pct"/>
                  <w:vAlign w:val="center"/>
                </w:tcPr>
                <w:p>
                  <w:pPr>
                    <w:pStyle w:val="22"/>
                    <w:bidi w:val="0"/>
                    <w:ind w:firstLine="0" w:firstLineChars="0"/>
                    <w:rPr>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315T液压机床</w:t>
                  </w:r>
                </w:p>
              </w:tc>
              <w:tc>
                <w:tcPr>
                  <w:tcW w:w="1699"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YQ32-315</w:t>
                  </w:r>
                </w:p>
              </w:tc>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15" w:type="pct"/>
                  <w:vAlign w:val="center"/>
                </w:tcPr>
                <w:p>
                  <w:pPr>
                    <w:pStyle w:val="22"/>
                    <w:bidi w:val="0"/>
                    <w:ind w:firstLine="0" w:firstLineChars="0"/>
                    <w:rPr>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p>
              </w:tc>
              <w:tc>
                <w:tcPr>
                  <w:tcW w:w="2055" w:type="pct"/>
                  <w:vAlign w:val="center"/>
                </w:tcPr>
                <w:p>
                  <w:pPr>
                    <w:pStyle w:val="22"/>
                    <w:bidi w:val="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160T液压机床</w:t>
                  </w:r>
                </w:p>
              </w:tc>
              <w:tc>
                <w:tcPr>
                  <w:tcW w:w="1699" w:type="pct"/>
                  <w:vAlign w:val="center"/>
                </w:tcPr>
                <w:p>
                  <w:pPr>
                    <w:pStyle w:val="22"/>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15" w:type="pct"/>
                  <w:vAlign w:val="center"/>
                </w:tcPr>
                <w:p>
                  <w:pPr>
                    <w:pStyle w:val="22"/>
                    <w:bidi w:val="0"/>
                    <w:ind w:firstLine="0" w:firstLineChars="0"/>
                    <w:rPr>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w:t>
                  </w:r>
                </w:p>
              </w:tc>
              <w:tc>
                <w:tcPr>
                  <w:tcW w:w="2055" w:type="pct"/>
                  <w:vAlign w:val="center"/>
                </w:tcPr>
                <w:p>
                  <w:pPr>
                    <w:pStyle w:val="22"/>
                    <w:bidi w:val="0"/>
                    <w:ind w:firstLine="0" w:firstLineChars="0"/>
                    <w:rPr>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63T液压机床</w:t>
                  </w:r>
                </w:p>
              </w:tc>
              <w:tc>
                <w:tcPr>
                  <w:tcW w:w="1699" w:type="pct"/>
                  <w:vAlign w:val="center"/>
                </w:tcPr>
                <w:p>
                  <w:pPr>
                    <w:pStyle w:val="22"/>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15" w:type="pct"/>
                  <w:vAlign w:val="center"/>
                </w:tcPr>
                <w:p>
                  <w:pPr>
                    <w:pStyle w:val="22"/>
                    <w:bidi w:val="0"/>
                    <w:ind w:firstLine="0" w:firstLineChars="0"/>
                    <w:rPr>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w:t>
                  </w:r>
                </w:p>
              </w:tc>
              <w:tc>
                <w:tcPr>
                  <w:tcW w:w="2055" w:type="pct"/>
                  <w:vAlign w:val="center"/>
                </w:tcPr>
                <w:p>
                  <w:pPr>
                    <w:pStyle w:val="22"/>
                    <w:bidi w:val="0"/>
                    <w:ind w:firstLine="0" w:firstLineChars="0"/>
                    <w:rPr>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315千牛四柱液压机</w:t>
                  </w:r>
                </w:p>
              </w:tc>
              <w:tc>
                <w:tcPr>
                  <w:tcW w:w="1699"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YH32-315</w:t>
                  </w:r>
                </w:p>
              </w:tc>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15" w:type="pct"/>
                  <w:vAlign w:val="center"/>
                </w:tcPr>
                <w:p>
                  <w:pPr>
                    <w:pStyle w:val="22"/>
                    <w:bidi w:val="0"/>
                    <w:ind w:firstLine="0" w:firstLineChars="0"/>
                    <w:rPr>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w:t>
                  </w:r>
                </w:p>
              </w:tc>
              <w:tc>
                <w:tcPr>
                  <w:tcW w:w="205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开式固定台压力机</w:t>
                  </w:r>
                </w:p>
              </w:tc>
              <w:tc>
                <w:tcPr>
                  <w:tcW w:w="1699" w:type="pct"/>
                  <w:vAlign w:val="center"/>
                </w:tcPr>
                <w:p>
                  <w:pPr>
                    <w:pStyle w:val="22"/>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JH21-165</w:t>
                  </w:r>
                </w:p>
              </w:tc>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w:t>
                  </w:r>
                </w:p>
              </w:tc>
              <w:tc>
                <w:tcPr>
                  <w:tcW w:w="205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开式固定台压力机</w:t>
                  </w:r>
                </w:p>
              </w:tc>
              <w:tc>
                <w:tcPr>
                  <w:tcW w:w="1699"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JH21-200</w:t>
                  </w:r>
                </w:p>
              </w:tc>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8</w:t>
                  </w:r>
                </w:p>
              </w:tc>
              <w:tc>
                <w:tcPr>
                  <w:tcW w:w="2055" w:type="pct"/>
                  <w:vAlign w:val="center"/>
                </w:tcPr>
                <w:p>
                  <w:pPr>
                    <w:pStyle w:val="22"/>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台钻</w:t>
                  </w:r>
                </w:p>
              </w:tc>
              <w:tc>
                <w:tcPr>
                  <w:tcW w:w="1699" w:type="pct"/>
                  <w:vAlign w:val="center"/>
                </w:tcPr>
                <w:p>
                  <w:pPr>
                    <w:pStyle w:val="22"/>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ZS4019</w:t>
                  </w:r>
                </w:p>
              </w:tc>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9</w:t>
                  </w:r>
                </w:p>
              </w:tc>
              <w:tc>
                <w:tcPr>
                  <w:tcW w:w="205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手摇数显平面磨床</w:t>
                  </w:r>
                </w:p>
              </w:tc>
              <w:tc>
                <w:tcPr>
                  <w:tcW w:w="1699"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KSE-450/618</w:t>
                  </w:r>
                </w:p>
              </w:tc>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10</w:t>
                  </w:r>
                </w:p>
              </w:tc>
              <w:tc>
                <w:tcPr>
                  <w:tcW w:w="205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卧式车床</w:t>
                  </w:r>
                </w:p>
              </w:tc>
              <w:tc>
                <w:tcPr>
                  <w:tcW w:w="1699"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CA6140A</w:t>
                  </w:r>
                </w:p>
              </w:tc>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11</w:t>
                  </w:r>
                </w:p>
              </w:tc>
              <w:tc>
                <w:tcPr>
                  <w:tcW w:w="205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摇臂钻床</w:t>
                  </w:r>
                </w:p>
              </w:tc>
              <w:tc>
                <w:tcPr>
                  <w:tcW w:w="1699"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Z3050X16/1</w:t>
                  </w:r>
                </w:p>
              </w:tc>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12</w:t>
                  </w:r>
                </w:p>
              </w:tc>
              <w:tc>
                <w:tcPr>
                  <w:tcW w:w="205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电火花数控线切割设备</w:t>
                  </w:r>
                </w:p>
              </w:tc>
              <w:tc>
                <w:tcPr>
                  <w:tcW w:w="1699"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DK7780B</w:t>
                  </w:r>
                </w:p>
              </w:tc>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13</w:t>
                  </w:r>
                </w:p>
              </w:tc>
              <w:tc>
                <w:tcPr>
                  <w:tcW w:w="205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电火花数控线切割设备</w:t>
                  </w:r>
                </w:p>
              </w:tc>
              <w:tc>
                <w:tcPr>
                  <w:tcW w:w="1699"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DK7765GB</w:t>
                  </w:r>
                </w:p>
              </w:tc>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14</w:t>
                  </w:r>
                </w:p>
              </w:tc>
              <w:tc>
                <w:tcPr>
                  <w:tcW w:w="205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电火花数控线切割设备</w:t>
                  </w:r>
                </w:p>
              </w:tc>
              <w:tc>
                <w:tcPr>
                  <w:tcW w:w="1699"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DK7763B</w:t>
                  </w:r>
                </w:p>
              </w:tc>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15</w:t>
                  </w:r>
                </w:p>
              </w:tc>
              <w:tc>
                <w:tcPr>
                  <w:tcW w:w="205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电火花数控线切割设备</w:t>
                  </w:r>
                </w:p>
              </w:tc>
              <w:tc>
                <w:tcPr>
                  <w:tcW w:w="1699"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DK7750GB</w:t>
                  </w:r>
                </w:p>
              </w:tc>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16</w:t>
                  </w:r>
                </w:p>
              </w:tc>
              <w:tc>
                <w:tcPr>
                  <w:tcW w:w="205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中丝线切割设备</w:t>
                  </w:r>
                </w:p>
              </w:tc>
              <w:tc>
                <w:tcPr>
                  <w:tcW w:w="1699"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EFH-54S</w:t>
                  </w:r>
                </w:p>
              </w:tc>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17</w:t>
                  </w:r>
                </w:p>
              </w:tc>
              <w:tc>
                <w:tcPr>
                  <w:tcW w:w="205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中丝线切割设备</w:t>
                  </w:r>
                </w:p>
              </w:tc>
              <w:tc>
                <w:tcPr>
                  <w:tcW w:w="1699"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EFH-55S</w:t>
                  </w:r>
                </w:p>
              </w:tc>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18</w:t>
                  </w:r>
                </w:p>
              </w:tc>
              <w:tc>
                <w:tcPr>
                  <w:tcW w:w="205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立式加工中心</w:t>
                  </w:r>
                </w:p>
              </w:tc>
              <w:tc>
                <w:tcPr>
                  <w:tcW w:w="1699"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DM4122LC</w:t>
                  </w:r>
                </w:p>
              </w:tc>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19</w:t>
                  </w:r>
                </w:p>
              </w:tc>
              <w:tc>
                <w:tcPr>
                  <w:tcW w:w="205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立式加工中心</w:t>
                  </w:r>
                </w:p>
              </w:tc>
              <w:tc>
                <w:tcPr>
                  <w:tcW w:w="1699"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DM4120C</w:t>
                  </w:r>
                </w:p>
              </w:tc>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415" w:type="pct"/>
                  <w:vAlign w:val="center"/>
                </w:tcPr>
                <w:p>
                  <w:pPr>
                    <w:pStyle w:val="22"/>
                    <w:bidi w:val="0"/>
                    <w:ind w:firstLine="0" w:firstLineChars="0"/>
                    <w:rPr>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20</w:t>
                  </w:r>
                </w:p>
              </w:tc>
              <w:tc>
                <w:tcPr>
                  <w:tcW w:w="2055" w:type="pct"/>
                  <w:vAlign w:val="center"/>
                </w:tcPr>
                <w:p>
                  <w:pPr>
                    <w:pStyle w:val="22"/>
                    <w:bidi w:val="0"/>
                    <w:ind w:firstLine="0" w:firstLineChars="0"/>
                    <w:rPr>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立式加工中心</w:t>
                  </w:r>
                </w:p>
              </w:tc>
              <w:tc>
                <w:tcPr>
                  <w:tcW w:w="1699"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DM4122LC</w:t>
                  </w:r>
                </w:p>
              </w:tc>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15" w:type="pct"/>
                  <w:vAlign w:val="center"/>
                </w:tcPr>
                <w:p>
                  <w:pPr>
                    <w:pStyle w:val="22"/>
                    <w:bidi w:val="0"/>
                    <w:ind w:firstLine="0" w:firstLineChars="0"/>
                    <w:rPr>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415" w:type="pct"/>
                  <w:vAlign w:val="center"/>
                </w:tcPr>
                <w:p>
                  <w:pPr>
                    <w:pStyle w:val="22"/>
                    <w:bidi w:val="0"/>
                    <w:ind w:firstLine="0" w:firstLineChars="0"/>
                    <w:rPr>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21</w:t>
                  </w:r>
                </w:p>
              </w:tc>
              <w:tc>
                <w:tcPr>
                  <w:tcW w:w="2055" w:type="pct"/>
                  <w:vAlign w:val="center"/>
                </w:tcPr>
                <w:p>
                  <w:pPr>
                    <w:pStyle w:val="22"/>
                    <w:bidi w:val="0"/>
                    <w:ind w:firstLine="0" w:firstLineChars="0"/>
                    <w:rPr>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龙门铣</w:t>
                  </w:r>
                </w:p>
              </w:tc>
              <w:tc>
                <w:tcPr>
                  <w:tcW w:w="1699"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GMF3025L</w:t>
                  </w:r>
                </w:p>
              </w:tc>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15" w:type="pct"/>
                  <w:vAlign w:val="center"/>
                </w:tcPr>
                <w:p>
                  <w:pPr>
                    <w:pStyle w:val="22"/>
                    <w:bidi w:val="0"/>
                    <w:ind w:firstLine="0" w:firstLineChars="0"/>
                    <w:rPr>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22</w:t>
                  </w:r>
                </w:p>
              </w:tc>
              <w:tc>
                <w:tcPr>
                  <w:tcW w:w="2055" w:type="pct"/>
                  <w:vAlign w:val="center"/>
                </w:tcPr>
                <w:p>
                  <w:pPr>
                    <w:pStyle w:val="22"/>
                    <w:bidi w:val="0"/>
                    <w:ind w:firstLine="0" w:firstLineChars="0"/>
                    <w:rPr>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龙门铣</w:t>
                  </w:r>
                </w:p>
              </w:tc>
              <w:tc>
                <w:tcPr>
                  <w:tcW w:w="1699"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GMF3028L</w:t>
                  </w:r>
                </w:p>
              </w:tc>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15" w:type="pct"/>
                  <w:vAlign w:val="center"/>
                </w:tcPr>
                <w:p>
                  <w:pPr>
                    <w:pStyle w:val="22"/>
                    <w:bidi w:val="0"/>
                    <w:ind w:firstLine="0" w:firstLineChars="0"/>
                    <w:rPr>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23</w:t>
                  </w:r>
                </w:p>
              </w:tc>
              <w:tc>
                <w:tcPr>
                  <w:tcW w:w="205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龙门铣</w:t>
                  </w:r>
                </w:p>
              </w:tc>
              <w:tc>
                <w:tcPr>
                  <w:tcW w:w="1699"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LM3223-25</w:t>
                  </w:r>
                </w:p>
              </w:tc>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415" w:type="pct"/>
                  <w:vAlign w:val="center"/>
                </w:tcPr>
                <w:p>
                  <w:pPr>
                    <w:pStyle w:val="22"/>
                    <w:bidi w:val="0"/>
                    <w:ind w:firstLine="0" w:firstLineChars="0"/>
                    <w:rPr>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24</w:t>
                  </w:r>
                </w:p>
              </w:tc>
              <w:tc>
                <w:tcPr>
                  <w:tcW w:w="2055" w:type="pct"/>
                  <w:vAlign w:val="center"/>
                </w:tcPr>
                <w:p>
                  <w:pPr>
                    <w:pStyle w:val="22"/>
                    <w:bidi w:val="0"/>
                    <w:ind w:firstLine="0" w:firstLineChars="0"/>
                    <w:rPr>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龙门铣</w:t>
                  </w:r>
                </w:p>
              </w:tc>
              <w:tc>
                <w:tcPr>
                  <w:tcW w:w="1699"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LM3223-26</w:t>
                  </w:r>
                </w:p>
              </w:tc>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15" w:type="pct"/>
                  <w:vAlign w:val="center"/>
                </w:tcPr>
                <w:p>
                  <w:pPr>
                    <w:pStyle w:val="22"/>
                    <w:bidi w:val="0"/>
                    <w:ind w:firstLine="0" w:firstLineChars="0"/>
                    <w:rPr>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415" w:type="pct"/>
                  <w:vAlign w:val="center"/>
                </w:tcPr>
                <w:p>
                  <w:pPr>
                    <w:pStyle w:val="22"/>
                    <w:bidi w:val="0"/>
                    <w:ind w:firstLine="0" w:firstLineChars="0"/>
                    <w:rPr>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25</w:t>
                  </w:r>
                </w:p>
              </w:tc>
              <w:tc>
                <w:tcPr>
                  <w:tcW w:w="2055" w:type="pct"/>
                  <w:vAlign w:val="center"/>
                </w:tcPr>
                <w:p>
                  <w:pPr>
                    <w:pStyle w:val="22"/>
                    <w:bidi w:val="0"/>
                    <w:ind w:firstLine="0" w:firstLineChars="0"/>
                    <w:rPr>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空压机</w:t>
                  </w:r>
                </w:p>
              </w:tc>
              <w:tc>
                <w:tcPr>
                  <w:tcW w:w="1699"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55KW蜗杆空压机</w:t>
                  </w:r>
                </w:p>
              </w:tc>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15" w:type="pct"/>
                  <w:vAlign w:val="center"/>
                </w:tcPr>
                <w:p>
                  <w:pPr>
                    <w:pStyle w:val="22"/>
                    <w:bidi w:val="0"/>
                    <w:ind w:firstLine="0" w:firstLineChars="0"/>
                    <w:rPr>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415" w:type="pct"/>
                  <w:vAlign w:val="center"/>
                </w:tcPr>
                <w:p>
                  <w:pPr>
                    <w:pStyle w:val="22"/>
                    <w:bidi w:val="0"/>
                    <w:ind w:firstLine="0" w:firstLineChars="0"/>
                    <w:rPr>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26</w:t>
                  </w:r>
                </w:p>
              </w:tc>
              <w:tc>
                <w:tcPr>
                  <w:tcW w:w="205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单臂三维测量仪</w:t>
                  </w:r>
                </w:p>
              </w:tc>
              <w:tc>
                <w:tcPr>
                  <w:tcW w:w="1699"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CLY-20-15-12KT2H</w:t>
                  </w:r>
                </w:p>
              </w:tc>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15" w:type="pct"/>
                  <w:vAlign w:val="center"/>
                </w:tcPr>
                <w:p>
                  <w:pPr>
                    <w:pStyle w:val="22"/>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415" w:type="pct"/>
                  <w:vAlign w:val="center"/>
                </w:tcPr>
                <w:p>
                  <w:pPr>
                    <w:pStyle w:val="22"/>
                    <w:bidi w:val="0"/>
                    <w:ind w:firstLine="0" w:firstLineChars="0"/>
                    <w:rPr>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27</w:t>
                  </w:r>
                </w:p>
              </w:tc>
              <w:tc>
                <w:tcPr>
                  <w:tcW w:w="2055" w:type="pct"/>
                  <w:vAlign w:val="center"/>
                </w:tcPr>
                <w:p>
                  <w:pPr>
                    <w:pStyle w:val="22"/>
                    <w:bidi w:val="0"/>
                    <w:ind w:firstLine="0" w:firstLineChars="0"/>
                    <w:rPr>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桥式三坐标测量机</w:t>
                  </w:r>
                </w:p>
              </w:tc>
              <w:tc>
                <w:tcPr>
                  <w:tcW w:w="1699"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GlObal Classic 05.07.05</w:t>
                  </w:r>
                </w:p>
              </w:tc>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15" w:type="pct"/>
                  <w:vAlign w:val="center"/>
                </w:tcPr>
                <w:p>
                  <w:pPr>
                    <w:pStyle w:val="22"/>
                    <w:bidi w:val="0"/>
                    <w:ind w:firstLine="0" w:firstLineChars="0"/>
                    <w:rPr>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415" w:type="pct"/>
                  <w:vAlign w:val="center"/>
                </w:tcPr>
                <w:p>
                  <w:pPr>
                    <w:pStyle w:val="22"/>
                    <w:bidi w:val="0"/>
                    <w:ind w:firstLine="0" w:firstLineChars="0"/>
                    <w:rPr>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28</w:t>
                  </w:r>
                </w:p>
              </w:tc>
              <w:tc>
                <w:tcPr>
                  <w:tcW w:w="2055" w:type="pct"/>
                  <w:vAlign w:val="center"/>
                </w:tcPr>
                <w:p>
                  <w:pPr>
                    <w:pStyle w:val="22"/>
                    <w:bidi w:val="0"/>
                    <w:ind w:firstLine="0" w:firstLineChars="0"/>
                    <w:rPr>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龙门三坐标测量机</w:t>
                  </w:r>
                </w:p>
              </w:tc>
              <w:tc>
                <w:tcPr>
                  <w:tcW w:w="1699"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Apollo Image 20.50.15</w:t>
                  </w:r>
                </w:p>
              </w:tc>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15" w:type="pct"/>
                  <w:vAlign w:val="center"/>
                </w:tcPr>
                <w:p>
                  <w:pPr>
                    <w:pStyle w:val="22"/>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415" w:type="pct"/>
                  <w:vAlign w:val="center"/>
                </w:tcPr>
                <w:p>
                  <w:pPr>
                    <w:pStyle w:val="22"/>
                    <w:bidi w:val="0"/>
                    <w:ind w:firstLine="0" w:firstLineChars="0"/>
                    <w:rPr>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29</w:t>
                  </w:r>
                </w:p>
              </w:tc>
              <w:tc>
                <w:tcPr>
                  <w:tcW w:w="2055" w:type="pct"/>
                  <w:vAlign w:val="center"/>
                </w:tcPr>
                <w:p>
                  <w:pPr>
                    <w:pStyle w:val="22"/>
                    <w:bidi w:val="0"/>
                    <w:ind w:firstLine="0" w:firstLineChars="0"/>
                    <w:rPr>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气动打标机</w:t>
                  </w:r>
                </w:p>
              </w:tc>
              <w:tc>
                <w:tcPr>
                  <w:tcW w:w="1699"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JM3-A</w:t>
                  </w:r>
                </w:p>
              </w:tc>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15" w:type="pct"/>
                  <w:vAlign w:val="center"/>
                </w:tcPr>
                <w:p>
                  <w:pPr>
                    <w:pStyle w:val="22"/>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415" w:type="pct"/>
                  <w:vAlign w:val="center"/>
                </w:tcPr>
                <w:p>
                  <w:pPr>
                    <w:pStyle w:val="22"/>
                    <w:bidi w:val="0"/>
                    <w:ind w:firstLine="0" w:firstLineChars="0"/>
                    <w:rPr>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30</w:t>
                  </w:r>
                </w:p>
              </w:tc>
              <w:tc>
                <w:tcPr>
                  <w:tcW w:w="205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伺服电动攻丝机</w:t>
                  </w:r>
                </w:p>
              </w:tc>
              <w:tc>
                <w:tcPr>
                  <w:tcW w:w="1699"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H-MOSS(M3-M16)</w:t>
                  </w:r>
                </w:p>
              </w:tc>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415" w:type="pct"/>
                  <w:vAlign w:val="center"/>
                </w:tcPr>
                <w:p>
                  <w:pPr>
                    <w:pStyle w:val="22"/>
                    <w:bidi w:val="0"/>
                    <w:ind w:firstLine="0" w:firstLineChars="0"/>
                    <w:rPr>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31</w:t>
                  </w:r>
                </w:p>
              </w:tc>
              <w:tc>
                <w:tcPr>
                  <w:tcW w:w="2055" w:type="pct"/>
                  <w:vAlign w:val="center"/>
                </w:tcPr>
                <w:p>
                  <w:pPr>
                    <w:pStyle w:val="22"/>
                    <w:bidi w:val="0"/>
                    <w:ind w:firstLine="0" w:firstLineChars="0"/>
                    <w:rPr>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除尘式砂轮机</w:t>
                  </w:r>
                </w:p>
              </w:tc>
              <w:tc>
                <w:tcPr>
                  <w:tcW w:w="1699"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MC3205</w:t>
                  </w:r>
                </w:p>
              </w:tc>
              <w:tc>
                <w:tcPr>
                  <w:tcW w:w="415"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15" w:type="pct"/>
                  <w:vAlign w:val="center"/>
                </w:tcPr>
                <w:p>
                  <w:pPr>
                    <w:pStyle w:val="22"/>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415" w:type="pct"/>
                  <w:vAlign w:val="center"/>
                </w:tcPr>
                <w:p>
                  <w:pPr>
                    <w:pStyle w:val="22"/>
                    <w:bidi w:val="0"/>
                    <w:ind w:firstLine="0" w:firstLineChars="0"/>
                    <w:rPr>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33</w:t>
                  </w:r>
                </w:p>
              </w:tc>
              <w:tc>
                <w:tcPr>
                  <w:tcW w:w="2055" w:type="pct"/>
                  <w:vAlign w:val="center"/>
                </w:tcPr>
                <w:p>
                  <w:pPr>
                    <w:pStyle w:val="22"/>
                    <w:bidi w:val="0"/>
                    <w:ind w:firstLine="0" w:firstLineChars="0"/>
                    <w:rPr>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一体式永磁变频蜗杆空压机</w:t>
                  </w:r>
                </w:p>
              </w:tc>
              <w:tc>
                <w:tcPr>
                  <w:tcW w:w="1699"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SW-10</w:t>
                  </w:r>
                </w:p>
              </w:tc>
              <w:tc>
                <w:tcPr>
                  <w:tcW w:w="415" w:type="pct"/>
                  <w:vAlign w:val="center"/>
                </w:tcPr>
                <w:p>
                  <w:pPr>
                    <w:pStyle w:val="22"/>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15" w:type="pct"/>
                  <w:vAlign w:val="center"/>
                </w:tcPr>
                <w:p>
                  <w:pPr>
                    <w:pStyle w:val="22"/>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415" w:type="pct"/>
                  <w:vAlign w:val="center"/>
                </w:tcPr>
                <w:p>
                  <w:pPr>
                    <w:pStyle w:val="22"/>
                    <w:bidi w:val="0"/>
                    <w:ind w:firstLine="0" w:firstLineChars="0"/>
                    <w:rPr>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34</w:t>
                  </w:r>
                </w:p>
              </w:tc>
              <w:tc>
                <w:tcPr>
                  <w:tcW w:w="2055" w:type="pct"/>
                  <w:vAlign w:val="center"/>
                </w:tcPr>
                <w:p>
                  <w:pPr>
                    <w:pStyle w:val="22"/>
                    <w:bidi w:val="0"/>
                    <w:ind w:firstLine="0" w:firstLineChars="0"/>
                    <w:rPr>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储气罐</w:t>
                  </w:r>
                </w:p>
              </w:tc>
              <w:tc>
                <w:tcPr>
                  <w:tcW w:w="1699" w:type="pct"/>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0.84Mp</w:t>
                  </w:r>
                </w:p>
              </w:tc>
              <w:tc>
                <w:tcPr>
                  <w:tcW w:w="415" w:type="pct"/>
                  <w:vAlign w:val="center"/>
                </w:tcPr>
                <w:p>
                  <w:pPr>
                    <w:pStyle w:val="22"/>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个</w:t>
                  </w:r>
                </w:p>
              </w:tc>
              <w:tc>
                <w:tcPr>
                  <w:tcW w:w="415" w:type="pct"/>
                  <w:vAlign w:val="center"/>
                </w:tcPr>
                <w:p>
                  <w:pPr>
                    <w:pStyle w:val="22"/>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415" w:type="pct"/>
                  <w:vAlign w:val="center"/>
                </w:tcPr>
                <w:p>
                  <w:pPr>
                    <w:pStyle w:val="22"/>
                    <w:bidi w:val="0"/>
                    <w:ind w:firstLine="0" w:firstLineChars="0"/>
                    <w:rPr>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35</w:t>
                  </w:r>
                </w:p>
              </w:tc>
              <w:tc>
                <w:tcPr>
                  <w:tcW w:w="2055" w:type="pct"/>
                  <w:vAlign w:val="center"/>
                </w:tcPr>
                <w:p>
                  <w:pPr>
                    <w:pStyle w:val="22"/>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电动葫芦桥式起重机</w:t>
                  </w:r>
                </w:p>
              </w:tc>
              <w:tc>
                <w:tcPr>
                  <w:tcW w:w="1699" w:type="pct"/>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LH10/3t-22.5m A3</w:t>
                  </w:r>
                </w:p>
              </w:tc>
              <w:tc>
                <w:tcPr>
                  <w:tcW w:w="415" w:type="pct"/>
                  <w:vAlign w:val="center"/>
                </w:tcPr>
                <w:p>
                  <w:pPr>
                    <w:pStyle w:val="22"/>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台</w:t>
                  </w:r>
                </w:p>
              </w:tc>
              <w:tc>
                <w:tcPr>
                  <w:tcW w:w="415" w:type="pct"/>
                  <w:vAlign w:val="center"/>
                </w:tcPr>
                <w:p>
                  <w:pPr>
                    <w:pStyle w:val="22"/>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r>
          </w:tbl>
          <w:p>
            <w:pPr>
              <w:numPr>
                <w:ilvl w:val="0"/>
                <w:numId w:val="10"/>
              </w:numPr>
              <w:bidi w:val="0"/>
              <w:rPr>
                <w:rFonts w:hint="eastAsia"/>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原有项目生产制度和劳动定员</w:t>
            </w:r>
          </w:p>
          <w:p>
            <w:pPr>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原有劳动定员：劳动人员100人。</w:t>
            </w:r>
          </w:p>
          <w:p>
            <w:pPr>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原有工作制度：年工作日为320天，实行双班制，工作时间为8小时，项目年工作5120h。</w:t>
            </w:r>
          </w:p>
          <w:p>
            <w:pPr>
              <w:numPr>
                <w:ilvl w:val="0"/>
                <w:numId w:val="10"/>
              </w:numPr>
              <w:bidi w:val="0"/>
              <w:rPr>
                <w:rFonts w:hint="eastAsia"/>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原有项目生产工艺流程</w:t>
            </w:r>
          </w:p>
          <w:p>
            <w:pPr>
              <w:pStyle w:val="23"/>
              <w:bidi w:val="0"/>
              <w:jc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397500" cy="25654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2"/>
                          <a:srcRect b="4537"/>
                          <a:stretch>
                            <a:fillRect/>
                          </a:stretch>
                        </pic:blipFill>
                        <pic:spPr>
                          <a:xfrm>
                            <a:off x="0" y="0"/>
                            <a:ext cx="5397500" cy="2565400"/>
                          </a:xfrm>
                          <a:prstGeom prst="rect">
                            <a:avLst/>
                          </a:prstGeom>
                          <a:noFill/>
                          <a:ln>
                            <a:noFill/>
                          </a:ln>
                        </pic:spPr>
                      </pic:pic>
                    </a:graphicData>
                  </a:graphic>
                </wp:inline>
              </w:drawing>
            </w:r>
          </w:p>
          <w:p>
            <w:pPr>
              <w:pStyle w:val="23"/>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图2-2  原有项目模具生产工艺流程及产污环节图</w:t>
            </w:r>
          </w:p>
          <w:p>
            <w:pPr>
              <w:pStyle w:val="23"/>
              <w:bidi w:val="0"/>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405755" cy="256159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3"/>
                          <a:srcRect b="3884"/>
                          <a:stretch>
                            <a:fillRect/>
                          </a:stretch>
                        </pic:blipFill>
                        <pic:spPr>
                          <a:xfrm>
                            <a:off x="0" y="0"/>
                            <a:ext cx="5405755" cy="2561590"/>
                          </a:xfrm>
                          <a:prstGeom prst="rect">
                            <a:avLst/>
                          </a:prstGeom>
                          <a:noFill/>
                          <a:ln>
                            <a:noFill/>
                          </a:ln>
                        </pic:spPr>
                      </pic:pic>
                    </a:graphicData>
                  </a:graphic>
                </wp:inline>
              </w:drawing>
            </w:r>
          </w:p>
          <w:p>
            <w:pPr>
              <w:pStyle w:val="23"/>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图2-3  原有项目夹具生产工艺流程及产污环节图</w:t>
            </w:r>
          </w:p>
          <w:p>
            <w:pPr>
              <w:pStyle w:val="23"/>
              <w:bidi w:val="0"/>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396230" cy="2441575"/>
                  <wp:effectExtent l="0" t="0" r="0" b="0"/>
                  <wp:docPr id="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pic:cNvPicPr>
                            <a:picLocks noChangeAspect="1"/>
                          </pic:cNvPicPr>
                        </pic:nvPicPr>
                        <pic:blipFill>
                          <a:blip r:embed="rId14"/>
                          <a:srcRect b="5435"/>
                          <a:stretch>
                            <a:fillRect/>
                          </a:stretch>
                        </pic:blipFill>
                        <pic:spPr>
                          <a:xfrm>
                            <a:off x="0" y="0"/>
                            <a:ext cx="5396230" cy="2441575"/>
                          </a:xfrm>
                          <a:prstGeom prst="rect">
                            <a:avLst/>
                          </a:prstGeom>
                          <a:noFill/>
                          <a:ln>
                            <a:noFill/>
                          </a:ln>
                        </pic:spPr>
                      </pic:pic>
                    </a:graphicData>
                  </a:graphic>
                </wp:inline>
              </w:drawing>
            </w:r>
          </w:p>
          <w:p>
            <w:pPr>
              <w:pStyle w:val="23"/>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图2-4  原有项目检具生产工艺流程及产污环节图</w:t>
            </w:r>
          </w:p>
          <w:p>
            <w:pPr>
              <w:numPr>
                <w:ilvl w:val="0"/>
                <w:numId w:val="10"/>
              </w:numPr>
              <w:bidi w:val="0"/>
              <w:rPr>
                <w:rFonts w:hint="default"/>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原有项目污染物产排情况</w:t>
            </w:r>
          </w:p>
          <w:p>
            <w:pPr>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根据原环评可知原有项目污染源产排情况见表2-</w:t>
            </w:r>
            <w:r>
              <w:rPr>
                <w:rFonts w:hint="eastAsia"/>
                <w:color w:val="000000" w:themeColor="text1"/>
                <w:lang w:val="en-US" w:eastAsia="zh-CN"/>
                <w14:textFill>
                  <w14:solidFill>
                    <w14:schemeClr w14:val="tx1"/>
                  </w14:solidFill>
                </w14:textFill>
              </w:rPr>
              <w:t>11。</w:t>
            </w:r>
          </w:p>
          <w:p>
            <w:pPr>
              <w:pStyle w:val="23"/>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表2-11  原有项目污染物产生量和排放量汇总表    单位t/a</w:t>
            </w:r>
          </w:p>
          <w:tbl>
            <w:tblPr>
              <w:tblStyle w:val="15"/>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08"/>
              <w:gridCol w:w="1853"/>
              <w:gridCol w:w="1488"/>
              <w:gridCol w:w="1346"/>
              <w:gridCol w:w="1346"/>
              <w:gridCol w:w="134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2592" w:type="pct"/>
                  <w:gridSpan w:val="3"/>
                  <w:tcBorders>
                    <w:tl2br w:val="nil"/>
                    <w:tr2bl w:val="nil"/>
                  </w:tcBorders>
                  <w:vAlign w:val="center"/>
                </w:tcPr>
                <w:p>
                  <w:pPr>
                    <w:pStyle w:val="22"/>
                    <w:bidi w:val="0"/>
                    <w:rPr>
                      <w:rFonts w:hint="eastAsia"/>
                      <w:color w:val="000000" w:themeColor="text1"/>
                      <w:lang w:val="en-US" w:eastAsia="zh-CN"/>
                      <w14:textFill>
                        <w14:solidFill>
                          <w14:schemeClr w14:val="tx1"/>
                        </w14:solidFill>
                      </w14:textFill>
                    </w:rPr>
                  </w:pPr>
                  <w:r>
                    <w:rPr>
                      <w:color w:val="000000" w:themeColor="text1"/>
                      <w14:textFill>
                        <w14:solidFill>
                          <w14:schemeClr w14:val="tx1"/>
                        </w14:solidFill>
                      </w14:textFill>
                    </w:rPr>
                    <w:t>污染</w:t>
                  </w:r>
                  <w:r>
                    <w:rPr>
                      <w:rFonts w:hint="eastAsia"/>
                      <w:color w:val="000000" w:themeColor="text1"/>
                      <w:lang w:val="en-US" w:eastAsia="zh-CN"/>
                      <w14:textFill>
                        <w14:solidFill>
                          <w14:schemeClr w14:val="tx1"/>
                        </w14:solidFill>
                      </w14:textFill>
                    </w:rPr>
                    <w:t>因子</w:t>
                  </w:r>
                </w:p>
              </w:tc>
              <w:tc>
                <w:tcPr>
                  <w:tcW w:w="802" w:type="pct"/>
                  <w:tcBorders>
                    <w:tl2br w:val="nil"/>
                    <w:tr2bl w:val="nil"/>
                  </w:tcBorders>
                  <w:vAlign w:val="center"/>
                </w:tcPr>
                <w:p>
                  <w:pPr>
                    <w:pStyle w:val="22"/>
                    <w:bidi w:val="0"/>
                    <w:rPr>
                      <w:rFonts w:hint="eastAsia"/>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产生量</w:t>
                  </w:r>
                </w:p>
              </w:tc>
              <w:tc>
                <w:tcPr>
                  <w:tcW w:w="802" w:type="pct"/>
                  <w:tcBorders>
                    <w:tl2br w:val="nil"/>
                    <w:tr2bl w:val="nil"/>
                  </w:tcBorders>
                  <w:vAlign w:val="center"/>
                </w:tcPr>
                <w:p>
                  <w:pPr>
                    <w:pStyle w:val="22"/>
                    <w:bidi w:val="0"/>
                    <w:rPr>
                      <w:rFonts w:hint="eastAsia"/>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削减量</w:t>
                  </w:r>
                </w:p>
              </w:tc>
              <w:tc>
                <w:tcPr>
                  <w:tcW w:w="802" w:type="pct"/>
                  <w:tcBorders>
                    <w:tl2br w:val="nil"/>
                    <w:tr2bl w:val="nil"/>
                  </w:tcBorders>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排放量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601" w:type="pct"/>
                  <w:tcBorders>
                    <w:tl2br w:val="nil"/>
                    <w:tr2bl w:val="nil"/>
                  </w:tcBorders>
                  <w:vAlign w:val="center"/>
                </w:tcPr>
                <w:p>
                  <w:pPr>
                    <w:pStyle w:val="22"/>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废气</w:t>
                  </w:r>
                </w:p>
              </w:tc>
              <w:tc>
                <w:tcPr>
                  <w:tcW w:w="1104" w:type="pct"/>
                  <w:tcBorders>
                    <w:tl2br w:val="nil"/>
                    <w:tr2bl w:val="nil"/>
                  </w:tcBorders>
                  <w:vAlign w:val="center"/>
                </w:tcPr>
                <w:p>
                  <w:pPr>
                    <w:pStyle w:val="22"/>
                    <w:bidi w:val="0"/>
                    <w:rPr>
                      <w:rFonts w:hint="eastAsia"/>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打磨废气</w:t>
                  </w:r>
                </w:p>
              </w:tc>
              <w:tc>
                <w:tcPr>
                  <w:tcW w:w="887" w:type="pct"/>
                  <w:tcBorders>
                    <w:tl2br w:val="nil"/>
                    <w:tr2bl w:val="nil"/>
                  </w:tcBorders>
                  <w:vAlign w:val="center"/>
                </w:tcPr>
                <w:p>
                  <w:pPr>
                    <w:pStyle w:val="22"/>
                    <w:bidi w:val="0"/>
                    <w:rPr>
                      <w:rFonts w:hint="eastAsia"/>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颗粒物</w:t>
                  </w:r>
                </w:p>
              </w:tc>
              <w:tc>
                <w:tcPr>
                  <w:tcW w:w="802" w:type="pct"/>
                  <w:tcBorders>
                    <w:tl2br w:val="nil"/>
                    <w:tr2bl w:val="nil"/>
                  </w:tcBorders>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GB" w:eastAsia="zh-CN"/>
                      <w14:textFill>
                        <w14:solidFill>
                          <w14:schemeClr w14:val="tx1"/>
                        </w14:solidFill>
                      </w14:textFill>
                    </w:rPr>
                    <w:t>0.</w:t>
                  </w:r>
                  <w:r>
                    <w:rPr>
                      <w:rFonts w:hint="eastAsia"/>
                      <w:color w:val="000000" w:themeColor="text1"/>
                      <w:lang w:val="en-US" w:eastAsia="zh-CN"/>
                      <w14:textFill>
                        <w14:solidFill>
                          <w14:schemeClr w14:val="tx1"/>
                        </w14:solidFill>
                      </w14:textFill>
                    </w:rPr>
                    <w:t>1</w:t>
                  </w:r>
                </w:p>
              </w:tc>
              <w:tc>
                <w:tcPr>
                  <w:tcW w:w="802" w:type="pct"/>
                  <w:tcBorders>
                    <w:tl2br w:val="nil"/>
                    <w:tr2bl w:val="nil"/>
                  </w:tcBorders>
                  <w:vAlign w:val="center"/>
                </w:tcPr>
                <w:p>
                  <w:pPr>
                    <w:pStyle w:val="22"/>
                    <w:bidi w:val="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0.081</w:t>
                  </w:r>
                </w:p>
              </w:tc>
              <w:tc>
                <w:tcPr>
                  <w:tcW w:w="802" w:type="pct"/>
                  <w:tcBorders>
                    <w:tl2br w:val="nil"/>
                    <w:tr2bl w:val="nil"/>
                  </w:tcBorders>
                  <w:vAlign w:val="center"/>
                </w:tcPr>
                <w:p>
                  <w:pPr>
                    <w:pStyle w:val="22"/>
                    <w:bidi w:val="0"/>
                    <w:rPr>
                      <w:rFonts w:hint="eastAsia"/>
                      <w:color w:val="000000" w:themeColor="text1"/>
                      <w14:textFill>
                        <w14:solidFill>
                          <w14:schemeClr w14:val="tx1"/>
                        </w14:solidFill>
                      </w14:textFill>
                    </w:rPr>
                  </w:pPr>
                  <w:r>
                    <w:rPr>
                      <w:rFonts w:hint="eastAsia" w:eastAsiaTheme="minorEastAsia"/>
                      <w:color w:val="000000" w:themeColor="text1"/>
                      <w:sz w:val="22"/>
                      <w:szCs w:val="22"/>
                      <w:lang w:val="en-US" w:eastAsia="zh-CN"/>
                      <w14:textFill>
                        <w14:solidFill>
                          <w14:schemeClr w14:val="tx1"/>
                        </w14:solidFill>
                      </w14:textFill>
                    </w:rPr>
                    <w:t>0.019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601" w:type="pct"/>
                  <w:vMerge w:val="restart"/>
                  <w:tcBorders>
                    <w:tl2br w:val="nil"/>
                    <w:tr2bl w:val="nil"/>
                  </w:tcBorders>
                  <w:vAlign w:val="center"/>
                </w:tcPr>
                <w:p>
                  <w:pPr>
                    <w:pStyle w:val="22"/>
                    <w:bidi w:val="0"/>
                    <w:rPr>
                      <w:color w:val="000000" w:themeColor="text1"/>
                      <w14:textFill>
                        <w14:solidFill>
                          <w14:schemeClr w14:val="tx1"/>
                        </w14:solidFill>
                      </w14:textFill>
                    </w:rPr>
                  </w:pPr>
                  <w:r>
                    <w:rPr>
                      <w:color w:val="000000" w:themeColor="text1"/>
                      <w14:textFill>
                        <w14:solidFill>
                          <w14:schemeClr w14:val="tx1"/>
                        </w14:solidFill>
                      </w14:textFill>
                    </w:rPr>
                    <w:t>废水</w:t>
                  </w:r>
                </w:p>
              </w:tc>
              <w:tc>
                <w:tcPr>
                  <w:tcW w:w="1104" w:type="pct"/>
                  <w:vMerge w:val="restart"/>
                  <w:tcBorders>
                    <w:tl2br w:val="nil"/>
                    <w:tr2bl w:val="nil"/>
                  </w:tcBorders>
                  <w:vAlign w:val="center"/>
                </w:tcPr>
                <w:p>
                  <w:pPr>
                    <w:pStyle w:val="22"/>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生活污水</w:t>
                  </w:r>
                </w:p>
              </w:tc>
              <w:tc>
                <w:tcPr>
                  <w:tcW w:w="887" w:type="pct"/>
                  <w:tcBorders>
                    <w:tl2br w:val="nil"/>
                    <w:tr2bl w:val="nil"/>
                  </w:tcBorders>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废水量</w:t>
                  </w:r>
                </w:p>
              </w:tc>
              <w:tc>
                <w:tcPr>
                  <w:tcW w:w="802" w:type="pct"/>
                  <w:tcBorders>
                    <w:tl2br w:val="nil"/>
                    <w:tr2bl w:val="nil"/>
                  </w:tcBorders>
                  <w:vAlign w:val="center"/>
                </w:tcPr>
                <w:p>
                  <w:pPr>
                    <w:pStyle w:val="22"/>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1280</w:t>
                  </w:r>
                </w:p>
              </w:tc>
              <w:tc>
                <w:tcPr>
                  <w:tcW w:w="802" w:type="pct"/>
                  <w:tcBorders>
                    <w:tl2br w:val="nil"/>
                    <w:tr2bl w:val="nil"/>
                  </w:tcBorders>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802" w:type="pct"/>
                  <w:tcBorders>
                    <w:tl2br w:val="nil"/>
                    <w:tr2bl w:val="nil"/>
                  </w:tcBorders>
                  <w:vAlign w:val="center"/>
                </w:tcPr>
                <w:p>
                  <w:pPr>
                    <w:pStyle w:val="22"/>
                    <w:bidi w:val="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1280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601" w:type="pct"/>
                  <w:vMerge w:val="continue"/>
                  <w:tcBorders>
                    <w:tl2br w:val="nil"/>
                    <w:tr2bl w:val="nil"/>
                  </w:tcBorders>
                  <w:vAlign w:val="center"/>
                </w:tcPr>
                <w:p>
                  <w:pPr>
                    <w:pStyle w:val="22"/>
                    <w:bidi w:val="0"/>
                    <w:rPr>
                      <w:color w:val="000000" w:themeColor="text1"/>
                      <w14:textFill>
                        <w14:solidFill>
                          <w14:schemeClr w14:val="tx1"/>
                        </w14:solidFill>
                      </w14:textFill>
                    </w:rPr>
                  </w:pPr>
                </w:p>
              </w:tc>
              <w:tc>
                <w:tcPr>
                  <w:tcW w:w="1104" w:type="pct"/>
                  <w:vMerge w:val="continue"/>
                  <w:tcBorders>
                    <w:tl2br w:val="nil"/>
                    <w:tr2bl w:val="nil"/>
                  </w:tcBorders>
                  <w:vAlign w:val="center"/>
                </w:tcPr>
                <w:p>
                  <w:pPr>
                    <w:pStyle w:val="22"/>
                    <w:bidi w:val="0"/>
                    <w:rPr>
                      <w:color w:val="000000" w:themeColor="text1"/>
                      <w14:textFill>
                        <w14:solidFill>
                          <w14:schemeClr w14:val="tx1"/>
                        </w14:solidFill>
                      </w14:textFill>
                    </w:rPr>
                  </w:pPr>
                </w:p>
              </w:tc>
              <w:tc>
                <w:tcPr>
                  <w:tcW w:w="887" w:type="pct"/>
                  <w:tcBorders>
                    <w:tl2br w:val="nil"/>
                    <w:tr2bl w:val="nil"/>
                  </w:tcBorders>
                  <w:vAlign w:val="center"/>
                </w:tcPr>
                <w:p>
                  <w:pPr>
                    <w:pStyle w:val="22"/>
                    <w:bidi w:val="0"/>
                    <w:rPr>
                      <w:color w:val="000000" w:themeColor="text1"/>
                      <w14:textFill>
                        <w14:solidFill>
                          <w14:schemeClr w14:val="tx1"/>
                        </w14:solidFill>
                      </w14:textFill>
                    </w:rPr>
                  </w:pPr>
                  <w:r>
                    <w:rPr>
                      <w:color w:val="000000" w:themeColor="text1"/>
                      <w14:textFill>
                        <w14:solidFill>
                          <w14:schemeClr w14:val="tx1"/>
                        </w14:solidFill>
                      </w14:textFill>
                    </w:rPr>
                    <w:t>pH</w:t>
                  </w:r>
                </w:p>
              </w:tc>
              <w:tc>
                <w:tcPr>
                  <w:tcW w:w="1346" w:type="dxa"/>
                  <w:tcBorders>
                    <w:tl2br w:val="nil"/>
                    <w:tr2bl w:val="nil"/>
                  </w:tcBorders>
                  <w:vAlign w:val="center"/>
                </w:tcPr>
                <w:p>
                  <w:pPr>
                    <w:pStyle w:val="22"/>
                    <w:bidi w:val="0"/>
                    <w:rPr>
                      <w:color w:val="000000" w:themeColor="text1"/>
                      <w14:textFill>
                        <w14:solidFill>
                          <w14:schemeClr w14:val="tx1"/>
                        </w14:solidFill>
                      </w14:textFill>
                    </w:rPr>
                  </w:pPr>
                  <w:r>
                    <w:rPr>
                      <w:color w:val="000000" w:themeColor="text1"/>
                      <w14:textFill>
                        <w14:solidFill>
                          <w14:schemeClr w14:val="tx1"/>
                        </w14:solidFill>
                      </w14:textFill>
                    </w:rPr>
                    <w:t>6~9</w:t>
                  </w:r>
                </w:p>
              </w:tc>
              <w:tc>
                <w:tcPr>
                  <w:tcW w:w="802" w:type="pct"/>
                  <w:tcBorders>
                    <w:tl2br w:val="nil"/>
                    <w:tr2bl w:val="nil"/>
                  </w:tcBorders>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1348" w:type="dxa"/>
                  <w:tcBorders>
                    <w:tl2br w:val="nil"/>
                    <w:tr2bl w:val="nil"/>
                  </w:tcBorders>
                  <w:vAlign w:val="center"/>
                </w:tcPr>
                <w:p>
                  <w:pPr>
                    <w:pStyle w:val="22"/>
                    <w:bidi w:val="0"/>
                    <w:rPr>
                      <w:color w:val="000000" w:themeColor="text1"/>
                      <w14:textFill>
                        <w14:solidFill>
                          <w14:schemeClr w14:val="tx1"/>
                        </w14:solidFill>
                      </w14:textFill>
                    </w:rPr>
                  </w:pPr>
                  <w:r>
                    <w:rPr>
                      <w:color w:val="000000" w:themeColor="text1"/>
                      <w14:textFill>
                        <w14:solidFill>
                          <w14:schemeClr w14:val="tx1"/>
                        </w14:solidFill>
                      </w14:textFill>
                    </w:rPr>
                    <w:t>6~9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601" w:type="pct"/>
                  <w:vMerge w:val="continue"/>
                  <w:tcBorders>
                    <w:tl2br w:val="nil"/>
                    <w:tr2bl w:val="nil"/>
                  </w:tcBorders>
                  <w:vAlign w:val="center"/>
                </w:tcPr>
                <w:p>
                  <w:pPr>
                    <w:pStyle w:val="22"/>
                    <w:bidi w:val="0"/>
                    <w:rPr>
                      <w:color w:val="000000" w:themeColor="text1"/>
                      <w14:textFill>
                        <w14:solidFill>
                          <w14:schemeClr w14:val="tx1"/>
                        </w14:solidFill>
                      </w14:textFill>
                    </w:rPr>
                  </w:pPr>
                </w:p>
              </w:tc>
              <w:tc>
                <w:tcPr>
                  <w:tcW w:w="1104" w:type="pct"/>
                  <w:vMerge w:val="continue"/>
                  <w:tcBorders>
                    <w:tl2br w:val="nil"/>
                    <w:tr2bl w:val="nil"/>
                  </w:tcBorders>
                  <w:vAlign w:val="center"/>
                </w:tcPr>
                <w:p>
                  <w:pPr>
                    <w:pStyle w:val="22"/>
                    <w:bidi w:val="0"/>
                    <w:rPr>
                      <w:color w:val="000000" w:themeColor="text1"/>
                      <w14:textFill>
                        <w14:solidFill>
                          <w14:schemeClr w14:val="tx1"/>
                        </w14:solidFill>
                      </w14:textFill>
                    </w:rPr>
                  </w:pPr>
                </w:p>
              </w:tc>
              <w:tc>
                <w:tcPr>
                  <w:tcW w:w="887" w:type="pct"/>
                  <w:tcBorders>
                    <w:tl2br w:val="nil"/>
                    <w:tr2bl w:val="nil"/>
                  </w:tcBorders>
                  <w:vAlign w:val="center"/>
                </w:tcPr>
                <w:p>
                  <w:pPr>
                    <w:pStyle w:val="22"/>
                    <w:bidi w:val="0"/>
                    <w:rPr>
                      <w:color w:val="000000" w:themeColor="text1"/>
                      <w14:textFill>
                        <w14:solidFill>
                          <w14:schemeClr w14:val="tx1"/>
                        </w14:solidFill>
                      </w14:textFill>
                    </w:rPr>
                  </w:pPr>
                  <w:r>
                    <w:rPr>
                      <w:color w:val="000000" w:themeColor="text1"/>
                      <w14:textFill>
                        <w14:solidFill>
                          <w14:schemeClr w14:val="tx1"/>
                        </w14:solidFill>
                      </w14:textFill>
                    </w:rPr>
                    <w:t>COD</w:t>
                  </w:r>
                </w:p>
              </w:tc>
              <w:tc>
                <w:tcPr>
                  <w:tcW w:w="1346" w:type="dxa"/>
                  <w:tcBorders>
                    <w:tl2br w:val="nil"/>
                    <w:tr2bl w:val="nil"/>
                  </w:tcBorders>
                  <w:vAlign w:val="center"/>
                </w:tcPr>
                <w:p>
                  <w:pPr>
                    <w:pStyle w:val="22"/>
                    <w:bidi w:val="0"/>
                    <w:rPr>
                      <w:color w:val="000000" w:themeColor="text1"/>
                      <w14:textFill>
                        <w14:solidFill>
                          <w14:schemeClr w14:val="tx1"/>
                        </w14:solidFill>
                      </w14:textFill>
                    </w:rPr>
                  </w:pPr>
                  <w:r>
                    <w:rPr>
                      <w:color w:val="000000" w:themeColor="text1"/>
                      <w14:textFill>
                        <w14:solidFill>
                          <w14:schemeClr w14:val="tx1"/>
                        </w14:solidFill>
                      </w14:textFill>
                    </w:rPr>
                    <w:t>0.512</w:t>
                  </w:r>
                </w:p>
              </w:tc>
              <w:tc>
                <w:tcPr>
                  <w:tcW w:w="802" w:type="pct"/>
                  <w:tcBorders>
                    <w:tl2br w:val="nil"/>
                    <w:tr2bl w:val="nil"/>
                  </w:tcBorders>
                  <w:vAlign w:val="center"/>
                </w:tcPr>
                <w:p>
                  <w:pPr>
                    <w:pStyle w:val="22"/>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0.448</w:t>
                  </w:r>
                </w:p>
              </w:tc>
              <w:tc>
                <w:tcPr>
                  <w:tcW w:w="1348" w:type="dxa"/>
                  <w:tcBorders>
                    <w:tl2br w:val="nil"/>
                    <w:tr2bl w:val="nil"/>
                  </w:tcBorders>
                  <w:vAlign w:val="center"/>
                </w:tcPr>
                <w:p>
                  <w:pPr>
                    <w:pStyle w:val="22"/>
                    <w:bidi w:val="0"/>
                    <w:rPr>
                      <w:color w:val="000000" w:themeColor="text1"/>
                      <w14:textFill>
                        <w14:solidFill>
                          <w14:schemeClr w14:val="tx1"/>
                        </w14:solidFill>
                      </w14:textFill>
                    </w:rPr>
                  </w:pPr>
                  <w:r>
                    <w:rPr>
                      <w:color w:val="000000" w:themeColor="text1"/>
                      <w14:textFill>
                        <w14:solidFill>
                          <w14:schemeClr w14:val="tx1"/>
                        </w14:solidFill>
                      </w14:textFill>
                    </w:rPr>
                    <w:t>0.064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601" w:type="pct"/>
                  <w:vMerge w:val="continue"/>
                  <w:tcBorders>
                    <w:tl2br w:val="nil"/>
                    <w:tr2bl w:val="nil"/>
                  </w:tcBorders>
                  <w:vAlign w:val="center"/>
                </w:tcPr>
                <w:p>
                  <w:pPr>
                    <w:pStyle w:val="22"/>
                    <w:bidi w:val="0"/>
                    <w:rPr>
                      <w:color w:val="000000" w:themeColor="text1"/>
                      <w14:textFill>
                        <w14:solidFill>
                          <w14:schemeClr w14:val="tx1"/>
                        </w14:solidFill>
                      </w14:textFill>
                    </w:rPr>
                  </w:pPr>
                </w:p>
              </w:tc>
              <w:tc>
                <w:tcPr>
                  <w:tcW w:w="1104" w:type="pct"/>
                  <w:vMerge w:val="continue"/>
                  <w:tcBorders>
                    <w:tl2br w:val="nil"/>
                    <w:tr2bl w:val="nil"/>
                  </w:tcBorders>
                  <w:vAlign w:val="center"/>
                </w:tcPr>
                <w:p>
                  <w:pPr>
                    <w:pStyle w:val="22"/>
                    <w:bidi w:val="0"/>
                    <w:rPr>
                      <w:color w:val="000000" w:themeColor="text1"/>
                      <w14:textFill>
                        <w14:solidFill>
                          <w14:schemeClr w14:val="tx1"/>
                        </w14:solidFill>
                      </w14:textFill>
                    </w:rPr>
                  </w:pPr>
                </w:p>
              </w:tc>
              <w:tc>
                <w:tcPr>
                  <w:tcW w:w="887" w:type="pct"/>
                  <w:tcBorders>
                    <w:tl2br w:val="nil"/>
                    <w:tr2bl w:val="nil"/>
                  </w:tcBorders>
                  <w:vAlign w:val="center"/>
                </w:tcPr>
                <w:p>
                  <w:pPr>
                    <w:pStyle w:val="22"/>
                    <w:bidi w:val="0"/>
                    <w:rPr>
                      <w:color w:val="000000" w:themeColor="text1"/>
                      <w14:textFill>
                        <w14:solidFill>
                          <w14:schemeClr w14:val="tx1"/>
                        </w14:solidFill>
                      </w14:textFill>
                    </w:rPr>
                  </w:pPr>
                  <w:r>
                    <w:rPr>
                      <w:color w:val="000000" w:themeColor="text1"/>
                      <w14:textFill>
                        <w14:solidFill>
                          <w14:schemeClr w14:val="tx1"/>
                        </w14:solidFill>
                      </w14:textFill>
                    </w:rPr>
                    <w:t>氨氮</w:t>
                  </w:r>
                </w:p>
              </w:tc>
              <w:tc>
                <w:tcPr>
                  <w:tcW w:w="1346" w:type="dxa"/>
                  <w:tcBorders>
                    <w:tl2br w:val="nil"/>
                    <w:tr2bl w:val="nil"/>
                  </w:tcBorders>
                  <w:vAlign w:val="center"/>
                </w:tcPr>
                <w:p>
                  <w:pPr>
                    <w:pStyle w:val="22"/>
                    <w:bidi w:val="0"/>
                    <w:rPr>
                      <w:color w:val="000000" w:themeColor="text1"/>
                      <w14:textFill>
                        <w14:solidFill>
                          <w14:schemeClr w14:val="tx1"/>
                        </w14:solidFill>
                      </w14:textFill>
                    </w:rPr>
                  </w:pPr>
                  <w:r>
                    <w:rPr>
                      <w:color w:val="000000" w:themeColor="text1"/>
                      <w14:textFill>
                        <w14:solidFill>
                          <w14:schemeClr w14:val="tx1"/>
                        </w14:solidFill>
                      </w14:textFill>
                    </w:rPr>
                    <w:t>0.410</w:t>
                  </w:r>
                </w:p>
              </w:tc>
              <w:tc>
                <w:tcPr>
                  <w:tcW w:w="802" w:type="pct"/>
                  <w:tcBorders>
                    <w:tl2br w:val="nil"/>
                    <w:tr2bl w:val="nil"/>
                  </w:tcBorders>
                  <w:vAlign w:val="center"/>
                </w:tcPr>
                <w:p>
                  <w:pPr>
                    <w:pStyle w:val="22"/>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0.397</w:t>
                  </w:r>
                </w:p>
              </w:tc>
              <w:tc>
                <w:tcPr>
                  <w:tcW w:w="1348" w:type="dxa"/>
                  <w:tcBorders>
                    <w:tl2br w:val="nil"/>
                    <w:tr2bl w:val="nil"/>
                  </w:tcBorders>
                  <w:vAlign w:val="center"/>
                </w:tcPr>
                <w:p>
                  <w:pPr>
                    <w:pStyle w:val="22"/>
                    <w:bidi w:val="0"/>
                    <w:rPr>
                      <w:color w:val="000000" w:themeColor="text1"/>
                      <w14:textFill>
                        <w14:solidFill>
                          <w14:schemeClr w14:val="tx1"/>
                        </w14:solidFill>
                      </w14:textFill>
                    </w:rPr>
                  </w:pPr>
                  <w:r>
                    <w:rPr>
                      <w:color w:val="000000" w:themeColor="text1"/>
                      <w14:textFill>
                        <w14:solidFill>
                          <w14:schemeClr w14:val="tx1"/>
                        </w14:solidFill>
                      </w14:textFill>
                    </w:rPr>
                    <w:t>0.013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601" w:type="pct"/>
                  <w:vMerge w:val="continue"/>
                  <w:tcBorders>
                    <w:tl2br w:val="nil"/>
                    <w:tr2bl w:val="nil"/>
                  </w:tcBorders>
                  <w:vAlign w:val="center"/>
                </w:tcPr>
                <w:p>
                  <w:pPr>
                    <w:pStyle w:val="22"/>
                    <w:bidi w:val="0"/>
                    <w:rPr>
                      <w:color w:val="000000" w:themeColor="text1"/>
                      <w14:textFill>
                        <w14:solidFill>
                          <w14:schemeClr w14:val="tx1"/>
                        </w14:solidFill>
                      </w14:textFill>
                    </w:rPr>
                  </w:pPr>
                </w:p>
              </w:tc>
              <w:tc>
                <w:tcPr>
                  <w:tcW w:w="1104" w:type="pct"/>
                  <w:vMerge w:val="continue"/>
                  <w:tcBorders>
                    <w:tl2br w:val="nil"/>
                    <w:tr2bl w:val="nil"/>
                  </w:tcBorders>
                  <w:vAlign w:val="center"/>
                </w:tcPr>
                <w:p>
                  <w:pPr>
                    <w:pStyle w:val="22"/>
                    <w:bidi w:val="0"/>
                    <w:rPr>
                      <w:color w:val="000000" w:themeColor="text1"/>
                      <w14:textFill>
                        <w14:solidFill>
                          <w14:schemeClr w14:val="tx1"/>
                        </w14:solidFill>
                      </w14:textFill>
                    </w:rPr>
                  </w:pPr>
                </w:p>
              </w:tc>
              <w:tc>
                <w:tcPr>
                  <w:tcW w:w="887" w:type="pct"/>
                  <w:tcBorders>
                    <w:tl2br w:val="nil"/>
                    <w:tr2bl w:val="nil"/>
                  </w:tcBorders>
                  <w:vAlign w:val="center"/>
                </w:tcPr>
                <w:p>
                  <w:pPr>
                    <w:pStyle w:val="22"/>
                    <w:bidi w:val="0"/>
                    <w:rPr>
                      <w:color w:val="000000" w:themeColor="text1"/>
                      <w14:textFill>
                        <w14:solidFill>
                          <w14:schemeClr w14:val="tx1"/>
                        </w14:solidFill>
                      </w14:textFill>
                    </w:rPr>
                  </w:pPr>
                  <w:r>
                    <w:rPr>
                      <w:color w:val="000000" w:themeColor="text1"/>
                      <w14:textFill>
                        <w14:solidFill>
                          <w14:schemeClr w14:val="tx1"/>
                        </w14:solidFill>
                      </w14:textFill>
                    </w:rPr>
                    <w:t>SS</w:t>
                  </w:r>
                </w:p>
              </w:tc>
              <w:tc>
                <w:tcPr>
                  <w:tcW w:w="1346" w:type="dxa"/>
                  <w:tcBorders>
                    <w:tl2br w:val="nil"/>
                    <w:tr2bl w:val="nil"/>
                  </w:tcBorders>
                  <w:vAlign w:val="center"/>
                </w:tcPr>
                <w:p>
                  <w:pPr>
                    <w:pStyle w:val="22"/>
                    <w:bidi w:val="0"/>
                    <w:rPr>
                      <w:color w:val="000000" w:themeColor="text1"/>
                      <w14:textFill>
                        <w14:solidFill>
                          <w14:schemeClr w14:val="tx1"/>
                        </w14:solidFill>
                      </w14:textFill>
                    </w:rPr>
                  </w:pPr>
                  <w:r>
                    <w:rPr>
                      <w:color w:val="000000" w:themeColor="text1"/>
                      <w14:textFill>
                        <w14:solidFill>
                          <w14:schemeClr w14:val="tx1"/>
                        </w14:solidFill>
                      </w14:textFill>
                    </w:rPr>
                    <w:t>0.256</w:t>
                  </w:r>
                </w:p>
              </w:tc>
              <w:tc>
                <w:tcPr>
                  <w:tcW w:w="802" w:type="pct"/>
                  <w:tcBorders>
                    <w:tl2br w:val="nil"/>
                    <w:tr2bl w:val="nil"/>
                  </w:tcBorders>
                  <w:vAlign w:val="center"/>
                </w:tcPr>
                <w:p>
                  <w:pPr>
                    <w:pStyle w:val="22"/>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0.243</w:t>
                  </w:r>
                </w:p>
              </w:tc>
              <w:tc>
                <w:tcPr>
                  <w:tcW w:w="1348" w:type="dxa"/>
                  <w:tcBorders>
                    <w:tl2br w:val="nil"/>
                    <w:tr2bl w:val="nil"/>
                  </w:tcBorders>
                  <w:vAlign w:val="center"/>
                </w:tcPr>
                <w:p>
                  <w:pPr>
                    <w:pStyle w:val="22"/>
                    <w:bidi w:val="0"/>
                    <w:rPr>
                      <w:color w:val="000000" w:themeColor="text1"/>
                      <w14:textFill>
                        <w14:solidFill>
                          <w14:schemeClr w14:val="tx1"/>
                        </w14:solidFill>
                      </w14:textFill>
                    </w:rPr>
                  </w:pPr>
                  <w:r>
                    <w:rPr>
                      <w:color w:val="000000" w:themeColor="text1"/>
                      <w14:textFill>
                        <w14:solidFill>
                          <w14:schemeClr w14:val="tx1"/>
                        </w14:solidFill>
                      </w14:textFill>
                    </w:rPr>
                    <w:t>0.013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601" w:type="pct"/>
                  <w:vMerge w:val="continue"/>
                  <w:tcBorders>
                    <w:tl2br w:val="nil"/>
                    <w:tr2bl w:val="nil"/>
                  </w:tcBorders>
                  <w:vAlign w:val="center"/>
                </w:tcPr>
                <w:p>
                  <w:pPr>
                    <w:pStyle w:val="22"/>
                    <w:bidi w:val="0"/>
                    <w:rPr>
                      <w:color w:val="000000" w:themeColor="text1"/>
                      <w14:textFill>
                        <w14:solidFill>
                          <w14:schemeClr w14:val="tx1"/>
                        </w14:solidFill>
                      </w14:textFill>
                    </w:rPr>
                  </w:pPr>
                </w:p>
              </w:tc>
              <w:tc>
                <w:tcPr>
                  <w:tcW w:w="1104" w:type="pct"/>
                  <w:vMerge w:val="continue"/>
                  <w:tcBorders>
                    <w:tl2br w:val="nil"/>
                    <w:tr2bl w:val="nil"/>
                  </w:tcBorders>
                  <w:vAlign w:val="center"/>
                </w:tcPr>
                <w:p>
                  <w:pPr>
                    <w:pStyle w:val="22"/>
                    <w:bidi w:val="0"/>
                    <w:rPr>
                      <w:color w:val="000000" w:themeColor="text1"/>
                      <w14:textFill>
                        <w14:solidFill>
                          <w14:schemeClr w14:val="tx1"/>
                        </w14:solidFill>
                      </w14:textFill>
                    </w:rPr>
                  </w:pPr>
                </w:p>
              </w:tc>
              <w:tc>
                <w:tcPr>
                  <w:tcW w:w="887" w:type="pct"/>
                  <w:tcBorders>
                    <w:tl2br w:val="nil"/>
                    <w:tr2bl w:val="nil"/>
                  </w:tcBorders>
                  <w:vAlign w:val="center"/>
                </w:tcPr>
                <w:p>
                  <w:pPr>
                    <w:pStyle w:val="22"/>
                    <w:bidi w:val="0"/>
                    <w:rPr>
                      <w:color w:val="000000" w:themeColor="text1"/>
                      <w14:textFill>
                        <w14:solidFill>
                          <w14:schemeClr w14:val="tx1"/>
                        </w14:solidFill>
                      </w14:textFill>
                    </w:rPr>
                  </w:pPr>
                  <w:r>
                    <w:rPr>
                      <w:color w:val="000000" w:themeColor="text1"/>
                      <w14:textFill>
                        <w14:solidFill>
                          <w14:schemeClr w14:val="tx1"/>
                        </w14:solidFill>
                      </w14:textFill>
                    </w:rPr>
                    <w:t>BOD</w:t>
                  </w:r>
                  <w:r>
                    <w:rPr>
                      <w:color w:val="000000" w:themeColor="text1"/>
                      <w:vertAlign w:val="subscript"/>
                      <w14:textFill>
                        <w14:solidFill>
                          <w14:schemeClr w14:val="tx1"/>
                        </w14:solidFill>
                      </w14:textFill>
                    </w:rPr>
                    <w:t>5</w:t>
                  </w:r>
                </w:p>
              </w:tc>
              <w:tc>
                <w:tcPr>
                  <w:tcW w:w="1346" w:type="dxa"/>
                  <w:tcBorders>
                    <w:tl2br w:val="nil"/>
                    <w:tr2bl w:val="nil"/>
                  </w:tcBorders>
                  <w:vAlign w:val="center"/>
                </w:tcPr>
                <w:p>
                  <w:pPr>
                    <w:pStyle w:val="22"/>
                    <w:bidi w:val="0"/>
                    <w:rPr>
                      <w:color w:val="000000" w:themeColor="text1"/>
                      <w14:textFill>
                        <w14:solidFill>
                          <w14:schemeClr w14:val="tx1"/>
                        </w14:solidFill>
                      </w14:textFill>
                    </w:rPr>
                  </w:pPr>
                  <w:r>
                    <w:rPr>
                      <w:color w:val="000000" w:themeColor="text1"/>
                      <w14:textFill>
                        <w14:solidFill>
                          <w14:schemeClr w14:val="tx1"/>
                        </w14:solidFill>
                      </w14:textFill>
                    </w:rPr>
                    <w:t>0.045</w:t>
                  </w:r>
                </w:p>
              </w:tc>
              <w:tc>
                <w:tcPr>
                  <w:tcW w:w="802" w:type="pct"/>
                  <w:tcBorders>
                    <w:tl2br w:val="nil"/>
                    <w:tr2bl w:val="nil"/>
                  </w:tcBorders>
                  <w:vAlign w:val="center"/>
                </w:tcPr>
                <w:p>
                  <w:pPr>
                    <w:pStyle w:val="22"/>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0.039</w:t>
                  </w:r>
                </w:p>
              </w:tc>
              <w:tc>
                <w:tcPr>
                  <w:tcW w:w="1348" w:type="dxa"/>
                  <w:tcBorders>
                    <w:tl2br w:val="nil"/>
                    <w:tr2bl w:val="nil"/>
                  </w:tcBorders>
                  <w:vAlign w:val="center"/>
                </w:tcPr>
                <w:p>
                  <w:pPr>
                    <w:pStyle w:val="22"/>
                    <w:bidi w:val="0"/>
                    <w:rPr>
                      <w:color w:val="000000" w:themeColor="text1"/>
                      <w14:textFill>
                        <w14:solidFill>
                          <w14:schemeClr w14:val="tx1"/>
                        </w14:solidFill>
                      </w14:textFill>
                    </w:rPr>
                  </w:pPr>
                  <w:r>
                    <w:rPr>
                      <w:color w:val="000000" w:themeColor="text1"/>
                      <w14:textFill>
                        <w14:solidFill>
                          <w14:schemeClr w14:val="tx1"/>
                        </w14:solidFill>
                      </w14:textFill>
                    </w:rPr>
                    <w:t>0.006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01" w:type="pct"/>
                  <w:tcBorders>
                    <w:tl2br w:val="nil"/>
                    <w:tr2bl w:val="nil"/>
                  </w:tcBorders>
                  <w:vAlign w:val="center"/>
                </w:tcPr>
                <w:p>
                  <w:pPr>
                    <w:pStyle w:val="22"/>
                    <w:bidi w:val="0"/>
                    <w:rPr>
                      <w:color w:val="000000" w:themeColor="text1"/>
                      <w14:textFill>
                        <w14:solidFill>
                          <w14:schemeClr w14:val="tx1"/>
                        </w14:solidFill>
                      </w14:textFill>
                    </w:rPr>
                  </w:pPr>
                  <w:r>
                    <w:rPr>
                      <w:color w:val="000000" w:themeColor="text1"/>
                      <w14:textFill>
                        <w14:solidFill>
                          <w14:schemeClr w14:val="tx1"/>
                        </w14:solidFill>
                      </w14:textFill>
                    </w:rPr>
                    <w:t>噪声</w:t>
                  </w:r>
                </w:p>
              </w:tc>
              <w:tc>
                <w:tcPr>
                  <w:tcW w:w="1991" w:type="pct"/>
                  <w:gridSpan w:val="2"/>
                  <w:tcBorders>
                    <w:tl2br w:val="nil"/>
                    <w:tr2bl w:val="nil"/>
                  </w:tcBorders>
                  <w:vAlign w:val="center"/>
                </w:tcPr>
                <w:p>
                  <w:pPr>
                    <w:pStyle w:val="22"/>
                    <w:bidi w:val="0"/>
                    <w:rPr>
                      <w:color w:val="000000" w:themeColor="text1"/>
                      <w14:textFill>
                        <w14:solidFill>
                          <w14:schemeClr w14:val="tx1"/>
                        </w14:solidFill>
                      </w14:textFill>
                    </w:rPr>
                  </w:pPr>
                  <w:r>
                    <w:rPr>
                      <w:color w:val="000000" w:themeColor="text1"/>
                      <w14:textFill>
                        <w14:solidFill>
                          <w14:schemeClr w14:val="tx1"/>
                        </w14:solidFill>
                      </w14:textFill>
                    </w:rPr>
                    <w:t>设备</w:t>
                  </w:r>
                  <w:r>
                    <w:rPr>
                      <w:rFonts w:hint="eastAsia"/>
                      <w:color w:val="000000" w:themeColor="text1"/>
                      <w:lang w:val="en-US" w:eastAsia="zh-CN"/>
                      <w14:textFill>
                        <w14:solidFill>
                          <w14:schemeClr w14:val="tx1"/>
                        </w14:solidFill>
                      </w14:textFill>
                    </w:rPr>
                    <w:t>运行</w:t>
                  </w:r>
                  <w:r>
                    <w:rPr>
                      <w:color w:val="000000" w:themeColor="text1"/>
                      <w14:textFill>
                        <w14:solidFill>
                          <w14:schemeClr w14:val="tx1"/>
                        </w14:solidFill>
                      </w14:textFill>
                    </w:rPr>
                    <w:t>噪声</w:t>
                  </w:r>
                </w:p>
              </w:tc>
              <w:tc>
                <w:tcPr>
                  <w:tcW w:w="2407" w:type="pct"/>
                  <w:gridSpan w:val="3"/>
                  <w:tcBorders>
                    <w:tl2br w:val="nil"/>
                    <w:tr2bl w:val="nil"/>
                  </w:tcBorders>
                  <w:vAlign w:val="center"/>
                </w:tcPr>
                <w:p>
                  <w:pPr>
                    <w:pStyle w:val="22"/>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车间噪声源强约为7</w:t>
                  </w:r>
                  <w:r>
                    <w:rPr>
                      <w:rFonts w:hint="eastAsia"/>
                      <w:color w:val="000000" w:themeColor="text1"/>
                      <w:lang w:val="en-US" w:eastAsia="zh-CN"/>
                      <w14:textFill>
                        <w14:solidFill>
                          <w14:schemeClr w14:val="tx1"/>
                        </w14:solidFill>
                      </w14:textFill>
                    </w:rPr>
                    <w:t>5</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85</w:t>
                  </w:r>
                  <w:r>
                    <w:rPr>
                      <w:rFonts w:hint="eastAsia"/>
                      <w:color w:val="000000" w:themeColor="text1"/>
                      <w14:textFill>
                        <w14:solidFill>
                          <w14:schemeClr w14:val="tx1"/>
                        </w14:solidFill>
                      </w14:textFill>
                    </w:rPr>
                    <w:t>dB(A)，只要企业做好各项噪声污染防治措施，项目运行后昼夜间厂界噪声均可以达到《工业企业厂界环境噪声排放标准》（GB12348-2008）3类标准限值要求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01" w:type="pct"/>
                  <w:vMerge w:val="restart"/>
                  <w:tcBorders>
                    <w:tl2br w:val="nil"/>
                    <w:tr2bl w:val="nil"/>
                  </w:tcBorders>
                  <w:vAlign w:val="center"/>
                </w:tcPr>
                <w:p>
                  <w:pPr>
                    <w:pStyle w:val="22"/>
                    <w:bidi w:val="0"/>
                    <w:rPr>
                      <w:color w:val="000000" w:themeColor="text1"/>
                      <w14:textFill>
                        <w14:solidFill>
                          <w14:schemeClr w14:val="tx1"/>
                        </w14:solidFill>
                      </w14:textFill>
                    </w:rPr>
                  </w:pPr>
                  <w:r>
                    <w:rPr>
                      <w:color w:val="000000" w:themeColor="text1"/>
                      <w14:textFill>
                        <w14:solidFill>
                          <w14:schemeClr w14:val="tx1"/>
                        </w14:solidFill>
                      </w14:textFill>
                    </w:rPr>
                    <w:t>固废</w:t>
                  </w:r>
                </w:p>
              </w:tc>
              <w:tc>
                <w:tcPr>
                  <w:tcW w:w="1991" w:type="pct"/>
                  <w:gridSpan w:val="2"/>
                  <w:tcBorders>
                    <w:tl2br w:val="nil"/>
                    <w:tr2bl w:val="nil"/>
                  </w:tcBorders>
                  <w:vAlign w:val="center"/>
                </w:tcPr>
                <w:p>
                  <w:pPr>
                    <w:pStyle w:val="22"/>
                    <w:bidi w:val="0"/>
                    <w:ind w:firstLine="0" w:firstLineChars="0"/>
                    <w:rPr>
                      <w:rFonts w:hint="eastAsia"/>
                      <w:color w:val="000000" w:themeColor="text1"/>
                      <w:lang w:val="en-US" w:eastAsia="zh-CN"/>
                      <w14:textFill>
                        <w14:solidFill>
                          <w14:schemeClr w14:val="tx1"/>
                        </w14:solidFill>
                      </w14:textFill>
                    </w:rPr>
                  </w:pPr>
                  <w:r>
                    <w:rPr>
                      <w:color w:val="000000" w:themeColor="text1"/>
                      <w14:textFill>
                        <w14:solidFill>
                          <w14:schemeClr w14:val="tx1"/>
                        </w14:solidFill>
                      </w14:textFill>
                    </w:rPr>
                    <w:t>废边角料及不合格品</w:t>
                  </w:r>
                </w:p>
              </w:tc>
              <w:tc>
                <w:tcPr>
                  <w:tcW w:w="802" w:type="pct"/>
                  <w:tcBorders>
                    <w:tl2br w:val="nil"/>
                    <w:tr2bl w:val="nil"/>
                  </w:tcBorders>
                  <w:vAlign w:val="center"/>
                </w:tcPr>
                <w:p>
                  <w:pPr>
                    <w:pStyle w:val="22"/>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10.8</w:t>
                  </w:r>
                </w:p>
              </w:tc>
              <w:tc>
                <w:tcPr>
                  <w:tcW w:w="802" w:type="pct"/>
                  <w:tcBorders>
                    <w:tl2br w:val="nil"/>
                    <w:tr2bl w:val="nil"/>
                  </w:tcBorders>
                  <w:vAlign w:val="center"/>
                </w:tcPr>
                <w:p>
                  <w:pPr>
                    <w:pStyle w:val="22"/>
                    <w:bidi w:val="0"/>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10.8</w:t>
                  </w:r>
                </w:p>
              </w:tc>
              <w:tc>
                <w:tcPr>
                  <w:tcW w:w="802" w:type="pct"/>
                  <w:tcBorders>
                    <w:tl2br w:val="nil"/>
                    <w:tr2bl w:val="nil"/>
                  </w:tcBorders>
                  <w:vAlign w:val="center"/>
                </w:tcPr>
                <w:p>
                  <w:pPr>
                    <w:pStyle w:val="22"/>
                    <w:bidi w:val="0"/>
                    <w:rPr>
                      <w:color w:val="000000" w:themeColor="text1"/>
                      <w14:textFill>
                        <w14:solidFill>
                          <w14:schemeClr w14:val="tx1"/>
                        </w14:solidFill>
                      </w14:textFill>
                    </w:rPr>
                  </w:pPr>
                  <w:r>
                    <w:rPr>
                      <w:color w:val="000000" w:themeColor="text1"/>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01" w:type="pct"/>
                  <w:vMerge w:val="continue"/>
                  <w:tcBorders>
                    <w:tl2br w:val="nil"/>
                    <w:tr2bl w:val="nil"/>
                  </w:tcBorders>
                  <w:vAlign w:val="center"/>
                </w:tcPr>
                <w:p>
                  <w:pPr>
                    <w:pStyle w:val="22"/>
                    <w:bidi w:val="0"/>
                    <w:rPr>
                      <w:color w:val="000000" w:themeColor="text1"/>
                      <w14:textFill>
                        <w14:solidFill>
                          <w14:schemeClr w14:val="tx1"/>
                        </w14:solidFill>
                      </w14:textFill>
                    </w:rPr>
                  </w:pPr>
                </w:p>
              </w:tc>
              <w:tc>
                <w:tcPr>
                  <w:tcW w:w="1991" w:type="pct"/>
                  <w:gridSpan w:val="2"/>
                  <w:tcBorders>
                    <w:tl2br w:val="nil"/>
                    <w:tr2bl w:val="nil"/>
                  </w:tcBorders>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打磨粉尘</w:t>
                  </w:r>
                </w:p>
              </w:tc>
              <w:tc>
                <w:tcPr>
                  <w:tcW w:w="802" w:type="pct"/>
                  <w:tcBorders>
                    <w:tl2br w:val="nil"/>
                    <w:tr2bl w:val="nil"/>
                  </w:tcBorders>
                  <w:vAlign w:val="center"/>
                </w:tcPr>
                <w:p>
                  <w:pPr>
                    <w:pStyle w:val="22"/>
                    <w:bidi w:val="0"/>
                    <w:rPr>
                      <w:rFonts w:hint="eastAsia"/>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0.01</w:t>
                  </w:r>
                </w:p>
              </w:tc>
              <w:tc>
                <w:tcPr>
                  <w:tcW w:w="802" w:type="pct"/>
                  <w:tcBorders>
                    <w:tl2br w:val="nil"/>
                    <w:tr2bl w:val="nil"/>
                  </w:tcBorders>
                  <w:vAlign w:val="center"/>
                </w:tcPr>
                <w:p>
                  <w:pPr>
                    <w:pStyle w:val="22"/>
                    <w:bidi w:val="0"/>
                    <w:ind w:firstLine="0" w:firstLineChars="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0.01</w:t>
                  </w:r>
                </w:p>
              </w:tc>
              <w:tc>
                <w:tcPr>
                  <w:tcW w:w="802" w:type="pct"/>
                  <w:tcBorders>
                    <w:tl2br w:val="nil"/>
                    <w:tr2bl w:val="nil"/>
                  </w:tcBorders>
                  <w:vAlign w:val="center"/>
                </w:tcPr>
                <w:p>
                  <w:pPr>
                    <w:pStyle w:val="22"/>
                    <w:bidi w:val="0"/>
                    <w:rPr>
                      <w:rFonts w:hint="eastAsia"/>
                      <w:color w:val="000000" w:themeColor="text1"/>
                      <w14:textFill>
                        <w14:solidFill>
                          <w14:schemeClr w14:val="tx1"/>
                        </w14:solidFill>
                      </w14:textFill>
                    </w:rPr>
                  </w:pPr>
                  <w:r>
                    <w:rPr>
                      <w:color w:val="000000" w:themeColor="text1"/>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01" w:type="pct"/>
                  <w:vMerge w:val="continue"/>
                  <w:tcBorders>
                    <w:tl2br w:val="nil"/>
                    <w:tr2bl w:val="nil"/>
                  </w:tcBorders>
                  <w:vAlign w:val="center"/>
                </w:tcPr>
                <w:p>
                  <w:pPr>
                    <w:pStyle w:val="22"/>
                    <w:bidi w:val="0"/>
                    <w:rPr>
                      <w:color w:val="000000" w:themeColor="text1"/>
                      <w14:textFill>
                        <w14:solidFill>
                          <w14:schemeClr w14:val="tx1"/>
                        </w14:solidFill>
                      </w14:textFill>
                    </w:rPr>
                  </w:pPr>
                </w:p>
              </w:tc>
              <w:tc>
                <w:tcPr>
                  <w:tcW w:w="1991" w:type="pct"/>
                  <w:gridSpan w:val="2"/>
                  <w:tcBorders>
                    <w:tl2br w:val="nil"/>
                    <w:tr2bl w:val="nil"/>
                  </w:tcBorders>
                  <w:vAlign w:val="center"/>
                </w:tcPr>
                <w:p>
                  <w:pPr>
                    <w:pStyle w:val="22"/>
                    <w:bidi w:val="0"/>
                    <w:ind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除尘器收集的粉尘</w:t>
                  </w:r>
                </w:p>
              </w:tc>
              <w:tc>
                <w:tcPr>
                  <w:tcW w:w="802" w:type="pct"/>
                  <w:tcBorders>
                    <w:tl2br w:val="nil"/>
                    <w:tr2bl w:val="nil"/>
                  </w:tcBorders>
                  <w:vAlign w:val="center"/>
                </w:tcPr>
                <w:p>
                  <w:pPr>
                    <w:pStyle w:val="2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0.081</w:t>
                  </w:r>
                </w:p>
              </w:tc>
              <w:tc>
                <w:tcPr>
                  <w:tcW w:w="802" w:type="pct"/>
                  <w:tcBorders>
                    <w:tl2br w:val="nil"/>
                    <w:tr2bl w:val="nil"/>
                  </w:tcBorders>
                  <w:vAlign w:val="center"/>
                </w:tcPr>
                <w:p>
                  <w:pPr>
                    <w:pStyle w:val="22"/>
                    <w:bidi w:val="0"/>
                    <w:ind w:firstLine="0" w:firstLineChars="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0.081</w:t>
                  </w:r>
                </w:p>
              </w:tc>
              <w:tc>
                <w:tcPr>
                  <w:tcW w:w="802" w:type="pct"/>
                  <w:tcBorders>
                    <w:tl2br w:val="nil"/>
                    <w:tr2bl w:val="nil"/>
                  </w:tcBorders>
                  <w:vAlign w:val="center"/>
                </w:tcPr>
                <w:p>
                  <w:pPr>
                    <w:pStyle w:val="22"/>
                    <w:bidi w:val="0"/>
                    <w:rPr>
                      <w:rFonts w:hint="eastAsia"/>
                      <w:color w:val="000000" w:themeColor="text1"/>
                      <w14:textFill>
                        <w14:solidFill>
                          <w14:schemeClr w14:val="tx1"/>
                        </w14:solidFill>
                      </w14:textFill>
                    </w:rPr>
                  </w:pPr>
                  <w:r>
                    <w:rPr>
                      <w:color w:val="000000" w:themeColor="text1"/>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01" w:type="pct"/>
                  <w:vMerge w:val="continue"/>
                  <w:tcBorders>
                    <w:tl2br w:val="nil"/>
                    <w:tr2bl w:val="nil"/>
                  </w:tcBorders>
                  <w:vAlign w:val="center"/>
                </w:tcPr>
                <w:p>
                  <w:pPr>
                    <w:pStyle w:val="22"/>
                    <w:bidi w:val="0"/>
                    <w:rPr>
                      <w:color w:val="000000" w:themeColor="text1"/>
                      <w14:textFill>
                        <w14:solidFill>
                          <w14:schemeClr w14:val="tx1"/>
                        </w14:solidFill>
                      </w14:textFill>
                    </w:rPr>
                  </w:pPr>
                </w:p>
              </w:tc>
              <w:tc>
                <w:tcPr>
                  <w:tcW w:w="1991" w:type="pct"/>
                  <w:gridSpan w:val="2"/>
                  <w:tcBorders>
                    <w:tl2br w:val="nil"/>
                    <w:tr2bl w:val="nil"/>
                  </w:tcBorders>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废切削液</w:t>
                  </w:r>
                </w:p>
              </w:tc>
              <w:tc>
                <w:tcPr>
                  <w:tcW w:w="802" w:type="pct"/>
                  <w:tcBorders>
                    <w:tl2br w:val="nil"/>
                    <w:tr2bl w:val="nil"/>
                  </w:tcBorders>
                  <w:vAlign w:val="center"/>
                </w:tcPr>
                <w:p>
                  <w:pPr>
                    <w:pStyle w:val="22"/>
                    <w:bidi w:val="0"/>
                    <w:rPr>
                      <w:rFonts w:hint="eastAsia"/>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0.48</w:t>
                  </w:r>
                </w:p>
              </w:tc>
              <w:tc>
                <w:tcPr>
                  <w:tcW w:w="802" w:type="pct"/>
                  <w:tcBorders>
                    <w:tl2br w:val="nil"/>
                    <w:tr2bl w:val="nil"/>
                  </w:tcBorders>
                  <w:vAlign w:val="center"/>
                </w:tcPr>
                <w:p>
                  <w:pPr>
                    <w:pStyle w:val="22"/>
                    <w:bidi w:val="0"/>
                    <w:ind w:firstLine="0" w:firstLineChars="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0.48</w:t>
                  </w:r>
                </w:p>
              </w:tc>
              <w:tc>
                <w:tcPr>
                  <w:tcW w:w="802" w:type="pct"/>
                  <w:tcBorders>
                    <w:tl2br w:val="nil"/>
                    <w:tr2bl w:val="nil"/>
                  </w:tcBorders>
                  <w:vAlign w:val="center"/>
                </w:tcPr>
                <w:p>
                  <w:pPr>
                    <w:pStyle w:val="22"/>
                    <w:bidi w:val="0"/>
                    <w:rPr>
                      <w:rFonts w:hint="eastAsia"/>
                      <w:color w:val="000000" w:themeColor="text1"/>
                      <w14:textFill>
                        <w14:solidFill>
                          <w14:schemeClr w14:val="tx1"/>
                        </w14:solidFill>
                      </w14:textFill>
                    </w:rPr>
                  </w:pPr>
                  <w:r>
                    <w:rPr>
                      <w:color w:val="000000" w:themeColor="text1"/>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01" w:type="pct"/>
                  <w:vMerge w:val="continue"/>
                  <w:tcBorders>
                    <w:tl2br w:val="nil"/>
                    <w:tr2bl w:val="nil"/>
                  </w:tcBorders>
                  <w:vAlign w:val="center"/>
                </w:tcPr>
                <w:p>
                  <w:pPr>
                    <w:pStyle w:val="22"/>
                    <w:bidi w:val="0"/>
                    <w:rPr>
                      <w:color w:val="000000" w:themeColor="text1"/>
                      <w14:textFill>
                        <w14:solidFill>
                          <w14:schemeClr w14:val="tx1"/>
                        </w14:solidFill>
                      </w14:textFill>
                    </w:rPr>
                  </w:pPr>
                </w:p>
              </w:tc>
              <w:tc>
                <w:tcPr>
                  <w:tcW w:w="1991" w:type="pct"/>
                  <w:gridSpan w:val="2"/>
                  <w:tcBorders>
                    <w:tl2br w:val="nil"/>
                    <w:tr2bl w:val="nil"/>
                  </w:tcBorders>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废液压油</w:t>
                  </w:r>
                </w:p>
              </w:tc>
              <w:tc>
                <w:tcPr>
                  <w:tcW w:w="802" w:type="pct"/>
                  <w:tcBorders>
                    <w:tl2br w:val="nil"/>
                    <w:tr2bl w:val="nil"/>
                  </w:tcBorders>
                  <w:vAlign w:val="center"/>
                </w:tcPr>
                <w:p>
                  <w:pPr>
                    <w:pStyle w:val="22"/>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0.5</w:t>
                  </w:r>
                </w:p>
              </w:tc>
              <w:tc>
                <w:tcPr>
                  <w:tcW w:w="802" w:type="pct"/>
                  <w:tcBorders>
                    <w:tl2br w:val="nil"/>
                    <w:tr2bl w:val="nil"/>
                  </w:tcBorders>
                  <w:vAlign w:val="center"/>
                </w:tcPr>
                <w:p>
                  <w:pPr>
                    <w:pStyle w:val="22"/>
                    <w:bidi w:val="0"/>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0.5</w:t>
                  </w:r>
                </w:p>
              </w:tc>
              <w:tc>
                <w:tcPr>
                  <w:tcW w:w="802" w:type="pct"/>
                  <w:tcBorders>
                    <w:tl2br w:val="nil"/>
                    <w:tr2bl w:val="nil"/>
                  </w:tcBorders>
                  <w:vAlign w:val="center"/>
                </w:tcPr>
                <w:p>
                  <w:pPr>
                    <w:pStyle w:val="22"/>
                    <w:bidi w:val="0"/>
                    <w:rPr>
                      <w:rFonts w:hint="eastAsia"/>
                      <w:color w:val="000000" w:themeColor="text1"/>
                      <w14:textFill>
                        <w14:solidFill>
                          <w14:schemeClr w14:val="tx1"/>
                        </w14:solidFill>
                      </w14:textFill>
                    </w:rPr>
                  </w:pPr>
                  <w:r>
                    <w:rPr>
                      <w:color w:val="000000" w:themeColor="text1"/>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01" w:type="pct"/>
                  <w:vMerge w:val="continue"/>
                  <w:tcBorders>
                    <w:tl2br w:val="nil"/>
                    <w:tr2bl w:val="nil"/>
                  </w:tcBorders>
                  <w:vAlign w:val="center"/>
                </w:tcPr>
                <w:p>
                  <w:pPr>
                    <w:pStyle w:val="22"/>
                    <w:bidi w:val="0"/>
                    <w:rPr>
                      <w:color w:val="000000" w:themeColor="text1"/>
                      <w14:textFill>
                        <w14:solidFill>
                          <w14:schemeClr w14:val="tx1"/>
                        </w14:solidFill>
                      </w14:textFill>
                    </w:rPr>
                  </w:pPr>
                </w:p>
              </w:tc>
              <w:tc>
                <w:tcPr>
                  <w:tcW w:w="1991" w:type="pct"/>
                  <w:gridSpan w:val="2"/>
                  <w:tcBorders>
                    <w:tl2br w:val="nil"/>
                    <w:tr2bl w:val="nil"/>
                  </w:tcBorders>
                  <w:vAlign w:val="center"/>
                </w:tcPr>
                <w:p>
                  <w:pPr>
                    <w:pStyle w:val="22"/>
                    <w:bidi w:val="0"/>
                    <w:ind w:firstLine="0" w:firstLineChars="0"/>
                    <w:rPr>
                      <w:color w:val="000000" w:themeColor="text1"/>
                      <w:lang w:val="en-US" w:eastAsia="zh-CN"/>
                      <w14:textFill>
                        <w14:solidFill>
                          <w14:schemeClr w14:val="tx1"/>
                        </w14:solidFill>
                      </w14:textFill>
                    </w:rPr>
                  </w:pPr>
                  <w:r>
                    <w:rPr>
                      <w:color w:val="000000" w:themeColor="text1"/>
                      <w14:textFill>
                        <w14:solidFill>
                          <w14:schemeClr w14:val="tx1"/>
                        </w14:solidFill>
                      </w14:textFill>
                    </w:rPr>
                    <w:t>废润滑油</w:t>
                  </w:r>
                </w:p>
              </w:tc>
              <w:tc>
                <w:tcPr>
                  <w:tcW w:w="802" w:type="pct"/>
                  <w:tcBorders>
                    <w:tl2br w:val="nil"/>
                    <w:tr2bl w:val="nil"/>
                  </w:tcBorders>
                  <w:vAlign w:val="center"/>
                </w:tcPr>
                <w:p>
                  <w:pPr>
                    <w:pStyle w:val="22"/>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0.2</w:t>
                  </w:r>
                </w:p>
              </w:tc>
              <w:tc>
                <w:tcPr>
                  <w:tcW w:w="802" w:type="pct"/>
                  <w:tcBorders>
                    <w:tl2br w:val="nil"/>
                    <w:tr2bl w:val="nil"/>
                  </w:tcBorders>
                  <w:vAlign w:val="center"/>
                </w:tcPr>
                <w:p>
                  <w:pPr>
                    <w:pStyle w:val="22"/>
                    <w:bidi w:val="0"/>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0.2</w:t>
                  </w:r>
                </w:p>
              </w:tc>
              <w:tc>
                <w:tcPr>
                  <w:tcW w:w="802" w:type="pct"/>
                  <w:tcBorders>
                    <w:tl2br w:val="nil"/>
                    <w:tr2bl w:val="nil"/>
                  </w:tcBorders>
                  <w:vAlign w:val="center"/>
                </w:tcPr>
                <w:p>
                  <w:pPr>
                    <w:pStyle w:val="22"/>
                    <w:bidi w:val="0"/>
                    <w:rPr>
                      <w:color w:val="000000" w:themeColor="text1"/>
                      <w14:textFill>
                        <w14:solidFill>
                          <w14:schemeClr w14:val="tx1"/>
                        </w14:solidFill>
                      </w14:textFill>
                    </w:rPr>
                  </w:pPr>
                  <w:r>
                    <w:rPr>
                      <w:color w:val="000000" w:themeColor="text1"/>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01" w:type="pct"/>
                  <w:vMerge w:val="continue"/>
                  <w:tcBorders>
                    <w:tl2br w:val="nil"/>
                    <w:tr2bl w:val="nil"/>
                  </w:tcBorders>
                  <w:vAlign w:val="center"/>
                </w:tcPr>
                <w:p>
                  <w:pPr>
                    <w:pStyle w:val="22"/>
                    <w:bidi w:val="0"/>
                    <w:rPr>
                      <w:color w:val="000000" w:themeColor="text1"/>
                      <w14:textFill>
                        <w14:solidFill>
                          <w14:schemeClr w14:val="tx1"/>
                        </w14:solidFill>
                      </w14:textFill>
                    </w:rPr>
                  </w:pPr>
                </w:p>
              </w:tc>
              <w:tc>
                <w:tcPr>
                  <w:tcW w:w="1991" w:type="pct"/>
                  <w:gridSpan w:val="2"/>
                  <w:tcBorders>
                    <w:tl2br w:val="nil"/>
                    <w:tr2bl w:val="nil"/>
                  </w:tcBorders>
                  <w:vAlign w:val="center"/>
                </w:tcPr>
                <w:p>
                  <w:pPr>
                    <w:pStyle w:val="22"/>
                    <w:bidi w:val="0"/>
                    <w:ind w:firstLine="0" w:firstLineChars="0"/>
                    <w:rPr>
                      <w:color w:val="000000" w:themeColor="text1"/>
                      <w:lang w:val="en-US" w:eastAsia="zh-CN"/>
                      <w14:textFill>
                        <w14:solidFill>
                          <w14:schemeClr w14:val="tx1"/>
                        </w14:solidFill>
                      </w14:textFill>
                    </w:rPr>
                  </w:pPr>
                  <w:r>
                    <w:rPr>
                      <w:color w:val="000000" w:themeColor="text1"/>
                      <w14:textFill>
                        <w14:solidFill>
                          <w14:schemeClr w14:val="tx1"/>
                        </w14:solidFill>
                      </w14:textFill>
                    </w:rPr>
                    <w:t>废</w:t>
                  </w:r>
                  <w:r>
                    <w:rPr>
                      <w:rFonts w:hint="eastAsia"/>
                      <w:color w:val="000000" w:themeColor="text1"/>
                      <w14:textFill>
                        <w14:solidFill>
                          <w14:schemeClr w14:val="tx1"/>
                        </w14:solidFill>
                      </w14:textFill>
                    </w:rPr>
                    <w:t>包装</w:t>
                  </w:r>
                  <w:r>
                    <w:rPr>
                      <w:color w:val="000000" w:themeColor="text1"/>
                      <w14:textFill>
                        <w14:solidFill>
                          <w14:schemeClr w14:val="tx1"/>
                        </w14:solidFill>
                      </w14:textFill>
                    </w:rPr>
                    <w:t>桶</w:t>
                  </w:r>
                </w:p>
              </w:tc>
              <w:tc>
                <w:tcPr>
                  <w:tcW w:w="802" w:type="pct"/>
                  <w:tcBorders>
                    <w:tl2br w:val="nil"/>
                    <w:tr2bl w:val="nil"/>
                  </w:tcBorders>
                  <w:vAlign w:val="center"/>
                </w:tcPr>
                <w:p>
                  <w:pPr>
                    <w:pStyle w:val="22"/>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0.2</w:t>
                  </w:r>
                </w:p>
              </w:tc>
              <w:tc>
                <w:tcPr>
                  <w:tcW w:w="802" w:type="pct"/>
                  <w:tcBorders>
                    <w:tl2br w:val="nil"/>
                    <w:tr2bl w:val="nil"/>
                  </w:tcBorders>
                  <w:vAlign w:val="center"/>
                </w:tcPr>
                <w:p>
                  <w:pPr>
                    <w:pStyle w:val="22"/>
                    <w:bidi w:val="0"/>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0.2</w:t>
                  </w:r>
                </w:p>
              </w:tc>
              <w:tc>
                <w:tcPr>
                  <w:tcW w:w="802" w:type="pct"/>
                  <w:tcBorders>
                    <w:tl2br w:val="nil"/>
                    <w:tr2bl w:val="nil"/>
                  </w:tcBorders>
                  <w:vAlign w:val="center"/>
                </w:tcPr>
                <w:p>
                  <w:pPr>
                    <w:pStyle w:val="22"/>
                    <w:bidi w:val="0"/>
                    <w:rPr>
                      <w:color w:val="000000" w:themeColor="text1"/>
                      <w14:textFill>
                        <w14:solidFill>
                          <w14:schemeClr w14:val="tx1"/>
                        </w14:solidFill>
                      </w14:textFill>
                    </w:rPr>
                  </w:pPr>
                  <w:r>
                    <w:rPr>
                      <w:color w:val="000000" w:themeColor="text1"/>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01" w:type="pct"/>
                  <w:vMerge w:val="continue"/>
                  <w:tcBorders>
                    <w:tl2br w:val="nil"/>
                    <w:tr2bl w:val="nil"/>
                  </w:tcBorders>
                  <w:vAlign w:val="center"/>
                </w:tcPr>
                <w:p>
                  <w:pPr>
                    <w:pStyle w:val="22"/>
                    <w:bidi w:val="0"/>
                    <w:rPr>
                      <w:color w:val="000000" w:themeColor="text1"/>
                      <w14:textFill>
                        <w14:solidFill>
                          <w14:schemeClr w14:val="tx1"/>
                        </w14:solidFill>
                      </w14:textFill>
                    </w:rPr>
                  </w:pPr>
                </w:p>
              </w:tc>
              <w:tc>
                <w:tcPr>
                  <w:tcW w:w="1991" w:type="pct"/>
                  <w:gridSpan w:val="2"/>
                  <w:tcBorders>
                    <w:tl2br w:val="nil"/>
                    <w:tr2bl w:val="nil"/>
                  </w:tcBorders>
                  <w:vAlign w:val="center"/>
                </w:tcPr>
                <w:p>
                  <w:pPr>
                    <w:pStyle w:val="2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废含油抹布手套</w:t>
                  </w:r>
                </w:p>
              </w:tc>
              <w:tc>
                <w:tcPr>
                  <w:tcW w:w="802" w:type="pct"/>
                  <w:tcBorders>
                    <w:tl2br w:val="nil"/>
                    <w:tr2bl w:val="nil"/>
                  </w:tcBorders>
                  <w:vAlign w:val="center"/>
                </w:tcPr>
                <w:p>
                  <w:pPr>
                    <w:pStyle w:val="22"/>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0.1</w:t>
                  </w:r>
                </w:p>
              </w:tc>
              <w:tc>
                <w:tcPr>
                  <w:tcW w:w="802" w:type="pct"/>
                  <w:tcBorders>
                    <w:tl2br w:val="nil"/>
                    <w:tr2bl w:val="nil"/>
                  </w:tcBorders>
                  <w:vAlign w:val="center"/>
                </w:tcPr>
                <w:p>
                  <w:pPr>
                    <w:pStyle w:val="22"/>
                    <w:bidi w:val="0"/>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0.1</w:t>
                  </w:r>
                </w:p>
              </w:tc>
              <w:tc>
                <w:tcPr>
                  <w:tcW w:w="802" w:type="pct"/>
                  <w:tcBorders>
                    <w:tl2br w:val="nil"/>
                    <w:tr2bl w:val="nil"/>
                  </w:tcBorders>
                  <w:vAlign w:val="center"/>
                </w:tcPr>
                <w:p>
                  <w:pPr>
                    <w:pStyle w:val="22"/>
                    <w:bidi w:val="0"/>
                    <w:rPr>
                      <w:rFonts w:hint="eastAsia"/>
                      <w:color w:val="000000" w:themeColor="text1"/>
                      <w14:textFill>
                        <w14:solidFill>
                          <w14:schemeClr w14:val="tx1"/>
                        </w14:solidFill>
                      </w14:textFill>
                    </w:rPr>
                  </w:pPr>
                  <w:r>
                    <w:rPr>
                      <w:color w:val="000000" w:themeColor="text1"/>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01" w:type="pct"/>
                  <w:vMerge w:val="continue"/>
                  <w:tcBorders>
                    <w:tl2br w:val="nil"/>
                    <w:tr2bl w:val="nil"/>
                  </w:tcBorders>
                  <w:vAlign w:val="center"/>
                </w:tcPr>
                <w:p>
                  <w:pPr>
                    <w:pStyle w:val="22"/>
                    <w:bidi w:val="0"/>
                    <w:rPr>
                      <w:color w:val="000000" w:themeColor="text1"/>
                      <w14:textFill>
                        <w14:solidFill>
                          <w14:schemeClr w14:val="tx1"/>
                        </w14:solidFill>
                      </w14:textFill>
                    </w:rPr>
                  </w:pPr>
                </w:p>
              </w:tc>
              <w:tc>
                <w:tcPr>
                  <w:tcW w:w="1991" w:type="pct"/>
                  <w:gridSpan w:val="2"/>
                  <w:tcBorders>
                    <w:tl2br w:val="nil"/>
                    <w:tr2bl w:val="nil"/>
                  </w:tcBorders>
                  <w:vAlign w:val="center"/>
                </w:tcPr>
                <w:p>
                  <w:pPr>
                    <w:pStyle w:val="22"/>
                    <w:bidi w:val="0"/>
                    <w:ind w:firstLine="0" w:firstLineChars="0"/>
                    <w:rPr>
                      <w:color w:val="000000" w:themeColor="text1"/>
                      <w:lang w:val="en-US" w:eastAsia="zh-CN"/>
                      <w14:textFill>
                        <w14:solidFill>
                          <w14:schemeClr w14:val="tx1"/>
                        </w14:solidFill>
                      </w14:textFill>
                    </w:rPr>
                  </w:pPr>
                  <w:r>
                    <w:rPr>
                      <w:color w:val="000000" w:themeColor="text1"/>
                      <w14:textFill>
                        <w14:solidFill>
                          <w14:schemeClr w14:val="tx1"/>
                        </w14:solidFill>
                      </w14:textFill>
                    </w:rPr>
                    <w:t>生活垃圾</w:t>
                  </w:r>
                </w:p>
              </w:tc>
              <w:tc>
                <w:tcPr>
                  <w:tcW w:w="802" w:type="pct"/>
                  <w:tcBorders>
                    <w:tl2br w:val="nil"/>
                    <w:tr2bl w:val="nil"/>
                  </w:tcBorders>
                  <w:vAlign w:val="center"/>
                </w:tcPr>
                <w:p>
                  <w:pPr>
                    <w:pStyle w:val="22"/>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16</w:t>
                  </w:r>
                </w:p>
              </w:tc>
              <w:tc>
                <w:tcPr>
                  <w:tcW w:w="802" w:type="pct"/>
                  <w:tcBorders>
                    <w:tl2br w:val="nil"/>
                    <w:tr2bl w:val="nil"/>
                  </w:tcBorders>
                  <w:vAlign w:val="center"/>
                </w:tcPr>
                <w:p>
                  <w:pPr>
                    <w:pStyle w:val="22"/>
                    <w:bidi w:val="0"/>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16</w:t>
                  </w:r>
                </w:p>
              </w:tc>
              <w:tc>
                <w:tcPr>
                  <w:tcW w:w="802" w:type="pct"/>
                  <w:tcBorders>
                    <w:tl2br w:val="nil"/>
                    <w:tr2bl w:val="nil"/>
                  </w:tcBorders>
                  <w:vAlign w:val="center"/>
                </w:tcPr>
                <w:p>
                  <w:pPr>
                    <w:pStyle w:val="22"/>
                    <w:bidi w:val="0"/>
                    <w:rPr>
                      <w:color w:val="000000" w:themeColor="text1"/>
                      <w14:textFill>
                        <w14:solidFill>
                          <w14:schemeClr w14:val="tx1"/>
                        </w14:solidFill>
                      </w14:textFill>
                    </w:rPr>
                  </w:pPr>
                  <w:r>
                    <w:rPr>
                      <w:color w:val="000000" w:themeColor="text1"/>
                      <w14:textFill>
                        <w14:solidFill>
                          <w14:schemeClr w14:val="tx1"/>
                        </w14:solidFill>
                      </w14:textFill>
                    </w:rPr>
                    <w:t>0</w:t>
                  </w:r>
                </w:p>
              </w:tc>
            </w:tr>
          </w:tbl>
          <w:p>
            <w:pPr>
              <w:numPr>
                <w:ilvl w:val="0"/>
                <w:numId w:val="10"/>
              </w:numPr>
              <w:bidi w:val="0"/>
              <w:rPr>
                <w:rFonts w:hint="eastAsia"/>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原有项目污染防治措施</w:t>
            </w:r>
          </w:p>
          <w:p>
            <w:pPr>
              <w:pStyle w:val="23"/>
              <w:bidi w:val="0"/>
              <w:rPr>
                <w:rFonts w:hint="eastAsia"/>
                <w:color w:val="000000" w:themeColor="text1"/>
                <w:lang w:val="en-US" w:eastAsia="zh-CN"/>
                <w14:textFill>
                  <w14:solidFill>
                    <w14:schemeClr w14:val="tx1"/>
                  </w14:solidFill>
                </w14:textFill>
              </w:rPr>
            </w:pPr>
          </w:p>
          <w:p>
            <w:pPr>
              <w:pStyle w:val="23"/>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表2-12  原有项目污染防治措施一览表</w:t>
            </w:r>
          </w:p>
          <w:tbl>
            <w:tblPr>
              <w:tblStyle w:val="1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48"/>
              <w:gridCol w:w="3616"/>
              <w:gridCol w:w="382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9" w:type="dxa"/>
                  <w:tcBorders>
                    <w:tl2br w:val="nil"/>
                    <w:tr2bl w:val="nil"/>
                  </w:tcBorders>
                  <w:vAlign w:val="center"/>
                </w:tcPr>
                <w:p>
                  <w:pPr>
                    <w:pStyle w:val="22"/>
                    <w:jc w:val="right"/>
                    <w:rPr>
                      <w:rFonts w:hint="eastAsia"/>
                      <w:color w:val="000000" w:themeColor="text1"/>
                      <w:lang w:val="en-US" w:eastAsia="zh-CN"/>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-54610</wp:posOffset>
                            </wp:positionH>
                            <wp:positionV relativeFrom="paragraph">
                              <wp:posOffset>-9525</wp:posOffset>
                            </wp:positionV>
                            <wp:extent cx="571500" cy="354965"/>
                            <wp:effectExtent l="2540" t="3810" r="16510" b="22225"/>
                            <wp:wrapNone/>
                            <wp:docPr id="8" name="直接连接符 8"/>
                            <wp:cNvGraphicFramePr/>
                            <a:graphic xmlns:a="http://schemas.openxmlformats.org/drawingml/2006/main">
                              <a:graphicData uri="http://schemas.microsoft.com/office/word/2010/wordprocessingShape">
                                <wps:wsp>
                                  <wps:cNvCnPr/>
                                  <wps:spPr>
                                    <a:xfrm>
                                      <a:off x="1264285" y="5676265"/>
                                      <a:ext cx="571500" cy="35496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4.3pt;margin-top:-0.75pt;height:27.95pt;width:45pt;z-index:251661312;mso-width-relative:page;mso-height-relative:page;" filled="f" stroked="t" coordsize="21600,21600" o:gfxdata="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c4Q1BdYAAAAHAQAADwAAAAAAAAABACAAAAAiAAAAZHJzL2Rvd25yZXYueG1sUEsBAhQA&#10;FAAAAAgAh07iQIqsAPD0AQAAwQMAAA4AAAAAAAAAAQAgAAAAJQEAAGRycy9lMm9Eb2MueG1sUEsF&#10;BgAAAAAGAAYAWQEAAIsFAAAAAA==&#10;">
                            <v:fill on="f" focussize="0,0"/>
                            <v:stroke weight="0.5pt" color="#000000 [3200]" miterlimit="8" joinstyle="miter"/>
                            <v:imagedata o:title=""/>
                            <o:lock v:ext="edit" aspectratio="f"/>
                          </v:line>
                        </w:pict>
                      </mc:Fallback>
                    </mc:AlternateContent>
                  </w:r>
                  <w:r>
                    <w:rPr>
                      <w:rFonts w:hint="eastAsia"/>
                      <w:color w:val="000000" w:themeColor="text1"/>
                      <w:lang w:val="en-US" w:eastAsia="zh-CN"/>
                      <w14:textFill>
                        <w14:solidFill>
                          <w14:schemeClr w14:val="tx1"/>
                        </w14:solidFill>
                      </w14:textFill>
                    </w:rPr>
                    <w:t>内容</w:t>
                  </w:r>
                </w:p>
                <w:p>
                  <w:pPr>
                    <w:pStyle w:val="22"/>
                    <w:jc w:val="left"/>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类型</w:t>
                  </w:r>
                </w:p>
              </w:tc>
              <w:tc>
                <w:tcPr>
                  <w:tcW w:w="3616" w:type="dxa"/>
                  <w:tcBorders>
                    <w:tl2br w:val="nil"/>
                    <w:tr2bl w:val="nil"/>
                  </w:tcBorders>
                  <w:vAlign w:val="center"/>
                </w:tcPr>
                <w:p>
                  <w:pPr>
                    <w:pStyle w:val="2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原环评及批复要求</w:t>
                  </w:r>
                </w:p>
              </w:tc>
              <w:tc>
                <w:tcPr>
                  <w:tcW w:w="3827" w:type="dxa"/>
                  <w:tcBorders>
                    <w:tl2br w:val="nil"/>
                    <w:tr2bl w:val="nil"/>
                  </w:tcBorders>
                  <w:vAlign w:val="center"/>
                </w:tcPr>
                <w:p>
                  <w:pPr>
                    <w:pStyle w:val="2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达标性分析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9" w:type="dxa"/>
                  <w:tcBorders>
                    <w:tl2br w:val="nil"/>
                    <w:tr2bl w:val="nil"/>
                  </w:tcBorders>
                  <w:vAlign w:val="center"/>
                </w:tcPr>
                <w:p>
                  <w:pPr>
                    <w:pStyle w:val="2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废气</w:t>
                  </w:r>
                </w:p>
              </w:tc>
              <w:tc>
                <w:tcPr>
                  <w:tcW w:w="3616" w:type="dxa"/>
                  <w:tcBorders>
                    <w:tl2br w:val="nil"/>
                    <w:tr2bl w:val="nil"/>
                  </w:tcBorders>
                  <w:vAlign w:val="center"/>
                </w:tcPr>
                <w:p>
                  <w:pPr>
                    <w:pStyle w:val="22"/>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加强大气污染防治。切实落实现行大气污染防治环境管控要求。打磨环节产生的颗粒物应经处理后达标排放并控制无组织排放。排放口符合规范化设置要求。污染治理设施正常运行</w:t>
                  </w:r>
                </w:p>
              </w:tc>
              <w:tc>
                <w:tcPr>
                  <w:tcW w:w="3827" w:type="dxa"/>
                  <w:tcBorders>
                    <w:tl2br w:val="nil"/>
                    <w:tr2bl w:val="nil"/>
                  </w:tcBorders>
                  <w:vAlign w:val="center"/>
                </w:tcPr>
                <w:p>
                  <w:pPr>
                    <w:pStyle w:val="2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打磨粉尘经设备自带的除尘器处理后在厂区内无组织排放，验收监测期间，界无组织颗粒物浓度满足上海市《大气污染物综合排放标准》(DB31/933-2015)中表3厂界监控浓度限值。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9" w:type="dxa"/>
                  <w:tcBorders>
                    <w:tl2br w:val="nil"/>
                    <w:tr2bl w:val="nil"/>
                  </w:tcBorders>
                  <w:vAlign w:val="center"/>
                </w:tcPr>
                <w:p>
                  <w:pPr>
                    <w:pStyle w:val="22"/>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废水</w:t>
                  </w:r>
                </w:p>
              </w:tc>
              <w:tc>
                <w:tcPr>
                  <w:tcW w:w="3616" w:type="dxa"/>
                  <w:tcBorders>
                    <w:tl2br w:val="nil"/>
                    <w:tr2bl w:val="nil"/>
                  </w:tcBorders>
                  <w:vAlign w:val="center"/>
                </w:tcPr>
                <w:p>
                  <w:pPr>
                    <w:pStyle w:val="22"/>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加强水污染防治。厂区排水实行雨污分流，生活污水经处理后外排执行《污水综合排放标准》(GB8978-1996)中三级标准并满足纳管要求，通过污水管网纳入区域污水处理厂集中处理</w:t>
                  </w:r>
                </w:p>
              </w:tc>
              <w:tc>
                <w:tcPr>
                  <w:tcW w:w="3827" w:type="dxa"/>
                  <w:tcBorders>
                    <w:tl2br w:val="nil"/>
                    <w:tr2bl w:val="nil"/>
                  </w:tcBorders>
                  <w:vAlign w:val="center"/>
                </w:tcPr>
                <w:p>
                  <w:pPr>
                    <w:pStyle w:val="22"/>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生活污水经化粪池预处理后接管进入朱家桥污水处理厂集中处理</w:t>
                  </w:r>
                  <w:r>
                    <w:rPr>
                      <w:rFonts w:hint="eastAsia"/>
                      <w:color w:val="000000" w:themeColor="text1"/>
                      <w:lang w:val="en-US" w:eastAsia="zh-CN"/>
                      <w14:textFill>
                        <w14:solidFill>
                          <w14:schemeClr w14:val="tx1"/>
                        </w14:solidFill>
                      </w14:textFill>
                    </w:rPr>
                    <w:t>，验收监测期间，项目废水总排口pH值、COD、BOD5、氨氮、SS监测结果均符合《污水综合排放标准》(GB8978-1996)中表4三级标准限值要求。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9" w:type="dxa"/>
                  <w:tcBorders>
                    <w:tl2br w:val="nil"/>
                    <w:tr2bl w:val="nil"/>
                  </w:tcBorders>
                  <w:vAlign w:val="center"/>
                </w:tcPr>
                <w:p>
                  <w:pPr>
                    <w:pStyle w:val="22"/>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噪声</w:t>
                  </w:r>
                </w:p>
              </w:tc>
              <w:tc>
                <w:tcPr>
                  <w:tcW w:w="3616" w:type="dxa"/>
                  <w:tcBorders>
                    <w:tl2br w:val="nil"/>
                    <w:tr2bl w:val="nil"/>
                  </w:tcBorders>
                  <w:vAlign w:val="center"/>
                </w:tcPr>
                <w:p>
                  <w:pPr>
                    <w:pStyle w:val="22"/>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强化噪声管理，选用低噪设备，合理安排施工机械安放位置和施工时间，并针对性采取隔声消声、减振距离衰减等措施降低噪声，噪声执行《工业企业厂界环境噪声排放标准》(GB12348-2008)中3类标准</w:t>
                  </w:r>
                </w:p>
              </w:tc>
              <w:tc>
                <w:tcPr>
                  <w:tcW w:w="3827" w:type="dxa"/>
                  <w:tcBorders>
                    <w:tl2br w:val="nil"/>
                    <w:tr2bl w:val="nil"/>
                  </w:tcBorders>
                  <w:vAlign w:val="center"/>
                </w:tcPr>
                <w:p>
                  <w:pPr>
                    <w:pStyle w:val="2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通过选用低噪设备，合理安排施工机械安放位置和施工时间，并采取隔声消声、减振距离衰减等措施，验收监测期间，厂界噪声满足满足《工业企业厂界环境噪声排放标准》(GB12348-2008)中3类标准限值要求。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9" w:type="dxa"/>
                  <w:tcBorders>
                    <w:tl2br w:val="nil"/>
                    <w:tr2bl w:val="nil"/>
                  </w:tcBorders>
                  <w:vAlign w:val="center"/>
                </w:tcPr>
                <w:p>
                  <w:pPr>
                    <w:pStyle w:val="2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固废</w:t>
                  </w:r>
                </w:p>
              </w:tc>
              <w:tc>
                <w:tcPr>
                  <w:tcW w:w="3616" w:type="dxa"/>
                  <w:tcBorders>
                    <w:tl2br w:val="nil"/>
                    <w:tr2bl w:val="nil"/>
                  </w:tcBorders>
                  <w:vAlign w:val="center"/>
                </w:tcPr>
                <w:p>
                  <w:pPr>
                    <w:pStyle w:val="22"/>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加强固废污染防治。一般工业固废应分类收集落实回收利用途径。危险废物(废切削液、废润滑油、液压油、废包装桶、废含油抹布等被列入《国家危险废物名录》的)须委托有相应资质的单位按照有关规定妥善处理处置。贮存设施建设须符合《危险废物贮存污染控制标准》(GB18597-2001)及其修改单有关规定。生活垃圾应统一收集交环卫部门及时清运</w:t>
                  </w:r>
                </w:p>
              </w:tc>
              <w:tc>
                <w:tcPr>
                  <w:tcW w:w="3827" w:type="dxa"/>
                  <w:tcBorders>
                    <w:tl2br w:val="nil"/>
                    <w:tr2bl w:val="nil"/>
                  </w:tcBorders>
                  <w:vAlign w:val="center"/>
                </w:tcPr>
                <w:p>
                  <w:pPr>
                    <w:pStyle w:val="22"/>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项目运营过程中产生的一般固废主要边角料及不合格产品、打磨粉尘、除尘器收集的粉尘，厂区设一般固废区收集暂存，定期外售综合利用。危险废物为废切削液、废油、废润滑油、废液压油，暂存于危废暂存区。项目运营过程中产生的生活垃圾，收集后委托环卫部门清运处理。</w:t>
                  </w:r>
                </w:p>
              </w:tc>
            </w:tr>
          </w:tbl>
          <w:p>
            <w:pPr>
              <w:numPr>
                <w:ilvl w:val="0"/>
                <w:numId w:val="10"/>
              </w:numPr>
              <w:bidi w:val="0"/>
              <w:rPr>
                <w:rFonts w:hint="eastAsia"/>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原有项目总量控制指标</w:t>
            </w:r>
          </w:p>
          <w:p>
            <w:pPr>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废水：本项目废水排放总量为1280t/a，水污染物接管排放总量指标为COD 0.384t/a，NH</w:t>
            </w:r>
            <w:r>
              <w:rPr>
                <w:rFonts w:hint="eastAsia"/>
                <w:color w:val="000000" w:themeColor="text1"/>
                <w:vertAlign w:val="subscript"/>
                <w:lang w:val="en-US" w:eastAsia="zh-CN"/>
                <w14:textFill>
                  <w14:solidFill>
                    <w14:schemeClr w14:val="tx1"/>
                  </w14:solidFill>
                </w14:textFill>
              </w:rPr>
              <w:t>3</w:t>
            </w:r>
            <w:r>
              <w:rPr>
                <w:rFonts w:hint="eastAsia"/>
                <w:color w:val="000000" w:themeColor="text1"/>
                <w:lang w:val="en-US" w:eastAsia="zh-CN"/>
                <w14:textFill>
                  <w14:solidFill>
                    <w14:schemeClr w14:val="tx1"/>
                  </w14:solidFill>
                </w14:textFill>
              </w:rPr>
              <w:t>-N 0.032t/a，最终外排环境量COD 0.064t/a，NH</w:t>
            </w:r>
            <w:r>
              <w:rPr>
                <w:rFonts w:hint="eastAsia"/>
                <w:color w:val="000000" w:themeColor="text1"/>
                <w:vertAlign w:val="subscript"/>
                <w:lang w:val="en-US" w:eastAsia="zh-CN"/>
                <w14:textFill>
                  <w14:solidFill>
                    <w14:schemeClr w14:val="tx1"/>
                  </w14:solidFill>
                </w14:textFill>
              </w:rPr>
              <w:t>3</w:t>
            </w:r>
            <w:r>
              <w:rPr>
                <w:rFonts w:hint="eastAsia"/>
                <w:color w:val="000000" w:themeColor="text1"/>
                <w:lang w:val="en-US" w:eastAsia="zh-CN"/>
                <w14:textFill>
                  <w14:solidFill>
                    <w14:schemeClr w14:val="tx1"/>
                  </w14:solidFill>
                </w14:textFill>
              </w:rPr>
              <w:t>-N 0.006t/a。</w:t>
            </w:r>
          </w:p>
          <w:p>
            <w:pPr>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废气：无组织颗粒物排放量为0.019t/a。</w:t>
            </w:r>
          </w:p>
          <w:p>
            <w:pPr>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原项目COD、NH</w:t>
            </w:r>
            <w:r>
              <w:rPr>
                <w:rFonts w:hint="eastAsia"/>
                <w:color w:val="000000" w:themeColor="text1"/>
                <w:vertAlign w:val="subscript"/>
                <w:lang w:val="en-US" w:eastAsia="zh-CN"/>
                <w14:textFill>
                  <w14:solidFill>
                    <w14:schemeClr w14:val="tx1"/>
                  </w14:solidFill>
                </w14:textFill>
              </w:rPr>
              <w:t>3</w:t>
            </w:r>
            <w:r>
              <w:rPr>
                <w:rFonts w:hint="eastAsia"/>
                <w:color w:val="000000" w:themeColor="text1"/>
                <w:lang w:val="en-US" w:eastAsia="zh-CN"/>
                <w14:textFill>
                  <w14:solidFill>
                    <w14:schemeClr w14:val="tx1"/>
                  </w14:solidFill>
                </w14:textFill>
              </w:rPr>
              <w:t>-N排放量纳入朱家桥污水处理厂总量控制指标中，本项目污染物排放总量由当地环保主管部门通过区域平衡予以核准分配。</w:t>
            </w:r>
          </w:p>
          <w:p>
            <w:pPr>
              <w:numPr>
                <w:ilvl w:val="0"/>
                <w:numId w:val="10"/>
              </w:numPr>
              <w:bidi w:val="0"/>
              <w:rPr>
                <w:rFonts w:hint="default"/>
                <w:b/>
                <w:bCs/>
                <w:color w:val="000000" w:themeColor="text1"/>
                <w:lang w:val="en-US" w:eastAsia="zh-CN"/>
                <w14:textFill>
                  <w14:solidFill>
                    <w14:schemeClr w14:val="tx1"/>
                  </w14:solidFill>
                </w14:textFill>
              </w:rPr>
            </w:pPr>
            <w:r>
              <w:rPr>
                <w:rFonts w:hint="default"/>
                <w:b/>
                <w:bCs/>
                <w:color w:val="000000" w:themeColor="text1"/>
                <w:lang w:val="en-US" w:eastAsia="zh-CN"/>
                <w14:textFill>
                  <w14:solidFill>
                    <w14:schemeClr w14:val="tx1"/>
                  </w14:solidFill>
                </w14:textFill>
              </w:rPr>
              <w:t>原有项目排污许可申报及执行情况</w:t>
            </w:r>
          </w:p>
          <w:p>
            <w:pPr>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企业已根据《排污许可管理条例》中相关规定于</w:t>
            </w:r>
            <w:r>
              <w:rPr>
                <w:rFonts w:hint="eastAsia"/>
                <w:color w:val="000000" w:themeColor="text1"/>
                <w14:textFill>
                  <w14:solidFill>
                    <w14:schemeClr w14:val="tx1"/>
                  </w14:solidFill>
                </w14:textFill>
              </w:rPr>
              <w:t>202</w:t>
            </w:r>
            <w:r>
              <w:rPr>
                <w:rFonts w:hint="eastAsia"/>
                <w:color w:val="000000" w:themeColor="text1"/>
                <w:lang w:val="en-US" w:eastAsia="zh-CN"/>
                <w14:textFill>
                  <w14:solidFill>
                    <w14:schemeClr w14:val="tx1"/>
                  </w14:solidFill>
                </w14:textFill>
              </w:rPr>
              <w:t>2</w:t>
            </w:r>
            <w:r>
              <w:rPr>
                <w:rFonts w:hint="eastAsia"/>
                <w:color w:val="000000" w:themeColor="text1"/>
                <w14:textFill>
                  <w14:solidFill>
                    <w14:schemeClr w14:val="tx1"/>
                  </w14:solidFill>
                </w14:textFill>
              </w:rPr>
              <w:t>年0</w:t>
            </w: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31</w:t>
            </w:r>
            <w:r>
              <w:rPr>
                <w:rFonts w:hint="eastAsia"/>
                <w:color w:val="000000" w:themeColor="text1"/>
                <w14:textFill>
                  <w14:solidFill>
                    <w14:schemeClr w14:val="tx1"/>
                  </w14:solidFill>
                </w14:textFill>
              </w:rPr>
              <w:t>日</w:t>
            </w:r>
            <w:r>
              <w:rPr>
                <w:rFonts w:hint="eastAsia"/>
                <w:color w:val="000000" w:themeColor="text1"/>
                <w:lang w:val="en-US" w:eastAsia="zh-CN"/>
                <w14:textFill>
                  <w14:solidFill>
                    <w14:schemeClr w14:val="tx1"/>
                  </w14:solidFill>
                </w14:textFill>
              </w:rPr>
              <w:t>完成</w:t>
            </w:r>
            <w:r>
              <w:rPr>
                <w:rFonts w:hint="eastAsia"/>
                <w:color w:val="000000" w:themeColor="text1"/>
                <w14:textFill>
                  <w14:solidFill>
                    <w14:schemeClr w14:val="tx1"/>
                  </w14:solidFill>
                </w14:textFill>
              </w:rPr>
              <w:t>排污许可</w:t>
            </w:r>
            <w:r>
              <w:rPr>
                <w:rFonts w:hint="eastAsia"/>
                <w:color w:val="000000" w:themeColor="text1"/>
                <w:lang w:val="en-US" w:eastAsia="zh-CN"/>
                <w14:textFill>
                  <w14:solidFill>
                    <w14:schemeClr w14:val="tx1"/>
                  </w14:solidFill>
                </w14:textFill>
              </w:rPr>
              <w:t>登记表备案</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登记</w:t>
            </w:r>
            <w:r>
              <w:rPr>
                <w:rFonts w:hint="eastAsia"/>
                <w:color w:val="000000" w:themeColor="text1"/>
                <w14:textFill>
                  <w14:solidFill>
                    <w14:schemeClr w14:val="tx1"/>
                  </w14:solidFill>
                </w14:textFill>
              </w:rPr>
              <w:t>编号：91340200754867356K001X，有效期限：自202</w:t>
            </w:r>
            <w:r>
              <w:rPr>
                <w:rFonts w:hint="eastAsia"/>
                <w:color w:val="000000" w:themeColor="text1"/>
                <w:lang w:val="en-US" w:eastAsia="zh-CN"/>
                <w14:textFill>
                  <w14:solidFill>
                    <w14:schemeClr w14:val="tx1"/>
                  </w14:solidFill>
                </w14:textFill>
              </w:rPr>
              <w:t>2</w:t>
            </w:r>
            <w:r>
              <w:rPr>
                <w:rFonts w:hint="eastAsia"/>
                <w:color w:val="000000" w:themeColor="text1"/>
                <w14:textFill>
                  <w14:solidFill>
                    <w14:schemeClr w14:val="tx1"/>
                  </w14:solidFill>
                </w14:textFill>
              </w:rPr>
              <w:t>年0</w:t>
            </w: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31</w:t>
            </w:r>
            <w:r>
              <w:rPr>
                <w:rFonts w:hint="eastAsia"/>
                <w:color w:val="000000" w:themeColor="text1"/>
                <w14:textFill>
                  <w14:solidFill>
                    <w14:schemeClr w14:val="tx1"/>
                  </w14:solidFill>
                </w14:textFill>
              </w:rPr>
              <w:t>日至202</w:t>
            </w:r>
            <w:r>
              <w:rPr>
                <w:rFonts w:hint="eastAsia"/>
                <w:color w:val="000000" w:themeColor="text1"/>
                <w:lang w:val="en-US" w:eastAsia="zh-CN"/>
                <w14:textFill>
                  <w14:solidFill>
                    <w14:schemeClr w14:val="tx1"/>
                  </w14:solidFill>
                </w14:textFill>
              </w:rPr>
              <w:t>7</w:t>
            </w:r>
            <w:r>
              <w:rPr>
                <w:rFonts w:hint="eastAsia"/>
                <w:color w:val="000000" w:themeColor="text1"/>
                <w14:textFill>
                  <w14:solidFill>
                    <w14:schemeClr w14:val="tx1"/>
                  </w14:solidFill>
                </w14:textFill>
              </w:rPr>
              <w:t>年0</w:t>
            </w: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30</w:t>
            </w:r>
            <w:r>
              <w:rPr>
                <w:rFonts w:hint="eastAsia"/>
                <w:color w:val="000000" w:themeColor="text1"/>
                <w14:textFill>
                  <w14:solidFill>
                    <w14:schemeClr w14:val="tx1"/>
                  </w14:solidFill>
                </w14:textFill>
              </w:rPr>
              <w:t>日止</w:t>
            </w:r>
            <w:r>
              <w:rPr>
                <w:rFonts w:hint="eastAsia"/>
                <w:color w:val="000000" w:themeColor="text1"/>
                <w:lang w:val="en-US" w:eastAsia="zh-CN"/>
                <w14:textFill>
                  <w14:solidFill>
                    <w14:schemeClr w14:val="tx1"/>
                  </w14:solidFill>
                </w14:textFill>
              </w:rPr>
              <w:t>。</w:t>
            </w:r>
          </w:p>
          <w:p>
            <w:pPr>
              <w:numPr>
                <w:ilvl w:val="0"/>
                <w:numId w:val="10"/>
              </w:numPr>
              <w:bidi w:val="0"/>
              <w:rPr>
                <w:rFonts w:hint="default"/>
                <w:b/>
                <w:bCs/>
                <w:color w:val="000000" w:themeColor="text1"/>
                <w:lang w:val="en-US" w:eastAsia="zh-CN"/>
                <w14:textFill>
                  <w14:solidFill>
                    <w14:schemeClr w14:val="tx1"/>
                  </w14:solidFill>
                </w14:textFill>
              </w:rPr>
            </w:pPr>
            <w:r>
              <w:rPr>
                <w:rFonts w:hint="default"/>
                <w:b/>
                <w:bCs/>
                <w:color w:val="000000" w:themeColor="text1"/>
                <w:lang w:val="en-US" w:eastAsia="zh-CN"/>
                <w14:textFill>
                  <w14:solidFill>
                    <w14:schemeClr w14:val="tx1"/>
                  </w14:solidFill>
                </w14:textFill>
              </w:rPr>
              <w:t>原有项目遗留环境问题及整改措施</w:t>
            </w:r>
          </w:p>
          <w:p>
            <w:pPr>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企业原有场地位于</w:t>
            </w:r>
            <w:r>
              <w:rPr>
                <w:rFonts w:hint="eastAsia"/>
                <w:color w:val="000000" w:themeColor="text1"/>
                <w:lang w:val="en-US" w:eastAsia="zh-CN"/>
                <w14:textFill>
                  <w14:solidFill>
                    <w14:schemeClr w14:val="tx1"/>
                  </w14:solidFill>
                </w14:textFill>
              </w:rPr>
              <w:t>芜湖市鸠江区飞翔路19号（</w:t>
            </w:r>
            <w:r>
              <w:rPr>
                <w:rFonts w:hint="eastAsia"/>
                <w:color w:val="000000" w:themeColor="text1"/>
                <w14:textFill>
                  <w14:solidFill>
                    <w14:schemeClr w14:val="tx1"/>
                  </w14:solidFill>
                </w14:textFill>
              </w:rPr>
              <w:t>芜湖中瑞汽车零部件有限公司厂房</w:t>
            </w:r>
            <w:r>
              <w:rPr>
                <w:rFonts w:hint="eastAsia"/>
                <w:color w:val="000000" w:themeColor="text1"/>
                <w:lang w:val="en-US" w:eastAsia="zh-CN"/>
                <w14:textFill>
                  <w14:solidFill>
                    <w14:schemeClr w14:val="tx1"/>
                  </w14:solidFill>
                </w14:textFill>
              </w:rPr>
              <w:t>）</w:t>
            </w:r>
            <w:r>
              <w:rPr>
                <w:rFonts w:hint="eastAsia"/>
                <w:color w:val="000000" w:themeColor="text1"/>
                <w:lang w:eastAsia="zh-CN"/>
                <w14:textFill>
                  <w14:solidFill>
                    <w14:schemeClr w14:val="tx1"/>
                  </w14:solidFill>
                </w14:textFill>
              </w:rPr>
              <w:t>，</w:t>
            </w:r>
            <w:r>
              <w:rPr>
                <w:rFonts w:hint="default"/>
                <w:color w:val="000000" w:themeColor="text1"/>
                <w:lang w:val="en-US" w:eastAsia="zh-CN"/>
                <w14:textFill>
                  <w14:solidFill>
                    <w14:schemeClr w14:val="tx1"/>
                  </w14:solidFill>
                </w14:textFill>
              </w:rPr>
              <w:t>目前企业已进行搬离腾空，场地由厂房产权人收回作为工业生产用地。企业现状未进行生产活动，无废气、废水、噪声产生及排放，老旧设备、原有固废均已清理完成，故不存在与本项目有关的原有污染情况及主要环境问题。</w:t>
            </w:r>
          </w:p>
          <w:p>
            <w:pPr>
              <w:bidi w:val="0"/>
              <w:rPr>
                <w:rFonts w:hint="default"/>
                <w:color w:val="000000" w:themeColor="text1"/>
                <w:lang w:val="en-US" w:eastAsia="zh-CN"/>
                <w14:textFill>
                  <w14:solidFill>
                    <w14:schemeClr w14:val="tx1"/>
                  </w14:solidFill>
                </w14:textFill>
              </w:rPr>
            </w:pPr>
          </w:p>
          <w:p>
            <w:pPr>
              <w:bidi w:val="0"/>
              <w:rPr>
                <w:rFonts w:hint="default"/>
                <w:color w:val="000000" w:themeColor="text1"/>
                <w:lang w:val="en-US" w:eastAsia="zh-CN"/>
                <w14:textFill>
                  <w14:solidFill>
                    <w14:schemeClr w14:val="tx1"/>
                  </w14:solidFill>
                </w14:textFill>
              </w:rPr>
            </w:pPr>
          </w:p>
          <w:p>
            <w:pPr>
              <w:bidi w:val="0"/>
              <w:rPr>
                <w:rFonts w:hint="default"/>
                <w:color w:val="000000" w:themeColor="text1"/>
                <w:lang w:val="en-US" w:eastAsia="zh-CN"/>
                <w14:textFill>
                  <w14:solidFill>
                    <w14:schemeClr w14:val="tx1"/>
                  </w14:solidFill>
                </w14:textFill>
              </w:rPr>
            </w:pPr>
          </w:p>
          <w:p>
            <w:pPr>
              <w:bidi w:val="0"/>
              <w:rPr>
                <w:rFonts w:hint="default"/>
                <w:color w:val="000000" w:themeColor="text1"/>
                <w:lang w:val="en-US" w:eastAsia="zh-CN"/>
                <w14:textFill>
                  <w14:solidFill>
                    <w14:schemeClr w14:val="tx1"/>
                  </w14:solidFill>
                </w14:textFill>
              </w:rPr>
            </w:pPr>
          </w:p>
          <w:p>
            <w:pPr>
              <w:rPr>
                <w:rFonts w:hint="default"/>
                <w:color w:val="000000" w:themeColor="text1"/>
                <w:lang w:val="en-US" w:eastAsia="zh-CN"/>
                <w14:textFill>
                  <w14:solidFill>
                    <w14:schemeClr w14:val="tx1"/>
                  </w14:solidFill>
                </w14:textFill>
              </w:rPr>
            </w:pPr>
          </w:p>
          <w:p>
            <w:pPr>
              <w:bidi w:val="0"/>
              <w:rPr>
                <w:rFonts w:hint="default"/>
                <w:color w:val="000000" w:themeColor="text1"/>
                <w:lang w:val="en-US" w:eastAsia="zh-CN"/>
                <w14:textFill>
                  <w14:solidFill>
                    <w14:schemeClr w14:val="tx1"/>
                  </w14:solidFill>
                </w14:textFill>
              </w:rPr>
            </w:pPr>
          </w:p>
          <w:p>
            <w:pPr>
              <w:bidi w:val="0"/>
              <w:rPr>
                <w:rFonts w:hint="default"/>
                <w:color w:val="000000" w:themeColor="text1"/>
                <w:lang w:val="en-US" w:eastAsia="zh-CN"/>
                <w14:textFill>
                  <w14:solidFill>
                    <w14:schemeClr w14:val="tx1"/>
                  </w14:solidFill>
                </w14:textFill>
              </w:rPr>
            </w:pPr>
          </w:p>
          <w:p>
            <w:pPr>
              <w:bidi w:val="0"/>
              <w:rPr>
                <w:rFonts w:hint="default"/>
                <w:color w:val="000000" w:themeColor="text1"/>
                <w:lang w:val="en-US" w:eastAsia="zh-CN"/>
                <w14:textFill>
                  <w14:solidFill>
                    <w14:schemeClr w14:val="tx1"/>
                  </w14:solidFill>
                </w14:textFill>
              </w:rPr>
            </w:pPr>
          </w:p>
          <w:p>
            <w:pPr>
              <w:bidi w:val="0"/>
              <w:rPr>
                <w:rFonts w:hint="default"/>
                <w:color w:val="000000" w:themeColor="text1"/>
                <w:lang w:val="en-US" w:eastAsia="zh-CN"/>
                <w14:textFill>
                  <w14:solidFill>
                    <w14:schemeClr w14:val="tx1"/>
                  </w14:solidFill>
                </w14:textFill>
              </w:rPr>
            </w:pPr>
          </w:p>
          <w:p>
            <w:pPr>
              <w:bidi w:val="0"/>
              <w:rPr>
                <w:rFonts w:hint="default"/>
                <w:color w:val="000000" w:themeColor="text1"/>
                <w:lang w:val="en-US" w:eastAsia="zh-CN"/>
                <w14:textFill>
                  <w14:solidFill>
                    <w14:schemeClr w14:val="tx1"/>
                  </w14:solidFill>
                </w14:textFill>
              </w:rPr>
            </w:pPr>
          </w:p>
          <w:p>
            <w:pPr>
              <w:bidi w:val="0"/>
              <w:rPr>
                <w:rFonts w:hint="default"/>
                <w:color w:val="000000" w:themeColor="text1"/>
                <w:lang w:val="en-US" w:eastAsia="zh-CN"/>
                <w14:textFill>
                  <w14:solidFill>
                    <w14:schemeClr w14:val="tx1"/>
                  </w14:solidFill>
                </w14:textFill>
              </w:rPr>
            </w:pPr>
          </w:p>
          <w:p>
            <w:pPr>
              <w:bidi w:val="0"/>
              <w:rPr>
                <w:rFonts w:hint="default"/>
                <w:color w:val="000000" w:themeColor="text1"/>
                <w:lang w:val="en-US" w:eastAsia="zh-CN"/>
                <w14:textFill>
                  <w14:solidFill>
                    <w14:schemeClr w14:val="tx1"/>
                  </w14:solidFill>
                </w14:textFill>
              </w:rPr>
            </w:pPr>
          </w:p>
          <w:p>
            <w:pPr>
              <w:bidi w:val="0"/>
              <w:rPr>
                <w:rFonts w:hint="default"/>
                <w:color w:val="000000" w:themeColor="text1"/>
                <w:lang w:val="en-US" w:eastAsia="zh-CN"/>
                <w14:textFill>
                  <w14:solidFill>
                    <w14:schemeClr w14:val="tx1"/>
                  </w14:solidFill>
                </w14:textFill>
              </w:rPr>
            </w:pPr>
          </w:p>
          <w:p>
            <w:pPr>
              <w:bidi w:val="0"/>
              <w:rPr>
                <w:rFonts w:hint="default"/>
                <w:color w:val="000000" w:themeColor="text1"/>
                <w:lang w:val="en-US" w:eastAsia="zh-CN"/>
                <w14:textFill>
                  <w14:solidFill>
                    <w14:schemeClr w14:val="tx1"/>
                  </w14:solidFill>
                </w14:textFill>
              </w:rPr>
            </w:pPr>
          </w:p>
          <w:p>
            <w:pPr>
              <w:bidi w:val="0"/>
              <w:rPr>
                <w:rFonts w:hint="default"/>
                <w:color w:val="000000" w:themeColor="text1"/>
                <w:lang w:val="en-US" w:eastAsia="zh-CN"/>
                <w14:textFill>
                  <w14:solidFill>
                    <w14:schemeClr w14:val="tx1"/>
                  </w14:solidFill>
                </w14:textFill>
              </w:rPr>
            </w:pPr>
          </w:p>
          <w:p>
            <w:pPr>
              <w:bidi w:val="0"/>
              <w:rPr>
                <w:rFonts w:hint="default"/>
                <w:color w:val="000000" w:themeColor="text1"/>
                <w:lang w:val="en-US" w:eastAsia="zh-CN"/>
                <w14:textFill>
                  <w14:solidFill>
                    <w14:schemeClr w14:val="tx1"/>
                  </w14:solidFill>
                </w14:textFill>
              </w:rPr>
            </w:pPr>
          </w:p>
          <w:p>
            <w:pPr>
              <w:bidi w:val="0"/>
              <w:rPr>
                <w:rFonts w:hint="default"/>
                <w:color w:val="000000" w:themeColor="text1"/>
                <w:lang w:val="en-US" w:eastAsia="zh-CN"/>
                <w14:textFill>
                  <w14:solidFill>
                    <w14:schemeClr w14:val="tx1"/>
                  </w14:solidFill>
                </w14:textFill>
              </w:rPr>
            </w:pPr>
          </w:p>
          <w:p>
            <w:pPr>
              <w:bidi w:val="0"/>
              <w:rPr>
                <w:rFonts w:hint="default"/>
                <w:color w:val="000000" w:themeColor="text1"/>
                <w:lang w:val="en-US" w:eastAsia="zh-CN"/>
                <w14:textFill>
                  <w14:solidFill>
                    <w14:schemeClr w14:val="tx1"/>
                  </w14:solidFill>
                </w14:textFill>
              </w:rPr>
            </w:pPr>
          </w:p>
        </w:tc>
      </w:tr>
    </w:tbl>
    <w:p>
      <w:pPr>
        <w:ind w:firstLine="0" w:firstLineChars="0"/>
        <w:sectPr>
          <w:pgSz w:w="11906" w:h="16838"/>
          <w:pgMar w:top="1440" w:right="1531" w:bottom="1440" w:left="1531" w:header="851" w:footer="992" w:gutter="0"/>
          <w:pgBorders>
            <w:top w:val="none" w:sz="0" w:space="0"/>
            <w:left w:val="none" w:sz="0" w:space="0"/>
            <w:bottom w:val="none" w:sz="0" w:space="0"/>
            <w:right w:val="none" w:sz="0" w:space="0"/>
          </w:pgBorders>
          <w:cols w:space="0" w:num="1"/>
          <w:rtlGutter w:val="0"/>
          <w:docGrid w:linePitch="312" w:charSpace="0"/>
        </w:sectPr>
      </w:pPr>
    </w:p>
    <w:p>
      <w:pPr>
        <w:pStyle w:val="3"/>
      </w:pPr>
      <w:r>
        <w:rPr>
          <w:rFonts w:hint="eastAsia"/>
        </w:rPr>
        <w:t>区域环境质量现状、环境保护目标及评价标准</w:t>
      </w:r>
    </w:p>
    <w:tbl>
      <w:tblPr>
        <w:tblStyle w:val="15"/>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81"/>
        <w:gridCol w:w="827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31" w:type="pct"/>
            <w:tcBorders>
              <w:tl2br w:val="nil"/>
              <w:tr2bl w:val="nil"/>
            </w:tcBorders>
            <w:vAlign w:val="center"/>
          </w:tcPr>
          <w:p>
            <w:pPr>
              <w:ind w:firstLine="0" w:firstLineChars="0"/>
            </w:pPr>
            <w:r>
              <w:rPr>
                <w:rFonts w:hint="eastAsia"/>
              </w:rPr>
              <w:t>区域环境质量现状</w:t>
            </w:r>
          </w:p>
        </w:tc>
        <w:tc>
          <w:tcPr>
            <w:tcW w:w="4568" w:type="pct"/>
            <w:tcBorders>
              <w:tl2br w:val="nil"/>
              <w:tr2bl w:val="nil"/>
            </w:tcBorders>
            <w:vAlign w:val="center"/>
          </w:tcPr>
          <w:p>
            <w:pPr>
              <w:numPr>
                <w:ilvl w:val="0"/>
                <w:numId w:val="11"/>
              </w:numPr>
              <w:spacing w:before="156"/>
              <w:ind w:firstLine="482"/>
              <w:rPr>
                <w:b/>
                <w:bCs/>
              </w:rPr>
            </w:pPr>
            <w:r>
              <w:rPr>
                <w:b/>
                <w:bCs/>
              </w:rPr>
              <w:t>环境空气质量现状</w:t>
            </w:r>
          </w:p>
          <w:p>
            <w:pPr>
              <w:ind w:firstLine="480"/>
              <w:rPr>
                <w:rFonts w:hint="eastAsia"/>
              </w:rPr>
            </w:pPr>
            <w:r>
              <w:rPr>
                <w:rFonts w:hint="eastAsia"/>
              </w:rPr>
              <w:t>根据《环境影响评价技术导则 大气环境》（HJ2.2-2018），项目所在区域达标判定优先采用国家或地方生态环境主管部门公开发布的评价基准年环境质量公告或环境质量报告中的数据或结论。</w:t>
            </w:r>
          </w:p>
          <w:p>
            <w:pPr>
              <w:ind w:firstLine="480"/>
              <w:rPr>
                <w:rFonts w:hint="eastAsia"/>
              </w:rPr>
            </w:pPr>
            <w:r>
              <w:rPr>
                <w:rFonts w:hint="eastAsia"/>
              </w:rPr>
              <w:t>根据芜湖市生态环境局网站公布的2023年芜湖市生态环境质量公报，2023年，芜湖市环境空气优良天数为304天（其中，优84天，良220天），同比2022年增加11天，优良天数比例为83.3%，同比2022年上涨3个百分点，污染天数为61天（其中，轻度污染55天，中度污染2天，重度污染3天，严重污染1天）。</w:t>
            </w:r>
          </w:p>
          <w:p>
            <w:pPr>
              <w:ind w:firstLine="480"/>
            </w:pPr>
            <w:r>
              <w:rPr>
                <w:rFonts w:hint="eastAsia"/>
              </w:rPr>
              <w:t>2023年，芜湖市以NO</w:t>
            </w:r>
            <w:r>
              <w:rPr>
                <w:rFonts w:hint="eastAsia"/>
                <w:vertAlign w:val="subscript"/>
              </w:rPr>
              <w:t>2</w:t>
            </w:r>
            <w:r>
              <w:rPr>
                <w:rFonts w:hint="eastAsia"/>
              </w:rPr>
              <w:t>为首要污染物的天数为21天，占比5.8%；以O</w:t>
            </w:r>
            <w:r>
              <w:rPr>
                <w:rFonts w:hint="eastAsia"/>
                <w:vertAlign w:val="subscript"/>
              </w:rPr>
              <w:t>3</w:t>
            </w:r>
            <w:r>
              <w:rPr>
                <w:rFonts w:hint="eastAsia"/>
              </w:rPr>
              <w:t>（日最大8小时滑动平均）为首要污染物的天数为139天，占比38.1%；以PM</w:t>
            </w:r>
            <w:r>
              <w:rPr>
                <w:rFonts w:hint="eastAsia"/>
                <w:vertAlign w:val="subscript"/>
              </w:rPr>
              <w:t>10</w:t>
            </w:r>
            <w:r>
              <w:rPr>
                <w:rFonts w:hint="eastAsia"/>
              </w:rPr>
              <w:t>为首要污染物的天数为55天，占比15.1%；以PM</w:t>
            </w:r>
            <w:r>
              <w:rPr>
                <w:rFonts w:hint="eastAsia"/>
                <w:vertAlign w:val="subscript"/>
              </w:rPr>
              <w:t>2.5</w:t>
            </w:r>
            <w:r>
              <w:rPr>
                <w:rFonts w:hint="eastAsia"/>
              </w:rPr>
              <w:t>为首要污染物的天数为70天，占比19.2%（部分天数同时存在多个首要污染物）。具体数据及达标情况见下表。</w:t>
            </w:r>
          </w:p>
          <w:p>
            <w:pPr>
              <w:ind w:firstLine="482"/>
              <w:jc w:val="center"/>
              <w:rPr>
                <w:rFonts w:hint="eastAsia"/>
                <w:b/>
                <w:bCs/>
              </w:rPr>
            </w:pPr>
            <w:bookmarkStart w:id="1" w:name="_bookmark26"/>
            <w:bookmarkEnd w:id="1"/>
            <w:r>
              <w:rPr>
                <w:rFonts w:hint="eastAsia"/>
                <w:b/>
                <w:bCs/>
              </w:rPr>
              <w:t>表3-1</w:t>
            </w:r>
            <w:r>
              <w:rPr>
                <w:b/>
                <w:bCs/>
              </w:rPr>
              <w:t xml:space="preserve"> </w:t>
            </w:r>
            <w:r>
              <w:rPr>
                <w:rFonts w:hint="eastAsia"/>
                <w:b/>
                <w:bCs/>
              </w:rPr>
              <w:t xml:space="preserve">  项目区域空气质量达标判定表</w:t>
            </w:r>
          </w:p>
          <w:tbl>
            <w:tblPr>
              <w:tblStyle w:val="15"/>
              <w:tblW w:w="5000" w:type="pct"/>
              <w:jc w:val="center"/>
              <w:tblBorders>
                <w:top w:val="single" w:color="000000" w:sz="12" w:space="0"/>
                <w:left w:val="none" w:color="auto" w:sz="6" w:space="0"/>
                <w:bottom w:val="single" w:color="000000" w:sz="12" w:space="0"/>
                <w:right w:val="none" w:color="auto" w:sz="6" w:space="0"/>
                <w:insideH w:val="single" w:color="auto" w:sz="8" w:space="0"/>
                <w:insideV w:val="single" w:color="auto" w:sz="8" w:space="0"/>
              </w:tblBorders>
              <w:shd w:val="clear" w:color="auto" w:fill="auto"/>
              <w:tblLayout w:type="fixed"/>
              <w:tblCellMar>
                <w:top w:w="0" w:type="dxa"/>
                <w:left w:w="108" w:type="dxa"/>
                <w:bottom w:w="0" w:type="dxa"/>
                <w:right w:w="108" w:type="dxa"/>
              </w:tblCellMar>
            </w:tblPr>
            <w:tblGrid>
              <w:gridCol w:w="777"/>
              <w:gridCol w:w="2735"/>
              <w:gridCol w:w="1145"/>
              <w:gridCol w:w="1145"/>
              <w:gridCol w:w="824"/>
              <w:gridCol w:w="658"/>
              <w:gridCol w:w="775"/>
            </w:tblGrid>
            <w:tr>
              <w:tblPrEx>
                <w:tblBorders>
                  <w:top w:val="single" w:color="000000" w:sz="12" w:space="0"/>
                  <w:left w:val="none" w:color="auto" w:sz="6" w:space="0"/>
                  <w:bottom w:val="single" w:color="000000" w:sz="12" w:space="0"/>
                  <w:right w:val="none" w:color="auto" w:sz="6" w:space="0"/>
                  <w:insideH w:val="single" w:color="auto" w:sz="8" w:space="0"/>
                  <w:insideV w:val="single" w:color="auto" w:sz="8" w:space="0"/>
                </w:tblBorders>
                <w:tblCellMar>
                  <w:top w:w="0" w:type="dxa"/>
                  <w:left w:w="108" w:type="dxa"/>
                  <w:bottom w:w="0" w:type="dxa"/>
                  <w:right w:w="108" w:type="dxa"/>
                </w:tblCellMar>
              </w:tblPrEx>
              <w:trPr>
                <w:trHeight w:val="632" w:hRule="atLeast"/>
                <w:jc w:val="center"/>
              </w:trPr>
              <w:tc>
                <w:tcPr>
                  <w:tcW w:w="482" w:type="pct"/>
                  <w:tcBorders>
                    <w:top w:val="single" w:color="000000" w:sz="12" w:space="0"/>
                    <w:left w:val="nil"/>
                    <w:bottom w:val="single" w:color="auto" w:sz="8" w:space="0"/>
                    <w:right w:val="single" w:color="auto" w:sz="8" w:space="0"/>
                  </w:tcBorders>
                  <w:shd w:val="clear" w:color="auto" w:fill="auto"/>
                  <w:vAlign w:val="center"/>
                </w:tcPr>
                <w:p>
                  <w:pPr>
                    <w:pStyle w:val="22"/>
                    <w:bidi w:val="0"/>
                    <w:rPr>
                      <w:rFonts w:hint="eastAsia"/>
                      <w:b/>
                      <w:bCs/>
                    </w:rPr>
                  </w:pPr>
                  <w:r>
                    <w:rPr>
                      <w:rFonts w:hint="eastAsia"/>
                      <w:b/>
                      <w:bCs/>
                      <w:lang w:val="en-US" w:eastAsia="zh-CN"/>
                    </w:rPr>
                    <w:t>污染物</w:t>
                  </w:r>
                </w:p>
              </w:tc>
              <w:tc>
                <w:tcPr>
                  <w:tcW w:w="1696" w:type="pct"/>
                  <w:tcBorders>
                    <w:top w:val="single" w:color="000000" w:sz="12" w:space="0"/>
                    <w:left w:val="nil"/>
                    <w:bottom w:val="single" w:color="auto" w:sz="8" w:space="0"/>
                    <w:right w:val="single" w:color="auto" w:sz="8" w:space="0"/>
                  </w:tcBorders>
                  <w:shd w:val="clear" w:color="auto" w:fill="auto"/>
                  <w:vAlign w:val="center"/>
                </w:tcPr>
                <w:p>
                  <w:pPr>
                    <w:pStyle w:val="22"/>
                    <w:bidi w:val="0"/>
                    <w:rPr>
                      <w:rFonts w:hint="default"/>
                      <w:b/>
                      <w:bCs/>
                      <w:lang w:val="en-US" w:eastAsia="zh-CN"/>
                    </w:rPr>
                  </w:pPr>
                  <w:r>
                    <w:rPr>
                      <w:rFonts w:hint="eastAsia"/>
                      <w:b/>
                      <w:bCs/>
                      <w:lang w:val="en-US" w:eastAsia="zh-CN"/>
                    </w:rPr>
                    <w:t>年评价指标</w:t>
                  </w:r>
                </w:p>
              </w:tc>
              <w:tc>
                <w:tcPr>
                  <w:tcW w:w="710" w:type="pct"/>
                  <w:tcBorders>
                    <w:top w:val="single" w:color="000000" w:sz="12" w:space="0"/>
                    <w:left w:val="nil"/>
                    <w:bottom w:val="single" w:color="auto" w:sz="8" w:space="0"/>
                    <w:right w:val="single" w:color="auto" w:sz="8" w:space="0"/>
                  </w:tcBorders>
                  <w:shd w:val="clear" w:color="auto" w:fill="auto"/>
                  <w:vAlign w:val="center"/>
                </w:tcPr>
                <w:p>
                  <w:pPr>
                    <w:pStyle w:val="22"/>
                    <w:bidi w:val="0"/>
                    <w:rPr>
                      <w:rFonts w:hint="eastAsia"/>
                      <w:b/>
                      <w:bCs/>
                      <w:lang w:val="en-US" w:eastAsia="zh-CN"/>
                    </w:rPr>
                  </w:pPr>
                  <w:r>
                    <w:rPr>
                      <w:rFonts w:hint="eastAsia"/>
                      <w:b/>
                      <w:bCs/>
                      <w:lang w:val="en-US" w:eastAsia="zh-CN"/>
                    </w:rPr>
                    <w:t>现状浓度</w:t>
                  </w:r>
                </w:p>
                <w:p>
                  <w:pPr>
                    <w:pStyle w:val="22"/>
                    <w:bidi w:val="0"/>
                    <w:rPr>
                      <w:rFonts w:hint="default"/>
                      <w:b/>
                      <w:bCs/>
                      <w:lang w:val="en-US"/>
                    </w:rPr>
                  </w:pPr>
                  <w:r>
                    <w:rPr>
                      <w:rFonts w:hint="eastAsia"/>
                      <w:b/>
                      <w:bCs/>
                      <w:lang w:val="en-US" w:eastAsia="zh-CN"/>
                    </w:rPr>
                    <w:t>（</w:t>
                  </w:r>
                  <w:r>
                    <w:rPr>
                      <w:rFonts w:hint="default"/>
                      <w:lang w:val="en-US" w:eastAsia="zh-CN"/>
                    </w:rPr>
                    <w:t>μg/m</w:t>
                  </w:r>
                  <w:r>
                    <w:rPr>
                      <w:rFonts w:hint="default"/>
                      <w:vertAlign w:val="superscript"/>
                      <w:lang w:val="en-US" w:eastAsia="zh-CN"/>
                    </w:rPr>
                    <w:t>3</w:t>
                  </w:r>
                  <w:r>
                    <w:rPr>
                      <w:rFonts w:hint="eastAsia"/>
                      <w:b/>
                      <w:bCs/>
                      <w:lang w:val="en-US" w:eastAsia="zh-CN"/>
                    </w:rPr>
                    <w:t>）</w:t>
                  </w:r>
                </w:p>
              </w:tc>
              <w:tc>
                <w:tcPr>
                  <w:tcW w:w="710" w:type="pct"/>
                  <w:tcBorders>
                    <w:top w:val="single" w:color="000000" w:sz="12" w:space="0"/>
                    <w:left w:val="nil"/>
                    <w:bottom w:val="single" w:color="auto" w:sz="8" w:space="0"/>
                    <w:right w:val="single" w:color="auto" w:sz="8" w:space="0"/>
                  </w:tcBorders>
                  <w:shd w:val="clear" w:color="auto" w:fill="auto"/>
                  <w:vAlign w:val="center"/>
                </w:tcPr>
                <w:p>
                  <w:pPr>
                    <w:pStyle w:val="22"/>
                    <w:bidi w:val="0"/>
                    <w:rPr>
                      <w:rFonts w:hint="eastAsia"/>
                      <w:b/>
                      <w:bCs/>
                      <w:lang w:val="en-US" w:eastAsia="zh-CN"/>
                    </w:rPr>
                  </w:pPr>
                  <w:r>
                    <w:rPr>
                      <w:rFonts w:hint="eastAsia"/>
                      <w:b/>
                      <w:bCs/>
                      <w:lang w:val="en-US" w:eastAsia="zh-CN"/>
                    </w:rPr>
                    <w:t>标准限值</w:t>
                  </w:r>
                </w:p>
                <w:p>
                  <w:pPr>
                    <w:pStyle w:val="22"/>
                    <w:bidi w:val="0"/>
                    <w:rPr>
                      <w:rFonts w:hint="default"/>
                      <w:b/>
                      <w:bCs/>
                      <w:lang w:val="en-US"/>
                    </w:rPr>
                  </w:pPr>
                  <w:r>
                    <w:rPr>
                      <w:rFonts w:hint="eastAsia"/>
                      <w:b/>
                      <w:bCs/>
                      <w:lang w:val="en-US" w:eastAsia="zh-CN"/>
                    </w:rPr>
                    <w:t>（</w:t>
                  </w:r>
                  <w:r>
                    <w:rPr>
                      <w:rFonts w:hint="default"/>
                      <w:lang w:val="en-US" w:eastAsia="zh-CN"/>
                    </w:rPr>
                    <w:t>μg/m</w:t>
                  </w:r>
                  <w:r>
                    <w:rPr>
                      <w:rFonts w:hint="default"/>
                      <w:vertAlign w:val="superscript"/>
                      <w:lang w:val="en-US" w:eastAsia="zh-CN"/>
                    </w:rPr>
                    <w:t>3</w:t>
                  </w:r>
                  <w:r>
                    <w:rPr>
                      <w:rFonts w:hint="eastAsia"/>
                      <w:b/>
                      <w:bCs/>
                      <w:lang w:val="en-US" w:eastAsia="zh-CN"/>
                    </w:rPr>
                    <w:t>）</w:t>
                  </w:r>
                </w:p>
              </w:tc>
              <w:tc>
                <w:tcPr>
                  <w:tcW w:w="511" w:type="pct"/>
                  <w:tcBorders>
                    <w:top w:val="single" w:color="000000" w:sz="12" w:space="0"/>
                    <w:left w:val="nil"/>
                    <w:bottom w:val="single" w:color="auto" w:sz="8" w:space="0"/>
                    <w:right w:val="nil"/>
                  </w:tcBorders>
                  <w:shd w:val="clear" w:color="auto" w:fill="auto"/>
                  <w:vAlign w:val="center"/>
                </w:tcPr>
                <w:p>
                  <w:pPr>
                    <w:pStyle w:val="22"/>
                    <w:bidi w:val="0"/>
                    <w:ind w:firstLine="0" w:firstLineChars="0"/>
                    <w:rPr>
                      <w:rFonts w:hint="default"/>
                      <w:b/>
                      <w:bCs/>
                      <w:lang w:val="en-US" w:eastAsia="zh-CN"/>
                    </w:rPr>
                  </w:pPr>
                  <w:r>
                    <w:rPr>
                      <w:rFonts w:hint="eastAsia"/>
                      <w:b/>
                      <w:bCs/>
                      <w:lang w:val="en-US" w:eastAsia="zh-CN"/>
                    </w:rPr>
                    <w:t>占标率%</w:t>
                  </w:r>
                </w:p>
              </w:tc>
              <w:tc>
                <w:tcPr>
                  <w:tcW w:w="408" w:type="pct"/>
                  <w:tcBorders>
                    <w:top w:val="single" w:color="000000" w:sz="12" w:space="0"/>
                    <w:left w:val="nil"/>
                    <w:bottom w:val="single" w:color="auto" w:sz="8" w:space="0"/>
                    <w:right w:val="nil"/>
                  </w:tcBorders>
                  <w:shd w:val="clear" w:color="auto" w:fill="auto"/>
                  <w:vAlign w:val="center"/>
                </w:tcPr>
                <w:p>
                  <w:pPr>
                    <w:pStyle w:val="22"/>
                    <w:bidi w:val="0"/>
                    <w:ind w:firstLine="0" w:firstLineChars="0"/>
                    <w:rPr>
                      <w:rFonts w:hint="eastAsia" w:ascii="Times New Roman" w:hAnsi="Times New Roman" w:eastAsia="宋体" w:cs="Times New Roman"/>
                      <w:b/>
                      <w:bCs/>
                      <w:kern w:val="2"/>
                      <w:sz w:val="21"/>
                      <w:szCs w:val="24"/>
                      <w:lang w:val="en-US" w:eastAsia="zh-CN" w:bidi="ar-SA"/>
                    </w:rPr>
                  </w:pPr>
                  <w:r>
                    <w:rPr>
                      <w:rFonts w:hint="eastAsia"/>
                      <w:b/>
                      <w:bCs/>
                      <w:lang w:val="en-US" w:eastAsia="zh-CN"/>
                    </w:rPr>
                    <w:t>超标率</w:t>
                  </w:r>
                </w:p>
              </w:tc>
              <w:tc>
                <w:tcPr>
                  <w:tcW w:w="480" w:type="pct"/>
                  <w:tcBorders>
                    <w:top w:val="single" w:color="000000" w:sz="12" w:space="0"/>
                    <w:left w:val="nil"/>
                    <w:bottom w:val="single" w:color="auto" w:sz="8" w:space="0"/>
                    <w:right w:val="nil"/>
                  </w:tcBorders>
                  <w:shd w:val="clear" w:color="auto" w:fill="auto"/>
                  <w:vAlign w:val="center"/>
                </w:tcPr>
                <w:p>
                  <w:pPr>
                    <w:pStyle w:val="22"/>
                    <w:bidi w:val="0"/>
                    <w:rPr>
                      <w:rFonts w:hint="eastAsia"/>
                      <w:b/>
                      <w:bCs/>
                    </w:rPr>
                  </w:pPr>
                  <w:r>
                    <w:rPr>
                      <w:rFonts w:hint="eastAsia"/>
                      <w:b/>
                      <w:bCs/>
                      <w:lang w:val="en-US" w:eastAsia="zh-CN"/>
                    </w:rPr>
                    <w:t>达标情况</w:t>
                  </w:r>
                </w:p>
              </w:tc>
            </w:tr>
            <w:tr>
              <w:tblPrEx>
                <w:tblBorders>
                  <w:top w:val="single" w:color="000000" w:sz="12" w:space="0"/>
                  <w:left w:val="none" w:color="auto" w:sz="6" w:space="0"/>
                  <w:bottom w:val="single" w:color="000000" w:sz="12" w:space="0"/>
                  <w:right w:val="none" w:color="auto" w:sz="6" w:space="0"/>
                  <w:insideH w:val="single" w:color="auto" w:sz="8" w:space="0"/>
                  <w:insideV w:val="single" w:color="auto" w:sz="8" w:space="0"/>
                </w:tblBorders>
                <w:shd w:val="clear" w:color="auto" w:fill="auto"/>
                <w:tblCellMar>
                  <w:top w:w="0" w:type="dxa"/>
                  <w:left w:w="108" w:type="dxa"/>
                  <w:bottom w:w="0" w:type="dxa"/>
                  <w:right w:w="108" w:type="dxa"/>
                </w:tblCellMar>
              </w:tblPrEx>
              <w:trPr>
                <w:trHeight w:val="456" w:hRule="atLeast"/>
                <w:jc w:val="center"/>
              </w:trPr>
              <w:tc>
                <w:tcPr>
                  <w:tcW w:w="482" w:type="pct"/>
                  <w:tcBorders>
                    <w:top w:val="single" w:color="auto" w:sz="8" w:space="0"/>
                    <w:left w:val="nil"/>
                    <w:bottom w:val="single" w:color="auto" w:sz="8" w:space="0"/>
                    <w:right w:val="single" w:color="auto" w:sz="8" w:space="0"/>
                  </w:tcBorders>
                  <w:shd w:val="clear" w:color="auto" w:fill="auto"/>
                  <w:vAlign w:val="center"/>
                </w:tcPr>
                <w:p>
                  <w:pPr>
                    <w:pStyle w:val="22"/>
                    <w:bidi w:val="0"/>
                    <w:rPr>
                      <w:rFonts w:hint="default"/>
                    </w:rPr>
                  </w:pPr>
                  <w:r>
                    <w:rPr>
                      <w:rFonts w:hint="default"/>
                      <w:lang w:val="en-US" w:eastAsia="zh-CN"/>
                    </w:rPr>
                    <w:t>SO</w:t>
                  </w:r>
                  <w:r>
                    <w:rPr>
                      <w:rFonts w:hint="default"/>
                      <w:vertAlign w:val="subscript"/>
                      <w:lang w:val="en-US" w:eastAsia="zh-CN"/>
                    </w:rPr>
                    <w:t>2</w:t>
                  </w:r>
                </w:p>
              </w:tc>
              <w:tc>
                <w:tcPr>
                  <w:tcW w:w="1696" w:type="pct"/>
                  <w:tcBorders>
                    <w:top w:val="single" w:color="auto" w:sz="8" w:space="0"/>
                    <w:left w:val="nil"/>
                    <w:bottom w:val="single" w:color="auto" w:sz="8" w:space="0"/>
                    <w:right w:val="single" w:color="auto" w:sz="8" w:space="0"/>
                  </w:tcBorders>
                  <w:shd w:val="clear" w:color="auto" w:fill="auto"/>
                  <w:vAlign w:val="center"/>
                </w:tcPr>
                <w:p>
                  <w:pPr>
                    <w:pStyle w:val="22"/>
                    <w:bidi w:val="0"/>
                    <w:rPr>
                      <w:rFonts w:hint="default"/>
                      <w:lang w:val="en-US" w:eastAsia="zh-CN"/>
                    </w:rPr>
                  </w:pPr>
                  <w:r>
                    <w:rPr>
                      <w:rFonts w:hint="eastAsia"/>
                      <w:lang w:val="en-US" w:eastAsia="zh-CN"/>
                    </w:rPr>
                    <w:t>年平均质量浓度</w:t>
                  </w:r>
                </w:p>
              </w:tc>
              <w:tc>
                <w:tcPr>
                  <w:tcW w:w="710" w:type="pct"/>
                  <w:tcBorders>
                    <w:top w:val="single" w:color="auto" w:sz="8" w:space="0"/>
                    <w:left w:val="nil"/>
                    <w:bottom w:val="single" w:color="auto" w:sz="8" w:space="0"/>
                    <w:right w:val="single" w:color="auto" w:sz="8" w:space="0"/>
                  </w:tcBorders>
                  <w:shd w:val="clear" w:color="auto" w:fill="auto"/>
                  <w:vAlign w:val="center"/>
                </w:tcPr>
                <w:p>
                  <w:pPr>
                    <w:pStyle w:val="22"/>
                    <w:bidi w:val="0"/>
                    <w:rPr>
                      <w:rFonts w:hint="default"/>
                    </w:rPr>
                  </w:pPr>
                  <w:r>
                    <w:rPr>
                      <w:rFonts w:hint="eastAsia"/>
                      <w:lang w:val="en-US" w:eastAsia="zh-CN"/>
                    </w:rPr>
                    <w:t>8</w:t>
                  </w:r>
                </w:p>
              </w:tc>
              <w:tc>
                <w:tcPr>
                  <w:tcW w:w="710" w:type="pct"/>
                  <w:tcBorders>
                    <w:top w:val="single" w:color="auto" w:sz="8" w:space="0"/>
                    <w:left w:val="nil"/>
                    <w:bottom w:val="single" w:color="auto" w:sz="8" w:space="0"/>
                    <w:right w:val="single" w:color="auto" w:sz="8" w:space="0"/>
                  </w:tcBorders>
                  <w:shd w:val="clear" w:color="auto" w:fill="auto"/>
                  <w:vAlign w:val="center"/>
                </w:tcPr>
                <w:p>
                  <w:pPr>
                    <w:pStyle w:val="22"/>
                    <w:bidi w:val="0"/>
                    <w:rPr>
                      <w:rFonts w:hint="default"/>
                    </w:rPr>
                  </w:pPr>
                  <w:r>
                    <w:rPr>
                      <w:rFonts w:hint="default"/>
                    </w:rPr>
                    <w:t>60</w:t>
                  </w:r>
                </w:p>
              </w:tc>
              <w:tc>
                <w:tcPr>
                  <w:tcW w:w="511" w:type="pct"/>
                  <w:tcBorders>
                    <w:top w:val="single" w:color="auto" w:sz="8" w:space="0"/>
                    <w:left w:val="nil"/>
                    <w:bottom w:val="single" w:color="auto" w:sz="8" w:space="0"/>
                    <w:right w:val="nil"/>
                  </w:tcBorders>
                  <w:shd w:val="clear" w:color="auto" w:fill="auto"/>
                  <w:vAlign w:val="center"/>
                </w:tcPr>
                <w:p>
                  <w:pPr>
                    <w:pStyle w:val="22"/>
                    <w:bidi w:val="0"/>
                    <w:ind w:firstLine="0" w:firstLineChars="0"/>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13.33</w:t>
                  </w:r>
                </w:p>
              </w:tc>
              <w:tc>
                <w:tcPr>
                  <w:tcW w:w="408" w:type="pct"/>
                  <w:tcBorders>
                    <w:top w:val="single" w:color="auto" w:sz="8" w:space="0"/>
                    <w:left w:val="nil"/>
                    <w:bottom w:val="single" w:color="auto" w:sz="8" w:space="0"/>
                    <w:right w:val="nil"/>
                  </w:tcBorders>
                  <w:shd w:val="clear" w:color="auto" w:fill="auto"/>
                  <w:vAlign w:val="center"/>
                </w:tcPr>
                <w:p>
                  <w:pPr>
                    <w:pStyle w:val="22"/>
                    <w:bidi w:val="0"/>
                    <w:ind w:firstLine="0" w:firstLineChars="0"/>
                    <w:rPr>
                      <w:rFonts w:hint="default"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w:t>
                  </w:r>
                </w:p>
              </w:tc>
              <w:tc>
                <w:tcPr>
                  <w:tcW w:w="480" w:type="pct"/>
                  <w:tcBorders>
                    <w:top w:val="single" w:color="auto" w:sz="8" w:space="0"/>
                    <w:left w:val="nil"/>
                    <w:bottom w:val="single" w:color="auto" w:sz="8" w:space="0"/>
                    <w:right w:val="nil"/>
                  </w:tcBorders>
                  <w:shd w:val="clear" w:color="auto" w:fill="auto"/>
                  <w:vAlign w:val="center"/>
                </w:tcPr>
                <w:p>
                  <w:pPr>
                    <w:pStyle w:val="22"/>
                    <w:bidi w:val="0"/>
                    <w:rPr>
                      <w:rFonts w:hint="default"/>
                    </w:rPr>
                  </w:pPr>
                  <w:r>
                    <w:rPr>
                      <w:rFonts w:hint="eastAsia"/>
                      <w:lang w:val="en-US" w:eastAsia="zh-CN"/>
                    </w:rPr>
                    <w:t>达标</w:t>
                  </w:r>
                </w:p>
              </w:tc>
            </w:tr>
            <w:tr>
              <w:tblPrEx>
                <w:tblBorders>
                  <w:top w:val="single" w:color="000000" w:sz="12" w:space="0"/>
                  <w:left w:val="none" w:color="auto" w:sz="6" w:space="0"/>
                  <w:bottom w:val="single" w:color="000000" w:sz="12" w:space="0"/>
                  <w:right w:val="none" w:color="auto" w:sz="6" w:space="0"/>
                  <w:insideH w:val="single" w:color="auto" w:sz="8" w:space="0"/>
                  <w:insideV w:val="single" w:color="auto" w:sz="8" w:space="0"/>
                </w:tblBorders>
                <w:tblCellMar>
                  <w:top w:w="0" w:type="dxa"/>
                  <w:left w:w="108" w:type="dxa"/>
                  <w:bottom w:w="0" w:type="dxa"/>
                  <w:right w:w="108" w:type="dxa"/>
                </w:tblCellMar>
              </w:tblPrEx>
              <w:trPr>
                <w:trHeight w:val="456" w:hRule="atLeast"/>
                <w:jc w:val="center"/>
              </w:trPr>
              <w:tc>
                <w:tcPr>
                  <w:tcW w:w="482" w:type="pct"/>
                  <w:tcBorders>
                    <w:top w:val="single" w:color="auto" w:sz="8" w:space="0"/>
                    <w:left w:val="nil"/>
                    <w:bottom w:val="single" w:color="auto" w:sz="8" w:space="0"/>
                    <w:right w:val="single" w:color="auto" w:sz="8" w:space="0"/>
                  </w:tcBorders>
                  <w:shd w:val="clear" w:color="auto" w:fill="auto"/>
                  <w:vAlign w:val="center"/>
                </w:tcPr>
                <w:p>
                  <w:pPr>
                    <w:pStyle w:val="22"/>
                    <w:bidi w:val="0"/>
                    <w:rPr>
                      <w:rFonts w:hint="default"/>
                    </w:rPr>
                  </w:pPr>
                  <w:r>
                    <w:rPr>
                      <w:rFonts w:hint="default"/>
                      <w:lang w:val="en-US" w:eastAsia="zh-CN"/>
                    </w:rPr>
                    <w:t>NO</w:t>
                  </w:r>
                  <w:r>
                    <w:rPr>
                      <w:rFonts w:hint="default"/>
                      <w:vertAlign w:val="subscript"/>
                      <w:lang w:val="en-US" w:eastAsia="zh-CN"/>
                    </w:rPr>
                    <w:t>2</w:t>
                  </w:r>
                </w:p>
              </w:tc>
              <w:tc>
                <w:tcPr>
                  <w:tcW w:w="1696" w:type="pct"/>
                  <w:tcBorders>
                    <w:top w:val="single" w:color="auto" w:sz="8" w:space="0"/>
                    <w:left w:val="nil"/>
                    <w:bottom w:val="single" w:color="auto" w:sz="8" w:space="0"/>
                    <w:right w:val="single" w:color="auto" w:sz="8" w:space="0"/>
                  </w:tcBorders>
                  <w:shd w:val="clear" w:color="auto" w:fill="auto"/>
                  <w:vAlign w:val="center"/>
                </w:tcPr>
                <w:p>
                  <w:pPr>
                    <w:pStyle w:val="22"/>
                    <w:bidi w:val="0"/>
                    <w:ind w:firstLine="0" w:firstLineChars="0"/>
                    <w:rPr>
                      <w:rFonts w:hint="default"/>
                      <w:lang w:val="en-US" w:eastAsia="zh-CN"/>
                    </w:rPr>
                  </w:pPr>
                  <w:r>
                    <w:rPr>
                      <w:rFonts w:hint="eastAsia"/>
                      <w:lang w:val="en-US" w:eastAsia="zh-CN"/>
                    </w:rPr>
                    <w:t>年平均质量浓度</w:t>
                  </w:r>
                </w:p>
              </w:tc>
              <w:tc>
                <w:tcPr>
                  <w:tcW w:w="710" w:type="pct"/>
                  <w:tcBorders>
                    <w:top w:val="single" w:color="auto" w:sz="8" w:space="0"/>
                    <w:left w:val="nil"/>
                    <w:bottom w:val="single" w:color="auto" w:sz="8" w:space="0"/>
                    <w:right w:val="single" w:color="auto" w:sz="8" w:space="0"/>
                  </w:tcBorders>
                  <w:shd w:val="clear" w:color="auto" w:fill="auto"/>
                  <w:vAlign w:val="center"/>
                </w:tcPr>
                <w:p>
                  <w:pPr>
                    <w:pStyle w:val="22"/>
                    <w:bidi w:val="0"/>
                    <w:rPr>
                      <w:rFonts w:hint="default"/>
                    </w:rPr>
                  </w:pPr>
                  <w:r>
                    <w:rPr>
                      <w:rFonts w:hint="default"/>
                      <w:lang w:val="en-US" w:eastAsia="zh-CN"/>
                    </w:rPr>
                    <w:t>3</w:t>
                  </w:r>
                  <w:r>
                    <w:rPr>
                      <w:rFonts w:hint="eastAsia"/>
                      <w:lang w:val="en-US" w:eastAsia="zh-CN"/>
                    </w:rPr>
                    <w:t>3</w:t>
                  </w:r>
                </w:p>
              </w:tc>
              <w:tc>
                <w:tcPr>
                  <w:tcW w:w="710" w:type="pct"/>
                  <w:tcBorders>
                    <w:top w:val="single" w:color="auto" w:sz="8" w:space="0"/>
                    <w:left w:val="nil"/>
                    <w:bottom w:val="single" w:color="auto" w:sz="8" w:space="0"/>
                    <w:right w:val="single" w:color="auto" w:sz="8" w:space="0"/>
                  </w:tcBorders>
                  <w:shd w:val="clear" w:color="auto" w:fill="auto"/>
                  <w:vAlign w:val="center"/>
                </w:tcPr>
                <w:p>
                  <w:pPr>
                    <w:pStyle w:val="22"/>
                    <w:bidi w:val="0"/>
                    <w:rPr>
                      <w:rFonts w:hint="default"/>
                    </w:rPr>
                  </w:pPr>
                  <w:r>
                    <w:rPr>
                      <w:rFonts w:hint="default"/>
                    </w:rPr>
                    <w:t>40</w:t>
                  </w:r>
                </w:p>
              </w:tc>
              <w:tc>
                <w:tcPr>
                  <w:tcW w:w="511" w:type="pct"/>
                  <w:tcBorders>
                    <w:top w:val="single" w:color="auto" w:sz="8" w:space="0"/>
                    <w:left w:val="nil"/>
                    <w:bottom w:val="single" w:color="auto" w:sz="8" w:space="0"/>
                    <w:right w:val="nil"/>
                  </w:tcBorders>
                  <w:shd w:val="clear" w:color="auto" w:fill="auto"/>
                  <w:vAlign w:val="center"/>
                </w:tcPr>
                <w:p>
                  <w:pPr>
                    <w:pStyle w:val="22"/>
                    <w:bidi w:val="0"/>
                    <w:ind w:firstLine="0" w:firstLineChars="0"/>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82.5</w:t>
                  </w:r>
                </w:p>
              </w:tc>
              <w:tc>
                <w:tcPr>
                  <w:tcW w:w="408" w:type="pct"/>
                  <w:tcBorders>
                    <w:top w:val="single" w:color="auto" w:sz="8" w:space="0"/>
                    <w:left w:val="nil"/>
                    <w:bottom w:val="single" w:color="auto" w:sz="8" w:space="0"/>
                    <w:right w:val="nil"/>
                  </w:tcBorders>
                  <w:shd w:val="clear" w:color="auto" w:fill="auto"/>
                  <w:vAlign w:val="center"/>
                </w:tcPr>
                <w:p>
                  <w:pPr>
                    <w:pStyle w:val="22"/>
                    <w:bidi w:val="0"/>
                    <w:ind w:firstLine="0" w:firstLineChars="0"/>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w:t>
                  </w:r>
                </w:p>
              </w:tc>
              <w:tc>
                <w:tcPr>
                  <w:tcW w:w="480" w:type="pct"/>
                  <w:tcBorders>
                    <w:top w:val="single" w:color="auto" w:sz="8" w:space="0"/>
                    <w:left w:val="nil"/>
                    <w:bottom w:val="single" w:color="auto" w:sz="8" w:space="0"/>
                    <w:right w:val="nil"/>
                  </w:tcBorders>
                  <w:shd w:val="clear" w:color="auto" w:fill="auto"/>
                  <w:vAlign w:val="center"/>
                </w:tcPr>
                <w:p>
                  <w:pPr>
                    <w:pStyle w:val="22"/>
                    <w:bidi w:val="0"/>
                    <w:rPr>
                      <w:rFonts w:hint="default"/>
                    </w:rPr>
                  </w:pPr>
                  <w:r>
                    <w:rPr>
                      <w:rFonts w:hint="eastAsia"/>
                      <w:lang w:val="en-US" w:eastAsia="zh-CN"/>
                    </w:rPr>
                    <w:t>达标</w:t>
                  </w:r>
                </w:p>
              </w:tc>
            </w:tr>
            <w:tr>
              <w:tblPrEx>
                <w:tblBorders>
                  <w:top w:val="single" w:color="000000" w:sz="12" w:space="0"/>
                  <w:left w:val="none" w:color="auto" w:sz="6" w:space="0"/>
                  <w:bottom w:val="single" w:color="000000" w:sz="12" w:space="0"/>
                  <w:right w:val="none" w:color="auto" w:sz="6" w:space="0"/>
                  <w:insideH w:val="single" w:color="auto" w:sz="8" w:space="0"/>
                  <w:insideV w:val="single" w:color="auto" w:sz="8" w:space="0"/>
                </w:tblBorders>
                <w:tblCellMar>
                  <w:top w:w="0" w:type="dxa"/>
                  <w:left w:w="108" w:type="dxa"/>
                  <w:bottom w:w="0" w:type="dxa"/>
                  <w:right w:w="108" w:type="dxa"/>
                </w:tblCellMar>
              </w:tblPrEx>
              <w:trPr>
                <w:trHeight w:val="456" w:hRule="atLeast"/>
                <w:jc w:val="center"/>
              </w:trPr>
              <w:tc>
                <w:tcPr>
                  <w:tcW w:w="482" w:type="pct"/>
                  <w:tcBorders>
                    <w:top w:val="single" w:color="auto" w:sz="8" w:space="0"/>
                    <w:left w:val="nil"/>
                    <w:bottom w:val="single" w:color="auto" w:sz="8" w:space="0"/>
                    <w:right w:val="single" w:color="auto" w:sz="8" w:space="0"/>
                  </w:tcBorders>
                  <w:shd w:val="clear" w:color="auto" w:fill="auto"/>
                  <w:vAlign w:val="center"/>
                </w:tcPr>
                <w:p>
                  <w:pPr>
                    <w:pStyle w:val="22"/>
                    <w:bidi w:val="0"/>
                    <w:rPr>
                      <w:rFonts w:hint="default"/>
                    </w:rPr>
                  </w:pPr>
                  <w:r>
                    <w:rPr>
                      <w:rFonts w:hint="default"/>
                      <w:lang w:val="en-US" w:eastAsia="zh-CN"/>
                    </w:rPr>
                    <w:t>PM</w:t>
                  </w:r>
                  <w:r>
                    <w:rPr>
                      <w:rFonts w:hint="default"/>
                      <w:vertAlign w:val="subscript"/>
                      <w:lang w:val="en-US" w:eastAsia="zh-CN"/>
                    </w:rPr>
                    <w:t>10</w:t>
                  </w:r>
                </w:p>
              </w:tc>
              <w:tc>
                <w:tcPr>
                  <w:tcW w:w="1696" w:type="pct"/>
                  <w:tcBorders>
                    <w:top w:val="single" w:color="auto" w:sz="8" w:space="0"/>
                    <w:left w:val="nil"/>
                    <w:bottom w:val="single" w:color="auto" w:sz="8" w:space="0"/>
                    <w:right w:val="single" w:color="auto" w:sz="8" w:space="0"/>
                  </w:tcBorders>
                  <w:shd w:val="clear" w:color="auto" w:fill="auto"/>
                  <w:vAlign w:val="center"/>
                </w:tcPr>
                <w:p>
                  <w:pPr>
                    <w:pStyle w:val="22"/>
                    <w:bidi w:val="0"/>
                    <w:ind w:firstLine="0" w:firstLineChars="0"/>
                    <w:rPr>
                      <w:rFonts w:hint="default"/>
                      <w:lang w:val="en-US" w:eastAsia="zh-CN"/>
                    </w:rPr>
                  </w:pPr>
                  <w:r>
                    <w:rPr>
                      <w:rFonts w:hint="eastAsia"/>
                      <w:lang w:val="en-US" w:eastAsia="zh-CN"/>
                    </w:rPr>
                    <w:t>年平均质量浓度</w:t>
                  </w:r>
                </w:p>
              </w:tc>
              <w:tc>
                <w:tcPr>
                  <w:tcW w:w="710" w:type="pct"/>
                  <w:tcBorders>
                    <w:top w:val="single" w:color="auto" w:sz="8" w:space="0"/>
                    <w:left w:val="nil"/>
                    <w:bottom w:val="single" w:color="auto" w:sz="8" w:space="0"/>
                    <w:right w:val="single" w:color="auto" w:sz="8" w:space="0"/>
                  </w:tcBorders>
                  <w:shd w:val="clear" w:color="auto" w:fill="auto"/>
                  <w:vAlign w:val="center"/>
                </w:tcPr>
                <w:p>
                  <w:pPr>
                    <w:pStyle w:val="22"/>
                    <w:bidi w:val="0"/>
                    <w:rPr>
                      <w:rFonts w:hint="default"/>
                    </w:rPr>
                  </w:pPr>
                  <w:r>
                    <w:rPr>
                      <w:rFonts w:hint="default"/>
                      <w:lang w:val="en-US" w:eastAsia="zh-CN"/>
                    </w:rPr>
                    <w:t>5</w:t>
                  </w:r>
                  <w:r>
                    <w:rPr>
                      <w:rFonts w:hint="eastAsia"/>
                      <w:lang w:val="en-US" w:eastAsia="zh-CN"/>
                    </w:rPr>
                    <w:t>7</w:t>
                  </w:r>
                </w:p>
              </w:tc>
              <w:tc>
                <w:tcPr>
                  <w:tcW w:w="710" w:type="pct"/>
                  <w:tcBorders>
                    <w:top w:val="single" w:color="auto" w:sz="8" w:space="0"/>
                    <w:left w:val="nil"/>
                    <w:bottom w:val="single" w:color="auto" w:sz="8" w:space="0"/>
                    <w:right w:val="single" w:color="auto" w:sz="8" w:space="0"/>
                  </w:tcBorders>
                  <w:shd w:val="clear" w:color="auto" w:fill="auto"/>
                  <w:vAlign w:val="center"/>
                </w:tcPr>
                <w:p>
                  <w:pPr>
                    <w:pStyle w:val="22"/>
                    <w:bidi w:val="0"/>
                    <w:rPr>
                      <w:rFonts w:hint="default"/>
                    </w:rPr>
                  </w:pPr>
                  <w:r>
                    <w:rPr>
                      <w:rFonts w:hint="default"/>
                    </w:rPr>
                    <w:t>70</w:t>
                  </w:r>
                </w:p>
              </w:tc>
              <w:tc>
                <w:tcPr>
                  <w:tcW w:w="511" w:type="pct"/>
                  <w:tcBorders>
                    <w:top w:val="single" w:color="auto" w:sz="8" w:space="0"/>
                    <w:left w:val="nil"/>
                    <w:bottom w:val="single" w:color="auto" w:sz="8" w:space="0"/>
                    <w:right w:val="nil"/>
                  </w:tcBorders>
                  <w:shd w:val="clear" w:color="auto" w:fill="auto"/>
                  <w:vAlign w:val="center"/>
                </w:tcPr>
                <w:p>
                  <w:pPr>
                    <w:pStyle w:val="22"/>
                    <w:bidi w:val="0"/>
                    <w:ind w:firstLine="0" w:firstLineChars="0"/>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81.43</w:t>
                  </w:r>
                </w:p>
              </w:tc>
              <w:tc>
                <w:tcPr>
                  <w:tcW w:w="408" w:type="pct"/>
                  <w:tcBorders>
                    <w:top w:val="single" w:color="auto" w:sz="8" w:space="0"/>
                    <w:left w:val="nil"/>
                    <w:bottom w:val="single" w:color="auto" w:sz="8" w:space="0"/>
                    <w:right w:val="nil"/>
                  </w:tcBorders>
                  <w:shd w:val="clear" w:color="auto" w:fill="auto"/>
                  <w:vAlign w:val="center"/>
                </w:tcPr>
                <w:p>
                  <w:pPr>
                    <w:pStyle w:val="22"/>
                    <w:bidi w:val="0"/>
                    <w:ind w:firstLine="0" w:firstLineChars="0"/>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w:t>
                  </w:r>
                </w:p>
              </w:tc>
              <w:tc>
                <w:tcPr>
                  <w:tcW w:w="480" w:type="pct"/>
                  <w:tcBorders>
                    <w:top w:val="single" w:color="auto" w:sz="8" w:space="0"/>
                    <w:left w:val="nil"/>
                    <w:bottom w:val="single" w:color="auto" w:sz="8" w:space="0"/>
                    <w:right w:val="nil"/>
                  </w:tcBorders>
                  <w:shd w:val="clear" w:color="auto" w:fill="auto"/>
                  <w:vAlign w:val="center"/>
                </w:tcPr>
                <w:p>
                  <w:pPr>
                    <w:pStyle w:val="22"/>
                    <w:bidi w:val="0"/>
                    <w:rPr>
                      <w:rFonts w:hint="default"/>
                    </w:rPr>
                  </w:pPr>
                  <w:r>
                    <w:rPr>
                      <w:rFonts w:hint="eastAsia"/>
                      <w:lang w:val="en-US" w:eastAsia="zh-CN"/>
                    </w:rPr>
                    <w:t>达标</w:t>
                  </w:r>
                </w:p>
              </w:tc>
            </w:tr>
            <w:tr>
              <w:tblPrEx>
                <w:tblBorders>
                  <w:top w:val="single" w:color="000000" w:sz="12" w:space="0"/>
                  <w:left w:val="none" w:color="auto" w:sz="6" w:space="0"/>
                  <w:bottom w:val="single" w:color="000000" w:sz="12" w:space="0"/>
                  <w:right w:val="none" w:color="auto" w:sz="6" w:space="0"/>
                  <w:insideH w:val="single" w:color="auto" w:sz="8" w:space="0"/>
                  <w:insideV w:val="single" w:color="auto" w:sz="8" w:space="0"/>
                </w:tblBorders>
                <w:shd w:val="clear" w:color="auto" w:fill="auto"/>
                <w:tblCellMar>
                  <w:top w:w="0" w:type="dxa"/>
                  <w:left w:w="108" w:type="dxa"/>
                  <w:bottom w:w="0" w:type="dxa"/>
                  <w:right w:w="108" w:type="dxa"/>
                </w:tblCellMar>
              </w:tblPrEx>
              <w:trPr>
                <w:trHeight w:val="456" w:hRule="atLeast"/>
                <w:jc w:val="center"/>
              </w:trPr>
              <w:tc>
                <w:tcPr>
                  <w:tcW w:w="482" w:type="pct"/>
                  <w:tcBorders>
                    <w:top w:val="single" w:color="auto" w:sz="8" w:space="0"/>
                    <w:left w:val="nil"/>
                    <w:bottom w:val="single" w:color="auto" w:sz="8" w:space="0"/>
                    <w:right w:val="single" w:color="auto" w:sz="8" w:space="0"/>
                  </w:tcBorders>
                  <w:shd w:val="clear" w:color="auto" w:fill="auto"/>
                  <w:vAlign w:val="center"/>
                </w:tcPr>
                <w:p>
                  <w:pPr>
                    <w:pStyle w:val="22"/>
                    <w:bidi w:val="0"/>
                    <w:rPr>
                      <w:rFonts w:hint="default"/>
                    </w:rPr>
                  </w:pPr>
                  <w:r>
                    <w:rPr>
                      <w:rFonts w:hint="default"/>
                      <w:lang w:val="en-US" w:eastAsia="zh-CN"/>
                    </w:rPr>
                    <w:t>PM</w:t>
                  </w:r>
                  <w:r>
                    <w:rPr>
                      <w:rFonts w:hint="default"/>
                      <w:vertAlign w:val="subscript"/>
                      <w:lang w:val="en-US" w:eastAsia="zh-CN"/>
                    </w:rPr>
                    <w:t>2.5</w:t>
                  </w:r>
                </w:p>
              </w:tc>
              <w:tc>
                <w:tcPr>
                  <w:tcW w:w="1696" w:type="pct"/>
                  <w:tcBorders>
                    <w:top w:val="single" w:color="auto" w:sz="8" w:space="0"/>
                    <w:left w:val="nil"/>
                    <w:bottom w:val="single" w:color="auto" w:sz="8" w:space="0"/>
                    <w:right w:val="single" w:color="auto" w:sz="8" w:space="0"/>
                  </w:tcBorders>
                  <w:shd w:val="clear" w:color="auto" w:fill="auto"/>
                  <w:vAlign w:val="center"/>
                </w:tcPr>
                <w:p>
                  <w:pPr>
                    <w:pStyle w:val="22"/>
                    <w:bidi w:val="0"/>
                    <w:ind w:firstLine="0" w:firstLineChars="0"/>
                    <w:rPr>
                      <w:rFonts w:hint="default"/>
                      <w:lang w:val="en-US" w:eastAsia="zh-CN"/>
                    </w:rPr>
                  </w:pPr>
                  <w:r>
                    <w:rPr>
                      <w:rFonts w:hint="eastAsia"/>
                      <w:lang w:val="en-US" w:eastAsia="zh-CN"/>
                    </w:rPr>
                    <w:t>年平均质量浓度</w:t>
                  </w:r>
                </w:p>
              </w:tc>
              <w:tc>
                <w:tcPr>
                  <w:tcW w:w="710" w:type="pct"/>
                  <w:tcBorders>
                    <w:top w:val="single" w:color="auto" w:sz="8" w:space="0"/>
                    <w:left w:val="nil"/>
                    <w:bottom w:val="single" w:color="auto" w:sz="8" w:space="0"/>
                    <w:right w:val="single" w:color="auto" w:sz="8" w:space="0"/>
                  </w:tcBorders>
                  <w:shd w:val="clear" w:color="auto" w:fill="auto"/>
                  <w:vAlign w:val="center"/>
                </w:tcPr>
                <w:p>
                  <w:pPr>
                    <w:pStyle w:val="22"/>
                    <w:bidi w:val="0"/>
                    <w:rPr>
                      <w:rFonts w:hint="default"/>
                    </w:rPr>
                  </w:pPr>
                  <w:r>
                    <w:rPr>
                      <w:rFonts w:hint="default"/>
                      <w:lang w:val="en-US" w:eastAsia="zh-CN"/>
                    </w:rPr>
                    <w:t>34</w:t>
                  </w:r>
                </w:p>
              </w:tc>
              <w:tc>
                <w:tcPr>
                  <w:tcW w:w="710" w:type="pct"/>
                  <w:tcBorders>
                    <w:top w:val="single" w:color="auto" w:sz="8" w:space="0"/>
                    <w:left w:val="nil"/>
                    <w:bottom w:val="single" w:color="auto" w:sz="8" w:space="0"/>
                    <w:right w:val="single" w:color="auto" w:sz="8" w:space="0"/>
                  </w:tcBorders>
                  <w:shd w:val="clear" w:color="auto" w:fill="auto"/>
                  <w:vAlign w:val="center"/>
                </w:tcPr>
                <w:p>
                  <w:pPr>
                    <w:pStyle w:val="22"/>
                    <w:bidi w:val="0"/>
                    <w:rPr>
                      <w:rFonts w:hint="default"/>
                    </w:rPr>
                  </w:pPr>
                  <w:r>
                    <w:rPr>
                      <w:rFonts w:hint="default"/>
                    </w:rPr>
                    <w:t>35</w:t>
                  </w:r>
                </w:p>
              </w:tc>
              <w:tc>
                <w:tcPr>
                  <w:tcW w:w="511" w:type="pct"/>
                  <w:tcBorders>
                    <w:top w:val="single" w:color="auto" w:sz="8" w:space="0"/>
                    <w:left w:val="nil"/>
                    <w:bottom w:val="single" w:color="auto" w:sz="8" w:space="0"/>
                    <w:right w:val="nil"/>
                  </w:tcBorders>
                  <w:shd w:val="clear" w:color="auto" w:fill="auto"/>
                  <w:vAlign w:val="center"/>
                </w:tcPr>
                <w:p>
                  <w:pPr>
                    <w:pStyle w:val="22"/>
                    <w:bidi w:val="0"/>
                    <w:ind w:firstLine="0" w:firstLineChars="0"/>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97.14</w:t>
                  </w:r>
                </w:p>
              </w:tc>
              <w:tc>
                <w:tcPr>
                  <w:tcW w:w="408" w:type="pct"/>
                  <w:tcBorders>
                    <w:top w:val="single" w:color="auto" w:sz="8" w:space="0"/>
                    <w:left w:val="nil"/>
                    <w:bottom w:val="single" w:color="auto" w:sz="8" w:space="0"/>
                    <w:right w:val="nil"/>
                  </w:tcBorders>
                  <w:shd w:val="clear" w:color="auto" w:fill="auto"/>
                  <w:vAlign w:val="center"/>
                </w:tcPr>
                <w:p>
                  <w:pPr>
                    <w:pStyle w:val="22"/>
                    <w:bidi w:val="0"/>
                    <w:ind w:firstLine="0" w:firstLineChars="0"/>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w:t>
                  </w:r>
                </w:p>
              </w:tc>
              <w:tc>
                <w:tcPr>
                  <w:tcW w:w="480" w:type="pct"/>
                  <w:tcBorders>
                    <w:top w:val="single" w:color="auto" w:sz="8" w:space="0"/>
                    <w:left w:val="nil"/>
                    <w:bottom w:val="single" w:color="auto" w:sz="8" w:space="0"/>
                    <w:right w:val="nil"/>
                  </w:tcBorders>
                  <w:shd w:val="clear" w:color="auto" w:fill="auto"/>
                  <w:vAlign w:val="center"/>
                </w:tcPr>
                <w:p>
                  <w:pPr>
                    <w:pStyle w:val="22"/>
                    <w:bidi w:val="0"/>
                    <w:rPr>
                      <w:rFonts w:hint="default"/>
                    </w:rPr>
                  </w:pPr>
                  <w:r>
                    <w:rPr>
                      <w:rFonts w:hint="eastAsia"/>
                      <w:lang w:val="en-US" w:eastAsia="zh-CN"/>
                    </w:rPr>
                    <w:t>达标</w:t>
                  </w:r>
                </w:p>
              </w:tc>
            </w:tr>
            <w:tr>
              <w:tblPrEx>
                <w:tblBorders>
                  <w:top w:val="single" w:color="000000" w:sz="12" w:space="0"/>
                  <w:left w:val="none" w:color="auto" w:sz="6" w:space="0"/>
                  <w:bottom w:val="single" w:color="000000" w:sz="12" w:space="0"/>
                  <w:right w:val="none" w:color="auto" w:sz="6" w:space="0"/>
                  <w:insideH w:val="single" w:color="auto" w:sz="8" w:space="0"/>
                  <w:insideV w:val="single" w:color="auto" w:sz="8" w:space="0"/>
                </w:tblBorders>
                <w:tblCellMar>
                  <w:top w:w="0" w:type="dxa"/>
                  <w:left w:w="108" w:type="dxa"/>
                  <w:bottom w:w="0" w:type="dxa"/>
                  <w:right w:w="108" w:type="dxa"/>
                </w:tblCellMar>
              </w:tblPrEx>
              <w:trPr>
                <w:trHeight w:val="456" w:hRule="atLeast"/>
                <w:jc w:val="center"/>
              </w:trPr>
              <w:tc>
                <w:tcPr>
                  <w:tcW w:w="482" w:type="pct"/>
                  <w:tcBorders>
                    <w:top w:val="single" w:color="auto" w:sz="8" w:space="0"/>
                    <w:left w:val="nil"/>
                    <w:bottom w:val="single" w:color="auto" w:sz="8" w:space="0"/>
                    <w:right w:val="single" w:color="auto" w:sz="8" w:space="0"/>
                  </w:tcBorders>
                  <w:shd w:val="clear" w:color="auto" w:fill="auto"/>
                  <w:vAlign w:val="center"/>
                </w:tcPr>
                <w:p>
                  <w:pPr>
                    <w:pStyle w:val="22"/>
                    <w:bidi w:val="0"/>
                    <w:rPr>
                      <w:rFonts w:hint="default"/>
                    </w:rPr>
                  </w:pPr>
                  <w:r>
                    <w:rPr>
                      <w:rFonts w:hint="default"/>
                      <w:lang w:val="en-US" w:eastAsia="zh-CN"/>
                    </w:rPr>
                    <w:t>CO</w:t>
                  </w:r>
                </w:p>
              </w:tc>
              <w:tc>
                <w:tcPr>
                  <w:tcW w:w="1696" w:type="pct"/>
                  <w:tcBorders>
                    <w:top w:val="single" w:color="auto" w:sz="8" w:space="0"/>
                    <w:left w:val="nil"/>
                    <w:bottom w:val="single" w:color="auto" w:sz="8" w:space="0"/>
                    <w:right w:val="single" w:color="auto" w:sz="8" w:space="0"/>
                  </w:tcBorders>
                  <w:shd w:val="clear" w:color="auto" w:fill="auto"/>
                  <w:vAlign w:val="center"/>
                </w:tcPr>
                <w:p>
                  <w:pPr>
                    <w:pStyle w:val="22"/>
                    <w:bidi w:val="0"/>
                    <w:rPr>
                      <w:rFonts w:hint="default"/>
                      <w:lang w:val="en-US" w:eastAsia="zh-CN"/>
                    </w:rPr>
                  </w:pPr>
                  <w:r>
                    <w:rPr>
                      <w:rFonts w:hint="default"/>
                      <w:lang w:val="en-US" w:eastAsia="zh-CN"/>
                    </w:rPr>
                    <w:t>日平均第95百分位数质量浓度</w:t>
                  </w:r>
                </w:p>
              </w:tc>
              <w:tc>
                <w:tcPr>
                  <w:tcW w:w="710" w:type="pct"/>
                  <w:tcBorders>
                    <w:top w:val="single" w:color="auto" w:sz="8" w:space="0"/>
                    <w:left w:val="nil"/>
                    <w:bottom w:val="single" w:color="auto" w:sz="8" w:space="0"/>
                    <w:right w:val="single" w:color="auto" w:sz="8" w:space="0"/>
                  </w:tcBorders>
                  <w:shd w:val="clear" w:color="auto" w:fill="auto"/>
                  <w:vAlign w:val="center"/>
                </w:tcPr>
                <w:p>
                  <w:pPr>
                    <w:pStyle w:val="22"/>
                    <w:bidi w:val="0"/>
                    <w:rPr>
                      <w:rFonts w:hint="default"/>
                      <w:lang w:val="en-US"/>
                    </w:rPr>
                  </w:pPr>
                  <w:r>
                    <w:rPr>
                      <w:rFonts w:hint="eastAsia"/>
                      <w:lang w:val="en-US" w:eastAsia="zh-CN"/>
                    </w:rPr>
                    <w:t>1100</w:t>
                  </w:r>
                </w:p>
              </w:tc>
              <w:tc>
                <w:tcPr>
                  <w:tcW w:w="710" w:type="pct"/>
                  <w:tcBorders>
                    <w:top w:val="single" w:color="auto" w:sz="8" w:space="0"/>
                    <w:left w:val="nil"/>
                    <w:bottom w:val="single" w:color="auto" w:sz="8" w:space="0"/>
                    <w:right w:val="single" w:color="auto" w:sz="8" w:space="0"/>
                  </w:tcBorders>
                  <w:shd w:val="clear" w:color="auto" w:fill="auto"/>
                  <w:vAlign w:val="center"/>
                </w:tcPr>
                <w:p>
                  <w:pPr>
                    <w:pStyle w:val="22"/>
                    <w:bidi w:val="0"/>
                    <w:rPr>
                      <w:rFonts w:hint="default"/>
                      <w:lang w:val="en-US"/>
                    </w:rPr>
                  </w:pPr>
                  <w:r>
                    <w:rPr>
                      <w:rFonts w:hint="default"/>
                      <w:lang w:val="en-US" w:eastAsia="zh-CN"/>
                    </w:rPr>
                    <w:t>4</w:t>
                  </w:r>
                  <w:r>
                    <w:rPr>
                      <w:rFonts w:hint="eastAsia"/>
                      <w:lang w:val="en-US" w:eastAsia="zh-CN"/>
                    </w:rPr>
                    <w:t>000</w:t>
                  </w:r>
                </w:p>
              </w:tc>
              <w:tc>
                <w:tcPr>
                  <w:tcW w:w="511" w:type="pct"/>
                  <w:tcBorders>
                    <w:top w:val="single" w:color="auto" w:sz="8" w:space="0"/>
                    <w:left w:val="nil"/>
                    <w:bottom w:val="single" w:color="auto" w:sz="8" w:space="0"/>
                    <w:right w:val="nil"/>
                  </w:tcBorders>
                  <w:shd w:val="clear" w:color="auto" w:fill="auto"/>
                  <w:vAlign w:val="center"/>
                </w:tcPr>
                <w:p>
                  <w:pPr>
                    <w:pStyle w:val="22"/>
                    <w:bidi w:val="0"/>
                    <w:ind w:firstLine="0" w:firstLineChars="0"/>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27.5</w:t>
                  </w:r>
                </w:p>
              </w:tc>
              <w:tc>
                <w:tcPr>
                  <w:tcW w:w="408" w:type="pct"/>
                  <w:tcBorders>
                    <w:top w:val="single" w:color="auto" w:sz="8" w:space="0"/>
                    <w:left w:val="nil"/>
                    <w:bottom w:val="single" w:color="auto" w:sz="8" w:space="0"/>
                    <w:right w:val="nil"/>
                  </w:tcBorders>
                  <w:shd w:val="clear" w:color="auto" w:fill="auto"/>
                  <w:vAlign w:val="center"/>
                </w:tcPr>
                <w:p>
                  <w:pPr>
                    <w:pStyle w:val="22"/>
                    <w:bidi w:val="0"/>
                    <w:ind w:firstLine="0" w:firstLineChars="0"/>
                    <w:rPr>
                      <w:rFonts w:hint="default"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w:t>
                  </w:r>
                </w:p>
              </w:tc>
              <w:tc>
                <w:tcPr>
                  <w:tcW w:w="480" w:type="pct"/>
                  <w:tcBorders>
                    <w:top w:val="single" w:color="auto" w:sz="8" w:space="0"/>
                    <w:left w:val="nil"/>
                    <w:bottom w:val="single" w:color="auto" w:sz="8" w:space="0"/>
                    <w:right w:val="nil"/>
                  </w:tcBorders>
                  <w:shd w:val="clear" w:color="auto" w:fill="auto"/>
                  <w:vAlign w:val="center"/>
                </w:tcPr>
                <w:p>
                  <w:pPr>
                    <w:pStyle w:val="22"/>
                    <w:bidi w:val="0"/>
                    <w:rPr>
                      <w:rFonts w:hint="default"/>
                    </w:rPr>
                  </w:pPr>
                  <w:r>
                    <w:rPr>
                      <w:rFonts w:hint="eastAsia"/>
                      <w:lang w:val="en-US" w:eastAsia="zh-CN"/>
                    </w:rPr>
                    <w:t>达标</w:t>
                  </w:r>
                </w:p>
              </w:tc>
            </w:tr>
            <w:tr>
              <w:tblPrEx>
                <w:tblBorders>
                  <w:top w:val="single" w:color="000000" w:sz="12" w:space="0"/>
                  <w:left w:val="none" w:color="auto" w:sz="6" w:space="0"/>
                  <w:bottom w:val="single" w:color="000000" w:sz="12" w:space="0"/>
                  <w:right w:val="none" w:color="auto" w:sz="6" w:space="0"/>
                  <w:insideH w:val="single" w:color="auto" w:sz="8" w:space="0"/>
                  <w:insideV w:val="single" w:color="auto" w:sz="8" w:space="0"/>
                </w:tblBorders>
                <w:tblCellMar>
                  <w:top w:w="0" w:type="dxa"/>
                  <w:left w:w="108" w:type="dxa"/>
                  <w:bottom w:w="0" w:type="dxa"/>
                  <w:right w:w="108" w:type="dxa"/>
                </w:tblCellMar>
              </w:tblPrEx>
              <w:trPr>
                <w:trHeight w:val="582" w:hRule="atLeast"/>
                <w:jc w:val="center"/>
              </w:trPr>
              <w:tc>
                <w:tcPr>
                  <w:tcW w:w="482" w:type="pct"/>
                  <w:tcBorders>
                    <w:top w:val="single" w:color="auto" w:sz="8" w:space="0"/>
                    <w:left w:val="nil"/>
                    <w:bottom w:val="single" w:color="000000" w:sz="12" w:space="0"/>
                    <w:right w:val="single" w:color="auto" w:sz="8" w:space="0"/>
                  </w:tcBorders>
                  <w:shd w:val="clear" w:color="auto" w:fill="auto"/>
                  <w:vAlign w:val="center"/>
                </w:tcPr>
                <w:p>
                  <w:pPr>
                    <w:pStyle w:val="22"/>
                    <w:bidi w:val="0"/>
                    <w:rPr>
                      <w:rFonts w:hint="default"/>
                    </w:rPr>
                  </w:pPr>
                  <w:r>
                    <w:rPr>
                      <w:rFonts w:hint="default"/>
                      <w:lang w:val="en-US" w:eastAsia="zh-CN"/>
                    </w:rPr>
                    <w:t>O</w:t>
                  </w:r>
                  <w:r>
                    <w:rPr>
                      <w:rFonts w:hint="default"/>
                      <w:vertAlign w:val="subscript"/>
                      <w:lang w:val="en-US" w:eastAsia="zh-CN"/>
                    </w:rPr>
                    <w:t>3</w:t>
                  </w:r>
                </w:p>
              </w:tc>
              <w:tc>
                <w:tcPr>
                  <w:tcW w:w="1696" w:type="pct"/>
                  <w:tcBorders>
                    <w:top w:val="single" w:color="auto" w:sz="8" w:space="0"/>
                    <w:left w:val="nil"/>
                    <w:bottom w:val="single" w:color="000000" w:sz="12" w:space="0"/>
                    <w:right w:val="single" w:color="auto" w:sz="8" w:space="0"/>
                  </w:tcBorders>
                  <w:shd w:val="clear" w:color="auto" w:fill="auto"/>
                  <w:vAlign w:val="center"/>
                </w:tcPr>
                <w:p>
                  <w:pPr>
                    <w:pStyle w:val="22"/>
                    <w:bidi w:val="0"/>
                    <w:ind w:firstLine="0" w:firstLineChars="0"/>
                    <w:rPr>
                      <w:rFonts w:hint="default"/>
                      <w:lang w:val="en-US" w:eastAsia="zh-CN"/>
                    </w:rPr>
                  </w:pPr>
                  <w:r>
                    <w:rPr>
                      <w:rFonts w:hint="default"/>
                      <w:lang w:val="en-US" w:eastAsia="zh-CN"/>
                    </w:rPr>
                    <w:t>日最大8h滑动平均值的第90百分位数质量浓度</w:t>
                  </w:r>
                </w:p>
              </w:tc>
              <w:tc>
                <w:tcPr>
                  <w:tcW w:w="710" w:type="pct"/>
                  <w:tcBorders>
                    <w:top w:val="single" w:color="auto" w:sz="8" w:space="0"/>
                    <w:left w:val="nil"/>
                    <w:bottom w:val="single" w:color="000000" w:sz="12" w:space="0"/>
                    <w:right w:val="single" w:color="auto" w:sz="8" w:space="0"/>
                  </w:tcBorders>
                  <w:shd w:val="clear" w:color="auto" w:fill="auto"/>
                  <w:vAlign w:val="center"/>
                </w:tcPr>
                <w:p>
                  <w:pPr>
                    <w:pStyle w:val="22"/>
                    <w:bidi w:val="0"/>
                    <w:rPr>
                      <w:rFonts w:hint="default"/>
                      <w:lang w:val="en-US"/>
                    </w:rPr>
                  </w:pPr>
                  <w:r>
                    <w:rPr>
                      <w:rFonts w:hint="eastAsia"/>
                      <w:lang w:val="en-US" w:eastAsia="zh-CN"/>
                    </w:rPr>
                    <w:t>159</w:t>
                  </w:r>
                </w:p>
              </w:tc>
              <w:tc>
                <w:tcPr>
                  <w:tcW w:w="710" w:type="pct"/>
                  <w:tcBorders>
                    <w:top w:val="single" w:color="auto" w:sz="8" w:space="0"/>
                    <w:left w:val="nil"/>
                    <w:bottom w:val="single" w:color="000000" w:sz="12" w:space="0"/>
                    <w:right w:val="single" w:color="auto" w:sz="8" w:space="0"/>
                  </w:tcBorders>
                  <w:shd w:val="clear" w:color="auto" w:fill="auto"/>
                  <w:vAlign w:val="center"/>
                </w:tcPr>
                <w:p>
                  <w:pPr>
                    <w:pStyle w:val="22"/>
                    <w:bidi w:val="0"/>
                    <w:rPr>
                      <w:rFonts w:hint="default"/>
                    </w:rPr>
                  </w:pPr>
                  <w:r>
                    <w:rPr>
                      <w:rFonts w:hint="default"/>
                      <w:lang w:val="en-US" w:eastAsia="zh-CN"/>
                    </w:rPr>
                    <w:t>160</w:t>
                  </w:r>
                </w:p>
              </w:tc>
              <w:tc>
                <w:tcPr>
                  <w:tcW w:w="511" w:type="pct"/>
                  <w:tcBorders>
                    <w:top w:val="single" w:color="auto" w:sz="8" w:space="0"/>
                    <w:left w:val="nil"/>
                    <w:bottom w:val="single" w:color="000000" w:sz="12" w:space="0"/>
                    <w:right w:val="nil"/>
                  </w:tcBorders>
                  <w:shd w:val="clear" w:color="auto" w:fill="auto"/>
                  <w:vAlign w:val="center"/>
                </w:tcPr>
                <w:p>
                  <w:pPr>
                    <w:pStyle w:val="22"/>
                    <w:bidi w:val="0"/>
                    <w:ind w:firstLine="0" w:firstLineChars="0"/>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99.375</w:t>
                  </w:r>
                </w:p>
              </w:tc>
              <w:tc>
                <w:tcPr>
                  <w:tcW w:w="408" w:type="pct"/>
                  <w:tcBorders>
                    <w:top w:val="single" w:color="auto" w:sz="8" w:space="0"/>
                    <w:left w:val="nil"/>
                    <w:bottom w:val="single" w:color="000000" w:sz="12" w:space="0"/>
                    <w:right w:val="nil"/>
                  </w:tcBorders>
                  <w:shd w:val="clear" w:color="auto" w:fill="auto"/>
                  <w:vAlign w:val="center"/>
                </w:tcPr>
                <w:p>
                  <w:pPr>
                    <w:pStyle w:val="22"/>
                    <w:bidi w:val="0"/>
                    <w:ind w:firstLine="0" w:firstLineChars="0"/>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w:t>
                  </w:r>
                </w:p>
              </w:tc>
              <w:tc>
                <w:tcPr>
                  <w:tcW w:w="480" w:type="pct"/>
                  <w:tcBorders>
                    <w:top w:val="single" w:color="auto" w:sz="8" w:space="0"/>
                    <w:left w:val="nil"/>
                    <w:bottom w:val="single" w:color="000000" w:sz="12" w:space="0"/>
                    <w:right w:val="nil"/>
                  </w:tcBorders>
                  <w:shd w:val="clear" w:color="auto" w:fill="auto"/>
                  <w:vAlign w:val="center"/>
                </w:tcPr>
                <w:p>
                  <w:pPr>
                    <w:pStyle w:val="22"/>
                    <w:bidi w:val="0"/>
                    <w:rPr>
                      <w:rFonts w:hint="default"/>
                    </w:rPr>
                  </w:pPr>
                  <w:r>
                    <w:rPr>
                      <w:rFonts w:hint="eastAsia"/>
                      <w:lang w:val="en-US" w:eastAsia="zh-CN"/>
                    </w:rPr>
                    <w:t>达标</w:t>
                  </w:r>
                </w:p>
              </w:tc>
            </w:tr>
          </w:tbl>
          <w:p>
            <w:pPr>
              <w:ind w:firstLine="480"/>
              <w:rPr>
                <w:rFonts w:hint="eastAsia"/>
                <w:kern w:val="0"/>
              </w:rPr>
            </w:pPr>
            <w:r>
              <w:rPr>
                <w:rFonts w:hint="eastAsia"/>
                <w:kern w:val="0"/>
              </w:rPr>
              <w:t>由上表可知，2023年芜湖市环境空气基本污染物均满足《环境空气质量标准》（GB3095-2012）中二类环境空气功能区质量要求。因此芜湖市属于环境空气质量达标区。</w:t>
            </w:r>
          </w:p>
          <w:p>
            <w:pPr>
              <w:ind w:firstLine="480"/>
              <w:rPr>
                <w:rFonts w:hint="eastAsia"/>
                <w:kern w:val="0"/>
              </w:rPr>
            </w:pPr>
            <w:r>
              <w:rPr>
                <w:rFonts w:hint="eastAsia"/>
                <w:kern w:val="0"/>
              </w:rPr>
              <w:t>芜湖市为进一步改善环境空气质量，采取了以下措施与行动：</w:t>
            </w:r>
          </w:p>
          <w:p>
            <w:pPr>
              <w:ind w:firstLine="480"/>
              <w:rPr>
                <w:rFonts w:hint="eastAsia"/>
                <w:kern w:val="0"/>
              </w:rPr>
            </w:pPr>
            <w:r>
              <w:rPr>
                <w:rFonts w:hint="eastAsia"/>
                <w:kern w:val="0"/>
              </w:rPr>
              <w:t>一是持续推动重点行业深度治理。推进重点企业开展钢铁行业超低排放改造和水泥行业深度治理；督促玻璃行业加快深度治理，鼓励提前达到安徽省玻璃行业地方排放标准；持续推进在用35蒸吨以上燃煤锅炉超低排放改造。</w:t>
            </w:r>
          </w:p>
          <w:p>
            <w:pPr>
              <w:ind w:firstLine="480"/>
              <w:rPr>
                <w:rFonts w:hint="eastAsia"/>
                <w:kern w:val="0"/>
              </w:rPr>
            </w:pPr>
            <w:r>
              <w:rPr>
                <w:rFonts w:hint="eastAsia"/>
                <w:kern w:val="0"/>
              </w:rPr>
              <w:t>二是持续开展挥发性有机物治理。以化工、涂装、包装印刷等行业为重点，积极推进挥发性有机物综合治理，从源头替代、过程管控、末端治理等方面开展涉VOCs企业排查。开展活性炭吸附处理设施专项帮扶检查，夏季高温时段常态化通过VOCs走航巡查，对挥发性有机物排放物进行精准溯源。</w:t>
            </w:r>
          </w:p>
          <w:p>
            <w:pPr>
              <w:ind w:firstLine="480"/>
              <w:rPr>
                <w:rFonts w:hint="eastAsia"/>
                <w:kern w:val="0"/>
              </w:rPr>
            </w:pPr>
            <w:r>
              <w:rPr>
                <w:rFonts w:hint="eastAsia"/>
                <w:kern w:val="0"/>
              </w:rPr>
              <w:t>三是强化移动源治理。加快淘汰老旧车辆，2023年共提前淘汰老旧营运车156辆；常态化开展非道路移动机械编码登记工作；持续开展遥感监测及路检路查执法行动；落实机动车汽车排放检验与维护监管制度，将尾气超标排放且逾期未维修的机动车信息通过芜湖生态环境微信公众号公开曝光。</w:t>
            </w:r>
          </w:p>
          <w:p>
            <w:pPr>
              <w:ind w:firstLine="480"/>
              <w:rPr>
                <w:kern w:val="0"/>
              </w:rPr>
            </w:pPr>
            <w:r>
              <w:rPr>
                <w:rFonts w:hint="eastAsia"/>
                <w:kern w:val="0"/>
              </w:rPr>
              <w:t>四是强化重污染天气应急应对。持续完善重污染天气应急减排清单，组织开展涉气企业核查。按照应纳尽纳的要求，补充清单化管控企业，同时制定相应减排措施，确保措施可操作，可核查。常态化开展重点行业企业绩效分级工作，鼓励符合条件的企业积极申请绩效先进企业。</w:t>
            </w:r>
          </w:p>
          <w:p>
            <w:pPr>
              <w:numPr>
                <w:ilvl w:val="0"/>
                <w:numId w:val="11"/>
              </w:numPr>
              <w:spacing w:before="156"/>
              <w:ind w:firstLine="482"/>
              <w:rPr>
                <w:b/>
                <w:bCs/>
              </w:rPr>
            </w:pPr>
            <w:r>
              <w:rPr>
                <w:b/>
                <w:bCs/>
              </w:rPr>
              <w:t>地表水环境质量</w:t>
            </w:r>
          </w:p>
          <w:p>
            <w:pPr>
              <w:ind w:firstLine="480"/>
              <w:rPr>
                <w:rFonts w:hint="eastAsia"/>
              </w:rPr>
            </w:pPr>
            <w:r>
              <w:rPr>
                <w:rFonts w:hint="eastAsia"/>
              </w:rPr>
              <w:t>依据芜湖市生态环境局发布的《2022年芜湖市环境状况公报》进行区域达标性判断评价，对项目所在区域水环境质量现状进行分析。</w:t>
            </w:r>
          </w:p>
          <w:p>
            <w:pPr>
              <w:ind w:firstLine="480"/>
              <w:rPr>
                <w:rFonts w:hint="eastAsia"/>
              </w:rPr>
            </w:pPr>
            <w:r>
              <w:rPr>
                <w:rFonts w:hint="eastAsia"/>
              </w:rPr>
              <w:t>（1）主要河流水质状况</w:t>
            </w:r>
          </w:p>
          <w:p>
            <w:pPr>
              <w:ind w:firstLine="480"/>
              <w:rPr>
                <w:rFonts w:hint="eastAsia" w:eastAsia="宋体"/>
                <w:lang w:eastAsia="zh-CN"/>
              </w:rPr>
            </w:pPr>
            <w:r>
              <w:rPr>
                <w:rFonts w:hint="eastAsia"/>
              </w:rPr>
              <w:t>“十四五”期间我市列入国家水质考核的10个地表水断面（长江东西梁山、漳河澛港桥、青弋江宝塔根、黄浒河荻港、裕溪河裕溪口、青山河当涂查湾、裕溪河三汊河、七星河乔木、青山河三里埂、西河入裕溪河口）水质全部达到《地表环境质量标准》（GB3838—2002）Ⅱ类标准，达标率100%</w:t>
            </w:r>
            <w:r>
              <w:rPr>
                <w:rFonts w:hint="eastAsia"/>
                <w:lang w:eastAsia="zh-CN"/>
              </w:rPr>
              <w:t>。</w:t>
            </w:r>
          </w:p>
          <w:p>
            <w:pPr>
              <w:ind w:firstLine="480"/>
              <w:rPr>
                <w:rFonts w:hint="eastAsia"/>
              </w:rPr>
            </w:pPr>
            <w:r>
              <w:rPr>
                <w:rFonts w:hint="eastAsia"/>
              </w:rPr>
              <w:t>（2）县级以上集中式饮用水水源水质状况</w:t>
            </w:r>
          </w:p>
          <w:p>
            <w:pPr>
              <w:ind w:firstLine="480"/>
              <w:rPr>
                <w:rFonts w:hint="eastAsia"/>
              </w:rPr>
            </w:pPr>
            <w:r>
              <w:rPr>
                <w:rFonts w:hint="eastAsia"/>
              </w:rPr>
              <w:t>全市共有10个县级以上饮用水源地。其中，市级饮用水水源地6个；芜湖市二水厂（长江）水源地、芜湖市四水厂（长江）水源地、芜湖市漳河备用水源地、湾沚区自来水厂（青弋江）水源地、芜湖市三山水厂繁昌芦南水厂饮用水水源地。县级以上饮用水水源水质均达到《地表水环境质量标准》（GB3838-2002）Ⅲ类标准，水质达标率为100%。</w:t>
            </w:r>
          </w:p>
          <w:p>
            <w:pPr>
              <w:numPr>
                <w:ilvl w:val="0"/>
                <w:numId w:val="11"/>
              </w:numPr>
              <w:spacing w:before="156"/>
              <w:ind w:firstLine="482"/>
              <w:rPr>
                <w:b/>
                <w:bCs/>
              </w:rPr>
            </w:pPr>
            <w:r>
              <w:rPr>
                <w:rFonts w:hint="eastAsia"/>
                <w:b/>
                <w:bCs/>
              </w:rPr>
              <w:t>声环境质量</w:t>
            </w:r>
          </w:p>
          <w:p>
            <w:pPr>
              <w:ind w:firstLine="480"/>
              <w:rPr>
                <w:rFonts w:hint="eastAsia"/>
              </w:rPr>
            </w:pPr>
            <w:r>
              <w:rPr>
                <w:rFonts w:hint="eastAsia"/>
              </w:rPr>
              <w:t>根据《建设项目环境影响报告表编制技术指南（污染影响类）（试行）》中“区域环境质量”的“3、声环境—厂界外周边50米范围内存在声环境保护目标的建设项目，应监测保护目标声环境质量现状并评价达标情况。各点位应监测昼夜间噪声，监测时间不少于1天，项目夜间不生产则仅监测昼间噪声。”。</w:t>
            </w:r>
          </w:p>
          <w:p>
            <w:pPr>
              <w:ind w:firstLine="480"/>
              <w:rPr>
                <w:rFonts w:hint="eastAsia"/>
              </w:rPr>
            </w:pPr>
            <w:r>
              <w:rPr>
                <w:rFonts w:hint="eastAsia"/>
              </w:rPr>
              <w:t>本项目厂界外周边50米范围内不存在声环境保护目标，故无需进行声现状监测。</w:t>
            </w:r>
          </w:p>
          <w:p>
            <w:pPr>
              <w:ind w:firstLine="480"/>
              <w:rPr>
                <w:rFonts w:hint="eastAsia"/>
              </w:rPr>
            </w:pPr>
            <w:r>
              <w:rPr>
                <w:rFonts w:hint="eastAsia"/>
              </w:rPr>
              <w:t>根据《芜湖市2022年环境状况公报》：</w:t>
            </w:r>
          </w:p>
          <w:p>
            <w:pPr>
              <w:numPr>
                <w:ilvl w:val="0"/>
                <w:numId w:val="12"/>
              </w:numPr>
              <w:ind w:firstLine="480"/>
              <w:rPr>
                <w:rFonts w:hint="eastAsia"/>
              </w:rPr>
            </w:pPr>
            <w:r>
              <w:rPr>
                <w:rFonts w:hint="eastAsia"/>
              </w:rPr>
              <w:t>道路交通噪声质量概况</w:t>
            </w:r>
          </w:p>
          <w:p>
            <w:pPr>
              <w:ind w:firstLine="480"/>
              <w:rPr>
                <w:rFonts w:hint="eastAsia"/>
              </w:rPr>
            </w:pPr>
            <w:r>
              <w:rPr>
                <w:rFonts w:hint="eastAsia"/>
              </w:rPr>
              <w:t>2022年全市主要交通干线噪声等效声级平均值为66.5分贝，低于国家标准3.5分贝，交通噪声等效声级平均值比2021年降低1.1分贝。</w:t>
            </w:r>
          </w:p>
          <w:p>
            <w:pPr>
              <w:ind w:firstLine="480"/>
              <w:rPr>
                <w:rFonts w:hint="eastAsia"/>
              </w:rPr>
            </w:pPr>
            <w:r>
              <w:rPr>
                <w:rFonts w:hint="eastAsia"/>
              </w:rPr>
              <w:t>根据道路交通噪声强度等级划分，芜湖市道路交通噪声强度为一级，芜湖市的道路交通声环境质量优。</w:t>
            </w:r>
          </w:p>
          <w:p>
            <w:pPr>
              <w:numPr>
                <w:ilvl w:val="0"/>
                <w:numId w:val="12"/>
              </w:numPr>
              <w:ind w:firstLine="480"/>
              <w:rPr>
                <w:rFonts w:hint="eastAsia"/>
              </w:rPr>
            </w:pPr>
            <w:r>
              <w:rPr>
                <w:rFonts w:hint="eastAsia"/>
              </w:rPr>
              <w:t>区域环境噪声质量概况</w:t>
            </w:r>
          </w:p>
          <w:p>
            <w:pPr>
              <w:ind w:firstLine="480"/>
              <w:rPr>
                <w:rFonts w:hint="eastAsia"/>
              </w:rPr>
            </w:pPr>
            <w:r>
              <w:rPr>
                <w:rFonts w:hint="eastAsia"/>
              </w:rPr>
              <w:t>2022年全市区域声环境平均等效声级为56.2分贝，各类功能区噪声符合国家标准，比上年降低了2分贝。</w:t>
            </w:r>
          </w:p>
          <w:p>
            <w:pPr>
              <w:numPr>
                <w:ilvl w:val="0"/>
                <w:numId w:val="12"/>
              </w:numPr>
              <w:ind w:firstLine="480"/>
              <w:rPr>
                <w:rFonts w:hint="eastAsia"/>
              </w:rPr>
            </w:pPr>
            <w:r>
              <w:rPr>
                <w:rFonts w:hint="eastAsia"/>
              </w:rPr>
              <w:t>功能区环境噪声质量概况</w:t>
            </w:r>
          </w:p>
          <w:p>
            <w:pPr>
              <w:ind w:firstLine="480"/>
            </w:pPr>
            <w:r>
              <w:rPr>
                <w:rFonts w:hint="eastAsia"/>
              </w:rPr>
              <w:t>2022年共设监测点10个，其中：1类标准适用区设监测点1个，2类标准适用区设监测点5个，3类标准适用区设监测点2个，4类适用区设监测点2个。芜湖市各功能区的环境噪声级大致是随着1类标准适用区&lt;2类标准适用区&lt;3类标准适用区&lt;4类标准适用区依次递增，这一点和功能区的区域功能划分是完全一致。</w:t>
            </w:r>
          </w:p>
          <w:p>
            <w:pPr>
              <w:numPr>
                <w:ilvl w:val="0"/>
                <w:numId w:val="11"/>
              </w:numPr>
              <w:spacing w:before="156"/>
              <w:ind w:firstLine="482"/>
              <w:rPr>
                <w:rFonts w:hint="eastAsia"/>
                <w:b/>
                <w:bCs/>
              </w:rPr>
            </w:pPr>
            <w:r>
              <w:rPr>
                <w:rFonts w:hint="eastAsia"/>
                <w:b/>
                <w:bCs/>
              </w:rPr>
              <w:t>土壤及地下水</w:t>
            </w:r>
          </w:p>
          <w:p>
            <w:pPr>
              <w:spacing w:before="156" w:beforeLines="50"/>
              <w:ind w:firstLine="480"/>
              <w:rPr>
                <w:rFonts w:hint="eastAsia" w:ascii="宋体" w:hAnsi="宋体"/>
                <w:bCs/>
              </w:rPr>
            </w:pPr>
            <w:r>
              <w:rPr>
                <w:rFonts w:hint="eastAsia" w:ascii="宋体" w:hAnsi="宋体"/>
                <w:bCs/>
              </w:rPr>
              <w:t>根据技术指南要求，污染影响类建设项目原则上不开展地下水和土壤环境的环境质量现状调查。</w:t>
            </w:r>
          </w:p>
          <w:p>
            <w:pPr>
              <w:spacing w:before="156" w:beforeLines="50"/>
              <w:ind w:firstLine="480"/>
              <w:rPr>
                <w:rFonts w:ascii="宋体" w:hAnsi="宋体"/>
                <w:bCs/>
              </w:rPr>
            </w:pPr>
            <w:r>
              <w:rPr>
                <w:rFonts w:hint="eastAsia" w:ascii="宋体" w:hAnsi="宋体"/>
                <w:bCs/>
              </w:rPr>
              <w:t>本项目物料仓储及生产设施均位于厂房内，厂区均硬化，且采取分区防渗；因此，正常工况下不存在地下水和土壤污染途径。因此，本次可不开展地下水和土壤环境质量现状监测。</w:t>
            </w:r>
          </w:p>
          <w:p>
            <w:pPr>
              <w:numPr>
                <w:ilvl w:val="0"/>
                <w:numId w:val="11"/>
              </w:numPr>
              <w:spacing w:before="156"/>
              <w:ind w:firstLine="482"/>
              <w:rPr>
                <w:rFonts w:hint="eastAsia"/>
              </w:rPr>
            </w:pPr>
            <w:r>
              <w:rPr>
                <w:rFonts w:hint="eastAsia"/>
                <w:b/>
                <w:bCs/>
              </w:rPr>
              <w:t>生态环境</w:t>
            </w:r>
          </w:p>
          <w:p>
            <w:pPr>
              <w:ind w:firstLine="480"/>
              <w:rPr>
                <w:rFonts w:hint="eastAsia"/>
              </w:rPr>
            </w:pPr>
            <w:r>
              <w:rPr>
                <w:rFonts w:hint="eastAsia"/>
              </w:rPr>
              <w:t>本项目在芜湖经济技术开发区内，用地范围内无生态环境保护目标，故不需进行生态现状调查。</w:t>
            </w:r>
          </w:p>
          <w:p>
            <w:pPr>
              <w:numPr>
                <w:ilvl w:val="0"/>
                <w:numId w:val="11"/>
              </w:numPr>
              <w:spacing w:before="156"/>
              <w:ind w:firstLine="482"/>
              <w:rPr>
                <w:rFonts w:hint="eastAsia"/>
                <w:b/>
                <w:bCs/>
              </w:rPr>
            </w:pPr>
            <w:r>
              <w:rPr>
                <w:rFonts w:hint="eastAsia"/>
                <w:b/>
                <w:bCs/>
              </w:rPr>
              <w:t>电磁辐射</w:t>
            </w:r>
          </w:p>
          <w:p>
            <w:pPr>
              <w:ind w:firstLine="480"/>
              <w:rPr>
                <w:rFonts w:ascii="宋体" w:hAnsi="宋体" w:cs="宋体"/>
                <w:kern w:val="21"/>
                <w:szCs w:val="21"/>
              </w:rPr>
            </w:pPr>
            <w:r>
              <w:rPr>
                <w:rFonts w:hint="eastAsia"/>
              </w:rPr>
              <w:t>本项目不属于广播电台、差转台、电视塔台、卫星地球上行站、雷达等电磁辐射类项目，无需对电磁辐射现状开展监测与评价。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989" w:hRule="atLeast"/>
          <w:jc w:val="center"/>
        </w:trPr>
        <w:tc>
          <w:tcPr>
            <w:tcW w:w="431" w:type="pct"/>
            <w:tcBorders>
              <w:tl2br w:val="nil"/>
              <w:tr2bl w:val="nil"/>
            </w:tcBorders>
            <w:vAlign w:val="center"/>
          </w:tcPr>
          <w:p>
            <w:pPr>
              <w:adjustRightInd w:val="0"/>
              <w:snapToGrid w:val="0"/>
              <w:ind w:firstLine="0" w:firstLineChars="0"/>
              <w:jc w:val="center"/>
              <w:rPr>
                <w:rFonts w:ascii="宋体" w:hAnsi="宋体" w:cs="宋体"/>
                <w:kern w:val="21"/>
                <w:szCs w:val="21"/>
              </w:rPr>
            </w:pPr>
            <w:r>
              <w:rPr>
                <w:rFonts w:hint="eastAsia" w:ascii="宋体" w:hAnsi="宋体" w:cs="宋体"/>
                <w:kern w:val="21"/>
                <w:szCs w:val="21"/>
              </w:rPr>
              <w:t>环境</w:t>
            </w:r>
          </w:p>
          <w:p>
            <w:pPr>
              <w:adjustRightInd w:val="0"/>
              <w:snapToGrid w:val="0"/>
              <w:ind w:firstLine="0" w:firstLineChars="0"/>
              <w:jc w:val="center"/>
              <w:rPr>
                <w:rFonts w:ascii="宋体" w:hAnsi="宋体" w:cs="宋体"/>
                <w:kern w:val="21"/>
                <w:szCs w:val="21"/>
              </w:rPr>
            </w:pPr>
            <w:r>
              <w:rPr>
                <w:rFonts w:hint="eastAsia" w:ascii="宋体" w:hAnsi="宋体" w:cs="宋体"/>
                <w:kern w:val="21"/>
                <w:szCs w:val="21"/>
              </w:rPr>
              <w:t>保护</w:t>
            </w:r>
          </w:p>
          <w:p>
            <w:pPr>
              <w:adjustRightInd w:val="0"/>
              <w:snapToGrid w:val="0"/>
              <w:ind w:firstLine="0" w:firstLineChars="0"/>
              <w:jc w:val="center"/>
              <w:rPr>
                <w:rFonts w:ascii="宋体" w:hAnsi="宋体" w:cs="宋体"/>
                <w:kern w:val="21"/>
                <w:szCs w:val="21"/>
              </w:rPr>
            </w:pPr>
            <w:r>
              <w:rPr>
                <w:rFonts w:hint="eastAsia" w:ascii="宋体" w:hAnsi="宋体" w:cs="宋体"/>
                <w:kern w:val="21"/>
                <w:szCs w:val="21"/>
              </w:rPr>
              <w:t>目标</w:t>
            </w:r>
          </w:p>
        </w:tc>
        <w:tc>
          <w:tcPr>
            <w:tcW w:w="4568" w:type="pct"/>
            <w:tcBorders>
              <w:tl2br w:val="nil"/>
              <w:tr2bl w:val="nil"/>
            </w:tcBorders>
            <w:vAlign w:val="center"/>
          </w:tcPr>
          <w:p>
            <w:pPr>
              <w:bidi w:val="0"/>
            </w:pPr>
            <w:r>
              <w:rPr>
                <w:rFonts w:hint="eastAsia"/>
                <w:b/>
                <w:bCs/>
              </w:rPr>
              <w:t>主要环境保护目标（列出名单及保护级别）：</w:t>
            </w:r>
          </w:p>
          <w:p>
            <w:pPr>
              <w:bidi w:val="0"/>
            </w:pPr>
            <w:r>
              <w:t>本项目位于</w:t>
            </w:r>
            <w:r>
              <w:rPr>
                <w:rFonts w:hint="eastAsia"/>
              </w:rPr>
              <w:t>安徽省芜湖市经济技术开发区龙山街道祥和路52号（芜湖戎征达伺服智能装备研发与中试基地建设项目综合厂房内）</w:t>
            </w:r>
            <w:r>
              <w:t>，</w:t>
            </w:r>
            <w:r>
              <w:rPr>
                <w:rFonts w:hint="default"/>
                <w:lang w:val="en-US" w:eastAsia="zh-CN"/>
              </w:rPr>
              <w:t>通过对项目的实地勘查，评价范围内无自然保护区、风景名胜区、饮用水源保护区和文物古迹等需要特殊保护的环境敏感对象。根据本项目的污染特征及项目所在区域的环境质量现状，项目环境保护对象及其保护级别见表3-</w:t>
            </w:r>
            <w:r>
              <w:rPr>
                <w:rFonts w:hint="eastAsia"/>
                <w:lang w:val="en-US" w:eastAsia="zh-CN"/>
              </w:rPr>
              <w:t>2</w:t>
            </w:r>
            <w:r>
              <w:rPr>
                <w:rFonts w:hint="default"/>
                <w:lang w:val="en-US" w:eastAsia="zh-CN"/>
              </w:rPr>
              <w:t>。</w:t>
            </w:r>
          </w:p>
          <w:p>
            <w:pPr>
              <w:pStyle w:val="23"/>
              <w:bidi w:val="0"/>
              <w:jc w:val="center"/>
              <w:rPr>
                <w:rFonts w:hint="eastAsia"/>
              </w:rPr>
            </w:pPr>
            <w:r>
              <w:rPr>
                <w:rFonts w:hint="default"/>
                <w:lang w:val="en-US" w:eastAsia="zh-CN"/>
              </w:rPr>
              <w:t>表3-</w:t>
            </w:r>
            <w:r>
              <w:rPr>
                <w:rFonts w:hint="eastAsia"/>
                <w:lang w:val="en-US" w:eastAsia="zh-CN"/>
              </w:rPr>
              <w:t>2</w:t>
            </w:r>
            <w:r>
              <w:rPr>
                <w:rFonts w:hint="default"/>
                <w:lang w:val="en-US" w:eastAsia="zh-CN"/>
              </w:rPr>
              <w:t xml:space="preserve">  主要环境保护目标</w:t>
            </w:r>
          </w:p>
          <w:tbl>
            <w:tblPr>
              <w:tblStyle w:val="1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56"/>
              <w:gridCol w:w="909"/>
              <w:gridCol w:w="767"/>
              <w:gridCol w:w="866"/>
              <w:gridCol w:w="1067"/>
              <w:gridCol w:w="836"/>
              <w:gridCol w:w="923"/>
              <w:gridCol w:w="203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6" w:type="dxa"/>
                  <w:vMerge w:val="restart"/>
                  <w:tcBorders>
                    <w:top w:val="single" w:color="auto" w:sz="12" w:space="0"/>
                    <w:left w:val="nil"/>
                    <w:bottom w:val="single" w:color="auto" w:sz="4" w:space="0"/>
                    <w:right w:val="single" w:color="auto" w:sz="4" w:space="0"/>
                    <w:tl2br w:val="nil"/>
                    <w:tr2bl w:val="nil"/>
                  </w:tcBorders>
                  <w:noWrap w:val="0"/>
                  <w:vAlign w:val="center"/>
                </w:tcPr>
                <w:p>
                  <w:pPr>
                    <w:pStyle w:val="22"/>
                    <w:bidi w:val="0"/>
                    <w:jc w:val="center"/>
                    <w:rPr>
                      <w:rFonts w:hint="eastAsia"/>
                    </w:rPr>
                  </w:pPr>
                  <w:r>
                    <w:rPr>
                      <w:rFonts w:hint="default"/>
                    </w:rPr>
                    <w:t>环境</w:t>
                  </w:r>
                </w:p>
              </w:tc>
              <w:tc>
                <w:tcPr>
                  <w:tcW w:w="909" w:type="dxa"/>
                  <w:vMerge w:val="restart"/>
                  <w:tcBorders>
                    <w:top w:val="single" w:color="auto" w:sz="12" w:space="0"/>
                    <w:left w:val="single" w:color="auto" w:sz="4" w:space="0"/>
                    <w:bottom w:val="single" w:color="auto" w:sz="4" w:space="0"/>
                    <w:right w:val="single" w:color="auto" w:sz="4" w:space="0"/>
                    <w:tl2br w:val="nil"/>
                    <w:tr2bl w:val="nil"/>
                  </w:tcBorders>
                  <w:noWrap w:val="0"/>
                  <w:vAlign w:val="center"/>
                </w:tcPr>
                <w:p>
                  <w:pPr>
                    <w:pStyle w:val="22"/>
                    <w:bidi w:val="0"/>
                    <w:jc w:val="center"/>
                    <w:rPr>
                      <w:rFonts w:hint="eastAsia"/>
                    </w:rPr>
                  </w:pPr>
                  <w:r>
                    <w:rPr>
                      <w:rFonts w:hint="default"/>
                    </w:rPr>
                    <w:t>环境保护对象</w:t>
                  </w:r>
                </w:p>
              </w:tc>
              <w:tc>
                <w:tcPr>
                  <w:tcW w:w="1633" w:type="dxa"/>
                  <w:gridSpan w:val="2"/>
                  <w:tcBorders>
                    <w:top w:val="single" w:color="auto" w:sz="12" w:space="0"/>
                    <w:left w:val="single" w:color="auto" w:sz="4" w:space="0"/>
                    <w:bottom w:val="single" w:color="auto" w:sz="4" w:space="0"/>
                    <w:right w:val="single" w:color="auto" w:sz="4" w:space="0"/>
                    <w:tl2br w:val="nil"/>
                    <w:tr2bl w:val="nil"/>
                  </w:tcBorders>
                  <w:noWrap w:val="0"/>
                  <w:vAlign w:val="center"/>
                </w:tcPr>
                <w:p>
                  <w:pPr>
                    <w:pStyle w:val="22"/>
                    <w:bidi w:val="0"/>
                    <w:jc w:val="center"/>
                    <w:rPr>
                      <w:rFonts w:hint="eastAsia"/>
                    </w:rPr>
                  </w:pPr>
                  <w:r>
                    <w:rPr>
                      <w:rFonts w:hint="default"/>
                    </w:rPr>
                    <w:t>坐标（°）</w:t>
                  </w:r>
                </w:p>
              </w:tc>
              <w:tc>
                <w:tcPr>
                  <w:tcW w:w="1067" w:type="dxa"/>
                  <w:vMerge w:val="restart"/>
                  <w:tcBorders>
                    <w:top w:val="single" w:color="auto" w:sz="12" w:space="0"/>
                    <w:left w:val="single" w:color="auto" w:sz="4" w:space="0"/>
                    <w:bottom w:val="single" w:color="auto" w:sz="4" w:space="0"/>
                    <w:right w:val="single" w:color="auto" w:sz="4" w:space="0"/>
                    <w:tl2br w:val="nil"/>
                    <w:tr2bl w:val="nil"/>
                  </w:tcBorders>
                  <w:noWrap w:val="0"/>
                  <w:vAlign w:val="center"/>
                </w:tcPr>
                <w:p>
                  <w:pPr>
                    <w:pStyle w:val="22"/>
                    <w:bidi w:val="0"/>
                    <w:jc w:val="center"/>
                    <w:rPr>
                      <w:rFonts w:hint="eastAsia"/>
                    </w:rPr>
                  </w:pPr>
                  <w:r>
                    <w:rPr>
                      <w:rFonts w:hint="default"/>
                    </w:rPr>
                    <w:t>相对方位</w:t>
                  </w:r>
                </w:p>
              </w:tc>
              <w:tc>
                <w:tcPr>
                  <w:tcW w:w="836" w:type="dxa"/>
                  <w:vMerge w:val="restart"/>
                  <w:tcBorders>
                    <w:top w:val="single" w:color="auto" w:sz="12" w:space="0"/>
                    <w:left w:val="single" w:color="auto" w:sz="4" w:space="0"/>
                    <w:bottom w:val="single" w:color="auto" w:sz="4" w:space="0"/>
                    <w:right w:val="single" w:color="auto" w:sz="4" w:space="0"/>
                    <w:tl2br w:val="nil"/>
                    <w:tr2bl w:val="nil"/>
                  </w:tcBorders>
                  <w:noWrap w:val="0"/>
                  <w:vAlign w:val="center"/>
                </w:tcPr>
                <w:p>
                  <w:pPr>
                    <w:pStyle w:val="22"/>
                    <w:bidi w:val="0"/>
                    <w:jc w:val="center"/>
                    <w:rPr>
                      <w:rFonts w:hint="eastAsia"/>
                    </w:rPr>
                  </w:pPr>
                  <w:r>
                    <w:rPr>
                      <w:rFonts w:hint="default"/>
                    </w:rPr>
                    <w:t>规模</w:t>
                  </w:r>
                </w:p>
              </w:tc>
              <w:tc>
                <w:tcPr>
                  <w:tcW w:w="923" w:type="dxa"/>
                  <w:vMerge w:val="restart"/>
                  <w:tcBorders>
                    <w:top w:val="single" w:color="auto" w:sz="12" w:space="0"/>
                    <w:left w:val="single" w:color="auto" w:sz="4" w:space="0"/>
                    <w:bottom w:val="single" w:color="auto" w:sz="4" w:space="0"/>
                    <w:right w:val="single" w:color="auto" w:sz="4" w:space="0"/>
                    <w:tl2br w:val="nil"/>
                    <w:tr2bl w:val="nil"/>
                  </w:tcBorders>
                  <w:noWrap w:val="0"/>
                  <w:vAlign w:val="center"/>
                </w:tcPr>
                <w:p>
                  <w:pPr>
                    <w:pStyle w:val="22"/>
                    <w:bidi w:val="0"/>
                    <w:jc w:val="center"/>
                    <w:rPr>
                      <w:rFonts w:hint="eastAsia"/>
                    </w:rPr>
                  </w:pPr>
                  <w:r>
                    <w:rPr>
                      <w:rFonts w:hint="default"/>
                    </w:rPr>
                    <w:t>距离(m)</w:t>
                  </w:r>
                </w:p>
              </w:tc>
              <w:tc>
                <w:tcPr>
                  <w:tcW w:w="2035" w:type="dxa"/>
                  <w:vMerge w:val="restart"/>
                  <w:tcBorders>
                    <w:top w:val="single" w:color="auto" w:sz="12" w:space="0"/>
                    <w:left w:val="single" w:color="auto" w:sz="4" w:space="0"/>
                    <w:bottom w:val="single" w:color="auto" w:sz="4" w:space="0"/>
                    <w:right w:val="nil"/>
                    <w:tl2br w:val="nil"/>
                    <w:tr2bl w:val="nil"/>
                  </w:tcBorders>
                  <w:noWrap w:val="0"/>
                  <w:vAlign w:val="center"/>
                </w:tcPr>
                <w:p>
                  <w:pPr>
                    <w:pStyle w:val="22"/>
                    <w:bidi w:val="0"/>
                    <w:jc w:val="center"/>
                    <w:rPr>
                      <w:rFonts w:hint="eastAsia"/>
                    </w:rPr>
                  </w:pPr>
                  <w:r>
                    <w:rPr>
                      <w:rFonts w:hint="default"/>
                    </w:rPr>
                    <w:t>环境保护级别</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6" w:type="dxa"/>
                  <w:vMerge w:val="continue"/>
                  <w:tcBorders>
                    <w:top w:val="single" w:color="auto" w:sz="4" w:space="0"/>
                    <w:left w:val="nil"/>
                    <w:bottom w:val="single" w:color="auto" w:sz="4" w:space="0"/>
                    <w:right w:val="single" w:color="auto" w:sz="4" w:space="0"/>
                    <w:tl2br w:val="nil"/>
                    <w:tr2bl w:val="nil"/>
                  </w:tcBorders>
                  <w:noWrap w:val="0"/>
                  <w:vAlign w:val="center"/>
                </w:tcPr>
                <w:p>
                  <w:pPr>
                    <w:pStyle w:val="22"/>
                    <w:bidi w:val="0"/>
                    <w:jc w:val="center"/>
                    <w:rPr>
                      <w:rFonts w:hint="eastAsia"/>
                    </w:rPr>
                  </w:pPr>
                </w:p>
              </w:tc>
              <w:tc>
                <w:tcPr>
                  <w:tcW w:w="909"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pStyle w:val="22"/>
                    <w:bidi w:val="0"/>
                    <w:jc w:val="center"/>
                    <w:rPr>
                      <w:rFonts w:hint="eastAsia"/>
                    </w:rPr>
                  </w:pPr>
                </w:p>
              </w:tc>
              <w:tc>
                <w:tcPr>
                  <w:tcW w:w="767"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22"/>
                    <w:bidi w:val="0"/>
                    <w:jc w:val="center"/>
                    <w:rPr>
                      <w:rFonts w:hint="eastAsia"/>
                    </w:rPr>
                  </w:pPr>
                  <w:r>
                    <w:rPr>
                      <w:rFonts w:hint="default"/>
                    </w:rPr>
                    <w:t>经度</w:t>
                  </w:r>
                </w:p>
              </w:tc>
              <w:tc>
                <w:tcPr>
                  <w:tcW w:w="866"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22"/>
                    <w:bidi w:val="0"/>
                    <w:jc w:val="center"/>
                    <w:rPr>
                      <w:rFonts w:hint="eastAsia"/>
                    </w:rPr>
                  </w:pPr>
                  <w:r>
                    <w:rPr>
                      <w:rFonts w:hint="default"/>
                    </w:rPr>
                    <w:t>纬度</w:t>
                  </w:r>
                </w:p>
              </w:tc>
              <w:tc>
                <w:tcPr>
                  <w:tcW w:w="1067"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pStyle w:val="22"/>
                    <w:bidi w:val="0"/>
                    <w:jc w:val="center"/>
                    <w:rPr>
                      <w:rFonts w:hint="eastAsia"/>
                    </w:rPr>
                  </w:pPr>
                </w:p>
              </w:tc>
              <w:tc>
                <w:tcPr>
                  <w:tcW w:w="836"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pStyle w:val="22"/>
                    <w:bidi w:val="0"/>
                    <w:jc w:val="center"/>
                    <w:rPr>
                      <w:rFonts w:hint="eastAsia"/>
                    </w:rPr>
                  </w:pPr>
                </w:p>
              </w:tc>
              <w:tc>
                <w:tcPr>
                  <w:tcW w:w="923"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pStyle w:val="22"/>
                    <w:bidi w:val="0"/>
                    <w:jc w:val="center"/>
                    <w:rPr>
                      <w:rFonts w:hint="eastAsia"/>
                    </w:rPr>
                  </w:pPr>
                </w:p>
              </w:tc>
              <w:tc>
                <w:tcPr>
                  <w:tcW w:w="2035" w:type="dxa"/>
                  <w:vMerge w:val="continue"/>
                  <w:tcBorders>
                    <w:top w:val="single" w:color="auto" w:sz="4" w:space="0"/>
                    <w:left w:val="single" w:color="auto" w:sz="4" w:space="0"/>
                    <w:bottom w:val="single" w:color="auto" w:sz="4" w:space="0"/>
                    <w:right w:val="nil"/>
                    <w:tl2br w:val="nil"/>
                    <w:tr2bl w:val="nil"/>
                  </w:tcBorders>
                  <w:noWrap w:val="0"/>
                  <w:vAlign w:val="center"/>
                </w:tcPr>
                <w:p>
                  <w:pPr>
                    <w:pStyle w:val="22"/>
                    <w:bidi w:val="0"/>
                    <w:jc w:val="center"/>
                    <w:rPr>
                      <w:rFonts w:hint="eastAsia"/>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24" w:hRule="atLeast"/>
                <w:jc w:val="center"/>
              </w:trPr>
              <w:tc>
                <w:tcPr>
                  <w:tcW w:w="656" w:type="dxa"/>
                  <w:tcBorders>
                    <w:top w:val="single" w:color="auto" w:sz="4" w:space="0"/>
                    <w:left w:val="nil"/>
                    <w:bottom w:val="single" w:color="auto" w:sz="4" w:space="0"/>
                    <w:right w:val="single" w:color="auto" w:sz="4" w:space="0"/>
                    <w:tl2br w:val="nil"/>
                    <w:tr2bl w:val="nil"/>
                  </w:tcBorders>
                  <w:noWrap w:val="0"/>
                  <w:vAlign w:val="center"/>
                </w:tcPr>
                <w:p>
                  <w:pPr>
                    <w:pStyle w:val="22"/>
                    <w:bidi w:val="0"/>
                    <w:jc w:val="center"/>
                    <w:rPr>
                      <w:rFonts w:hint="eastAsia"/>
                    </w:rPr>
                  </w:pPr>
                  <w:r>
                    <w:rPr>
                      <w:rFonts w:hint="default"/>
                    </w:rPr>
                    <w:t>大气</w:t>
                  </w:r>
                </w:p>
                <w:p>
                  <w:pPr>
                    <w:pStyle w:val="22"/>
                    <w:bidi w:val="0"/>
                    <w:jc w:val="center"/>
                    <w:rPr>
                      <w:rFonts w:hint="eastAsia"/>
                    </w:rPr>
                  </w:pPr>
                  <w:r>
                    <w:rPr>
                      <w:rFonts w:hint="default"/>
                    </w:rPr>
                    <w:t>环境</w:t>
                  </w:r>
                </w:p>
              </w:tc>
              <w:tc>
                <w:tcPr>
                  <w:tcW w:w="909"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22"/>
                    <w:bidi w:val="0"/>
                    <w:jc w:val="center"/>
                    <w:rPr>
                      <w:rFonts w:hint="default"/>
                    </w:rPr>
                  </w:pPr>
                  <w:r>
                    <w:rPr>
                      <w:rFonts w:hint="default"/>
                    </w:rPr>
                    <w:t>/</w:t>
                  </w:r>
                </w:p>
              </w:tc>
              <w:tc>
                <w:tcPr>
                  <w:tcW w:w="767"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22"/>
                    <w:bidi w:val="0"/>
                    <w:jc w:val="center"/>
                    <w:rPr>
                      <w:rFonts w:hint="eastAsia"/>
                    </w:rPr>
                  </w:pPr>
                  <w:r>
                    <w:rPr>
                      <w:rFonts w:hint="default"/>
                    </w:rPr>
                    <w:t>/</w:t>
                  </w:r>
                </w:p>
              </w:tc>
              <w:tc>
                <w:tcPr>
                  <w:tcW w:w="866"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22"/>
                    <w:bidi w:val="0"/>
                    <w:jc w:val="center"/>
                    <w:rPr>
                      <w:rFonts w:hint="eastAsia"/>
                    </w:rPr>
                  </w:pPr>
                  <w:r>
                    <w:rPr>
                      <w:rFonts w:hint="default"/>
                    </w:rPr>
                    <w:t>/</w:t>
                  </w:r>
                </w:p>
              </w:tc>
              <w:tc>
                <w:tcPr>
                  <w:tcW w:w="1067"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22"/>
                    <w:bidi w:val="0"/>
                    <w:jc w:val="center"/>
                    <w:rPr>
                      <w:rFonts w:hint="eastAsia"/>
                    </w:rPr>
                  </w:pPr>
                  <w:r>
                    <w:rPr>
                      <w:rFonts w:hint="default"/>
                    </w:rPr>
                    <w:t>/</w:t>
                  </w:r>
                </w:p>
              </w:tc>
              <w:tc>
                <w:tcPr>
                  <w:tcW w:w="836"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22"/>
                    <w:bidi w:val="0"/>
                    <w:jc w:val="center"/>
                    <w:rPr>
                      <w:rFonts w:hint="eastAsia"/>
                    </w:rPr>
                  </w:pPr>
                  <w:r>
                    <w:rPr>
                      <w:rFonts w:hint="default"/>
                    </w:rPr>
                    <w:t>/</w:t>
                  </w:r>
                </w:p>
              </w:tc>
              <w:tc>
                <w:tcPr>
                  <w:tcW w:w="923"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22"/>
                    <w:bidi w:val="0"/>
                    <w:jc w:val="center"/>
                    <w:rPr>
                      <w:rFonts w:hint="default"/>
                    </w:rPr>
                  </w:pPr>
                  <w:r>
                    <w:rPr>
                      <w:rFonts w:hint="default"/>
                    </w:rPr>
                    <w:t>/</w:t>
                  </w:r>
                </w:p>
              </w:tc>
              <w:tc>
                <w:tcPr>
                  <w:tcW w:w="2035" w:type="dxa"/>
                  <w:tcBorders>
                    <w:top w:val="single" w:color="auto" w:sz="4" w:space="0"/>
                    <w:left w:val="single" w:color="auto" w:sz="4" w:space="0"/>
                    <w:bottom w:val="single" w:color="auto" w:sz="4" w:space="0"/>
                    <w:right w:val="nil"/>
                    <w:tl2br w:val="nil"/>
                    <w:tr2bl w:val="nil"/>
                  </w:tcBorders>
                  <w:noWrap w:val="0"/>
                  <w:vAlign w:val="center"/>
                </w:tcPr>
                <w:p>
                  <w:pPr>
                    <w:pStyle w:val="22"/>
                    <w:bidi w:val="0"/>
                    <w:jc w:val="center"/>
                    <w:rPr>
                      <w:rFonts w:hint="eastAsia"/>
                      <w:lang w:eastAsia="zh-CN"/>
                    </w:rPr>
                  </w:pPr>
                  <w:r>
                    <w:rPr>
                      <w:rFonts w:hint="eastAsia"/>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88" w:hRule="atLeast"/>
                <w:jc w:val="center"/>
              </w:trPr>
              <w:tc>
                <w:tcPr>
                  <w:tcW w:w="656" w:type="dxa"/>
                  <w:vMerge w:val="restart"/>
                  <w:tcBorders>
                    <w:top w:val="single" w:color="auto" w:sz="4" w:space="0"/>
                    <w:left w:val="nil"/>
                    <w:right w:val="single" w:color="auto" w:sz="4" w:space="0"/>
                    <w:tl2br w:val="nil"/>
                    <w:tr2bl w:val="nil"/>
                  </w:tcBorders>
                  <w:noWrap w:val="0"/>
                  <w:vAlign w:val="center"/>
                </w:tcPr>
                <w:p>
                  <w:pPr>
                    <w:pStyle w:val="22"/>
                    <w:bidi w:val="0"/>
                    <w:jc w:val="center"/>
                    <w:rPr>
                      <w:rFonts w:hint="eastAsia"/>
                    </w:rPr>
                  </w:pPr>
                  <w:r>
                    <w:rPr>
                      <w:rFonts w:hint="default"/>
                    </w:rPr>
                    <w:t>地表水环境</w:t>
                  </w:r>
                </w:p>
              </w:tc>
              <w:tc>
                <w:tcPr>
                  <w:tcW w:w="909" w:type="dxa"/>
                  <w:tcBorders>
                    <w:top w:val="single" w:color="auto" w:sz="4" w:space="0"/>
                    <w:left w:val="single" w:color="auto" w:sz="4" w:space="0"/>
                    <w:right w:val="single" w:color="auto" w:sz="4" w:space="0"/>
                    <w:tl2br w:val="nil"/>
                    <w:tr2bl w:val="nil"/>
                  </w:tcBorders>
                  <w:noWrap w:val="0"/>
                  <w:vAlign w:val="center"/>
                </w:tcPr>
                <w:p>
                  <w:pPr>
                    <w:pStyle w:val="22"/>
                    <w:bidi w:val="0"/>
                    <w:jc w:val="center"/>
                    <w:rPr>
                      <w:rFonts w:hint="default"/>
                    </w:rPr>
                  </w:pPr>
                  <w:r>
                    <w:rPr>
                      <w:rFonts w:hint="default"/>
                    </w:rPr>
                    <w:t>长江</w:t>
                  </w:r>
                </w:p>
              </w:tc>
              <w:tc>
                <w:tcPr>
                  <w:tcW w:w="767" w:type="dxa"/>
                  <w:tcBorders>
                    <w:top w:val="single" w:color="auto" w:sz="4" w:space="0"/>
                    <w:left w:val="single" w:color="auto" w:sz="4" w:space="0"/>
                    <w:right w:val="single" w:color="auto" w:sz="4" w:space="0"/>
                    <w:tl2br w:val="nil"/>
                    <w:tr2bl w:val="nil"/>
                  </w:tcBorders>
                  <w:noWrap w:val="0"/>
                  <w:vAlign w:val="center"/>
                </w:tcPr>
                <w:p>
                  <w:pPr>
                    <w:pStyle w:val="22"/>
                    <w:bidi w:val="0"/>
                    <w:jc w:val="center"/>
                    <w:rPr>
                      <w:rFonts w:hint="eastAsia"/>
                      <w:lang w:val="en-US" w:eastAsia="zh-CN"/>
                    </w:rPr>
                  </w:pPr>
                  <w:r>
                    <w:rPr>
                      <w:rFonts w:hint="default"/>
                    </w:rPr>
                    <w:t>/</w:t>
                  </w:r>
                </w:p>
              </w:tc>
              <w:tc>
                <w:tcPr>
                  <w:tcW w:w="866" w:type="dxa"/>
                  <w:tcBorders>
                    <w:top w:val="single" w:color="auto" w:sz="4" w:space="0"/>
                    <w:left w:val="single" w:color="auto" w:sz="4" w:space="0"/>
                    <w:right w:val="single" w:color="auto" w:sz="4" w:space="0"/>
                    <w:tl2br w:val="nil"/>
                    <w:tr2bl w:val="nil"/>
                  </w:tcBorders>
                  <w:noWrap w:val="0"/>
                  <w:vAlign w:val="center"/>
                </w:tcPr>
                <w:p>
                  <w:pPr>
                    <w:pStyle w:val="22"/>
                    <w:bidi w:val="0"/>
                    <w:jc w:val="center"/>
                    <w:rPr>
                      <w:rFonts w:hint="eastAsia"/>
                    </w:rPr>
                  </w:pPr>
                  <w:r>
                    <w:rPr>
                      <w:rFonts w:hint="default"/>
                    </w:rPr>
                    <w:t>/</w:t>
                  </w:r>
                </w:p>
              </w:tc>
              <w:tc>
                <w:tcPr>
                  <w:tcW w:w="1067" w:type="dxa"/>
                  <w:tcBorders>
                    <w:top w:val="single" w:color="auto" w:sz="4" w:space="0"/>
                    <w:left w:val="single" w:color="auto" w:sz="4" w:space="0"/>
                    <w:right w:val="single" w:color="auto" w:sz="4" w:space="0"/>
                    <w:tl2br w:val="nil"/>
                    <w:tr2bl w:val="nil"/>
                  </w:tcBorders>
                  <w:noWrap w:val="0"/>
                  <w:vAlign w:val="center"/>
                </w:tcPr>
                <w:p>
                  <w:pPr>
                    <w:pStyle w:val="22"/>
                    <w:bidi w:val="0"/>
                    <w:jc w:val="center"/>
                    <w:rPr>
                      <w:rFonts w:hint="default"/>
                      <w:lang w:val="en-US"/>
                    </w:rPr>
                  </w:pPr>
                  <w:r>
                    <w:rPr>
                      <w:rFonts w:hint="eastAsia"/>
                      <w:lang w:val="en-US" w:eastAsia="zh-CN"/>
                    </w:rPr>
                    <w:t>NW</w:t>
                  </w:r>
                </w:p>
              </w:tc>
              <w:tc>
                <w:tcPr>
                  <w:tcW w:w="836" w:type="dxa"/>
                  <w:tcBorders>
                    <w:top w:val="single" w:color="auto" w:sz="4" w:space="0"/>
                    <w:left w:val="single" w:color="auto" w:sz="4" w:space="0"/>
                    <w:right w:val="single" w:color="auto" w:sz="4" w:space="0"/>
                    <w:tl2br w:val="nil"/>
                    <w:tr2bl w:val="nil"/>
                  </w:tcBorders>
                  <w:noWrap w:val="0"/>
                  <w:vAlign w:val="center"/>
                </w:tcPr>
                <w:p>
                  <w:pPr>
                    <w:pStyle w:val="22"/>
                    <w:bidi w:val="0"/>
                    <w:jc w:val="center"/>
                    <w:rPr>
                      <w:rFonts w:hint="default"/>
                    </w:rPr>
                  </w:pPr>
                  <w:r>
                    <w:rPr>
                      <w:rFonts w:hint="default"/>
                    </w:rPr>
                    <w:t>大型</w:t>
                  </w:r>
                </w:p>
              </w:tc>
              <w:tc>
                <w:tcPr>
                  <w:tcW w:w="923"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22"/>
                    <w:bidi w:val="0"/>
                    <w:jc w:val="center"/>
                    <w:rPr>
                      <w:rFonts w:hint="eastAsia"/>
                    </w:rPr>
                  </w:pPr>
                  <w:r>
                    <w:rPr>
                      <w:rFonts w:hint="eastAsia"/>
                      <w:lang w:val="en-US" w:eastAsia="zh-CN"/>
                    </w:rPr>
                    <w:t>35</w:t>
                  </w:r>
                  <w:r>
                    <w:rPr>
                      <w:rFonts w:hint="default"/>
                    </w:rPr>
                    <w:t>00</w:t>
                  </w:r>
                </w:p>
              </w:tc>
              <w:tc>
                <w:tcPr>
                  <w:tcW w:w="2035" w:type="dxa"/>
                  <w:vMerge w:val="restart"/>
                  <w:tcBorders>
                    <w:top w:val="single" w:color="auto" w:sz="4" w:space="0"/>
                    <w:left w:val="single" w:color="auto" w:sz="4" w:space="0"/>
                    <w:right w:val="nil"/>
                    <w:tl2br w:val="nil"/>
                    <w:tr2bl w:val="nil"/>
                  </w:tcBorders>
                  <w:noWrap w:val="0"/>
                  <w:vAlign w:val="center"/>
                </w:tcPr>
                <w:p>
                  <w:pPr>
                    <w:pStyle w:val="22"/>
                    <w:bidi w:val="0"/>
                    <w:jc w:val="center"/>
                    <w:rPr>
                      <w:rFonts w:hint="eastAsia"/>
                    </w:rPr>
                  </w:pPr>
                  <w:r>
                    <w:rPr>
                      <w:rFonts w:hint="default"/>
                    </w:rPr>
                    <w:t>《地表水环境质量标准》（</w:t>
                  </w:r>
                  <w:r>
                    <w:rPr>
                      <w:rFonts w:hint="eastAsia"/>
                    </w:rPr>
                    <w:t>GB3838-2002</w:t>
                  </w:r>
                  <w:r>
                    <w:rPr>
                      <w:rFonts w:hint="default"/>
                    </w:rPr>
                    <w:t>）中的</w:t>
                  </w:r>
                  <w:r>
                    <w:rPr>
                      <w:rFonts w:hint="eastAsia"/>
                    </w:rPr>
                    <w:t>Ⅲ</w:t>
                  </w:r>
                  <w:r>
                    <w:rPr>
                      <w:rFonts w:hint="default"/>
                    </w:rPr>
                    <w:t>类标准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88" w:hRule="atLeast"/>
                <w:jc w:val="center"/>
              </w:trPr>
              <w:tc>
                <w:tcPr>
                  <w:tcW w:w="656" w:type="dxa"/>
                  <w:vMerge w:val="continue"/>
                  <w:tcBorders>
                    <w:left w:val="nil"/>
                    <w:bottom w:val="single" w:color="auto" w:sz="4" w:space="0"/>
                    <w:right w:val="single" w:color="auto" w:sz="4" w:space="0"/>
                    <w:tl2br w:val="nil"/>
                    <w:tr2bl w:val="nil"/>
                  </w:tcBorders>
                  <w:noWrap w:val="0"/>
                  <w:vAlign w:val="center"/>
                </w:tcPr>
                <w:p>
                  <w:pPr>
                    <w:pStyle w:val="22"/>
                    <w:bidi w:val="0"/>
                    <w:jc w:val="center"/>
                    <w:rPr>
                      <w:rFonts w:hint="default"/>
                    </w:rPr>
                  </w:pPr>
                </w:p>
              </w:tc>
              <w:tc>
                <w:tcPr>
                  <w:tcW w:w="909" w:type="dxa"/>
                  <w:tcBorders>
                    <w:top w:val="single" w:color="auto" w:sz="4" w:space="0"/>
                    <w:left w:val="single" w:color="auto" w:sz="4" w:space="0"/>
                    <w:right w:val="single" w:color="auto" w:sz="4" w:space="0"/>
                    <w:tl2br w:val="nil"/>
                    <w:tr2bl w:val="nil"/>
                  </w:tcBorders>
                  <w:noWrap w:val="0"/>
                  <w:vAlign w:val="center"/>
                </w:tcPr>
                <w:p>
                  <w:pPr>
                    <w:pStyle w:val="22"/>
                    <w:bidi w:val="0"/>
                    <w:jc w:val="center"/>
                    <w:rPr>
                      <w:rFonts w:hint="default"/>
                      <w:lang w:val="en-US" w:eastAsia="zh-CN"/>
                    </w:rPr>
                  </w:pPr>
                  <w:r>
                    <w:rPr>
                      <w:rFonts w:hint="eastAsia"/>
                      <w:lang w:val="en-US" w:eastAsia="zh-CN"/>
                    </w:rPr>
                    <w:t>扁担河</w:t>
                  </w:r>
                </w:p>
              </w:tc>
              <w:tc>
                <w:tcPr>
                  <w:tcW w:w="767" w:type="dxa"/>
                  <w:tcBorders>
                    <w:top w:val="single" w:color="auto" w:sz="4" w:space="0"/>
                    <w:left w:val="single" w:color="auto" w:sz="4" w:space="0"/>
                    <w:right w:val="single" w:color="auto" w:sz="4" w:space="0"/>
                    <w:tl2br w:val="nil"/>
                    <w:tr2bl w:val="nil"/>
                  </w:tcBorders>
                  <w:noWrap w:val="0"/>
                  <w:vAlign w:val="center"/>
                </w:tcPr>
                <w:p>
                  <w:pPr>
                    <w:pStyle w:val="22"/>
                    <w:bidi w:val="0"/>
                    <w:jc w:val="center"/>
                    <w:rPr>
                      <w:rFonts w:hint="default"/>
                    </w:rPr>
                  </w:pPr>
                  <w:r>
                    <w:rPr>
                      <w:rFonts w:hint="default"/>
                    </w:rPr>
                    <w:t>/</w:t>
                  </w:r>
                </w:p>
              </w:tc>
              <w:tc>
                <w:tcPr>
                  <w:tcW w:w="866" w:type="dxa"/>
                  <w:tcBorders>
                    <w:top w:val="single" w:color="auto" w:sz="4" w:space="0"/>
                    <w:left w:val="single" w:color="auto" w:sz="4" w:space="0"/>
                    <w:right w:val="single" w:color="auto" w:sz="4" w:space="0"/>
                    <w:tl2br w:val="nil"/>
                    <w:tr2bl w:val="nil"/>
                  </w:tcBorders>
                  <w:noWrap w:val="0"/>
                  <w:vAlign w:val="center"/>
                </w:tcPr>
                <w:p>
                  <w:pPr>
                    <w:pStyle w:val="22"/>
                    <w:bidi w:val="0"/>
                    <w:jc w:val="center"/>
                    <w:rPr>
                      <w:rFonts w:hint="default"/>
                    </w:rPr>
                  </w:pPr>
                  <w:r>
                    <w:rPr>
                      <w:rFonts w:hint="default"/>
                    </w:rPr>
                    <w:t>/</w:t>
                  </w:r>
                </w:p>
              </w:tc>
              <w:tc>
                <w:tcPr>
                  <w:tcW w:w="1067" w:type="dxa"/>
                  <w:tcBorders>
                    <w:top w:val="single" w:color="auto" w:sz="4" w:space="0"/>
                    <w:left w:val="single" w:color="auto" w:sz="4" w:space="0"/>
                    <w:right w:val="single" w:color="auto" w:sz="4" w:space="0"/>
                    <w:tl2br w:val="nil"/>
                    <w:tr2bl w:val="nil"/>
                  </w:tcBorders>
                  <w:noWrap w:val="0"/>
                  <w:vAlign w:val="center"/>
                </w:tcPr>
                <w:p>
                  <w:pPr>
                    <w:pStyle w:val="22"/>
                    <w:bidi w:val="0"/>
                    <w:jc w:val="center"/>
                    <w:rPr>
                      <w:rFonts w:hint="default"/>
                      <w:lang w:val="en-US" w:eastAsia="zh-CN"/>
                    </w:rPr>
                  </w:pPr>
                  <w:r>
                    <w:rPr>
                      <w:rFonts w:hint="eastAsia"/>
                      <w:lang w:val="en-US" w:eastAsia="zh-CN"/>
                    </w:rPr>
                    <w:t>N</w:t>
                  </w:r>
                </w:p>
              </w:tc>
              <w:tc>
                <w:tcPr>
                  <w:tcW w:w="836" w:type="dxa"/>
                  <w:tcBorders>
                    <w:top w:val="single" w:color="auto" w:sz="4" w:space="0"/>
                    <w:left w:val="single" w:color="auto" w:sz="4" w:space="0"/>
                    <w:right w:val="single" w:color="auto" w:sz="4" w:space="0"/>
                    <w:tl2br w:val="nil"/>
                    <w:tr2bl w:val="nil"/>
                  </w:tcBorders>
                  <w:noWrap w:val="0"/>
                  <w:vAlign w:val="center"/>
                </w:tcPr>
                <w:p>
                  <w:pPr>
                    <w:pStyle w:val="22"/>
                    <w:bidi w:val="0"/>
                    <w:jc w:val="center"/>
                    <w:rPr>
                      <w:rFonts w:hint="default"/>
                      <w:lang w:val="en-US" w:eastAsia="zh-CN"/>
                    </w:rPr>
                  </w:pPr>
                  <w:r>
                    <w:rPr>
                      <w:rFonts w:hint="eastAsia"/>
                      <w:lang w:val="en-US" w:eastAsia="zh-CN"/>
                    </w:rPr>
                    <w:t>小型</w:t>
                  </w:r>
                </w:p>
              </w:tc>
              <w:tc>
                <w:tcPr>
                  <w:tcW w:w="923"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22"/>
                    <w:bidi w:val="0"/>
                    <w:jc w:val="center"/>
                    <w:rPr>
                      <w:rFonts w:hint="default"/>
                      <w:lang w:val="en-US" w:eastAsia="zh-CN"/>
                    </w:rPr>
                  </w:pPr>
                  <w:r>
                    <w:rPr>
                      <w:rFonts w:hint="eastAsia"/>
                      <w:lang w:val="en-US" w:eastAsia="zh-CN"/>
                    </w:rPr>
                    <w:t>700</w:t>
                  </w:r>
                </w:p>
              </w:tc>
              <w:tc>
                <w:tcPr>
                  <w:tcW w:w="2035" w:type="dxa"/>
                  <w:vMerge w:val="continue"/>
                  <w:tcBorders>
                    <w:left w:val="single" w:color="auto" w:sz="4" w:space="0"/>
                    <w:bottom w:val="single" w:color="auto" w:sz="4" w:space="0"/>
                    <w:right w:val="nil"/>
                    <w:tl2br w:val="nil"/>
                    <w:tr2bl w:val="nil"/>
                  </w:tcBorders>
                  <w:noWrap w:val="0"/>
                  <w:vAlign w:val="center"/>
                </w:tcPr>
                <w:p>
                  <w:pPr>
                    <w:pStyle w:val="22"/>
                    <w:bidi w:val="0"/>
                    <w:jc w:val="center"/>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6" w:type="dxa"/>
                  <w:tcBorders>
                    <w:top w:val="single" w:color="auto" w:sz="4" w:space="0"/>
                    <w:left w:val="nil"/>
                    <w:bottom w:val="single" w:color="auto" w:sz="12" w:space="0"/>
                    <w:right w:val="single" w:color="auto" w:sz="4" w:space="0"/>
                    <w:tl2br w:val="nil"/>
                    <w:tr2bl w:val="nil"/>
                  </w:tcBorders>
                  <w:noWrap w:val="0"/>
                  <w:vAlign w:val="center"/>
                </w:tcPr>
                <w:p>
                  <w:pPr>
                    <w:pStyle w:val="22"/>
                    <w:bidi w:val="0"/>
                    <w:jc w:val="center"/>
                    <w:rPr>
                      <w:rFonts w:hint="eastAsia"/>
                    </w:rPr>
                  </w:pPr>
                  <w:r>
                    <w:rPr>
                      <w:rFonts w:hint="default"/>
                    </w:rPr>
                    <w:t>声环境</w:t>
                  </w:r>
                </w:p>
              </w:tc>
              <w:tc>
                <w:tcPr>
                  <w:tcW w:w="909" w:type="dxa"/>
                  <w:tcBorders>
                    <w:top w:val="single" w:color="auto" w:sz="4" w:space="0"/>
                    <w:left w:val="single" w:color="auto" w:sz="4" w:space="0"/>
                    <w:bottom w:val="single" w:color="auto" w:sz="12" w:space="0"/>
                    <w:right w:val="single" w:color="auto" w:sz="4" w:space="0"/>
                    <w:tl2br w:val="nil"/>
                    <w:tr2bl w:val="nil"/>
                  </w:tcBorders>
                  <w:noWrap w:val="0"/>
                  <w:vAlign w:val="center"/>
                </w:tcPr>
                <w:p>
                  <w:pPr>
                    <w:pStyle w:val="22"/>
                    <w:bidi w:val="0"/>
                    <w:jc w:val="center"/>
                    <w:rPr>
                      <w:rFonts w:hint="default"/>
                    </w:rPr>
                  </w:pPr>
                  <w:r>
                    <w:rPr>
                      <w:rFonts w:hint="default"/>
                    </w:rPr>
                    <w:t>项目</w:t>
                  </w:r>
                </w:p>
                <w:p>
                  <w:pPr>
                    <w:pStyle w:val="22"/>
                    <w:bidi w:val="0"/>
                    <w:jc w:val="center"/>
                    <w:rPr>
                      <w:rFonts w:hint="eastAsia"/>
                    </w:rPr>
                  </w:pPr>
                  <w:r>
                    <w:rPr>
                      <w:rFonts w:hint="default"/>
                    </w:rPr>
                    <w:t>厂界</w:t>
                  </w:r>
                </w:p>
              </w:tc>
              <w:tc>
                <w:tcPr>
                  <w:tcW w:w="767" w:type="dxa"/>
                  <w:tcBorders>
                    <w:top w:val="single" w:color="auto" w:sz="4" w:space="0"/>
                    <w:left w:val="single" w:color="auto" w:sz="4" w:space="0"/>
                    <w:bottom w:val="single" w:color="auto" w:sz="12" w:space="0"/>
                    <w:right w:val="single" w:color="auto" w:sz="4" w:space="0"/>
                    <w:tl2br w:val="nil"/>
                    <w:tr2bl w:val="nil"/>
                  </w:tcBorders>
                  <w:noWrap w:val="0"/>
                  <w:vAlign w:val="center"/>
                </w:tcPr>
                <w:p>
                  <w:pPr>
                    <w:pStyle w:val="22"/>
                    <w:bidi w:val="0"/>
                    <w:jc w:val="center"/>
                    <w:rPr>
                      <w:rFonts w:hint="eastAsia"/>
                    </w:rPr>
                  </w:pPr>
                  <w:r>
                    <w:rPr>
                      <w:rFonts w:hint="default"/>
                    </w:rPr>
                    <w:t>/</w:t>
                  </w:r>
                </w:p>
              </w:tc>
              <w:tc>
                <w:tcPr>
                  <w:tcW w:w="866" w:type="dxa"/>
                  <w:tcBorders>
                    <w:top w:val="single" w:color="auto" w:sz="4" w:space="0"/>
                    <w:left w:val="single" w:color="auto" w:sz="4" w:space="0"/>
                    <w:bottom w:val="single" w:color="auto" w:sz="12" w:space="0"/>
                    <w:right w:val="single" w:color="auto" w:sz="4" w:space="0"/>
                    <w:tl2br w:val="nil"/>
                    <w:tr2bl w:val="nil"/>
                  </w:tcBorders>
                  <w:noWrap w:val="0"/>
                  <w:vAlign w:val="center"/>
                </w:tcPr>
                <w:p>
                  <w:pPr>
                    <w:pStyle w:val="22"/>
                    <w:bidi w:val="0"/>
                    <w:jc w:val="center"/>
                    <w:rPr>
                      <w:rFonts w:hint="eastAsia"/>
                    </w:rPr>
                  </w:pPr>
                  <w:r>
                    <w:rPr>
                      <w:rFonts w:hint="default"/>
                    </w:rPr>
                    <w:t>/</w:t>
                  </w:r>
                </w:p>
              </w:tc>
              <w:tc>
                <w:tcPr>
                  <w:tcW w:w="1067" w:type="dxa"/>
                  <w:tcBorders>
                    <w:top w:val="single" w:color="auto" w:sz="4" w:space="0"/>
                    <w:left w:val="single" w:color="auto" w:sz="4" w:space="0"/>
                    <w:bottom w:val="single" w:color="auto" w:sz="12" w:space="0"/>
                    <w:right w:val="single" w:color="auto" w:sz="4" w:space="0"/>
                    <w:tl2br w:val="nil"/>
                    <w:tr2bl w:val="nil"/>
                  </w:tcBorders>
                  <w:noWrap w:val="0"/>
                  <w:vAlign w:val="center"/>
                </w:tcPr>
                <w:p>
                  <w:pPr>
                    <w:pStyle w:val="22"/>
                    <w:bidi w:val="0"/>
                    <w:jc w:val="center"/>
                    <w:rPr>
                      <w:rFonts w:hint="eastAsia"/>
                    </w:rPr>
                  </w:pPr>
                  <w:r>
                    <w:rPr>
                      <w:rFonts w:hint="default"/>
                    </w:rPr>
                    <w:t>四周</w:t>
                  </w:r>
                </w:p>
              </w:tc>
              <w:tc>
                <w:tcPr>
                  <w:tcW w:w="836" w:type="dxa"/>
                  <w:tcBorders>
                    <w:top w:val="single" w:color="auto" w:sz="4" w:space="0"/>
                    <w:left w:val="single" w:color="auto" w:sz="4" w:space="0"/>
                    <w:bottom w:val="single" w:color="auto" w:sz="12" w:space="0"/>
                    <w:right w:val="single" w:color="auto" w:sz="4" w:space="0"/>
                    <w:tl2br w:val="nil"/>
                    <w:tr2bl w:val="nil"/>
                  </w:tcBorders>
                  <w:noWrap w:val="0"/>
                  <w:vAlign w:val="center"/>
                </w:tcPr>
                <w:p>
                  <w:pPr>
                    <w:pStyle w:val="22"/>
                    <w:bidi w:val="0"/>
                    <w:jc w:val="center"/>
                    <w:rPr>
                      <w:rFonts w:hint="eastAsia"/>
                    </w:rPr>
                  </w:pPr>
                  <w:r>
                    <w:rPr>
                      <w:rFonts w:hint="eastAsia"/>
                    </w:rPr>
                    <w:t>-</w:t>
                  </w:r>
                  <w:r>
                    <w:rPr>
                      <w:rFonts w:hint="default"/>
                    </w:rPr>
                    <w:t>-</w:t>
                  </w:r>
                </w:p>
              </w:tc>
              <w:tc>
                <w:tcPr>
                  <w:tcW w:w="923" w:type="dxa"/>
                  <w:tcBorders>
                    <w:top w:val="single" w:color="auto" w:sz="4" w:space="0"/>
                    <w:left w:val="single" w:color="auto" w:sz="4" w:space="0"/>
                    <w:bottom w:val="single" w:color="auto" w:sz="12" w:space="0"/>
                    <w:right w:val="single" w:color="auto" w:sz="4" w:space="0"/>
                    <w:tl2br w:val="nil"/>
                    <w:tr2bl w:val="nil"/>
                  </w:tcBorders>
                  <w:noWrap w:val="0"/>
                  <w:vAlign w:val="center"/>
                </w:tcPr>
                <w:p>
                  <w:pPr>
                    <w:pStyle w:val="22"/>
                    <w:bidi w:val="0"/>
                    <w:jc w:val="center"/>
                    <w:rPr>
                      <w:rFonts w:hint="eastAsia"/>
                      <w:lang w:eastAsia="zh-CN"/>
                    </w:rPr>
                  </w:pPr>
                  <w:r>
                    <w:rPr>
                      <w:rFonts w:hint="eastAsia"/>
                      <w:lang w:val="en-US" w:eastAsia="zh-CN"/>
                    </w:rPr>
                    <w:t>/</w:t>
                  </w:r>
                </w:p>
              </w:tc>
              <w:tc>
                <w:tcPr>
                  <w:tcW w:w="2035" w:type="dxa"/>
                  <w:tcBorders>
                    <w:top w:val="single" w:color="auto" w:sz="4" w:space="0"/>
                    <w:left w:val="single" w:color="auto" w:sz="4" w:space="0"/>
                    <w:bottom w:val="single" w:color="auto" w:sz="12" w:space="0"/>
                    <w:right w:val="nil"/>
                    <w:tl2br w:val="nil"/>
                    <w:tr2bl w:val="nil"/>
                  </w:tcBorders>
                  <w:noWrap w:val="0"/>
                  <w:vAlign w:val="center"/>
                </w:tcPr>
                <w:p>
                  <w:pPr>
                    <w:pStyle w:val="22"/>
                    <w:bidi w:val="0"/>
                    <w:jc w:val="center"/>
                    <w:rPr>
                      <w:rFonts w:hint="eastAsia"/>
                    </w:rPr>
                  </w:pPr>
                  <w:r>
                    <w:rPr>
                      <w:rFonts w:hint="default"/>
                    </w:rPr>
                    <w:t>《声环境质量标准》（</w:t>
                  </w:r>
                  <w:r>
                    <w:rPr>
                      <w:rFonts w:hint="eastAsia"/>
                    </w:rPr>
                    <w:t>GB3096-2008</w:t>
                  </w:r>
                  <w:r>
                    <w:rPr>
                      <w:rFonts w:hint="default"/>
                    </w:rPr>
                    <w:t>）3类标准</w:t>
                  </w:r>
                </w:p>
              </w:tc>
            </w:tr>
          </w:tbl>
          <w:p>
            <w:pPr>
              <w:bidi w:val="0"/>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26" w:hRule="atLeast"/>
          <w:jc w:val="center"/>
        </w:trPr>
        <w:tc>
          <w:tcPr>
            <w:tcW w:w="431" w:type="pct"/>
            <w:tcBorders>
              <w:tl2br w:val="nil"/>
              <w:tr2bl w:val="nil"/>
            </w:tcBorders>
            <w:tcMar>
              <w:left w:w="28" w:type="dxa"/>
              <w:right w:w="28" w:type="dxa"/>
            </w:tcMar>
            <w:vAlign w:val="center"/>
          </w:tcPr>
          <w:p>
            <w:pPr>
              <w:adjustRightInd w:val="0"/>
              <w:snapToGrid w:val="0"/>
              <w:ind w:firstLine="0" w:firstLineChars="0"/>
              <w:jc w:val="center"/>
              <w:rPr>
                <w:rFonts w:ascii="宋体" w:hAnsi="宋体" w:cs="宋体"/>
                <w:kern w:val="21"/>
              </w:rPr>
            </w:pPr>
            <w:r>
              <w:rPr>
                <w:rFonts w:hint="eastAsia" w:ascii="宋体" w:hAnsi="宋体" w:cs="宋体"/>
                <w:kern w:val="21"/>
              </w:rPr>
              <w:t>污染</w:t>
            </w:r>
          </w:p>
          <w:p>
            <w:pPr>
              <w:adjustRightInd w:val="0"/>
              <w:snapToGrid w:val="0"/>
              <w:ind w:firstLine="0" w:firstLineChars="0"/>
              <w:jc w:val="center"/>
              <w:rPr>
                <w:rFonts w:ascii="宋体" w:hAnsi="宋体" w:cs="宋体"/>
                <w:kern w:val="21"/>
              </w:rPr>
            </w:pPr>
            <w:r>
              <w:rPr>
                <w:rFonts w:hint="eastAsia" w:ascii="宋体" w:hAnsi="宋体" w:cs="宋体"/>
                <w:kern w:val="21"/>
              </w:rPr>
              <w:t>物排</w:t>
            </w:r>
          </w:p>
          <w:p>
            <w:pPr>
              <w:adjustRightInd w:val="0"/>
              <w:snapToGrid w:val="0"/>
              <w:ind w:firstLine="0" w:firstLineChars="0"/>
              <w:jc w:val="center"/>
              <w:rPr>
                <w:rFonts w:ascii="宋体" w:hAnsi="宋体" w:cs="宋体"/>
                <w:kern w:val="21"/>
              </w:rPr>
            </w:pPr>
            <w:r>
              <w:rPr>
                <w:rFonts w:hint="eastAsia" w:ascii="宋体" w:hAnsi="宋体" w:cs="宋体"/>
                <w:kern w:val="21"/>
              </w:rPr>
              <w:t>放控</w:t>
            </w:r>
          </w:p>
          <w:p>
            <w:pPr>
              <w:adjustRightInd w:val="0"/>
              <w:snapToGrid w:val="0"/>
              <w:ind w:firstLine="0" w:firstLineChars="0"/>
              <w:jc w:val="center"/>
              <w:rPr>
                <w:rFonts w:ascii="宋体" w:hAnsi="宋体" w:cs="宋体"/>
                <w:kern w:val="21"/>
              </w:rPr>
            </w:pPr>
            <w:r>
              <w:rPr>
                <w:rFonts w:hint="eastAsia" w:ascii="宋体" w:hAnsi="宋体" w:cs="宋体"/>
                <w:kern w:val="21"/>
              </w:rPr>
              <w:t>制标</w:t>
            </w:r>
          </w:p>
          <w:p>
            <w:pPr>
              <w:adjustRightInd w:val="0"/>
              <w:snapToGrid w:val="0"/>
              <w:ind w:firstLine="0" w:firstLineChars="0"/>
              <w:jc w:val="center"/>
              <w:rPr>
                <w:rFonts w:ascii="宋体" w:hAnsi="宋体" w:cs="宋体"/>
                <w:kern w:val="21"/>
                <w:szCs w:val="21"/>
              </w:rPr>
            </w:pPr>
            <w:r>
              <w:rPr>
                <w:rFonts w:hint="eastAsia" w:ascii="宋体" w:hAnsi="宋体" w:cs="宋体"/>
                <w:kern w:val="21"/>
              </w:rPr>
              <w:t>准</w:t>
            </w:r>
          </w:p>
        </w:tc>
        <w:tc>
          <w:tcPr>
            <w:tcW w:w="4568" w:type="pct"/>
            <w:tcBorders>
              <w:tl2br w:val="nil"/>
              <w:tr2bl w:val="nil"/>
            </w:tcBorders>
            <w:vAlign w:val="center"/>
          </w:tcPr>
          <w:p>
            <w:pPr>
              <w:numPr>
                <w:ilvl w:val="0"/>
                <w:numId w:val="13"/>
              </w:numPr>
              <w:spacing w:before="156"/>
              <w:ind w:firstLine="482"/>
              <w:rPr>
                <w:rFonts w:hint="eastAsia"/>
                <w:b/>
                <w:bCs/>
                <w:lang w:eastAsia="zh-CN"/>
              </w:rPr>
            </w:pPr>
            <w:r>
              <w:rPr>
                <w:rFonts w:hint="eastAsia"/>
                <w:b/>
                <w:bCs/>
                <w:lang w:val="en-US" w:eastAsia="zh-CN"/>
              </w:rPr>
              <w:t>废气</w:t>
            </w:r>
          </w:p>
          <w:p>
            <w:pPr>
              <w:ind w:firstLine="480"/>
            </w:pPr>
            <w:r>
              <w:rPr>
                <w:rFonts w:hint="eastAsia"/>
              </w:rPr>
              <w:t>本项目厂界无组织废气颗粒</w:t>
            </w:r>
            <w:r>
              <w:rPr>
                <w:rFonts w:hint="eastAsia"/>
                <w:lang w:val="en-US" w:eastAsia="zh-CN"/>
              </w:rPr>
              <w:t>物</w:t>
            </w:r>
            <w:r>
              <w:rPr>
                <w:rFonts w:hint="eastAsia"/>
              </w:rPr>
              <w:t>执行《大气污染物综合排放标准》（GB16297-1996）表2中标准无组织排放限值。具体标准限值见下表。</w:t>
            </w:r>
          </w:p>
          <w:p>
            <w:pPr>
              <w:pStyle w:val="23"/>
              <w:rPr>
                <w:vertAlign w:val="superscript"/>
              </w:rPr>
            </w:pPr>
            <w:r>
              <w:t>表</w:t>
            </w:r>
            <w:r>
              <w:rPr>
                <w:rFonts w:hint="eastAsia"/>
              </w:rPr>
              <w:t>3-</w:t>
            </w:r>
            <w:r>
              <w:rPr>
                <w:rFonts w:hint="eastAsia"/>
                <w:lang w:val="en-US" w:eastAsia="zh-CN"/>
              </w:rPr>
              <w:t>3</w:t>
            </w:r>
            <w:r>
              <w:t xml:space="preserve">  大气污染物排放标准    单位：mg/m</w:t>
            </w:r>
            <w:r>
              <w:rPr>
                <w:vertAlign w:val="superscript"/>
              </w:rPr>
              <w:t>3</w:t>
            </w:r>
          </w:p>
          <w:tbl>
            <w:tblPr>
              <w:tblStyle w:val="1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764"/>
              <w:gridCol w:w="1339"/>
              <w:gridCol w:w="1236"/>
              <w:gridCol w:w="1152"/>
              <w:gridCol w:w="1418"/>
              <w:gridCol w:w="215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69" w:hRule="atLeast"/>
                <w:jc w:val="center"/>
              </w:trPr>
              <w:tc>
                <w:tcPr>
                  <w:tcW w:w="474" w:type="pct"/>
                  <w:tcBorders>
                    <w:tl2br w:val="nil"/>
                    <w:tr2bl w:val="nil"/>
                  </w:tcBorders>
                  <w:vAlign w:val="center"/>
                </w:tcPr>
                <w:p>
                  <w:pPr>
                    <w:pStyle w:val="22"/>
                  </w:pPr>
                  <w:r>
                    <w:t>污染物</w:t>
                  </w:r>
                </w:p>
                <w:p>
                  <w:pPr>
                    <w:pStyle w:val="22"/>
                  </w:pPr>
                  <w:r>
                    <w:t>名称</w:t>
                  </w:r>
                </w:p>
              </w:tc>
              <w:tc>
                <w:tcPr>
                  <w:tcW w:w="830" w:type="pct"/>
                  <w:tcBorders>
                    <w:tl2br w:val="nil"/>
                    <w:tr2bl w:val="nil"/>
                  </w:tcBorders>
                  <w:vAlign w:val="center"/>
                </w:tcPr>
                <w:p>
                  <w:pPr>
                    <w:pStyle w:val="22"/>
                  </w:pPr>
                  <w:r>
                    <w:t>最高允许排放浓度（mg/m</w:t>
                  </w:r>
                  <w:r>
                    <w:rPr>
                      <w:vertAlign w:val="superscript"/>
                    </w:rPr>
                    <w:t>3</w:t>
                  </w:r>
                  <w:r>
                    <w:t>）</w:t>
                  </w:r>
                </w:p>
              </w:tc>
              <w:tc>
                <w:tcPr>
                  <w:tcW w:w="766" w:type="pct"/>
                  <w:tcBorders>
                    <w:tl2br w:val="nil"/>
                    <w:tr2bl w:val="nil"/>
                  </w:tcBorders>
                  <w:vAlign w:val="center"/>
                </w:tcPr>
                <w:p>
                  <w:pPr>
                    <w:pStyle w:val="22"/>
                  </w:pPr>
                  <w:r>
                    <w:t>最高允许排放速率（kg/h）</w:t>
                  </w:r>
                </w:p>
              </w:tc>
              <w:tc>
                <w:tcPr>
                  <w:tcW w:w="714" w:type="pct"/>
                  <w:tcBorders>
                    <w:tl2br w:val="nil"/>
                    <w:tr2bl w:val="nil"/>
                  </w:tcBorders>
                  <w:vAlign w:val="center"/>
                </w:tcPr>
                <w:p>
                  <w:pPr>
                    <w:pStyle w:val="22"/>
                  </w:pPr>
                  <w:r>
                    <w:rPr>
                      <w:rFonts w:hint="eastAsia"/>
                    </w:rPr>
                    <w:t>污染物排放监控位置</w:t>
                  </w:r>
                </w:p>
              </w:tc>
              <w:tc>
                <w:tcPr>
                  <w:tcW w:w="879" w:type="pct"/>
                  <w:tcBorders>
                    <w:tl2br w:val="nil"/>
                    <w:tr2bl w:val="nil"/>
                  </w:tcBorders>
                  <w:vAlign w:val="center"/>
                </w:tcPr>
                <w:p>
                  <w:pPr>
                    <w:pStyle w:val="22"/>
                  </w:pPr>
                  <w:r>
                    <w:rPr>
                      <w:rFonts w:hint="eastAsia"/>
                    </w:rPr>
                    <w:t>企业边界大气污染物浓度限值mg/m</w:t>
                  </w:r>
                  <w:r>
                    <w:rPr>
                      <w:rFonts w:hint="eastAsia"/>
                      <w:vertAlign w:val="superscript"/>
                    </w:rPr>
                    <w:t>3</w:t>
                  </w:r>
                </w:p>
              </w:tc>
              <w:tc>
                <w:tcPr>
                  <w:tcW w:w="1333" w:type="pct"/>
                  <w:tcBorders>
                    <w:tl2br w:val="nil"/>
                    <w:tr2bl w:val="nil"/>
                  </w:tcBorders>
                  <w:vAlign w:val="center"/>
                </w:tcPr>
                <w:p>
                  <w:pPr>
                    <w:pStyle w:val="22"/>
                  </w:pPr>
                  <w:r>
                    <w:t>标准依据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69" w:hRule="atLeast"/>
                <w:jc w:val="center"/>
              </w:trPr>
              <w:tc>
                <w:tcPr>
                  <w:tcW w:w="474" w:type="pct"/>
                  <w:tcBorders>
                    <w:tl2br w:val="nil"/>
                    <w:tr2bl w:val="nil"/>
                  </w:tcBorders>
                  <w:vAlign w:val="center"/>
                </w:tcPr>
                <w:p>
                  <w:pPr>
                    <w:pStyle w:val="22"/>
                  </w:pPr>
                  <w:r>
                    <w:t>颗粒物</w:t>
                  </w:r>
                </w:p>
              </w:tc>
              <w:tc>
                <w:tcPr>
                  <w:tcW w:w="830" w:type="pct"/>
                  <w:tcBorders>
                    <w:tl2br w:val="nil"/>
                    <w:tr2bl w:val="nil"/>
                  </w:tcBorders>
                  <w:vAlign w:val="center"/>
                </w:tcPr>
                <w:p>
                  <w:pPr>
                    <w:pStyle w:val="22"/>
                  </w:pPr>
                  <w:r>
                    <w:rPr>
                      <w:rFonts w:hint="eastAsia"/>
                      <w:lang w:val="en-US" w:eastAsia="zh-CN"/>
                    </w:rPr>
                    <w:t>1</w:t>
                  </w:r>
                  <w:r>
                    <w:t>20</w:t>
                  </w:r>
                </w:p>
              </w:tc>
              <w:tc>
                <w:tcPr>
                  <w:tcW w:w="766" w:type="pct"/>
                  <w:tcBorders>
                    <w:tl2br w:val="nil"/>
                    <w:tr2bl w:val="nil"/>
                  </w:tcBorders>
                  <w:vAlign w:val="center"/>
                </w:tcPr>
                <w:p>
                  <w:pPr>
                    <w:pStyle w:val="22"/>
                    <w:rPr>
                      <w:rFonts w:hint="default" w:eastAsia="宋体"/>
                      <w:lang w:val="en-US" w:eastAsia="zh-CN"/>
                    </w:rPr>
                  </w:pPr>
                  <w:r>
                    <w:rPr>
                      <w:rFonts w:hint="eastAsia"/>
                      <w:lang w:val="en-US" w:eastAsia="zh-CN"/>
                    </w:rPr>
                    <w:t>3.5</w:t>
                  </w:r>
                </w:p>
              </w:tc>
              <w:tc>
                <w:tcPr>
                  <w:tcW w:w="714" w:type="pct"/>
                  <w:tcBorders>
                    <w:tl2br w:val="nil"/>
                    <w:tr2bl w:val="nil"/>
                  </w:tcBorders>
                  <w:vAlign w:val="center"/>
                </w:tcPr>
                <w:p>
                  <w:pPr>
                    <w:pStyle w:val="22"/>
                    <w:rPr>
                      <w:rFonts w:hint="eastAsia"/>
                    </w:rPr>
                  </w:pPr>
                  <w:r>
                    <w:rPr>
                      <w:rFonts w:hint="eastAsia"/>
                    </w:rPr>
                    <w:t>排气筒出口采样点</w:t>
                  </w:r>
                </w:p>
              </w:tc>
              <w:tc>
                <w:tcPr>
                  <w:tcW w:w="879" w:type="pct"/>
                  <w:tcBorders>
                    <w:tl2br w:val="nil"/>
                    <w:tr2bl w:val="nil"/>
                  </w:tcBorders>
                  <w:vAlign w:val="center"/>
                </w:tcPr>
                <w:p>
                  <w:pPr>
                    <w:pStyle w:val="22"/>
                    <w:rPr>
                      <w:rFonts w:hint="eastAsia"/>
                    </w:rPr>
                  </w:pPr>
                  <w:r>
                    <w:rPr>
                      <w:rFonts w:hint="eastAsia"/>
                    </w:rPr>
                    <w:t>1.0</w:t>
                  </w:r>
                </w:p>
              </w:tc>
              <w:tc>
                <w:tcPr>
                  <w:tcW w:w="1333" w:type="pct"/>
                  <w:tcBorders>
                    <w:tl2br w:val="nil"/>
                    <w:tr2bl w:val="nil"/>
                  </w:tcBorders>
                  <w:vAlign w:val="center"/>
                </w:tcPr>
                <w:p>
                  <w:pPr>
                    <w:pStyle w:val="22"/>
                  </w:pPr>
                  <w:r>
                    <w:rPr>
                      <w:rFonts w:hint="eastAsia"/>
                    </w:rPr>
                    <w:t>《大气污染物综合排放标准》（GB16297-1996）</w:t>
                  </w:r>
                </w:p>
              </w:tc>
            </w:tr>
          </w:tbl>
          <w:p>
            <w:pPr>
              <w:numPr>
                <w:ilvl w:val="0"/>
                <w:numId w:val="13"/>
              </w:numPr>
              <w:spacing w:before="156"/>
              <w:ind w:firstLine="482"/>
              <w:rPr>
                <w:rFonts w:hint="eastAsia"/>
                <w:b/>
                <w:bCs/>
                <w:lang w:val="en-US" w:eastAsia="zh-CN"/>
              </w:rPr>
            </w:pPr>
            <w:r>
              <w:rPr>
                <w:rFonts w:hint="eastAsia"/>
                <w:b/>
                <w:bCs/>
                <w:lang w:val="en-US" w:eastAsia="zh-CN"/>
              </w:rPr>
              <w:t>废水</w:t>
            </w:r>
          </w:p>
          <w:p>
            <w:pPr>
              <w:ind w:firstLine="480"/>
            </w:pPr>
            <w:r>
              <w:rPr>
                <w:rFonts w:hint="eastAsia"/>
              </w:rPr>
              <w:t>本项目生活污水经化粪池处理达《污水综合排放标准》（GB8978-1996）表4三级排放标准后经市政污水管网排入</w:t>
            </w:r>
            <w:r>
              <w:rPr>
                <w:rFonts w:hint="eastAsia"/>
                <w:lang w:eastAsia="zh-CN"/>
              </w:rPr>
              <w:t>天门山污水处理厂</w:t>
            </w:r>
            <w:r>
              <w:rPr>
                <w:rFonts w:hint="eastAsia"/>
              </w:rPr>
              <w:t>。</w:t>
            </w:r>
            <w:r>
              <w:rPr>
                <w:rFonts w:hint="eastAsia"/>
                <w:lang w:eastAsia="zh-CN"/>
              </w:rPr>
              <w:t>天门山污水处理厂</w:t>
            </w:r>
            <w:r>
              <w:rPr>
                <w:rFonts w:hint="eastAsia"/>
              </w:rPr>
              <w:t>废水排放执行《城镇污水处理厂污染物排放标准》（GB18918-2002）一级A标准。具体见下表。</w:t>
            </w:r>
          </w:p>
          <w:p>
            <w:pPr>
              <w:pStyle w:val="23"/>
            </w:pPr>
            <w:r>
              <w:t>表</w:t>
            </w:r>
            <w:r>
              <w:rPr>
                <w:rFonts w:hint="eastAsia"/>
              </w:rPr>
              <w:t>3-</w:t>
            </w:r>
            <w:r>
              <w:rPr>
                <w:rFonts w:hint="eastAsia"/>
                <w:lang w:val="en-US" w:eastAsia="zh-CN"/>
              </w:rPr>
              <w:t>4</w:t>
            </w:r>
            <w:r>
              <w:t xml:space="preserve">  </w:t>
            </w:r>
            <w:r>
              <w:rPr>
                <w:rFonts w:hint="eastAsia"/>
              </w:rPr>
              <w:t>污水综合</w:t>
            </w:r>
            <w:r>
              <w:t>排放标准    单位：mg/L</w:t>
            </w:r>
            <w:r>
              <w:rPr>
                <w:rFonts w:hint="eastAsia"/>
              </w:rPr>
              <w:t>，pH为无量纲</w:t>
            </w:r>
          </w:p>
          <w:tbl>
            <w:tblPr>
              <w:tblStyle w:val="1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32"/>
              <w:gridCol w:w="1200"/>
              <w:gridCol w:w="1201"/>
              <w:gridCol w:w="2738"/>
              <w:gridCol w:w="168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79" w:hRule="exact"/>
                <w:jc w:val="center"/>
              </w:trPr>
              <w:tc>
                <w:tcPr>
                  <w:tcW w:w="764" w:type="pct"/>
                  <w:tcBorders>
                    <w:tl2br w:val="nil"/>
                    <w:tr2bl w:val="nil"/>
                  </w:tcBorders>
                  <w:vAlign w:val="center"/>
                </w:tcPr>
                <w:p>
                  <w:pPr>
                    <w:pStyle w:val="22"/>
                  </w:pPr>
                  <w:r>
                    <w:rPr>
                      <w:rFonts w:hint="eastAsia"/>
                    </w:rPr>
                    <w:t>项目分类</w:t>
                  </w:r>
                </w:p>
              </w:tc>
              <w:tc>
                <w:tcPr>
                  <w:tcW w:w="744" w:type="pct"/>
                  <w:tcBorders>
                    <w:tl2br w:val="nil"/>
                    <w:tr2bl w:val="nil"/>
                  </w:tcBorders>
                  <w:vAlign w:val="center"/>
                </w:tcPr>
                <w:p>
                  <w:pPr>
                    <w:pStyle w:val="22"/>
                  </w:pPr>
                  <w:r>
                    <w:rPr>
                      <w:rFonts w:hint="eastAsia"/>
                    </w:rPr>
                    <w:t>接管标准</w:t>
                  </w:r>
                </w:p>
              </w:tc>
              <w:tc>
                <w:tcPr>
                  <w:tcW w:w="745" w:type="pct"/>
                  <w:tcBorders>
                    <w:tl2br w:val="nil"/>
                    <w:tr2bl w:val="nil"/>
                  </w:tcBorders>
                  <w:vAlign w:val="center"/>
                </w:tcPr>
                <w:p>
                  <w:pPr>
                    <w:pStyle w:val="22"/>
                  </w:pPr>
                  <w:r>
                    <w:rPr>
                      <w:rFonts w:hint="eastAsia"/>
                    </w:rPr>
                    <w:t>出水标准</w:t>
                  </w:r>
                </w:p>
              </w:tc>
              <w:tc>
                <w:tcPr>
                  <w:tcW w:w="1698" w:type="pct"/>
                  <w:tcBorders>
                    <w:tl2br w:val="nil"/>
                    <w:tr2bl w:val="nil"/>
                  </w:tcBorders>
                  <w:vAlign w:val="center"/>
                </w:tcPr>
                <w:p>
                  <w:pPr>
                    <w:pStyle w:val="22"/>
                  </w:pPr>
                  <w:r>
                    <w:rPr>
                      <w:rFonts w:hint="eastAsia"/>
                    </w:rPr>
                    <w:t>接管标准来源</w:t>
                  </w:r>
                </w:p>
              </w:tc>
              <w:tc>
                <w:tcPr>
                  <w:tcW w:w="1047" w:type="pct"/>
                  <w:tcBorders>
                    <w:tl2br w:val="nil"/>
                    <w:tr2bl w:val="nil"/>
                  </w:tcBorders>
                  <w:vAlign w:val="center"/>
                </w:tcPr>
                <w:p>
                  <w:pPr>
                    <w:pStyle w:val="22"/>
                  </w:pPr>
                  <w:r>
                    <w:rPr>
                      <w:rFonts w:hint="eastAsia"/>
                    </w:rPr>
                    <w:t>出水标准来源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764" w:type="pct"/>
                  <w:tcBorders>
                    <w:tl2br w:val="nil"/>
                    <w:tr2bl w:val="nil"/>
                  </w:tcBorders>
                  <w:vAlign w:val="center"/>
                </w:tcPr>
                <w:p>
                  <w:pPr>
                    <w:pStyle w:val="22"/>
                  </w:pPr>
                  <w:r>
                    <w:rPr>
                      <w:rFonts w:hint="eastAsia"/>
                    </w:rPr>
                    <w:t>pH</w:t>
                  </w:r>
                </w:p>
              </w:tc>
              <w:tc>
                <w:tcPr>
                  <w:tcW w:w="744" w:type="pct"/>
                  <w:tcBorders>
                    <w:tl2br w:val="nil"/>
                    <w:tr2bl w:val="nil"/>
                  </w:tcBorders>
                  <w:vAlign w:val="center"/>
                </w:tcPr>
                <w:p>
                  <w:pPr>
                    <w:pStyle w:val="22"/>
                  </w:pPr>
                  <w:r>
                    <w:rPr>
                      <w:rFonts w:hint="eastAsia"/>
                    </w:rPr>
                    <w:t>6～9</w:t>
                  </w:r>
                </w:p>
              </w:tc>
              <w:tc>
                <w:tcPr>
                  <w:tcW w:w="745" w:type="pct"/>
                  <w:tcBorders>
                    <w:tl2br w:val="nil"/>
                    <w:tr2bl w:val="nil"/>
                  </w:tcBorders>
                  <w:vAlign w:val="center"/>
                </w:tcPr>
                <w:p>
                  <w:pPr>
                    <w:pStyle w:val="22"/>
                  </w:pPr>
                  <w:r>
                    <w:rPr>
                      <w:rFonts w:hint="eastAsia"/>
                    </w:rPr>
                    <w:t>6～9</w:t>
                  </w:r>
                </w:p>
              </w:tc>
              <w:tc>
                <w:tcPr>
                  <w:tcW w:w="1698" w:type="pct"/>
                  <w:vMerge w:val="restart"/>
                  <w:tcBorders>
                    <w:tl2br w:val="nil"/>
                    <w:tr2bl w:val="nil"/>
                  </w:tcBorders>
                  <w:vAlign w:val="center"/>
                </w:tcPr>
                <w:p>
                  <w:pPr>
                    <w:pStyle w:val="22"/>
                  </w:pPr>
                  <w:r>
                    <w:rPr>
                      <w:rFonts w:hint="eastAsia"/>
                    </w:rPr>
                    <w:t>《污水综合排放标准》（GB8978-1996）表4中的三级标准</w:t>
                  </w:r>
                </w:p>
              </w:tc>
              <w:tc>
                <w:tcPr>
                  <w:tcW w:w="1047" w:type="pct"/>
                  <w:vMerge w:val="restart"/>
                  <w:tcBorders>
                    <w:tl2br w:val="nil"/>
                    <w:tr2bl w:val="nil"/>
                  </w:tcBorders>
                  <w:vAlign w:val="center"/>
                </w:tcPr>
                <w:p>
                  <w:pPr>
                    <w:pStyle w:val="22"/>
                  </w:pPr>
                  <w:r>
                    <w:rPr>
                      <w:rFonts w:hint="eastAsia"/>
                    </w:rPr>
                    <w:t>执行《城镇污水处理厂污染物排放标准》（GB18918-2002）表1中一级A标准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764" w:type="pct"/>
                  <w:tcBorders>
                    <w:tl2br w:val="nil"/>
                    <w:tr2bl w:val="nil"/>
                  </w:tcBorders>
                  <w:vAlign w:val="center"/>
                </w:tcPr>
                <w:p>
                  <w:pPr>
                    <w:pStyle w:val="22"/>
                  </w:pPr>
                  <w:r>
                    <w:rPr>
                      <w:rFonts w:hint="eastAsia"/>
                    </w:rPr>
                    <w:t>COD</w:t>
                  </w:r>
                </w:p>
              </w:tc>
              <w:tc>
                <w:tcPr>
                  <w:tcW w:w="744" w:type="pct"/>
                  <w:tcBorders>
                    <w:tl2br w:val="nil"/>
                    <w:tr2bl w:val="nil"/>
                  </w:tcBorders>
                  <w:vAlign w:val="center"/>
                </w:tcPr>
                <w:p>
                  <w:pPr>
                    <w:pStyle w:val="22"/>
                  </w:pPr>
                  <w:r>
                    <w:rPr>
                      <w:rFonts w:hint="eastAsia"/>
                    </w:rPr>
                    <w:t>500</w:t>
                  </w:r>
                </w:p>
              </w:tc>
              <w:tc>
                <w:tcPr>
                  <w:tcW w:w="745" w:type="pct"/>
                  <w:tcBorders>
                    <w:tl2br w:val="nil"/>
                    <w:tr2bl w:val="nil"/>
                  </w:tcBorders>
                  <w:vAlign w:val="center"/>
                </w:tcPr>
                <w:p>
                  <w:pPr>
                    <w:pStyle w:val="22"/>
                  </w:pPr>
                  <w:r>
                    <w:rPr>
                      <w:rFonts w:hint="eastAsia"/>
                    </w:rPr>
                    <w:t>50</w:t>
                  </w:r>
                </w:p>
              </w:tc>
              <w:tc>
                <w:tcPr>
                  <w:tcW w:w="1698" w:type="pct"/>
                  <w:vMerge w:val="continue"/>
                  <w:tcBorders>
                    <w:tl2br w:val="nil"/>
                    <w:tr2bl w:val="nil"/>
                  </w:tcBorders>
                  <w:vAlign w:val="center"/>
                </w:tcPr>
                <w:p>
                  <w:pPr>
                    <w:pStyle w:val="22"/>
                  </w:pPr>
                </w:p>
              </w:tc>
              <w:tc>
                <w:tcPr>
                  <w:tcW w:w="1047" w:type="pct"/>
                  <w:vMerge w:val="continue"/>
                  <w:tcBorders>
                    <w:tl2br w:val="nil"/>
                    <w:tr2bl w:val="nil"/>
                  </w:tcBorders>
                  <w:vAlign w:val="center"/>
                </w:tcPr>
                <w:p>
                  <w:pPr>
                    <w:pStyle w:val="22"/>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764" w:type="pct"/>
                  <w:tcBorders>
                    <w:tl2br w:val="nil"/>
                    <w:tr2bl w:val="nil"/>
                  </w:tcBorders>
                  <w:vAlign w:val="center"/>
                </w:tcPr>
                <w:p>
                  <w:pPr>
                    <w:pStyle w:val="22"/>
                  </w:pPr>
                  <w:r>
                    <w:rPr>
                      <w:rFonts w:hint="eastAsia"/>
                    </w:rPr>
                    <w:t>BOD</w:t>
                  </w:r>
                  <w:r>
                    <w:rPr>
                      <w:rFonts w:hint="eastAsia"/>
                      <w:vertAlign w:val="subscript"/>
                    </w:rPr>
                    <w:t>5</w:t>
                  </w:r>
                </w:p>
              </w:tc>
              <w:tc>
                <w:tcPr>
                  <w:tcW w:w="744" w:type="pct"/>
                  <w:tcBorders>
                    <w:tl2br w:val="nil"/>
                    <w:tr2bl w:val="nil"/>
                  </w:tcBorders>
                  <w:vAlign w:val="center"/>
                </w:tcPr>
                <w:p>
                  <w:pPr>
                    <w:pStyle w:val="22"/>
                  </w:pPr>
                  <w:r>
                    <w:rPr>
                      <w:rFonts w:hint="eastAsia"/>
                    </w:rPr>
                    <w:t>300</w:t>
                  </w:r>
                </w:p>
              </w:tc>
              <w:tc>
                <w:tcPr>
                  <w:tcW w:w="745" w:type="pct"/>
                  <w:tcBorders>
                    <w:tl2br w:val="nil"/>
                    <w:tr2bl w:val="nil"/>
                  </w:tcBorders>
                  <w:vAlign w:val="center"/>
                </w:tcPr>
                <w:p>
                  <w:pPr>
                    <w:pStyle w:val="22"/>
                  </w:pPr>
                  <w:r>
                    <w:rPr>
                      <w:rFonts w:hint="eastAsia"/>
                    </w:rPr>
                    <w:t>10</w:t>
                  </w:r>
                </w:p>
              </w:tc>
              <w:tc>
                <w:tcPr>
                  <w:tcW w:w="1698" w:type="pct"/>
                  <w:vMerge w:val="continue"/>
                  <w:tcBorders>
                    <w:tl2br w:val="nil"/>
                    <w:tr2bl w:val="nil"/>
                  </w:tcBorders>
                  <w:vAlign w:val="center"/>
                </w:tcPr>
                <w:p>
                  <w:pPr>
                    <w:pStyle w:val="22"/>
                  </w:pPr>
                </w:p>
              </w:tc>
              <w:tc>
                <w:tcPr>
                  <w:tcW w:w="1047" w:type="pct"/>
                  <w:vMerge w:val="continue"/>
                  <w:tcBorders>
                    <w:tl2br w:val="nil"/>
                    <w:tr2bl w:val="nil"/>
                  </w:tcBorders>
                  <w:vAlign w:val="center"/>
                </w:tcPr>
                <w:p>
                  <w:pPr>
                    <w:pStyle w:val="22"/>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764" w:type="pct"/>
                  <w:tcBorders>
                    <w:tl2br w:val="nil"/>
                    <w:tr2bl w:val="nil"/>
                  </w:tcBorders>
                  <w:vAlign w:val="center"/>
                </w:tcPr>
                <w:p>
                  <w:pPr>
                    <w:pStyle w:val="22"/>
                  </w:pPr>
                  <w:r>
                    <w:rPr>
                      <w:rFonts w:hint="eastAsia"/>
                    </w:rPr>
                    <w:t>SS</w:t>
                  </w:r>
                </w:p>
              </w:tc>
              <w:tc>
                <w:tcPr>
                  <w:tcW w:w="744" w:type="pct"/>
                  <w:tcBorders>
                    <w:tl2br w:val="nil"/>
                    <w:tr2bl w:val="nil"/>
                  </w:tcBorders>
                  <w:vAlign w:val="center"/>
                </w:tcPr>
                <w:p>
                  <w:pPr>
                    <w:pStyle w:val="22"/>
                  </w:pPr>
                  <w:r>
                    <w:rPr>
                      <w:rFonts w:hint="eastAsia"/>
                    </w:rPr>
                    <w:t>400</w:t>
                  </w:r>
                </w:p>
              </w:tc>
              <w:tc>
                <w:tcPr>
                  <w:tcW w:w="745" w:type="pct"/>
                  <w:tcBorders>
                    <w:tl2br w:val="nil"/>
                    <w:tr2bl w:val="nil"/>
                  </w:tcBorders>
                  <w:vAlign w:val="center"/>
                </w:tcPr>
                <w:p>
                  <w:pPr>
                    <w:pStyle w:val="22"/>
                  </w:pPr>
                  <w:r>
                    <w:rPr>
                      <w:rFonts w:hint="eastAsia"/>
                    </w:rPr>
                    <w:t>10</w:t>
                  </w:r>
                </w:p>
              </w:tc>
              <w:tc>
                <w:tcPr>
                  <w:tcW w:w="1698" w:type="pct"/>
                  <w:vMerge w:val="continue"/>
                  <w:tcBorders>
                    <w:tl2br w:val="nil"/>
                    <w:tr2bl w:val="nil"/>
                  </w:tcBorders>
                  <w:vAlign w:val="center"/>
                </w:tcPr>
                <w:p>
                  <w:pPr>
                    <w:pStyle w:val="22"/>
                  </w:pPr>
                </w:p>
              </w:tc>
              <w:tc>
                <w:tcPr>
                  <w:tcW w:w="1047" w:type="pct"/>
                  <w:vMerge w:val="continue"/>
                  <w:tcBorders>
                    <w:tl2br w:val="nil"/>
                    <w:tr2bl w:val="nil"/>
                  </w:tcBorders>
                  <w:vAlign w:val="center"/>
                </w:tcPr>
                <w:p>
                  <w:pPr>
                    <w:pStyle w:val="22"/>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65" w:hRule="atLeast"/>
                <w:jc w:val="center"/>
              </w:trPr>
              <w:tc>
                <w:tcPr>
                  <w:tcW w:w="764" w:type="pct"/>
                  <w:tcBorders>
                    <w:tl2br w:val="nil"/>
                    <w:tr2bl w:val="nil"/>
                  </w:tcBorders>
                  <w:vAlign w:val="center"/>
                </w:tcPr>
                <w:p>
                  <w:pPr>
                    <w:pStyle w:val="22"/>
                  </w:pPr>
                  <w:r>
                    <w:rPr>
                      <w:rFonts w:hint="eastAsia"/>
                    </w:rPr>
                    <w:t>氨氮</w:t>
                  </w:r>
                </w:p>
              </w:tc>
              <w:tc>
                <w:tcPr>
                  <w:tcW w:w="744" w:type="pct"/>
                  <w:tcBorders>
                    <w:tl2br w:val="nil"/>
                    <w:tr2bl w:val="nil"/>
                  </w:tcBorders>
                  <w:vAlign w:val="center"/>
                </w:tcPr>
                <w:p>
                  <w:pPr>
                    <w:pStyle w:val="22"/>
                  </w:pPr>
                  <w:r>
                    <w:rPr>
                      <w:rFonts w:hint="eastAsia"/>
                    </w:rPr>
                    <w:t>45</w:t>
                  </w:r>
                </w:p>
              </w:tc>
              <w:tc>
                <w:tcPr>
                  <w:tcW w:w="745" w:type="pct"/>
                  <w:tcBorders>
                    <w:tl2br w:val="nil"/>
                    <w:tr2bl w:val="nil"/>
                  </w:tcBorders>
                  <w:vAlign w:val="center"/>
                </w:tcPr>
                <w:p>
                  <w:pPr>
                    <w:pStyle w:val="22"/>
                  </w:pPr>
                  <w:r>
                    <w:rPr>
                      <w:rFonts w:hint="eastAsia"/>
                    </w:rPr>
                    <w:t>5(8)</w:t>
                  </w:r>
                </w:p>
              </w:tc>
              <w:tc>
                <w:tcPr>
                  <w:tcW w:w="1698" w:type="pct"/>
                  <w:tcBorders>
                    <w:tl2br w:val="nil"/>
                    <w:tr2bl w:val="nil"/>
                  </w:tcBorders>
                  <w:vAlign w:val="center"/>
                </w:tcPr>
                <w:p>
                  <w:pPr>
                    <w:pStyle w:val="22"/>
                  </w:pPr>
                  <w:r>
                    <w:rPr>
                      <w:rFonts w:hint="eastAsia"/>
                    </w:rPr>
                    <w:t>《污水排入城镇下水道水质标准》（GB/T31962-2015）表1中B级标准限值</w:t>
                  </w:r>
                </w:p>
              </w:tc>
              <w:tc>
                <w:tcPr>
                  <w:tcW w:w="1047" w:type="pct"/>
                  <w:vMerge w:val="continue"/>
                  <w:tcBorders>
                    <w:tl2br w:val="nil"/>
                    <w:tr2bl w:val="nil"/>
                  </w:tcBorders>
                  <w:vAlign w:val="center"/>
                </w:tcPr>
                <w:p>
                  <w:pPr>
                    <w:pStyle w:val="22"/>
                  </w:pPr>
                </w:p>
              </w:tc>
            </w:tr>
          </w:tbl>
          <w:p>
            <w:pPr>
              <w:ind w:firstLine="480"/>
            </w:pPr>
            <w:r>
              <w:rPr>
                <w:sz w:val="21"/>
                <w:szCs w:val="21"/>
              </w:rPr>
              <w:t>*注：括号外数值水温&gt;12℃时的控制指标，括号内数值为水温≤12℃时的控制指标。</w:t>
            </w:r>
          </w:p>
          <w:p>
            <w:pPr>
              <w:numPr>
                <w:ilvl w:val="0"/>
                <w:numId w:val="13"/>
              </w:numPr>
              <w:spacing w:before="156"/>
              <w:ind w:firstLine="482"/>
              <w:rPr>
                <w:rFonts w:hint="eastAsia"/>
                <w:b/>
                <w:bCs/>
                <w:lang w:val="en-US" w:eastAsia="zh-CN"/>
              </w:rPr>
            </w:pPr>
            <w:r>
              <w:rPr>
                <w:rFonts w:hint="eastAsia"/>
                <w:b/>
                <w:bCs/>
                <w:lang w:val="en-US" w:eastAsia="zh-CN"/>
              </w:rPr>
              <w:t>噪声排放标准</w:t>
            </w:r>
          </w:p>
          <w:p>
            <w:pPr>
              <w:ind w:firstLine="480"/>
              <w:rPr>
                <w:b/>
              </w:rPr>
            </w:pPr>
            <w:r>
              <w:t>运营期厂界噪声排放执行《工业企业厂界环境噪声排放标准》</w:t>
            </w:r>
            <w:r>
              <w:rPr>
                <w:rFonts w:hint="eastAsia"/>
              </w:rPr>
              <w:t>（</w:t>
            </w:r>
            <w:r>
              <w:t>GB12348-2008</w:t>
            </w:r>
            <w:r>
              <w:rPr>
                <w:rFonts w:hint="eastAsia"/>
              </w:rPr>
              <w:t>）</w:t>
            </w:r>
            <w:r>
              <w:t>中的</w:t>
            </w:r>
            <w:r>
              <w:rPr>
                <w:rFonts w:hint="eastAsia"/>
              </w:rPr>
              <w:t>3</w:t>
            </w:r>
            <w:r>
              <w:fldChar w:fldCharType="begin"/>
            </w:r>
            <w:r>
              <w:instrText xml:space="preserve"> = 3 \* ROMAN </w:instrText>
            </w:r>
            <w:r>
              <w:fldChar w:fldCharType="end"/>
            </w:r>
            <w:r>
              <w:t>类标准，标准值如下</w:t>
            </w:r>
            <w:r>
              <w:rPr>
                <w:rFonts w:hint="eastAsia"/>
              </w:rPr>
              <w:t>。</w:t>
            </w:r>
          </w:p>
          <w:p>
            <w:pPr>
              <w:pStyle w:val="23"/>
            </w:pPr>
            <w:r>
              <w:t>表</w:t>
            </w:r>
            <w:r>
              <w:rPr>
                <w:rFonts w:hint="eastAsia"/>
              </w:rPr>
              <w:t>3-</w:t>
            </w:r>
            <w:r>
              <w:rPr>
                <w:rFonts w:hint="eastAsia"/>
                <w:lang w:val="en-US" w:eastAsia="zh-CN"/>
              </w:rPr>
              <w:t>5</w:t>
            </w:r>
            <w:r>
              <w:rPr>
                <w:rFonts w:hint="eastAsia"/>
              </w:rPr>
              <w:t xml:space="preserve"> </w:t>
            </w:r>
            <w:r>
              <w:t xml:space="preserve"> 噪声</w:t>
            </w:r>
            <w:r>
              <w:rPr>
                <w:rFonts w:hint="eastAsia"/>
              </w:rPr>
              <w:t>排放</w:t>
            </w:r>
            <w:r>
              <w:t>标准</w:t>
            </w:r>
          </w:p>
          <w:tbl>
            <w:tblPr>
              <w:tblStyle w:val="15"/>
              <w:tblW w:w="4999" w:type="pct"/>
              <w:jc w:val="center"/>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2466"/>
              <w:gridCol w:w="1077"/>
              <w:gridCol w:w="1059"/>
              <w:gridCol w:w="3455"/>
            </w:tblGrid>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65" w:hRule="atLeast"/>
                <w:jc w:val="center"/>
              </w:trPr>
              <w:tc>
                <w:tcPr>
                  <w:tcW w:w="1530" w:type="pct"/>
                  <w:tcBorders>
                    <w:tl2br w:val="nil"/>
                    <w:tr2bl w:val="nil"/>
                  </w:tcBorders>
                  <w:vAlign w:val="center"/>
                </w:tcPr>
                <w:p>
                  <w:pPr>
                    <w:pStyle w:val="22"/>
                    <w:rPr>
                      <w:b/>
                      <w:bCs/>
                    </w:rPr>
                  </w:pPr>
                  <w:r>
                    <w:rPr>
                      <w:rFonts w:hint="eastAsia"/>
                      <w:b/>
                      <w:bCs/>
                    </w:rPr>
                    <w:t>类别</w:t>
                  </w:r>
                </w:p>
              </w:tc>
              <w:tc>
                <w:tcPr>
                  <w:tcW w:w="668" w:type="pct"/>
                  <w:tcBorders>
                    <w:tl2br w:val="nil"/>
                    <w:tr2bl w:val="nil"/>
                  </w:tcBorders>
                  <w:vAlign w:val="center"/>
                </w:tcPr>
                <w:p>
                  <w:pPr>
                    <w:pStyle w:val="22"/>
                    <w:rPr>
                      <w:b/>
                      <w:bCs/>
                    </w:rPr>
                  </w:pPr>
                  <w:r>
                    <w:rPr>
                      <w:rFonts w:hint="eastAsia"/>
                      <w:b/>
                      <w:bCs/>
                    </w:rPr>
                    <w:t>昼间</w:t>
                  </w:r>
                </w:p>
              </w:tc>
              <w:tc>
                <w:tcPr>
                  <w:tcW w:w="657" w:type="pct"/>
                  <w:tcBorders>
                    <w:tl2br w:val="nil"/>
                    <w:tr2bl w:val="nil"/>
                  </w:tcBorders>
                  <w:vAlign w:val="center"/>
                </w:tcPr>
                <w:p>
                  <w:pPr>
                    <w:pStyle w:val="22"/>
                    <w:rPr>
                      <w:b/>
                      <w:bCs/>
                    </w:rPr>
                  </w:pPr>
                  <w:r>
                    <w:rPr>
                      <w:rFonts w:hint="eastAsia"/>
                      <w:b/>
                      <w:bCs/>
                    </w:rPr>
                    <w:t>夜间</w:t>
                  </w:r>
                </w:p>
              </w:tc>
              <w:tc>
                <w:tcPr>
                  <w:tcW w:w="2143" w:type="pct"/>
                  <w:tcBorders>
                    <w:tl2br w:val="nil"/>
                    <w:tr2bl w:val="nil"/>
                  </w:tcBorders>
                  <w:vAlign w:val="center"/>
                </w:tcPr>
                <w:p>
                  <w:pPr>
                    <w:pStyle w:val="22"/>
                    <w:rPr>
                      <w:b/>
                      <w:bCs/>
                    </w:rPr>
                  </w:pPr>
                  <w:r>
                    <w:rPr>
                      <w:rFonts w:hint="eastAsia"/>
                      <w:b/>
                      <w:bCs/>
                    </w:rPr>
                    <w:t>依据</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44" w:hRule="atLeast"/>
                <w:jc w:val="center"/>
              </w:trPr>
              <w:tc>
                <w:tcPr>
                  <w:tcW w:w="1530" w:type="pct"/>
                  <w:tcBorders>
                    <w:tl2br w:val="nil"/>
                    <w:tr2bl w:val="nil"/>
                  </w:tcBorders>
                  <w:vAlign w:val="center"/>
                </w:tcPr>
                <w:p>
                  <w:pPr>
                    <w:pStyle w:val="22"/>
                  </w:pPr>
                  <w:r>
                    <w:rPr>
                      <w:rFonts w:hint="eastAsia"/>
                    </w:rPr>
                    <w:t>3类标准</w:t>
                  </w:r>
                </w:p>
              </w:tc>
              <w:tc>
                <w:tcPr>
                  <w:tcW w:w="668" w:type="pct"/>
                  <w:tcBorders>
                    <w:tl2br w:val="nil"/>
                    <w:tr2bl w:val="nil"/>
                  </w:tcBorders>
                  <w:vAlign w:val="center"/>
                </w:tcPr>
                <w:p>
                  <w:pPr>
                    <w:pStyle w:val="22"/>
                  </w:pPr>
                  <w:r>
                    <w:rPr>
                      <w:rFonts w:hint="eastAsia"/>
                    </w:rPr>
                    <w:t>65</w:t>
                  </w:r>
                </w:p>
              </w:tc>
              <w:tc>
                <w:tcPr>
                  <w:tcW w:w="657" w:type="pct"/>
                  <w:tcBorders>
                    <w:tl2br w:val="nil"/>
                    <w:tr2bl w:val="nil"/>
                  </w:tcBorders>
                  <w:vAlign w:val="center"/>
                </w:tcPr>
                <w:p>
                  <w:pPr>
                    <w:pStyle w:val="22"/>
                  </w:pPr>
                  <w:r>
                    <w:rPr>
                      <w:rFonts w:hint="eastAsia"/>
                    </w:rPr>
                    <w:t>55</w:t>
                  </w:r>
                </w:p>
              </w:tc>
              <w:tc>
                <w:tcPr>
                  <w:tcW w:w="2143" w:type="pct"/>
                  <w:tcBorders>
                    <w:tl2br w:val="nil"/>
                    <w:tr2bl w:val="nil"/>
                  </w:tcBorders>
                  <w:vAlign w:val="center"/>
                </w:tcPr>
                <w:p>
                  <w:pPr>
                    <w:pStyle w:val="22"/>
                  </w:pPr>
                  <w:r>
                    <w:rPr>
                      <w:rFonts w:hint="eastAsia"/>
                    </w:rPr>
                    <w:t>《工业企业厂界环境噪声排放标准》（GB12348-2008）3类标准</w:t>
                  </w:r>
                </w:p>
              </w:tc>
            </w:tr>
          </w:tbl>
          <w:p>
            <w:pPr>
              <w:widowControl w:val="0"/>
              <w:numPr>
                <w:ilvl w:val="0"/>
                <w:numId w:val="0"/>
              </w:numPr>
              <w:spacing w:before="156" w:line="360" w:lineRule="auto"/>
              <w:jc w:val="both"/>
              <w:rPr>
                <w:rFonts w:hint="eastAsia"/>
                <w:b/>
                <w:bCs/>
                <w:lang w:val="en-US" w:eastAsia="zh-CN"/>
              </w:rPr>
            </w:pPr>
          </w:p>
          <w:p>
            <w:pPr>
              <w:numPr>
                <w:ilvl w:val="0"/>
                <w:numId w:val="13"/>
              </w:numPr>
              <w:spacing w:before="156"/>
              <w:ind w:firstLine="482"/>
              <w:rPr>
                <w:rFonts w:hint="eastAsia"/>
                <w:b/>
                <w:bCs/>
                <w:lang w:val="en-US" w:eastAsia="zh-CN"/>
              </w:rPr>
            </w:pPr>
            <w:r>
              <w:rPr>
                <w:rFonts w:hint="eastAsia"/>
                <w:b/>
                <w:bCs/>
                <w:lang w:val="en-US" w:eastAsia="zh-CN"/>
              </w:rPr>
              <w:t>固体废物</w:t>
            </w:r>
          </w:p>
          <w:p>
            <w:pPr>
              <w:ind w:firstLine="480"/>
              <w:rPr>
                <w:rFonts w:hint="eastAsia" w:ascii="宋体" w:hAnsi="宋体" w:cs="宋体"/>
                <w:kern w:val="21"/>
                <w:szCs w:val="21"/>
              </w:rPr>
            </w:pPr>
            <w:r>
              <w:rPr>
                <w:rFonts w:hint="eastAsia" w:ascii="宋体" w:hAnsi="宋体" w:cs="宋体"/>
                <w:kern w:val="21"/>
                <w:szCs w:val="21"/>
              </w:rPr>
              <w:t>一般固体废物执行《一般工业固体废物贮存和填埋污染物控制标准》（GB18599-2020）中相关规定。</w:t>
            </w:r>
          </w:p>
          <w:p>
            <w:pPr>
              <w:ind w:firstLine="480"/>
              <w:rPr>
                <w:rFonts w:hint="eastAsia" w:ascii="宋体" w:hAnsi="宋体" w:cs="宋体"/>
                <w:kern w:val="21"/>
                <w:szCs w:val="21"/>
              </w:rPr>
            </w:pPr>
            <w:r>
              <w:rPr>
                <w:rFonts w:hint="eastAsia" w:ascii="宋体" w:hAnsi="宋体" w:cs="宋体"/>
                <w:kern w:val="21"/>
                <w:szCs w:val="21"/>
              </w:rPr>
              <w:t>危险废物贮存执行《危险废物贮存污染控制标准》（GB18597-2023）（2023年7月1日起实施）；危险废物的转移和处置按照《危险废物污染防治技术政策》（环发[2001]199号）的规定。</w:t>
            </w:r>
          </w:p>
          <w:p>
            <w:pPr>
              <w:ind w:firstLine="480"/>
              <w:rPr>
                <w:rFonts w:ascii="宋体" w:hAnsi="宋体" w:cs="宋体"/>
                <w:kern w:val="21"/>
                <w:szCs w:val="21"/>
              </w:rPr>
            </w:pPr>
            <w:r>
              <w:rPr>
                <w:rFonts w:hint="eastAsia" w:ascii="宋体" w:hAnsi="宋体" w:cs="宋体"/>
                <w:kern w:val="21"/>
                <w:szCs w:val="21"/>
              </w:rPr>
              <w:t>一般固废及危险固废贮存、处置场环境保护图形标志及其功能执行《环境保护图形标志固体废物贮存（处置）场》（GB15562.2-1995）及《危险废物识别标志设置技术规范》（HJ1276-2022）中的规定。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58" w:hRule="atLeast"/>
          <w:jc w:val="center"/>
        </w:trPr>
        <w:tc>
          <w:tcPr>
            <w:tcW w:w="431" w:type="pct"/>
            <w:tcBorders>
              <w:tl2br w:val="nil"/>
              <w:tr2bl w:val="nil"/>
            </w:tcBorders>
            <w:vAlign w:val="center"/>
          </w:tcPr>
          <w:p>
            <w:pPr>
              <w:ind w:firstLine="0" w:firstLineChars="0"/>
            </w:pPr>
            <w:r>
              <w:rPr>
                <w:rFonts w:hint="eastAsia"/>
              </w:rPr>
              <w:t>总量</w:t>
            </w:r>
          </w:p>
          <w:p>
            <w:pPr>
              <w:ind w:firstLine="0" w:firstLineChars="0"/>
            </w:pPr>
            <w:r>
              <w:rPr>
                <w:rFonts w:hint="eastAsia"/>
              </w:rPr>
              <w:t>控制</w:t>
            </w:r>
          </w:p>
          <w:p>
            <w:pPr>
              <w:ind w:firstLine="0" w:firstLineChars="0"/>
            </w:pPr>
            <w:r>
              <w:rPr>
                <w:rFonts w:hint="eastAsia"/>
              </w:rPr>
              <w:t>指标</w:t>
            </w:r>
          </w:p>
        </w:tc>
        <w:tc>
          <w:tcPr>
            <w:tcW w:w="4568" w:type="pct"/>
            <w:tcBorders>
              <w:tl2br w:val="nil"/>
              <w:tr2bl w:val="nil"/>
            </w:tcBorders>
            <w:vAlign w:val="center"/>
          </w:tcPr>
          <w:p>
            <w:pPr>
              <w:spacing w:before="156"/>
              <w:ind w:firstLine="482"/>
              <w:rPr>
                <w:rFonts w:hint="eastAsia"/>
                <w:highlight w:val="none"/>
              </w:rPr>
            </w:pPr>
            <w:r>
              <w:rPr>
                <w:rFonts w:hint="eastAsia"/>
                <w:highlight w:val="none"/>
              </w:rPr>
              <w:t>废水：本项目废水排放总量为</w:t>
            </w:r>
            <w:r>
              <w:rPr>
                <w:rFonts w:hint="eastAsia"/>
                <w:highlight w:val="none"/>
                <w:lang w:val="en-US" w:eastAsia="zh-CN"/>
              </w:rPr>
              <w:t>1530</w:t>
            </w:r>
            <w:r>
              <w:rPr>
                <w:rFonts w:hint="eastAsia"/>
                <w:highlight w:val="none"/>
              </w:rPr>
              <w:t xml:space="preserve">t/a，水污染物接管排放总量指标为COD </w:t>
            </w:r>
            <w:r>
              <w:rPr>
                <w:rFonts w:hint="eastAsia"/>
                <w:lang w:val="en-US" w:eastAsia="zh-CN"/>
              </w:rPr>
              <w:t>0.307</w:t>
            </w:r>
            <w:r>
              <w:rPr>
                <w:rFonts w:hint="eastAsia"/>
                <w:highlight w:val="none"/>
              </w:rPr>
              <w:t>t/a，NH</w:t>
            </w:r>
            <w:r>
              <w:rPr>
                <w:rFonts w:hint="eastAsia"/>
                <w:highlight w:val="none"/>
                <w:vertAlign w:val="subscript"/>
              </w:rPr>
              <w:t>3</w:t>
            </w:r>
            <w:r>
              <w:rPr>
                <w:rFonts w:hint="eastAsia"/>
                <w:highlight w:val="none"/>
              </w:rPr>
              <w:t xml:space="preserve">-N </w:t>
            </w:r>
            <w:r>
              <w:rPr>
                <w:rFonts w:hint="eastAsia"/>
                <w:lang w:val="en-US" w:eastAsia="zh-CN"/>
              </w:rPr>
              <w:t>0.184</w:t>
            </w:r>
            <w:r>
              <w:rPr>
                <w:rFonts w:hint="eastAsia"/>
                <w:highlight w:val="none"/>
              </w:rPr>
              <w:t>t/a，最终外排环境量COD</w:t>
            </w:r>
            <w:r>
              <w:rPr>
                <w:rFonts w:hint="eastAsia"/>
                <w:highlight w:val="none"/>
                <w:lang w:val="en-US" w:eastAsia="zh-CN"/>
              </w:rPr>
              <w:t xml:space="preserve"> </w:t>
            </w:r>
            <w:r>
              <w:rPr>
                <w:rFonts w:hint="eastAsia"/>
                <w:highlight w:val="none"/>
              </w:rPr>
              <w:t>0.0</w:t>
            </w:r>
            <w:r>
              <w:rPr>
                <w:rFonts w:hint="eastAsia"/>
                <w:highlight w:val="none"/>
                <w:lang w:val="en-US" w:eastAsia="zh-CN"/>
              </w:rPr>
              <w:t>77</w:t>
            </w:r>
            <w:r>
              <w:rPr>
                <w:rFonts w:hint="eastAsia"/>
                <w:highlight w:val="none"/>
              </w:rPr>
              <w:t>t/a，NH</w:t>
            </w:r>
            <w:r>
              <w:rPr>
                <w:rFonts w:hint="eastAsia"/>
                <w:highlight w:val="none"/>
                <w:vertAlign w:val="subscript"/>
              </w:rPr>
              <w:t>3</w:t>
            </w:r>
            <w:r>
              <w:rPr>
                <w:rFonts w:hint="eastAsia"/>
                <w:highlight w:val="none"/>
              </w:rPr>
              <w:t>-N</w:t>
            </w:r>
            <w:r>
              <w:rPr>
                <w:rFonts w:hint="eastAsia"/>
                <w:highlight w:val="none"/>
                <w:lang w:val="en-US" w:eastAsia="zh-CN"/>
              </w:rPr>
              <w:t xml:space="preserve"> </w:t>
            </w:r>
            <w:r>
              <w:rPr>
                <w:rFonts w:hint="eastAsia"/>
                <w:highlight w:val="none"/>
              </w:rPr>
              <w:t>0.00</w:t>
            </w:r>
            <w:r>
              <w:rPr>
                <w:rFonts w:hint="eastAsia"/>
                <w:highlight w:val="none"/>
                <w:lang w:val="en-US" w:eastAsia="zh-CN"/>
              </w:rPr>
              <w:t>8</w:t>
            </w:r>
            <w:r>
              <w:rPr>
                <w:rFonts w:hint="eastAsia"/>
                <w:highlight w:val="none"/>
              </w:rPr>
              <w:t>t/a。</w:t>
            </w:r>
          </w:p>
          <w:p>
            <w:pPr>
              <w:spacing w:before="156"/>
              <w:ind w:firstLine="482"/>
              <w:rPr>
                <w:rFonts w:hint="eastAsia"/>
                <w:highlight w:val="none"/>
              </w:rPr>
            </w:pPr>
            <w:r>
              <w:rPr>
                <w:rFonts w:hint="eastAsia"/>
                <w:highlight w:val="none"/>
              </w:rPr>
              <w:t>废气：无组织颗粒物排放量为</w:t>
            </w:r>
            <w:r>
              <w:rPr>
                <w:rFonts w:hint="eastAsia"/>
                <w:lang w:val="en-US" w:eastAsia="zh-CN"/>
              </w:rPr>
              <w:t>0.053</w:t>
            </w:r>
            <w:r>
              <w:rPr>
                <w:rFonts w:hint="eastAsia"/>
                <w:highlight w:val="none"/>
              </w:rPr>
              <w:t>t/a。</w:t>
            </w:r>
          </w:p>
          <w:p>
            <w:pPr>
              <w:spacing w:before="156"/>
              <w:ind w:firstLine="482"/>
            </w:pPr>
            <w:r>
              <w:rPr>
                <w:rFonts w:hint="eastAsia"/>
              </w:rPr>
              <w:t>本项目COD、NH</w:t>
            </w:r>
            <w:r>
              <w:rPr>
                <w:rFonts w:hint="eastAsia"/>
                <w:vertAlign w:val="subscript"/>
              </w:rPr>
              <w:t>3</w:t>
            </w:r>
            <w:r>
              <w:rPr>
                <w:rFonts w:hint="eastAsia"/>
              </w:rPr>
              <w:t>-N排放量纳入</w:t>
            </w:r>
            <w:r>
              <w:rPr>
                <w:rFonts w:hint="eastAsia"/>
                <w:lang w:eastAsia="zh-CN"/>
              </w:rPr>
              <w:t>天门山污水处理厂</w:t>
            </w:r>
            <w:r>
              <w:rPr>
                <w:rFonts w:hint="eastAsia"/>
              </w:rPr>
              <w:t>总量控制指标中，本项目污染物排放总量由当地环保主管部门通过区域平衡予以核准分配。</w:t>
            </w:r>
          </w:p>
          <w:p>
            <w:pPr>
              <w:bidi w:val="0"/>
            </w:pPr>
          </w:p>
        </w:tc>
      </w:tr>
    </w:tbl>
    <w:p>
      <w:pPr>
        <w:ind w:firstLine="480"/>
        <w:sectPr>
          <w:pgSz w:w="11906" w:h="16838"/>
          <w:pgMar w:top="1440" w:right="1531" w:bottom="1440" w:left="1531" w:header="851" w:footer="992" w:gutter="0"/>
          <w:pgBorders>
            <w:top w:val="none" w:sz="0" w:space="0"/>
            <w:left w:val="none" w:sz="0" w:space="0"/>
            <w:bottom w:val="none" w:sz="0" w:space="0"/>
            <w:right w:val="none" w:sz="0" w:space="0"/>
          </w:pgBorders>
          <w:cols w:space="0" w:num="1"/>
          <w:rtlGutter w:val="0"/>
          <w:docGrid w:linePitch="312" w:charSpace="0"/>
        </w:sectPr>
      </w:pPr>
    </w:p>
    <w:p>
      <w:pPr>
        <w:pStyle w:val="3"/>
      </w:pPr>
      <w:r>
        <w:rPr>
          <w:rFonts w:hint="eastAsia"/>
        </w:rPr>
        <w:t>主要环境影响和保护措施</w:t>
      </w:r>
    </w:p>
    <w:tbl>
      <w:tblPr>
        <w:tblStyle w:val="15"/>
        <w:tblW w:w="522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08"/>
        <w:gridCol w:w="897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71" w:hRule="atLeast"/>
          <w:jc w:val="center"/>
        </w:trPr>
        <w:tc>
          <w:tcPr>
            <w:tcW w:w="404" w:type="dxa"/>
            <w:tcMar>
              <w:left w:w="28" w:type="dxa"/>
              <w:right w:w="28" w:type="dxa"/>
            </w:tcMar>
            <w:vAlign w:val="center"/>
          </w:tcPr>
          <w:p>
            <w:pPr>
              <w:autoSpaceDE w:val="0"/>
              <w:autoSpaceDN w:val="0"/>
              <w:adjustRightInd w:val="0"/>
              <w:snapToGrid w:val="0"/>
              <w:ind w:firstLine="0" w:firstLineChars="0"/>
              <w:jc w:val="center"/>
              <w:rPr>
                <w:rFonts w:cs="宋体"/>
                <w:kern w:val="0"/>
              </w:rPr>
            </w:pPr>
            <w:r>
              <w:rPr>
                <w:rFonts w:hint="eastAsia" w:cs="宋体"/>
                <w:kern w:val="0"/>
              </w:rPr>
              <w:t>施工期环境保护措施</w:t>
            </w:r>
          </w:p>
        </w:tc>
        <w:tc>
          <w:tcPr>
            <w:tcW w:w="8899" w:type="dxa"/>
            <w:vAlign w:val="center"/>
          </w:tcPr>
          <w:p>
            <w:pPr>
              <w:ind w:firstLine="480"/>
            </w:pPr>
            <w:r>
              <w:rPr>
                <w:rFonts w:hint="eastAsia"/>
              </w:rPr>
              <w:t>项目为迁建，依托已建成厂房进行生产，不涉及厂房基建，施工期仅为设备安装调试等，对周边环境影响很小，本次评价仅作定性分析。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95" w:hRule="atLeast"/>
          <w:jc w:val="center"/>
        </w:trPr>
        <w:tc>
          <w:tcPr>
            <w:tcW w:w="404" w:type="dxa"/>
            <w:tcMar>
              <w:left w:w="28" w:type="dxa"/>
              <w:right w:w="28" w:type="dxa"/>
            </w:tcMar>
            <w:vAlign w:val="center"/>
          </w:tcPr>
          <w:p>
            <w:pPr>
              <w:autoSpaceDE w:val="0"/>
              <w:autoSpaceDN w:val="0"/>
              <w:adjustRightInd w:val="0"/>
              <w:snapToGrid w:val="0"/>
              <w:ind w:firstLine="0" w:firstLineChars="0"/>
              <w:jc w:val="center"/>
              <w:rPr>
                <w:rFonts w:cs="宋体"/>
                <w:kern w:val="0"/>
              </w:rPr>
            </w:pPr>
            <w:r>
              <w:rPr>
                <w:rFonts w:hint="eastAsia" w:cs="宋体"/>
                <w:kern w:val="0"/>
              </w:rPr>
              <w:t>运营</w:t>
            </w:r>
          </w:p>
          <w:p>
            <w:pPr>
              <w:autoSpaceDE w:val="0"/>
              <w:autoSpaceDN w:val="0"/>
              <w:adjustRightInd w:val="0"/>
              <w:snapToGrid w:val="0"/>
              <w:ind w:firstLine="0" w:firstLineChars="0"/>
              <w:jc w:val="center"/>
              <w:rPr>
                <w:rFonts w:cs="宋体"/>
                <w:kern w:val="0"/>
              </w:rPr>
            </w:pPr>
            <w:r>
              <w:rPr>
                <w:rFonts w:hint="eastAsia" w:cs="宋体"/>
                <w:kern w:val="0"/>
              </w:rPr>
              <w:t>期环</w:t>
            </w:r>
          </w:p>
          <w:p>
            <w:pPr>
              <w:autoSpaceDE w:val="0"/>
              <w:autoSpaceDN w:val="0"/>
              <w:adjustRightInd w:val="0"/>
              <w:snapToGrid w:val="0"/>
              <w:ind w:firstLine="0" w:firstLineChars="0"/>
              <w:jc w:val="center"/>
              <w:rPr>
                <w:rFonts w:cs="宋体"/>
                <w:kern w:val="0"/>
              </w:rPr>
            </w:pPr>
            <w:r>
              <w:rPr>
                <w:rFonts w:hint="eastAsia" w:cs="宋体"/>
                <w:kern w:val="0"/>
              </w:rPr>
              <w:t>境影</w:t>
            </w:r>
          </w:p>
          <w:p>
            <w:pPr>
              <w:autoSpaceDE w:val="0"/>
              <w:autoSpaceDN w:val="0"/>
              <w:adjustRightInd w:val="0"/>
              <w:snapToGrid w:val="0"/>
              <w:ind w:firstLine="0" w:firstLineChars="0"/>
              <w:jc w:val="center"/>
              <w:rPr>
                <w:rFonts w:cs="宋体"/>
                <w:kern w:val="0"/>
              </w:rPr>
            </w:pPr>
            <w:r>
              <w:rPr>
                <w:rFonts w:hint="eastAsia" w:cs="宋体"/>
                <w:kern w:val="0"/>
              </w:rPr>
              <w:t>响和</w:t>
            </w:r>
          </w:p>
          <w:p>
            <w:pPr>
              <w:autoSpaceDE w:val="0"/>
              <w:autoSpaceDN w:val="0"/>
              <w:adjustRightInd w:val="0"/>
              <w:snapToGrid w:val="0"/>
              <w:ind w:firstLine="0" w:firstLineChars="0"/>
              <w:jc w:val="center"/>
              <w:rPr>
                <w:rFonts w:cs="宋体"/>
                <w:kern w:val="0"/>
              </w:rPr>
            </w:pPr>
            <w:r>
              <w:rPr>
                <w:rFonts w:hint="eastAsia" w:cs="宋体"/>
                <w:kern w:val="0"/>
              </w:rPr>
              <w:t>保护</w:t>
            </w:r>
          </w:p>
          <w:p>
            <w:pPr>
              <w:autoSpaceDE w:val="0"/>
              <w:autoSpaceDN w:val="0"/>
              <w:adjustRightInd w:val="0"/>
              <w:snapToGrid w:val="0"/>
              <w:ind w:firstLine="0" w:firstLineChars="0"/>
              <w:jc w:val="center"/>
              <w:rPr>
                <w:rFonts w:cs="宋体"/>
                <w:kern w:val="0"/>
              </w:rPr>
            </w:pPr>
            <w:r>
              <w:rPr>
                <w:rFonts w:hint="eastAsia" w:cs="宋体"/>
                <w:kern w:val="0"/>
              </w:rPr>
              <w:t>措施</w:t>
            </w:r>
          </w:p>
        </w:tc>
        <w:tc>
          <w:tcPr>
            <w:tcW w:w="8899" w:type="dxa"/>
            <w:vAlign w:val="center"/>
          </w:tcPr>
          <w:p>
            <w:pPr>
              <w:spacing w:before="156"/>
              <w:ind w:firstLine="482"/>
              <w:rPr>
                <w:b/>
                <w:bCs/>
              </w:rPr>
            </w:pPr>
            <w:r>
              <w:rPr>
                <w:rFonts w:hint="eastAsia"/>
                <w:b/>
                <w:bCs/>
              </w:rPr>
              <w:t>一、废气环境影响和保护措施</w:t>
            </w:r>
          </w:p>
          <w:p>
            <w:pPr>
              <w:spacing w:before="156"/>
              <w:ind w:firstLine="482"/>
              <w:rPr>
                <w:b/>
                <w:bCs/>
              </w:rPr>
            </w:pPr>
            <w:r>
              <w:rPr>
                <w:rFonts w:hint="eastAsia"/>
                <w:b/>
                <w:bCs/>
              </w:rPr>
              <w:t>1、</w:t>
            </w:r>
            <w:r>
              <w:rPr>
                <w:b/>
                <w:bCs/>
              </w:rPr>
              <w:t>废气污染源</w:t>
            </w:r>
            <w:r>
              <w:rPr>
                <w:rFonts w:hint="eastAsia"/>
                <w:b/>
                <w:bCs/>
              </w:rPr>
              <w:t>分析</w:t>
            </w:r>
          </w:p>
          <w:p>
            <w:pPr>
              <w:ind w:firstLine="480"/>
            </w:pPr>
            <w:commentRangeStart w:id="20"/>
            <w:commentRangeStart w:id="21"/>
            <w:r>
              <w:commentReference w:id="20"/>
            </w:r>
            <w:commentRangeEnd w:id="20"/>
            <w:commentRangeEnd w:id="21"/>
            <w:r>
              <w:commentReference w:id="21"/>
            </w:r>
            <w:r>
              <w:t>项目营运期废气污染源主要</w:t>
            </w:r>
            <w:r>
              <w:rPr>
                <w:rFonts w:hint="eastAsia"/>
                <w:lang w:val="en-US" w:eastAsia="zh-CN"/>
              </w:rPr>
              <w:t>为打磨粉尘和</w:t>
            </w:r>
            <w:r>
              <w:rPr>
                <w:rFonts w:hint="eastAsia"/>
              </w:rPr>
              <w:t>焊接烟尘</w:t>
            </w:r>
            <w:r>
              <w:t>。</w:t>
            </w:r>
          </w:p>
          <w:p>
            <w:pPr>
              <w:numPr>
                <w:ilvl w:val="0"/>
                <w:numId w:val="14"/>
              </w:numPr>
              <w:ind w:firstLine="480"/>
            </w:pPr>
            <w:r>
              <w:rPr>
                <w:rFonts w:hint="eastAsia"/>
                <w:lang w:val="en-US" w:eastAsia="zh-CN"/>
              </w:rPr>
              <w:t>打磨粉尘</w:t>
            </w:r>
          </w:p>
          <w:p>
            <w:pPr>
              <w:ind w:firstLine="480"/>
            </w:pPr>
            <w:r>
              <w:rPr>
                <w:rFonts w:hint="eastAsia"/>
              </w:rPr>
              <w:t>本项目需要使用磨床对模具表面机加工的痕迹进行打磨，然后使用油石对模具的型腔表面进行打磨，使模具的工作表面能够光亮如镜。本项目需打磨的钢材及不锈钢板使用量为</w:t>
            </w:r>
            <w:r>
              <w:rPr>
                <w:rFonts w:hint="eastAsia"/>
                <w:lang w:val="en-US" w:eastAsia="zh-CN"/>
              </w:rPr>
              <w:t>100</w:t>
            </w:r>
            <w:r>
              <w:rPr>
                <w:rFonts w:hint="eastAsia"/>
              </w:rPr>
              <w:t>t/a，根据《排放源统计调查产排污核算方法和系数手册》《33-37，431-434 机械行业系数手册》，打磨过程中颗粒物的产污系数为2.19kg/t-原料，则打磨粉尘产生量约为</w:t>
            </w:r>
            <w:r>
              <w:rPr>
                <w:rFonts w:hint="eastAsia"/>
                <w:lang w:val="en-US" w:eastAsia="zh-CN"/>
              </w:rPr>
              <w:t>0.219</w:t>
            </w:r>
            <w:r>
              <w:rPr>
                <w:rFonts w:hint="eastAsia"/>
              </w:rPr>
              <w:t>t/a，每天打磨4h，年工作时间为1280h，粉尘通过磨床自带的除尘设备处理后（收集效率</w:t>
            </w:r>
            <w:r>
              <w:rPr>
                <w:rFonts w:hint="eastAsia"/>
                <w:lang w:val="en-US" w:eastAsia="zh-CN"/>
              </w:rPr>
              <w:t>8</w:t>
            </w:r>
            <w:r>
              <w:rPr>
                <w:rFonts w:hint="eastAsia"/>
              </w:rPr>
              <w:t>0%，处理效率9</w:t>
            </w:r>
            <w:r>
              <w:rPr>
                <w:rFonts w:hint="eastAsia"/>
                <w:lang w:val="en-US" w:eastAsia="zh-CN"/>
              </w:rPr>
              <w:t>5</w:t>
            </w:r>
            <w:r>
              <w:rPr>
                <w:rFonts w:hint="eastAsia"/>
              </w:rPr>
              <w:t>%）无组织排放，由于该类粉尘主要含铁等较重元素，物质密度较大，在作业空间内自然沉降，对外环境影响较小。洒落于车间的粉尘经员工清扫后与边角料一起外售。废气收集效率为</w:t>
            </w:r>
            <w:r>
              <w:rPr>
                <w:rFonts w:hint="eastAsia"/>
                <w:lang w:val="en-US" w:eastAsia="zh-CN"/>
              </w:rPr>
              <w:t>8</w:t>
            </w:r>
            <w:r>
              <w:rPr>
                <w:rFonts w:hint="eastAsia"/>
              </w:rPr>
              <w:t>0%，则未收集的无组织粉尘生量为0.0</w:t>
            </w:r>
            <w:r>
              <w:rPr>
                <w:rFonts w:hint="eastAsia"/>
                <w:lang w:val="en-US" w:eastAsia="zh-CN"/>
              </w:rPr>
              <w:t>438</w:t>
            </w:r>
            <w:r>
              <w:rPr>
                <w:rFonts w:hint="eastAsia"/>
              </w:rPr>
              <w:t>t/a，废气处理效率为9</w:t>
            </w:r>
            <w:r>
              <w:rPr>
                <w:rFonts w:hint="eastAsia"/>
                <w:lang w:val="en-US" w:eastAsia="zh-CN"/>
              </w:rPr>
              <w:t>5</w:t>
            </w:r>
            <w:r>
              <w:rPr>
                <w:rFonts w:hint="eastAsia"/>
              </w:rPr>
              <w:t>%，因此本工序无组织粉尘排放总量为0.0</w:t>
            </w:r>
            <w:r>
              <w:rPr>
                <w:rFonts w:hint="eastAsia"/>
                <w:lang w:val="en-US" w:eastAsia="zh-CN"/>
              </w:rPr>
              <w:t>53</w:t>
            </w:r>
            <w:r>
              <w:rPr>
                <w:rFonts w:hint="eastAsia"/>
              </w:rPr>
              <w:t>t/a。</w:t>
            </w:r>
          </w:p>
          <w:p>
            <w:pPr>
              <w:numPr>
                <w:ilvl w:val="0"/>
                <w:numId w:val="14"/>
              </w:numPr>
              <w:ind w:firstLine="480"/>
            </w:pPr>
            <w:r>
              <w:rPr>
                <w:rFonts w:hint="eastAsia"/>
              </w:rPr>
              <w:t>焊接烟尘</w:t>
            </w:r>
          </w:p>
          <w:p>
            <w:pPr>
              <w:ind w:firstLine="480"/>
              <w:rPr>
                <w:iCs/>
              </w:rPr>
            </w:pPr>
            <w:r>
              <w:rPr>
                <w:rFonts w:hint="eastAsia"/>
                <w:lang w:val="en-GB"/>
              </w:rPr>
              <w:t>本项目焊接采用</w:t>
            </w:r>
            <w:r>
              <w:rPr>
                <w:rFonts w:hint="eastAsia"/>
                <w:lang w:val="en-US" w:eastAsia="zh-CN"/>
              </w:rPr>
              <w:t>弧焊</w:t>
            </w:r>
            <w:r>
              <w:rPr>
                <w:rFonts w:hint="eastAsia"/>
                <w:lang w:val="en-GB"/>
              </w:rPr>
              <w:t>，</w:t>
            </w:r>
            <w:r>
              <w:rPr>
                <w:rFonts w:hint="eastAsia" w:hAnsi="宋体"/>
                <w:kern w:val="24"/>
                <w:lang w:val="en-US" w:eastAsia="zh-CN"/>
              </w:rPr>
              <w:t>厂房分南北两个区域各设一处焊接区。</w:t>
            </w:r>
            <w:r>
              <w:rPr>
                <w:rFonts w:hint="eastAsia"/>
              </w:rPr>
              <w:t>根据《33-37，431-434机械行业系数手册</w:t>
            </w:r>
            <w:r>
              <w:rPr>
                <w:rFonts w:hint="eastAsia"/>
                <w:iCs/>
              </w:rPr>
              <w:t>》，焊接工序颗粒物产生系数为9.19kg/t原料，根据建设单位提供资料</w:t>
            </w:r>
            <w:r>
              <w:rPr>
                <w:rFonts w:hint="eastAsia" w:hAnsi="宋体"/>
                <w:kern w:val="24"/>
                <w:lang w:val="en-US" w:eastAsia="zh-CN"/>
              </w:rPr>
              <w:t>，厂房南侧模具组装区域焊条使用量0.1t/a，厂房北侧部凸焊区域焊丝使用量0.24t/a</w:t>
            </w:r>
            <w:r>
              <w:rPr>
                <w:rFonts w:hint="eastAsia"/>
                <w:iCs/>
              </w:rPr>
              <w:t>，年工作时间12</w:t>
            </w:r>
            <w:r>
              <w:rPr>
                <w:rFonts w:hint="eastAsia"/>
                <w:iCs/>
                <w:lang w:val="en-US" w:eastAsia="zh-CN"/>
              </w:rPr>
              <w:t>8</w:t>
            </w:r>
            <w:r>
              <w:rPr>
                <w:rFonts w:hint="eastAsia"/>
                <w:iCs/>
              </w:rPr>
              <w:t>0h。则</w:t>
            </w:r>
            <w:r>
              <w:rPr>
                <w:rFonts w:hint="eastAsia" w:hAnsi="宋体"/>
                <w:kern w:val="24"/>
                <w:lang w:val="en-US" w:eastAsia="zh-CN"/>
              </w:rPr>
              <w:t>南侧模具组装区域</w:t>
            </w:r>
            <w:r>
              <w:rPr>
                <w:rFonts w:hint="eastAsia"/>
                <w:iCs/>
              </w:rPr>
              <w:t>焊接烟尘产生量为</w:t>
            </w:r>
            <w:r>
              <w:rPr>
                <w:rFonts w:hint="eastAsia"/>
                <w:iCs/>
                <w:lang w:val="en-US" w:eastAsia="zh-CN"/>
              </w:rPr>
              <w:t>0.000919</w:t>
            </w:r>
            <w:r>
              <w:rPr>
                <w:rFonts w:hint="eastAsia"/>
                <w:iCs/>
              </w:rPr>
              <w:t>t/a，经移动式焊接烟尘净化器（收集效率80%，净化效率按95%计）处理后，无组织排放量为</w:t>
            </w:r>
            <w:r>
              <w:rPr>
                <w:rFonts w:hint="eastAsia"/>
                <w:iCs/>
                <w:lang w:val="en-US" w:eastAsia="zh-CN"/>
              </w:rPr>
              <w:t>0.0002206</w:t>
            </w:r>
            <w:r>
              <w:rPr>
                <w:rFonts w:hint="eastAsia"/>
                <w:iCs/>
              </w:rPr>
              <w:t>t/a，排放速率为</w:t>
            </w:r>
            <w:r>
              <w:rPr>
                <w:rFonts w:hint="eastAsia"/>
                <w:iCs/>
                <w:lang w:val="en-US" w:eastAsia="zh-CN"/>
              </w:rPr>
              <w:t>0.0001723k</w:t>
            </w:r>
            <w:r>
              <w:rPr>
                <w:rFonts w:hint="eastAsia"/>
                <w:iCs/>
              </w:rPr>
              <w:t>g/h；</w:t>
            </w:r>
            <w:r>
              <w:rPr>
                <w:rFonts w:hint="eastAsia" w:hAnsi="宋体"/>
                <w:kern w:val="24"/>
                <w:lang w:val="en-US" w:eastAsia="zh-CN"/>
              </w:rPr>
              <w:t>北侧部凸焊区域</w:t>
            </w:r>
            <w:r>
              <w:rPr>
                <w:rFonts w:hint="eastAsia"/>
                <w:iCs/>
              </w:rPr>
              <w:t>焊接烟尘产生量为0.00</w:t>
            </w:r>
            <w:r>
              <w:rPr>
                <w:rFonts w:hint="eastAsia"/>
                <w:iCs/>
                <w:lang w:val="en-US" w:eastAsia="zh-CN"/>
              </w:rPr>
              <w:t>2206</w:t>
            </w:r>
            <w:r>
              <w:rPr>
                <w:rFonts w:hint="eastAsia"/>
                <w:iCs/>
              </w:rPr>
              <w:t>t/a。经移动式焊接烟尘净化器（收集效率80%，净化效率按95%计）处理后，无组织排放量为</w:t>
            </w:r>
            <w:r>
              <w:rPr>
                <w:rFonts w:hint="eastAsia"/>
                <w:iCs/>
                <w:lang w:val="en-US" w:eastAsia="zh-CN"/>
              </w:rPr>
              <w:t>0.0005293</w:t>
            </w:r>
            <w:r>
              <w:rPr>
                <w:rFonts w:hint="eastAsia"/>
                <w:iCs/>
              </w:rPr>
              <w:t>t/a，排放速率为</w:t>
            </w:r>
            <w:r>
              <w:rPr>
                <w:rFonts w:hint="eastAsia"/>
                <w:iCs/>
                <w:lang w:val="en-US" w:eastAsia="zh-CN"/>
              </w:rPr>
              <w:t>0.0004135</w:t>
            </w:r>
            <w:r>
              <w:rPr>
                <w:rFonts w:hint="eastAsia"/>
                <w:iCs/>
              </w:rPr>
              <w:t>kg/h。</w:t>
            </w:r>
          </w:p>
          <w:p>
            <w:pPr>
              <w:ind w:firstLine="482"/>
              <w:rPr>
                <w:b/>
              </w:rPr>
            </w:pPr>
            <w:r>
              <w:rPr>
                <w:rFonts w:hint="eastAsia"/>
                <w:b/>
              </w:rPr>
              <w:t>2、</w:t>
            </w:r>
            <w:r>
              <w:rPr>
                <w:b/>
              </w:rPr>
              <w:t>项目废气排放量汇</w:t>
            </w:r>
            <w:r>
              <w:rPr>
                <w:rFonts w:hint="eastAsia"/>
                <w:b/>
              </w:rPr>
              <w:t>总</w:t>
            </w:r>
          </w:p>
          <w:p>
            <w:pPr>
              <w:ind w:firstLine="480"/>
            </w:pPr>
            <w:r>
              <w:rPr>
                <w:rFonts w:hint="eastAsia"/>
              </w:rPr>
              <w:t>本项目无组织废气产生及排放情况见下表。</w:t>
            </w:r>
          </w:p>
          <w:p>
            <w:pPr>
              <w:pStyle w:val="23"/>
            </w:pPr>
            <w:r>
              <w:rPr>
                <w:rFonts w:hint="eastAsia"/>
              </w:rPr>
              <w:t>表4-1  本项目无组织废气产生及排放情况一览表</w:t>
            </w:r>
          </w:p>
          <w:tbl>
            <w:tblPr>
              <w:tblStyle w:val="15"/>
              <w:tblW w:w="5000"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87"/>
              <w:gridCol w:w="1153"/>
              <w:gridCol w:w="1513"/>
              <w:gridCol w:w="1897"/>
              <w:gridCol w:w="1513"/>
              <w:gridCol w:w="189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449" w:type="pct"/>
                  <w:vMerge w:val="restart"/>
                  <w:tcBorders>
                    <w:tl2br w:val="nil"/>
                    <w:tr2bl w:val="nil"/>
                  </w:tcBorders>
                  <w:shd w:val="clear" w:color="auto" w:fill="auto"/>
                  <w:vAlign w:val="center"/>
                </w:tcPr>
                <w:p>
                  <w:pPr>
                    <w:pStyle w:val="22"/>
                    <w:bidi w:val="0"/>
                  </w:pPr>
                  <w:r>
                    <w:t>产生工序</w:t>
                  </w:r>
                </w:p>
              </w:tc>
              <w:tc>
                <w:tcPr>
                  <w:tcW w:w="658" w:type="pct"/>
                  <w:vMerge w:val="restart"/>
                  <w:tcBorders>
                    <w:tl2br w:val="nil"/>
                    <w:tr2bl w:val="nil"/>
                  </w:tcBorders>
                  <w:vAlign w:val="center"/>
                </w:tcPr>
                <w:p>
                  <w:pPr>
                    <w:pStyle w:val="22"/>
                    <w:bidi w:val="0"/>
                  </w:pPr>
                  <w:r>
                    <w:t>污染物</w:t>
                  </w:r>
                </w:p>
              </w:tc>
              <w:tc>
                <w:tcPr>
                  <w:tcW w:w="1945" w:type="pct"/>
                  <w:gridSpan w:val="2"/>
                  <w:tcBorders>
                    <w:tl2br w:val="nil"/>
                    <w:tr2bl w:val="nil"/>
                  </w:tcBorders>
                  <w:vAlign w:val="center"/>
                </w:tcPr>
                <w:p>
                  <w:pPr>
                    <w:pStyle w:val="22"/>
                    <w:bidi w:val="0"/>
                  </w:pPr>
                  <w:r>
                    <w:t>无组织废气产生情况</w:t>
                  </w:r>
                </w:p>
              </w:tc>
              <w:tc>
                <w:tcPr>
                  <w:tcW w:w="1946" w:type="pct"/>
                  <w:gridSpan w:val="2"/>
                  <w:tcBorders>
                    <w:tl2br w:val="nil"/>
                    <w:tr2bl w:val="nil"/>
                  </w:tcBorders>
                  <w:vAlign w:val="center"/>
                </w:tcPr>
                <w:p>
                  <w:pPr>
                    <w:pStyle w:val="22"/>
                    <w:bidi w:val="0"/>
                  </w:pPr>
                  <w:r>
                    <w:t>无组织废气排放情况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449" w:type="pct"/>
                  <w:vMerge w:val="continue"/>
                  <w:tcBorders>
                    <w:tl2br w:val="nil"/>
                    <w:tr2bl w:val="nil"/>
                  </w:tcBorders>
                  <w:shd w:val="clear" w:color="auto" w:fill="auto"/>
                  <w:vAlign w:val="center"/>
                </w:tcPr>
                <w:p>
                  <w:pPr>
                    <w:pStyle w:val="22"/>
                    <w:bidi w:val="0"/>
                  </w:pPr>
                </w:p>
              </w:tc>
              <w:tc>
                <w:tcPr>
                  <w:tcW w:w="658" w:type="pct"/>
                  <w:vMerge w:val="continue"/>
                  <w:tcBorders>
                    <w:tl2br w:val="nil"/>
                    <w:tr2bl w:val="nil"/>
                  </w:tcBorders>
                  <w:vAlign w:val="center"/>
                </w:tcPr>
                <w:p>
                  <w:pPr>
                    <w:pStyle w:val="22"/>
                    <w:bidi w:val="0"/>
                  </w:pPr>
                </w:p>
              </w:tc>
              <w:tc>
                <w:tcPr>
                  <w:tcW w:w="863" w:type="pct"/>
                  <w:tcBorders>
                    <w:tl2br w:val="nil"/>
                    <w:tr2bl w:val="nil"/>
                  </w:tcBorders>
                  <w:vAlign w:val="center"/>
                </w:tcPr>
                <w:p>
                  <w:pPr>
                    <w:pStyle w:val="22"/>
                    <w:bidi w:val="0"/>
                  </w:pPr>
                  <w:r>
                    <w:t>产生量（</w:t>
                  </w:r>
                  <w:r>
                    <w:rPr>
                      <w:rFonts w:hint="eastAsia"/>
                    </w:rPr>
                    <w:t>t</w:t>
                  </w:r>
                  <w:r>
                    <w:t>/a）</w:t>
                  </w:r>
                </w:p>
              </w:tc>
              <w:tc>
                <w:tcPr>
                  <w:tcW w:w="1082" w:type="pct"/>
                  <w:tcBorders>
                    <w:tl2br w:val="nil"/>
                    <w:tr2bl w:val="nil"/>
                  </w:tcBorders>
                  <w:vAlign w:val="center"/>
                </w:tcPr>
                <w:p>
                  <w:pPr>
                    <w:pStyle w:val="22"/>
                    <w:bidi w:val="0"/>
                  </w:pPr>
                  <w:r>
                    <w:t>产生速率（kg/h）</w:t>
                  </w:r>
                </w:p>
              </w:tc>
              <w:tc>
                <w:tcPr>
                  <w:tcW w:w="863" w:type="pct"/>
                  <w:tcBorders>
                    <w:tl2br w:val="nil"/>
                    <w:tr2bl w:val="nil"/>
                  </w:tcBorders>
                  <w:vAlign w:val="center"/>
                </w:tcPr>
                <w:p>
                  <w:pPr>
                    <w:pStyle w:val="22"/>
                    <w:bidi w:val="0"/>
                  </w:pPr>
                  <w:r>
                    <w:t>排放量（</w:t>
                  </w:r>
                  <w:r>
                    <w:rPr>
                      <w:rFonts w:hint="eastAsia"/>
                    </w:rPr>
                    <w:t>t</w:t>
                  </w:r>
                  <w:r>
                    <w:t>/a）</w:t>
                  </w:r>
                </w:p>
              </w:tc>
              <w:tc>
                <w:tcPr>
                  <w:tcW w:w="1083" w:type="pct"/>
                  <w:tcBorders>
                    <w:tl2br w:val="nil"/>
                    <w:tr2bl w:val="nil"/>
                  </w:tcBorders>
                  <w:shd w:val="clear" w:color="auto" w:fill="auto"/>
                  <w:vAlign w:val="center"/>
                </w:tcPr>
                <w:p>
                  <w:pPr>
                    <w:pStyle w:val="22"/>
                    <w:bidi w:val="0"/>
                  </w:pPr>
                  <w:r>
                    <w:t>排放速率（kg/h）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449" w:type="pct"/>
                  <w:tcBorders>
                    <w:tl2br w:val="nil"/>
                    <w:tr2bl w:val="nil"/>
                  </w:tcBorders>
                  <w:shd w:val="clear" w:color="auto" w:fill="auto"/>
                  <w:vAlign w:val="center"/>
                </w:tcPr>
                <w:p>
                  <w:pPr>
                    <w:pStyle w:val="22"/>
                    <w:bidi w:val="0"/>
                    <w:rPr>
                      <w:lang w:val="en-GB"/>
                    </w:rPr>
                  </w:pPr>
                  <w:r>
                    <w:rPr>
                      <w:rFonts w:hint="eastAsia"/>
                    </w:rPr>
                    <w:t>打磨</w:t>
                  </w:r>
                </w:p>
              </w:tc>
              <w:tc>
                <w:tcPr>
                  <w:tcW w:w="658" w:type="pct"/>
                  <w:tcBorders>
                    <w:tl2br w:val="nil"/>
                    <w:tr2bl w:val="nil"/>
                  </w:tcBorders>
                  <w:vAlign w:val="center"/>
                </w:tcPr>
                <w:p>
                  <w:pPr>
                    <w:pStyle w:val="22"/>
                    <w:bidi w:val="0"/>
                  </w:pPr>
                  <w:r>
                    <w:t>颗粒物</w:t>
                  </w:r>
                </w:p>
              </w:tc>
              <w:tc>
                <w:tcPr>
                  <w:tcW w:w="863" w:type="pct"/>
                  <w:tcBorders>
                    <w:tl2br w:val="nil"/>
                    <w:tr2bl w:val="nil"/>
                  </w:tcBorders>
                  <w:vAlign w:val="center"/>
                </w:tcPr>
                <w:p>
                  <w:pPr>
                    <w:pStyle w:val="22"/>
                    <w:bidi w:val="0"/>
                    <w:rPr>
                      <w:rFonts w:hint="default"/>
                      <w:lang w:val="en-US" w:eastAsia="zh-CN"/>
                    </w:rPr>
                  </w:pPr>
                  <w:r>
                    <w:rPr>
                      <w:rFonts w:hint="eastAsia"/>
                      <w:lang w:val="en-US" w:eastAsia="zh-CN"/>
                    </w:rPr>
                    <w:t>0.219</w:t>
                  </w:r>
                </w:p>
              </w:tc>
              <w:tc>
                <w:tcPr>
                  <w:tcW w:w="1082" w:type="pct"/>
                  <w:tcBorders>
                    <w:tl2br w:val="nil"/>
                    <w:tr2bl w:val="nil"/>
                  </w:tcBorders>
                  <w:vAlign w:val="center"/>
                </w:tcPr>
                <w:p>
                  <w:pPr>
                    <w:pStyle w:val="22"/>
                    <w:bidi w:val="0"/>
                    <w:rPr>
                      <w:rFonts w:hint="default"/>
                      <w:lang w:val="en-US" w:eastAsia="zh-CN"/>
                    </w:rPr>
                  </w:pPr>
                  <w:r>
                    <w:rPr>
                      <w:rFonts w:hint="eastAsia"/>
                      <w:lang w:val="en-US" w:eastAsia="zh-CN"/>
                    </w:rPr>
                    <w:t>0.171</w:t>
                  </w:r>
                </w:p>
              </w:tc>
              <w:tc>
                <w:tcPr>
                  <w:tcW w:w="863" w:type="pct"/>
                  <w:tcBorders>
                    <w:tl2br w:val="nil"/>
                    <w:tr2bl w:val="nil"/>
                  </w:tcBorders>
                  <w:vAlign w:val="center"/>
                </w:tcPr>
                <w:p>
                  <w:pPr>
                    <w:pStyle w:val="22"/>
                    <w:bidi w:val="0"/>
                    <w:rPr>
                      <w:rFonts w:hint="default"/>
                      <w:lang w:val="en-US" w:eastAsia="zh-CN"/>
                    </w:rPr>
                  </w:pPr>
                  <w:r>
                    <w:rPr>
                      <w:rFonts w:hint="eastAsia"/>
                      <w:lang w:val="en-US" w:eastAsia="zh-CN"/>
                    </w:rPr>
                    <w:t>0.053</w:t>
                  </w:r>
                </w:p>
              </w:tc>
              <w:tc>
                <w:tcPr>
                  <w:tcW w:w="1083" w:type="pct"/>
                  <w:tcBorders>
                    <w:tl2br w:val="nil"/>
                    <w:tr2bl w:val="nil"/>
                  </w:tcBorders>
                  <w:shd w:val="clear" w:color="auto" w:fill="auto"/>
                  <w:vAlign w:val="center"/>
                </w:tcPr>
                <w:p>
                  <w:pPr>
                    <w:pStyle w:val="22"/>
                    <w:bidi w:val="0"/>
                    <w:rPr>
                      <w:rFonts w:hint="default"/>
                      <w:lang w:val="en-US" w:eastAsia="zh-CN"/>
                    </w:rPr>
                  </w:pPr>
                  <w:r>
                    <w:rPr>
                      <w:rFonts w:hint="eastAsia"/>
                      <w:lang w:val="en-US" w:eastAsia="zh-CN"/>
                    </w:rPr>
                    <w:t>0.0414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449" w:type="pct"/>
                  <w:tcBorders>
                    <w:tl2br w:val="nil"/>
                    <w:tr2bl w:val="nil"/>
                  </w:tcBorders>
                  <w:shd w:val="clear" w:color="auto" w:fill="auto"/>
                  <w:vAlign w:val="center"/>
                </w:tcPr>
                <w:p>
                  <w:pPr>
                    <w:pStyle w:val="22"/>
                    <w:bidi w:val="0"/>
                    <w:rPr>
                      <w:rFonts w:hint="eastAsia" w:eastAsia="宋体"/>
                      <w:lang w:val="en-US" w:eastAsia="zh-CN"/>
                    </w:rPr>
                  </w:pPr>
                  <w:r>
                    <w:rPr>
                      <w:rFonts w:hint="eastAsia"/>
                      <w:lang w:val="en-US" w:eastAsia="zh-CN"/>
                    </w:rPr>
                    <w:t>焊接</w:t>
                  </w:r>
                </w:p>
              </w:tc>
              <w:tc>
                <w:tcPr>
                  <w:tcW w:w="658" w:type="pct"/>
                  <w:tcBorders>
                    <w:tl2br w:val="nil"/>
                    <w:tr2bl w:val="nil"/>
                  </w:tcBorders>
                  <w:vAlign w:val="center"/>
                </w:tcPr>
                <w:p>
                  <w:pPr>
                    <w:pStyle w:val="22"/>
                    <w:bidi w:val="0"/>
                    <w:rPr>
                      <w:rFonts w:hint="eastAsia" w:eastAsia="宋体"/>
                      <w:lang w:val="en-US" w:eastAsia="zh-CN"/>
                    </w:rPr>
                  </w:pPr>
                  <w:r>
                    <w:rPr>
                      <w:rFonts w:hint="eastAsia"/>
                      <w:lang w:val="en-US" w:eastAsia="zh-CN"/>
                    </w:rPr>
                    <w:t>颗粒物</w:t>
                  </w:r>
                </w:p>
              </w:tc>
              <w:tc>
                <w:tcPr>
                  <w:tcW w:w="863" w:type="pct"/>
                  <w:tcBorders>
                    <w:tl2br w:val="nil"/>
                    <w:tr2bl w:val="nil"/>
                  </w:tcBorders>
                  <w:vAlign w:val="center"/>
                </w:tcPr>
                <w:p>
                  <w:pPr>
                    <w:pStyle w:val="22"/>
                    <w:bidi w:val="0"/>
                    <w:rPr>
                      <w:rFonts w:hint="default"/>
                      <w:lang w:val="en-US" w:eastAsia="zh-CN"/>
                    </w:rPr>
                  </w:pPr>
                  <w:r>
                    <w:rPr>
                      <w:rFonts w:hint="eastAsia"/>
                      <w:lang w:val="en-US" w:eastAsia="zh-CN"/>
                    </w:rPr>
                    <w:t>0.003125</w:t>
                  </w:r>
                </w:p>
              </w:tc>
              <w:tc>
                <w:tcPr>
                  <w:tcW w:w="1082" w:type="pct"/>
                  <w:tcBorders>
                    <w:tl2br w:val="nil"/>
                    <w:tr2bl w:val="nil"/>
                  </w:tcBorders>
                  <w:vAlign w:val="center"/>
                </w:tcPr>
                <w:p>
                  <w:pPr>
                    <w:pStyle w:val="22"/>
                    <w:bidi w:val="0"/>
                    <w:rPr>
                      <w:rFonts w:hint="default"/>
                      <w:lang w:val="en-US" w:eastAsia="zh-CN"/>
                    </w:rPr>
                  </w:pPr>
                  <w:r>
                    <w:rPr>
                      <w:rFonts w:hint="eastAsia"/>
                      <w:lang w:val="en-US" w:eastAsia="zh-CN"/>
                    </w:rPr>
                    <w:t>0.0024</w:t>
                  </w:r>
                </w:p>
              </w:tc>
              <w:tc>
                <w:tcPr>
                  <w:tcW w:w="863" w:type="pct"/>
                  <w:tcBorders>
                    <w:tl2br w:val="nil"/>
                    <w:tr2bl w:val="nil"/>
                  </w:tcBorders>
                  <w:vAlign w:val="center"/>
                </w:tcPr>
                <w:p>
                  <w:pPr>
                    <w:pStyle w:val="22"/>
                    <w:bidi w:val="0"/>
                    <w:rPr>
                      <w:rFonts w:hint="default"/>
                      <w:lang w:val="en-US" w:eastAsia="zh-CN"/>
                    </w:rPr>
                  </w:pPr>
                  <w:r>
                    <w:rPr>
                      <w:rFonts w:hint="eastAsia"/>
                      <w:lang w:val="en-US" w:eastAsia="zh-CN"/>
                    </w:rPr>
                    <w:t>0.00075</w:t>
                  </w:r>
                </w:p>
              </w:tc>
              <w:tc>
                <w:tcPr>
                  <w:tcW w:w="1083" w:type="pct"/>
                  <w:tcBorders>
                    <w:tl2br w:val="nil"/>
                    <w:tr2bl w:val="nil"/>
                  </w:tcBorders>
                  <w:shd w:val="clear" w:color="auto" w:fill="auto"/>
                  <w:vAlign w:val="center"/>
                </w:tcPr>
                <w:p>
                  <w:pPr>
                    <w:pStyle w:val="22"/>
                    <w:bidi w:val="0"/>
                    <w:rPr>
                      <w:rFonts w:hint="default"/>
                      <w:lang w:val="en-US" w:eastAsia="zh-CN"/>
                    </w:rPr>
                  </w:pPr>
                  <w:r>
                    <w:rPr>
                      <w:rFonts w:hint="eastAsia"/>
                      <w:lang w:val="en-US" w:eastAsia="zh-CN"/>
                    </w:rPr>
                    <w:t>0.00059</w:t>
                  </w:r>
                </w:p>
              </w:tc>
            </w:tr>
          </w:tbl>
          <w:p>
            <w:pPr>
              <w:pStyle w:val="22"/>
              <w:jc w:val="both"/>
            </w:pPr>
          </w:p>
          <w:p>
            <w:pPr>
              <w:pStyle w:val="22"/>
            </w:pPr>
          </w:p>
          <w:p>
            <w:pPr>
              <w:pStyle w:val="22"/>
            </w:pPr>
          </w:p>
          <w:p>
            <w:pPr>
              <w:pStyle w:val="22"/>
            </w:pPr>
          </w:p>
          <w:p>
            <w:pPr>
              <w:pStyle w:val="22"/>
            </w:pPr>
          </w:p>
          <w:p>
            <w:pPr>
              <w:pStyle w:val="22"/>
            </w:pPr>
          </w:p>
          <w:p>
            <w:pPr>
              <w:pStyle w:val="22"/>
            </w:pPr>
          </w:p>
          <w:p>
            <w:pPr>
              <w:pStyle w:val="22"/>
            </w:pPr>
          </w:p>
          <w:p>
            <w:pPr>
              <w:pStyle w:val="22"/>
            </w:pPr>
          </w:p>
          <w:p>
            <w:pPr>
              <w:pStyle w:val="22"/>
            </w:pPr>
          </w:p>
          <w:p>
            <w:pPr>
              <w:pStyle w:val="22"/>
            </w:pPr>
          </w:p>
          <w:p>
            <w:pPr>
              <w:pStyle w:val="22"/>
            </w:pPr>
          </w:p>
          <w:p>
            <w:pPr>
              <w:pStyle w:val="22"/>
            </w:pPr>
          </w:p>
          <w:p>
            <w:pPr>
              <w:pStyle w:val="22"/>
            </w:pPr>
          </w:p>
          <w:p>
            <w:pPr>
              <w:pStyle w:val="22"/>
            </w:pPr>
          </w:p>
          <w:p>
            <w:pPr>
              <w:pStyle w:val="22"/>
            </w:pPr>
          </w:p>
          <w:p>
            <w:pPr>
              <w:pStyle w:val="22"/>
            </w:pPr>
          </w:p>
          <w:p>
            <w:pPr>
              <w:pStyle w:val="22"/>
            </w:pPr>
          </w:p>
          <w:p>
            <w:pPr>
              <w:pStyle w:val="22"/>
            </w:pPr>
          </w:p>
          <w:p>
            <w:pPr>
              <w:pStyle w:val="22"/>
            </w:pPr>
          </w:p>
          <w:p>
            <w:pPr>
              <w:pStyle w:val="22"/>
            </w:pPr>
          </w:p>
          <w:p>
            <w:pPr>
              <w:pStyle w:val="22"/>
            </w:pPr>
          </w:p>
          <w:p>
            <w:pPr>
              <w:pStyle w:val="22"/>
            </w:pPr>
          </w:p>
          <w:p>
            <w:pPr>
              <w:pStyle w:val="22"/>
            </w:pPr>
          </w:p>
          <w:p>
            <w:pPr>
              <w:pStyle w:val="22"/>
            </w:pPr>
          </w:p>
          <w:p>
            <w:pPr>
              <w:pStyle w:val="22"/>
            </w:pPr>
          </w:p>
          <w:p>
            <w:pPr>
              <w:pStyle w:val="22"/>
            </w:pPr>
          </w:p>
        </w:tc>
      </w:tr>
    </w:tbl>
    <w:p>
      <w:pPr>
        <w:ind w:firstLine="480"/>
        <w:sectPr>
          <w:pgSz w:w="11906" w:h="16838"/>
          <w:pgMar w:top="1440" w:right="1531" w:bottom="1440" w:left="1531" w:header="851" w:footer="992" w:gutter="0"/>
          <w:pgBorders>
            <w:top w:val="none" w:sz="0" w:space="0"/>
            <w:left w:val="none" w:sz="0" w:space="0"/>
            <w:bottom w:val="none" w:sz="0" w:space="0"/>
            <w:right w:val="none" w:sz="0" w:space="0"/>
          </w:pgBorders>
          <w:cols w:space="0" w:num="1"/>
          <w:rtlGutter w:val="0"/>
          <w:docGrid w:linePitch="312" w:charSpace="0"/>
        </w:sectPr>
      </w:pPr>
    </w:p>
    <w:tbl>
      <w:tblPr>
        <w:tblStyle w:val="16"/>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85"/>
        <w:gridCol w:w="1368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888" w:hRule="atLeast"/>
        </w:trPr>
        <w:tc>
          <w:tcPr>
            <w:tcW w:w="485" w:type="dxa"/>
            <w:tcBorders>
              <w:tl2br w:val="nil"/>
              <w:tr2bl w:val="nil"/>
            </w:tcBorders>
            <w:vAlign w:val="center"/>
          </w:tcPr>
          <w:p>
            <w:pPr>
              <w:ind w:firstLine="0" w:firstLineChars="0"/>
              <w:jc w:val="center"/>
              <w:rPr>
                <w:vertAlign w:val="baseline"/>
              </w:rPr>
            </w:pPr>
          </w:p>
        </w:tc>
        <w:tc>
          <w:tcPr>
            <w:tcW w:w="13689" w:type="dxa"/>
            <w:tcBorders>
              <w:tl2br w:val="nil"/>
              <w:tr2bl w:val="nil"/>
            </w:tcBorders>
          </w:tcPr>
          <w:p>
            <w:pPr>
              <w:numPr>
                <w:ilvl w:val="0"/>
                <w:numId w:val="9"/>
              </w:numPr>
              <w:bidi w:val="0"/>
              <w:ind w:left="0" w:leftChars="0" w:firstLine="482" w:firstLineChars="200"/>
              <w:rPr>
                <w:rFonts w:hint="eastAsia"/>
                <w:b/>
                <w:bCs/>
              </w:rPr>
            </w:pPr>
            <w:r>
              <w:rPr>
                <w:rFonts w:hint="eastAsia"/>
                <w:b/>
                <w:bCs/>
              </w:rPr>
              <w:t>产排污环节、污染物种类、排放形式及治理设施</w:t>
            </w:r>
          </w:p>
          <w:p>
            <w:pPr>
              <w:pStyle w:val="23"/>
              <w:bidi w:val="0"/>
            </w:pPr>
            <w:r>
              <w:rPr>
                <w:rFonts w:hint="eastAsia"/>
              </w:rPr>
              <w:t>表4-</w:t>
            </w:r>
            <w:r>
              <w:rPr>
                <w:rFonts w:hint="eastAsia"/>
                <w:lang w:val="en-US" w:eastAsia="zh-CN"/>
              </w:rPr>
              <w:t>2</w:t>
            </w:r>
            <w:r>
              <w:rPr>
                <w:rFonts w:hint="eastAsia"/>
              </w:rPr>
              <w:t xml:space="preserve"> </w:t>
            </w:r>
            <w:r>
              <w:rPr>
                <w:rFonts w:hint="eastAsia"/>
                <w:lang w:val="en-US" w:eastAsia="zh-CN"/>
              </w:rPr>
              <w:t xml:space="preserve"> </w:t>
            </w:r>
            <w:r>
              <w:rPr>
                <w:rFonts w:hint="eastAsia"/>
              </w:rPr>
              <w:t>废气产排污环节、污染物种类、排放形式及治理设施一览表</w:t>
            </w:r>
          </w:p>
          <w:tbl>
            <w:tblPr>
              <w:tblStyle w:val="1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46"/>
              <w:gridCol w:w="1105"/>
              <w:gridCol w:w="747"/>
              <w:gridCol w:w="952"/>
              <w:gridCol w:w="949"/>
              <w:gridCol w:w="1577"/>
              <w:gridCol w:w="1184"/>
              <w:gridCol w:w="1159"/>
              <w:gridCol w:w="984"/>
              <w:gridCol w:w="1135"/>
              <w:gridCol w:w="1364"/>
              <w:gridCol w:w="117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425" w:type="pct"/>
                  <w:vMerge w:val="restart"/>
                  <w:vAlign w:val="center"/>
                </w:tcPr>
                <w:p>
                  <w:pPr>
                    <w:pStyle w:val="22"/>
                    <w:rPr>
                      <w:b/>
                      <w:bCs/>
                    </w:rPr>
                  </w:pPr>
                  <w:r>
                    <w:rPr>
                      <w:b/>
                      <w:bCs/>
                    </w:rPr>
                    <w:t>污染源</w:t>
                  </w:r>
                </w:p>
              </w:tc>
              <w:tc>
                <w:tcPr>
                  <w:tcW w:w="410" w:type="pct"/>
                  <w:vMerge w:val="restart"/>
                  <w:vAlign w:val="center"/>
                </w:tcPr>
                <w:p>
                  <w:pPr>
                    <w:pStyle w:val="22"/>
                    <w:rPr>
                      <w:rFonts w:hint="eastAsia"/>
                      <w:b/>
                      <w:bCs/>
                      <w:lang w:val="en-US" w:eastAsia="zh-CN"/>
                    </w:rPr>
                  </w:pPr>
                  <w:r>
                    <w:rPr>
                      <w:rFonts w:hint="eastAsia"/>
                      <w:b/>
                      <w:bCs/>
                      <w:lang w:val="en-US" w:eastAsia="zh-CN"/>
                    </w:rPr>
                    <w:t>生产</w:t>
                  </w:r>
                </w:p>
                <w:p>
                  <w:pPr>
                    <w:pStyle w:val="22"/>
                    <w:rPr>
                      <w:rFonts w:hint="eastAsia"/>
                      <w:b/>
                      <w:bCs/>
                      <w:lang w:eastAsia="zh-CN"/>
                    </w:rPr>
                  </w:pPr>
                  <w:r>
                    <w:rPr>
                      <w:rFonts w:hint="eastAsia"/>
                      <w:b/>
                      <w:bCs/>
                      <w:lang w:val="en-US" w:eastAsia="zh-CN"/>
                    </w:rPr>
                    <w:t>设施</w:t>
                  </w:r>
                </w:p>
              </w:tc>
              <w:tc>
                <w:tcPr>
                  <w:tcW w:w="277" w:type="pct"/>
                  <w:vMerge w:val="restart"/>
                  <w:vAlign w:val="center"/>
                </w:tcPr>
                <w:p>
                  <w:pPr>
                    <w:pStyle w:val="22"/>
                    <w:rPr>
                      <w:rFonts w:hint="eastAsia"/>
                      <w:b/>
                      <w:bCs/>
                      <w:lang w:val="en-US" w:eastAsia="zh-CN"/>
                    </w:rPr>
                  </w:pPr>
                  <w:r>
                    <w:rPr>
                      <w:rFonts w:hint="eastAsia"/>
                      <w:b/>
                      <w:bCs/>
                      <w:lang w:val="en-US" w:eastAsia="zh-CN"/>
                    </w:rPr>
                    <w:t>产污</w:t>
                  </w:r>
                </w:p>
                <w:p>
                  <w:pPr>
                    <w:pStyle w:val="22"/>
                    <w:rPr>
                      <w:rFonts w:hint="eastAsia"/>
                      <w:b/>
                      <w:bCs/>
                      <w:lang w:val="en-US" w:eastAsia="zh-CN"/>
                    </w:rPr>
                  </w:pPr>
                  <w:r>
                    <w:rPr>
                      <w:rFonts w:hint="eastAsia"/>
                      <w:b/>
                      <w:bCs/>
                      <w:lang w:val="en-US" w:eastAsia="zh-CN"/>
                    </w:rPr>
                    <w:t>环节</w:t>
                  </w:r>
                </w:p>
              </w:tc>
              <w:tc>
                <w:tcPr>
                  <w:tcW w:w="353" w:type="pct"/>
                  <w:vMerge w:val="restart"/>
                  <w:vAlign w:val="center"/>
                </w:tcPr>
                <w:p>
                  <w:pPr>
                    <w:pStyle w:val="22"/>
                    <w:rPr>
                      <w:b/>
                      <w:bCs/>
                    </w:rPr>
                  </w:pPr>
                  <w:r>
                    <w:rPr>
                      <w:b/>
                      <w:bCs/>
                    </w:rPr>
                    <w:t>污染物</w:t>
                  </w:r>
                </w:p>
                <w:p>
                  <w:pPr>
                    <w:pStyle w:val="22"/>
                    <w:rPr>
                      <w:rFonts w:hint="eastAsia"/>
                      <w:b/>
                      <w:bCs/>
                      <w:lang w:val="en-US" w:eastAsia="zh-CN"/>
                    </w:rPr>
                  </w:pPr>
                  <w:r>
                    <w:rPr>
                      <w:rFonts w:hint="eastAsia"/>
                      <w:b/>
                      <w:bCs/>
                      <w:lang w:val="en-US" w:eastAsia="zh-CN"/>
                    </w:rPr>
                    <w:t>种类</w:t>
                  </w:r>
                </w:p>
              </w:tc>
              <w:tc>
                <w:tcPr>
                  <w:tcW w:w="352" w:type="pct"/>
                  <w:vMerge w:val="restart"/>
                  <w:vAlign w:val="center"/>
                </w:tcPr>
                <w:p>
                  <w:pPr>
                    <w:pStyle w:val="22"/>
                    <w:rPr>
                      <w:rFonts w:hint="eastAsia"/>
                      <w:b/>
                      <w:bCs/>
                      <w:lang w:val="en-US" w:eastAsia="zh-CN"/>
                    </w:rPr>
                  </w:pPr>
                  <w:r>
                    <w:rPr>
                      <w:rFonts w:hint="eastAsia"/>
                      <w:b/>
                      <w:bCs/>
                      <w:lang w:val="en-US" w:eastAsia="zh-CN"/>
                    </w:rPr>
                    <w:t>排放</w:t>
                  </w:r>
                </w:p>
                <w:p>
                  <w:pPr>
                    <w:pStyle w:val="22"/>
                    <w:rPr>
                      <w:rFonts w:hint="eastAsia"/>
                      <w:b/>
                      <w:bCs/>
                      <w:lang w:val="en-US" w:eastAsia="zh-CN"/>
                    </w:rPr>
                  </w:pPr>
                  <w:r>
                    <w:rPr>
                      <w:rFonts w:hint="eastAsia"/>
                      <w:b/>
                      <w:bCs/>
                      <w:lang w:val="en-US" w:eastAsia="zh-CN"/>
                    </w:rPr>
                    <w:t>形式</w:t>
                  </w:r>
                </w:p>
              </w:tc>
              <w:tc>
                <w:tcPr>
                  <w:tcW w:w="2240" w:type="pct"/>
                  <w:gridSpan w:val="5"/>
                  <w:vAlign w:val="center"/>
                </w:tcPr>
                <w:p>
                  <w:pPr>
                    <w:pStyle w:val="22"/>
                    <w:rPr>
                      <w:b/>
                      <w:bCs/>
                    </w:rPr>
                  </w:pPr>
                  <w:r>
                    <w:rPr>
                      <w:rFonts w:hint="eastAsia"/>
                      <w:b/>
                      <w:bCs/>
                    </w:rPr>
                    <w:t>污染治理设施</w:t>
                  </w:r>
                </w:p>
              </w:tc>
              <w:tc>
                <w:tcPr>
                  <w:tcW w:w="506" w:type="pct"/>
                  <w:vMerge w:val="restart"/>
                  <w:vAlign w:val="center"/>
                </w:tcPr>
                <w:p>
                  <w:pPr>
                    <w:pStyle w:val="22"/>
                    <w:rPr>
                      <w:b/>
                      <w:bCs/>
                    </w:rPr>
                  </w:pPr>
                  <w:r>
                    <w:rPr>
                      <w:rFonts w:hint="eastAsia"/>
                      <w:b/>
                      <w:bCs/>
                    </w:rPr>
                    <w:t>排放口类型</w:t>
                  </w:r>
                </w:p>
              </w:tc>
              <w:tc>
                <w:tcPr>
                  <w:tcW w:w="434" w:type="pct"/>
                  <w:vMerge w:val="restart"/>
                  <w:vAlign w:val="center"/>
                </w:tcPr>
                <w:p>
                  <w:pPr>
                    <w:pStyle w:val="22"/>
                    <w:rPr>
                      <w:b/>
                      <w:bCs/>
                    </w:rPr>
                  </w:pPr>
                  <w:r>
                    <w:rPr>
                      <w:rFonts w:hint="eastAsia"/>
                      <w:b/>
                      <w:bCs/>
                    </w:rPr>
                    <w:t>执行标准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425" w:type="pct"/>
                  <w:vMerge w:val="continue"/>
                  <w:vAlign w:val="center"/>
                </w:tcPr>
                <w:p>
                  <w:pPr>
                    <w:pStyle w:val="22"/>
                  </w:pPr>
                </w:p>
              </w:tc>
              <w:tc>
                <w:tcPr>
                  <w:tcW w:w="410" w:type="pct"/>
                  <w:vMerge w:val="continue"/>
                  <w:vAlign w:val="center"/>
                </w:tcPr>
                <w:p>
                  <w:pPr>
                    <w:pStyle w:val="22"/>
                  </w:pPr>
                </w:p>
              </w:tc>
              <w:tc>
                <w:tcPr>
                  <w:tcW w:w="277" w:type="pct"/>
                  <w:vMerge w:val="continue"/>
                  <w:vAlign w:val="center"/>
                </w:tcPr>
                <w:p>
                  <w:pPr>
                    <w:pStyle w:val="22"/>
                  </w:pPr>
                </w:p>
              </w:tc>
              <w:tc>
                <w:tcPr>
                  <w:tcW w:w="353" w:type="pct"/>
                  <w:vMerge w:val="continue"/>
                  <w:vAlign w:val="center"/>
                </w:tcPr>
                <w:p>
                  <w:pPr>
                    <w:pStyle w:val="22"/>
                  </w:pPr>
                </w:p>
              </w:tc>
              <w:tc>
                <w:tcPr>
                  <w:tcW w:w="352" w:type="pct"/>
                  <w:vMerge w:val="continue"/>
                  <w:vAlign w:val="center"/>
                </w:tcPr>
                <w:p>
                  <w:pPr>
                    <w:pStyle w:val="22"/>
                  </w:pPr>
                </w:p>
              </w:tc>
              <w:tc>
                <w:tcPr>
                  <w:tcW w:w="585" w:type="pct"/>
                  <w:vAlign w:val="center"/>
                </w:tcPr>
                <w:p>
                  <w:pPr>
                    <w:pStyle w:val="22"/>
                    <w:rPr>
                      <w:rFonts w:hint="eastAsia"/>
                      <w:b/>
                      <w:bCs/>
                      <w:lang w:val="en-US" w:eastAsia="zh-CN"/>
                    </w:rPr>
                  </w:pPr>
                  <w:r>
                    <w:rPr>
                      <w:rFonts w:hint="eastAsia"/>
                      <w:b/>
                      <w:bCs/>
                      <w:lang w:val="en-US" w:eastAsia="zh-CN"/>
                    </w:rPr>
                    <w:t>工艺</w:t>
                  </w:r>
                </w:p>
              </w:tc>
              <w:tc>
                <w:tcPr>
                  <w:tcW w:w="439" w:type="pct"/>
                  <w:vAlign w:val="center"/>
                </w:tcPr>
                <w:p>
                  <w:pPr>
                    <w:pStyle w:val="22"/>
                    <w:rPr>
                      <w:b/>
                      <w:bCs/>
                    </w:rPr>
                  </w:pPr>
                  <w:r>
                    <w:rPr>
                      <w:rFonts w:hint="eastAsia"/>
                      <w:b/>
                      <w:bCs/>
                    </w:rPr>
                    <w:t>处理能力</w:t>
                  </w:r>
                </w:p>
              </w:tc>
              <w:tc>
                <w:tcPr>
                  <w:tcW w:w="430" w:type="pct"/>
                  <w:vAlign w:val="center"/>
                </w:tcPr>
                <w:p>
                  <w:pPr>
                    <w:pStyle w:val="22"/>
                    <w:rPr>
                      <w:b/>
                      <w:bCs/>
                    </w:rPr>
                  </w:pPr>
                  <w:r>
                    <w:rPr>
                      <w:rFonts w:hint="eastAsia"/>
                      <w:b/>
                      <w:bCs/>
                    </w:rPr>
                    <w:t>收集效率%</w:t>
                  </w:r>
                </w:p>
              </w:tc>
              <w:tc>
                <w:tcPr>
                  <w:tcW w:w="365" w:type="pct"/>
                  <w:vAlign w:val="center"/>
                </w:tcPr>
                <w:p>
                  <w:pPr>
                    <w:pStyle w:val="22"/>
                    <w:rPr>
                      <w:b/>
                      <w:bCs/>
                    </w:rPr>
                  </w:pPr>
                  <w:r>
                    <w:rPr>
                      <w:rFonts w:hint="eastAsia"/>
                      <w:b/>
                      <w:bCs/>
                    </w:rPr>
                    <w:t>去除率%</w:t>
                  </w:r>
                </w:p>
              </w:tc>
              <w:tc>
                <w:tcPr>
                  <w:tcW w:w="421" w:type="pct"/>
                  <w:vAlign w:val="center"/>
                </w:tcPr>
                <w:p>
                  <w:pPr>
                    <w:pStyle w:val="22"/>
                    <w:rPr>
                      <w:b/>
                      <w:bCs/>
                    </w:rPr>
                  </w:pPr>
                  <w:r>
                    <w:rPr>
                      <w:rFonts w:hint="eastAsia"/>
                      <w:b/>
                      <w:bCs/>
                    </w:rPr>
                    <w:t>是否为可行技术</w:t>
                  </w:r>
                </w:p>
              </w:tc>
              <w:tc>
                <w:tcPr>
                  <w:tcW w:w="506" w:type="pct"/>
                  <w:vMerge w:val="continue"/>
                  <w:vAlign w:val="center"/>
                </w:tcPr>
                <w:p>
                  <w:pPr>
                    <w:pStyle w:val="22"/>
                  </w:pPr>
                </w:p>
              </w:tc>
              <w:tc>
                <w:tcPr>
                  <w:tcW w:w="434" w:type="pct"/>
                  <w:vMerge w:val="continue"/>
                  <w:vAlign w:val="center"/>
                </w:tcPr>
                <w:p>
                  <w:pPr>
                    <w:pStyle w:val="22"/>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425" w:type="pct"/>
                  <w:vAlign w:val="center"/>
                </w:tcPr>
                <w:p>
                  <w:pPr>
                    <w:pStyle w:val="22"/>
                    <w:rPr>
                      <w:rFonts w:hint="default"/>
                      <w:lang w:val="en-US" w:eastAsia="zh-CN"/>
                    </w:rPr>
                  </w:pPr>
                  <w:r>
                    <w:rPr>
                      <w:rFonts w:hint="eastAsia"/>
                      <w:lang w:val="en-US" w:eastAsia="zh-CN"/>
                    </w:rPr>
                    <w:t>打磨粉尘</w:t>
                  </w:r>
                </w:p>
              </w:tc>
              <w:tc>
                <w:tcPr>
                  <w:tcW w:w="410" w:type="pct"/>
                  <w:vAlign w:val="center"/>
                </w:tcPr>
                <w:p>
                  <w:pPr>
                    <w:pStyle w:val="22"/>
                  </w:pPr>
                  <w:r>
                    <w:rPr>
                      <w:rFonts w:hint="eastAsia"/>
                    </w:rPr>
                    <w:t>数控磨床</w:t>
                  </w:r>
                </w:p>
              </w:tc>
              <w:tc>
                <w:tcPr>
                  <w:tcW w:w="277" w:type="pct"/>
                  <w:vAlign w:val="center"/>
                </w:tcPr>
                <w:p>
                  <w:pPr>
                    <w:pStyle w:val="22"/>
                    <w:rPr>
                      <w:rFonts w:hint="default"/>
                      <w:lang w:val="en-US" w:eastAsia="zh-CN"/>
                    </w:rPr>
                  </w:pPr>
                  <w:r>
                    <w:rPr>
                      <w:rFonts w:hint="eastAsia"/>
                      <w:lang w:val="en-US" w:eastAsia="zh-CN"/>
                    </w:rPr>
                    <w:t>打磨</w:t>
                  </w:r>
                </w:p>
              </w:tc>
              <w:tc>
                <w:tcPr>
                  <w:tcW w:w="353" w:type="pct"/>
                  <w:vAlign w:val="center"/>
                </w:tcPr>
                <w:p>
                  <w:pPr>
                    <w:pStyle w:val="22"/>
                    <w:rPr>
                      <w:rFonts w:hint="eastAsia"/>
                      <w:lang w:val="en-US" w:eastAsia="zh-CN"/>
                    </w:rPr>
                  </w:pPr>
                  <w:r>
                    <w:rPr>
                      <w:rFonts w:hint="eastAsia"/>
                      <w:lang w:val="en-US" w:eastAsia="zh-CN"/>
                    </w:rPr>
                    <w:t>颗粒物</w:t>
                  </w:r>
                </w:p>
              </w:tc>
              <w:tc>
                <w:tcPr>
                  <w:tcW w:w="352" w:type="pct"/>
                  <w:vAlign w:val="center"/>
                </w:tcPr>
                <w:p>
                  <w:pPr>
                    <w:pStyle w:val="22"/>
                    <w:rPr>
                      <w:rFonts w:hint="eastAsia"/>
                      <w:lang w:val="en-US" w:eastAsia="zh-CN"/>
                    </w:rPr>
                  </w:pPr>
                  <w:r>
                    <w:rPr>
                      <w:rFonts w:hint="eastAsia"/>
                      <w:lang w:val="en-US" w:eastAsia="zh-CN"/>
                    </w:rPr>
                    <w:t>无组织</w:t>
                  </w:r>
                </w:p>
              </w:tc>
              <w:tc>
                <w:tcPr>
                  <w:tcW w:w="585" w:type="pct"/>
                  <w:vAlign w:val="center"/>
                </w:tcPr>
                <w:p>
                  <w:pPr>
                    <w:pStyle w:val="22"/>
                    <w:rPr>
                      <w:rFonts w:hint="default"/>
                      <w:lang w:val="en-US" w:eastAsia="zh-CN"/>
                    </w:rPr>
                  </w:pPr>
                  <w:r>
                    <w:rPr>
                      <w:rFonts w:hint="eastAsia"/>
                      <w:lang w:val="en-US" w:eastAsia="zh-CN"/>
                    </w:rPr>
                    <w:t>设备自带除尘设施</w:t>
                  </w:r>
                </w:p>
              </w:tc>
              <w:tc>
                <w:tcPr>
                  <w:tcW w:w="439" w:type="pct"/>
                  <w:vAlign w:val="center"/>
                </w:tcPr>
                <w:p>
                  <w:pPr>
                    <w:pStyle w:val="22"/>
                    <w:rPr>
                      <w:rFonts w:hint="eastAsia"/>
                      <w:lang w:val="en-US" w:eastAsia="zh-CN"/>
                    </w:rPr>
                  </w:pPr>
                  <w:r>
                    <w:rPr>
                      <w:rFonts w:hint="eastAsia"/>
                      <w:lang w:val="en-US" w:eastAsia="zh-CN"/>
                    </w:rPr>
                    <w:t>/</w:t>
                  </w:r>
                </w:p>
              </w:tc>
              <w:tc>
                <w:tcPr>
                  <w:tcW w:w="430" w:type="pct"/>
                  <w:vAlign w:val="center"/>
                </w:tcPr>
                <w:p>
                  <w:pPr>
                    <w:pStyle w:val="22"/>
                    <w:rPr>
                      <w:rFonts w:hint="default"/>
                      <w:lang w:val="en-US" w:eastAsia="zh-CN"/>
                    </w:rPr>
                  </w:pPr>
                  <w:r>
                    <w:rPr>
                      <w:rFonts w:hint="eastAsia"/>
                      <w:lang w:val="en-US" w:eastAsia="zh-CN"/>
                    </w:rPr>
                    <w:t>80</w:t>
                  </w:r>
                </w:p>
              </w:tc>
              <w:tc>
                <w:tcPr>
                  <w:tcW w:w="365" w:type="pct"/>
                  <w:vAlign w:val="center"/>
                </w:tcPr>
                <w:p>
                  <w:pPr>
                    <w:pStyle w:val="22"/>
                    <w:rPr>
                      <w:rFonts w:hint="default"/>
                      <w:lang w:val="en-US" w:eastAsia="zh-CN"/>
                    </w:rPr>
                  </w:pPr>
                  <w:r>
                    <w:rPr>
                      <w:rFonts w:hint="eastAsia"/>
                      <w:lang w:val="en-US" w:eastAsia="zh-CN"/>
                    </w:rPr>
                    <w:t>95</w:t>
                  </w:r>
                </w:p>
              </w:tc>
              <w:tc>
                <w:tcPr>
                  <w:tcW w:w="421" w:type="pct"/>
                  <w:vAlign w:val="center"/>
                </w:tcPr>
                <w:p>
                  <w:pPr>
                    <w:pStyle w:val="22"/>
                    <w:rPr>
                      <w:rFonts w:hint="eastAsia"/>
                      <w:lang w:val="en-US" w:eastAsia="zh-CN"/>
                    </w:rPr>
                  </w:pPr>
                  <w:r>
                    <w:rPr>
                      <w:rFonts w:hint="eastAsia"/>
                      <w:lang w:val="en-US" w:eastAsia="zh-CN"/>
                    </w:rPr>
                    <w:t>是</w:t>
                  </w:r>
                </w:p>
              </w:tc>
              <w:tc>
                <w:tcPr>
                  <w:tcW w:w="506" w:type="pct"/>
                  <w:vAlign w:val="center"/>
                </w:tcPr>
                <w:p>
                  <w:pPr>
                    <w:pStyle w:val="22"/>
                    <w:rPr>
                      <w:rFonts w:hint="eastAsia"/>
                      <w:lang w:val="en-US" w:eastAsia="zh-CN"/>
                    </w:rPr>
                  </w:pPr>
                  <w:r>
                    <w:rPr>
                      <w:rFonts w:hint="eastAsia"/>
                      <w:lang w:val="en-US" w:eastAsia="zh-CN"/>
                    </w:rPr>
                    <w:t>/</w:t>
                  </w:r>
                </w:p>
              </w:tc>
              <w:tc>
                <w:tcPr>
                  <w:tcW w:w="434" w:type="pct"/>
                  <w:vAlign w:val="center"/>
                </w:tcPr>
                <w:p>
                  <w:pPr>
                    <w:pStyle w:val="22"/>
                  </w:pPr>
                  <w:r>
                    <w:rPr>
                      <w:rFonts w:hint="eastAsia"/>
                    </w:rPr>
                    <w:t>GB16297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425" w:type="pct"/>
                  <w:vAlign w:val="center"/>
                </w:tcPr>
                <w:p>
                  <w:pPr>
                    <w:pStyle w:val="22"/>
                    <w:rPr>
                      <w:rFonts w:hint="eastAsia"/>
                      <w:lang w:val="en-US" w:eastAsia="zh-CN"/>
                    </w:rPr>
                  </w:pPr>
                  <w:r>
                    <w:rPr>
                      <w:rFonts w:hint="eastAsia"/>
                      <w:lang w:val="en-US" w:eastAsia="zh-CN"/>
                    </w:rPr>
                    <w:t>焊接烟尘</w:t>
                  </w:r>
                </w:p>
              </w:tc>
              <w:tc>
                <w:tcPr>
                  <w:tcW w:w="410" w:type="pct"/>
                  <w:vAlign w:val="center"/>
                </w:tcPr>
                <w:p>
                  <w:pPr>
                    <w:pStyle w:val="22"/>
                  </w:pPr>
                  <w:r>
                    <w:rPr>
                      <w:rFonts w:hint="eastAsia"/>
                    </w:rPr>
                    <w:t>气保焊</w:t>
                  </w:r>
                </w:p>
              </w:tc>
              <w:tc>
                <w:tcPr>
                  <w:tcW w:w="277" w:type="pct"/>
                  <w:vAlign w:val="center"/>
                </w:tcPr>
                <w:p>
                  <w:pPr>
                    <w:pStyle w:val="22"/>
                    <w:rPr>
                      <w:rFonts w:hint="default"/>
                      <w:lang w:val="en-US" w:eastAsia="zh-CN"/>
                    </w:rPr>
                  </w:pPr>
                  <w:r>
                    <w:rPr>
                      <w:rFonts w:hint="eastAsia"/>
                      <w:lang w:val="en-US" w:eastAsia="zh-CN"/>
                    </w:rPr>
                    <w:t>焊接</w:t>
                  </w:r>
                </w:p>
              </w:tc>
              <w:tc>
                <w:tcPr>
                  <w:tcW w:w="353" w:type="pct"/>
                  <w:vAlign w:val="center"/>
                </w:tcPr>
                <w:p>
                  <w:pPr>
                    <w:pStyle w:val="22"/>
                  </w:pPr>
                  <w:r>
                    <w:rPr>
                      <w:rFonts w:hint="eastAsia"/>
                      <w:lang w:val="en-US" w:eastAsia="zh-CN"/>
                    </w:rPr>
                    <w:t>颗粒物</w:t>
                  </w:r>
                </w:p>
              </w:tc>
              <w:tc>
                <w:tcPr>
                  <w:tcW w:w="352" w:type="pct"/>
                  <w:vAlign w:val="center"/>
                </w:tcPr>
                <w:p>
                  <w:pPr>
                    <w:pStyle w:val="22"/>
                  </w:pPr>
                  <w:r>
                    <w:rPr>
                      <w:rFonts w:hint="eastAsia"/>
                      <w:lang w:val="en-US" w:eastAsia="zh-CN"/>
                    </w:rPr>
                    <w:t>无组织</w:t>
                  </w:r>
                </w:p>
              </w:tc>
              <w:tc>
                <w:tcPr>
                  <w:tcW w:w="585" w:type="pct"/>
                  <w:vAlign w:val="center"/>
                </w:tcPr>
                <w:p>
                  <w:pPr>
                    <w:pStyle w:val="22"/>
                  </w:pPr>
                  <w:r>
                    <w:rPr>
                      <w:rFonts w:hint="eastAsia"/>
                    </w:rPr>
                    <w:t>移动焊烟净化器收集</w:t>
                  </w:r>
                </w:p>
              </w:tc>
              <w:tc>
                <w:tcPr>
                  <w:tcW w:w="439" w:type="pct"/>
                  <w:vAlign w:val="center"/>
                </w:tcPr>
                <w:p>
                  <w:pPr>
                    <w:pStyle w:val="22"/>
                    <w:rPr>
                      <w:rFonts w:hint="eastAsia"/>
                      <w:lang w:val="en-US" w:eastAsia="zh-CN"/>
                    </w:rPr>
                  </w:pPr>
                  <w:r>
                    <w:rPr>
                      <w:rFonts w:hint="eastAsia"/>
                      <w:lang w:val="en-US" w:eastAsia="zh-CN"/>
                    </w:rPr>
                    <w:t>/</w:t>
                  </w:r>
                </w:p>
              </w:tc>
              <w:tc>
                <w:tcPr>
                  <w:tcW w:w="430" w:type="pct"/>
                  <w:vAlign w:val="center"/>
                </w:tcPr>
                <w:p>
                  <w:pPr>
                    <w:pStyle w:val="22"/>
                    <w:ind w:firstLine="0" w:firstLineChars="0"/>
                    <w:rPr>
                      <w:rFonts w:hint="default"/>
                      <w:lang w:val="en-US" w:eastAsia="zh-CN"/>
                    </w:rPr>
                  </w:pPr>
                  <w:r>
                    <w:rPr>
                      <w:rFonts w:hint="eastAsia"/>
                      <w:lang w:val="en-US" w:eastAsia="zh-CN"/>
                    </w:rPr>
                    <w:t>80</w:t>
                  </w:r>
                </w:p>
              </w:tc>
              <w:tc>
                <w:tcPr>
                  <w:tcW w:w="365" w:type="pct"/>
                  <w:vAlign w:val="center"/>
                </w:tcPr>
                <w:p>
                  <w:pPr>
                    <w:pStyle w:val="22"/>
                    <w:ind w:firstLine="0" w:firstLineChars="0"/>
                    <w:rPr>
                      <w:rFonts w:hint="default"/>
                      <w:lang w:val="en-US" w:eastAsia="zh-CN"/>
                    </w:rPr>
                  </w:pPr>
                  <w:r>
                    <w:rPr>
                      <w:rFonts w:hint="eastAsia"/>
                      <w:lang w:val="en-US" w:eastAsia="zh-CN"/>
                    </w:rPr>
                    <w:t>95</w:t>
                  </w:r>
                </w:p>
              </w:tc>
              <w:tc>
                <w:tcPr>
                  <w:tcW w:w="421" w:type="pct"/>
                  <w:vAlign w:val="center"/>
                </w:tcPr>
                <w:p>
                  <w:pPr>
                    <w:pStyle w:val="22"/>
                  </w:pPr>
                  <w:r>
                    <w:rPr>
                      <w:rFonts w:hint="eastAsia"/>
                      <w:lang w:val="en-US" w:eastAsia="zh-CN"/>
                    </w:rPr>
                    <w:t>是</w:t>
                  </w:r>
                </w:p>
              </w:tc>
              <w:tc>
                <w:tcPr>
                  <w:tcW w:w="506" w:type="pct"/>
                  <w:vAlign w:val="center"/>
                </w:tcPr>
                <w:p>
                  <w:pPr>
                    <w:pStyle w:val="22"/>
                    <w:rPr>
                      <w:rFonts w:hint="eastAsia"/>
                      <w:lang w:val="en-US" w:eastAsia="zh-CN"/>
                    </w:rPr>
                  </w:pPr>
                  <w:r>
                    <w:rPr>
                      <w:rFonts w:hint="eastAsia"/>
                      <w:lang w:val="en-US" w:eastAsia="zh-CN"/>
                    </w:rPr>
                    <w:t>/</w:t>
                  </w:r>
                </w:p>
              </w:tc>
              <w:tc>
                <w:tcPr>
                  <w:tcW w:w="434" w:type="pct"/>
                  <w:vAlign w:val="center"/>
                </w:tcPr>
                <w:p>
                  <w:pPr>
                    <w:pStyle w:val="22"/>
                    <w:ind w:firstLine="0" w:firstLineChars="0"/>
                    <w:rPr>
                      <w:lang w:val="en-US" w:eastAsia="zh-CN"/>
                    </w:rPr>
                  </w:pPr>
                  <w:r>
                    <w:rPr>
                      <w:rFonts w:hint="eastAsia"/>
                    </w:rPr>
                    <w:t>GB16297</w:t>
                  </w:r>
                </w:p>
              </w:tc>
            </w:tr>
          </w:tbl>
          <w:p>
            <w:pPr>
              <w:numPr>
                <w:ilvl w:val="0"/>
                <w:numId w:val="9"/>
              </w:numPr>
              <w:bidi w:val="0"/>
              <w:ind w:left="0" w:leftChars="0" w:firstLine="482" w:firstLineChars="200"/>
            </w:pPr>
            <w:r>
              <w:rPr>
                <w:rFonts w:hint="eastAsia"/>
                <w:b/>
                <w:bCs/>
              </w:rPr>
              <w:t>排放源基本情况及达标分析</w:t>
            </w:r>
          </w:p>
          <w:p>
            <w:pPr>
              <w:pStyle w:val="23"/>
            </w:pPr>
            <w:r>
              <w:rPr>
                <w:rFonts w:hint="eastAsia"/>
              </w:rPr>
              <w:t>表4-</w:t>
            </w:r>
            <w:r>
              <w:rPr>
                <w:rFonts w:hint="eastAsia"/>
                <w:lang w:val="en-US" w:eastAsia="zh-CN"/>
              </w:rPr>
              <w:t>3</w:t>
            </w:r>
            <w:r>
              <w:rPr>
                <w:rFonts w:hint="eastAsia"/>
              </w:rPr>
              <w:t xml:space="preserve"> </w:t>
            </w:r>
            <w:r>
              <w:rPr>
                <w:rFonts w:hint="eastAsia"/>
                <w:lang w:val="en-US" w:eastAsia="zh-CN"/>
              </w:rPr>
              <w:t xml:space="preserve"> </w:t>
            </w:r>
            <w:r>
              <w:rPr>
                <w:rFonts w:hint="eastAsia"/>
              </w:rPr>
              <w:t>无组织排放源情况</w:t>
            </w:r>
          </w:p>
          <w:tbl>
            <w:tblPr>
              <w:tblStyle w:val="1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654"/>
              <w:gridCol w:w="499"/>
              <w:gridCol w:w="577"/>
              <w:gridCol w:w="372"/>
              <w:gridCol w:w="375"/>
              <w:gridCol w:w="771"/>
              <w:gridCol w:w="645"/>
              <w:gridCol w:w="502"/>
              <w:gridCol w:w="874"/>
              <w:gridCol w:w="895"/>
              <w:gridCol w:w="769"/>
              <w:gridCol w:w="499"/>
              <w:gridCol w:w="1216"/>
              <w:gridCol w:w="2810"/>
              <w:gridCol w:w="1060"/>
              <w:gridCol w:w="95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243" w:type="pct"/>
                  <w:vMerge w:val="restart"/>
                  <w:vAlign w:val="center"/>
                </w:tcPr>
                <w:p>
                  <w:pPr>
                    <w:pStyle w:val="22"/>
                    <w:rPr>
                      <w:b/>
                      <w:bCs/>
                    </w:rPr>
                  </w:pPr>
                  <w:r>
                    <w:rPr>
                      <w:rFonts w:hint="eastAsia"/>
                      <w:b/>
                      <w:bCs/>
                    </w:rPr>
                    <w:t>无组织排放源</w:t>
                  </w:r>
                </w:p>
              </w:tc>
              <w:tc>
                <w:tcPr>
                  <w:tcW w:w="185" w:type="pct"/>
                  <w:vMerge w:val="restart"/>
                  <w:vAlign w:val="center"/>
                </w:tcPr>
                <w:p>
                  <w:pPr>
                    <w:pStyle w:val="22"/>
                    <w:rPr>
                      <w:b/>
                      <w:bCs/>
                    </w:rPr>
                  </w:pPr>
                  <w:r>
                    <w:rPr>
                      <w:rFonts w:hint="eastAsia"/>
                      <w:b/>
                      <w:bCs/>
                    </w:rPr>
                    <w:t>产污环节</w:t>
                  </w:r>
                </w:p>
              </w:tc>
              <w:tc>
                <w:tcPr>
                  <w:tcW w:w="214" w:type="pct"/>
                  <w:vMerge w:val="restart"/>
                  <w:vAlign w:val="center"/>
                </w:tcPr>
                <w:p>
                  <w:pPr>
                    <w:pStyle w:val="22"/>
                    <w:rPr>
                      <w:rFonts w:hint="eastAsia" w:eastAsia="宋体"/>
                      <w:b/>
                      <w:bCs/>
                      <w:lang w:eastAsia="zh-CN"/>
                    </w:rPr>
                  </w:pPr>
                  <w:r>
                    <w:rPr>
                      <w:rFonts w:hint="eastAsia"/>
                      <w:b/>
                      <w:bCs/>
                      <w:lang w:val="en-US" w:eastAsia="zh-CN"/>
                    </w:rPr>
                    <w:t>污染物种类</w:t>
                  </w:r>
                </w:p>
              </w:tc>
              <w:tc>
                <w:tcPr>
                  <w:tcW w:w="277" w:type="pct"/>
                  <w:gridSpan w:val="2"/>
                  <w:vAlign w:val="center"/>
                </w:tcPr>
                <w:p>
                  <w:pPr>
                    <w:pStyle w:val="22"/>
                    <w:rPr>
                      <w:rFonts w:hint="eastAsia" w:eastAsia="宋体"/>
                      <w:b/>
                      <w:bCs/>
                      <w:lang w:eastAsia="zh-CN"/>
                    </w:rPr>
                  </w:pPr>
                  <w:r>
                    <w:rPr>
                      <w:rFonts w:hint="eastAsia"/>
                      <w:b/>
                      <w:bCs/>
                      <w:lang w:val="en-US" w:eastAsia="zh-CN"/>
                    </w:rPr>
                    <w:t>面源起点坐标</w:t>
                  </w:r>
                </w:p>
              </w:tc>
              <w:tc>
                <w:tcPr>
                  <w:tcW w:w="2288" w:type="pct"/>
                  <w:gridSpan w:val="8"/>
                  <w:vAlign w:val="center"/>
                </w:tcPr>
                <w:p>
                  <w:pPr>
                    <w:pStyle w:val="22"/>
                    <w:rPr>
                      <w:rFonts w:hint="eastAsia"/>
                      <w:b/>
                      <w:bCs/>
                    </w:rPr>
                  </w:pPr>
                  <w:r>
                    <w:rPr>
                      <w:rFonts w:hint="eastAsia"/>
                      <w:b/>
                      <w:bCs/>
                    </w:rPr>
                    <w:t>排放源参数</w:t>
                  </w:r>
                </w:p>
              </w:tc>
              <w:tc>
                <w:tcPr>
                  <w:tcW w:w="1435" w:type="pct"/>
                  <w:gridSpan w:val="2"/>
                  <w:vAlign w:val="center"/>
                </w:tcPr>
                <w:p>
                  <w:pPr>
                    <w:pStyle w:val="22"/>
                    <w:rPr>
                      <w:rFonts w:hint="eastAsia" w:eastAsia="宋体"/>
                      <w:b/>
                      <w:bCs/>
                      <w:lang w:val="en-US" w:eastAsia="zh-CN"/>
                    </w:rPr>
                  </w:pPr>
                  <w:r>
                    <w:rPr>
                      <w:rFonts w:hint="eastAsia"/>
                      <w:b/>
                      <w:bCs/>
                    </w:rPr>
                    <w:t>国家或地方污染物排放</w:t>
                  </w:r>
                  <w:r>
                    <w:rPr>
                      <w:rFonts w:hint="eastAsia"/>
                      <w:b/>
                      <w:bCs/>
                      <w:lang w:val="en-US" w:eastAsia="zh-CN"/>
                    </w:rPr>
                    <w:t>标准</w:t>
                  </w:r>
                </w:p>
              </w:tc>
              <w:tc>
                <w:tcPr>
                  <w:tcW w:w="354" w:type="pct"/>
                  <w:vMerge w:val="restart"/>
                  <w:vAlign w:val="center"/>
                </w:tcPr>
                <w:p>
                  <w:pPr>
                    <w:pStyle w:val="22"/>
                  </w:pPr>
                  <w:r>
                    <w:rPr>
                      <w:rFonts w:hint="eastAsia"/>
                      <w:b/>
                      <w:bCs/>
                    </w:rPr>
                    <w:t>年排放量（t/a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243" w:type="pct"/>
                  <w:vMerge w:val="continue"/>
                  <w:vAlign w:val="center"/>
                </w:tcPr>
                <w:p>
                  <w:pPr>
                    <w:pStyle w:val="22"/>
                    <w:rPr>
                      <w:b/>
                      <w:bCs/>
                    </w:rPr>
                  </w:pPr>
                </w:p>
              </w:tc>
              <w:tc>
                <w:tcPr>
                  <w:tcW w:w="185" w:type="pct"/>
                  <w:vMerge w:val="continue"/>
                  <w:vAlign w:val="center"/>
                </w:tcPr>
                <w:p>
                  <w:pPr>
                    <w:pStyle w:val="22"/>
                    <w:rPr>
                      <w:b/>
                      <w:bCs/>
                    </w:rPr>
                  </w:pPr>
                </w:p>
              </w:tc>
              <w:tc>
                <w:tcPr>
                  <w:tcW w:w="214" w:type="pct"/>
                  <w:vMerge w:val="continue"/>
                  <w:vAlign w:val="center"/>
                </w:tcPr>
                <w:p>
                  <w:pPr>
                    <w:pStyle w:val="22"/>
                    <w:rPr>
                      <w:b/>
                      <w:bCs/>
                    </w:rPr>
                  </w:pPr>
                </w:p>
              </w:tc>
              <w:tc>
                <w:tcPr>
                  <w:tcW w:w="138" w:type="pct"/>
                  <w:vAlign w:val="center"/>
                </w:tcPr>
                <w:p>
                  <w:pPr>
                    <w:pStyle w:val="22"/>
                    <w:rPr>
                      <w:rFonts w:hint="eastAsia" w:eastAsia="宋体"/>
                      <w:b/>
                      <w:bCs/>
                      <w:lang w:eastAsia="zh-CN"/>
                    </w:rPr>
                  </w:pPr>
                  <w:r>
                    <w:rPr>
                      <w:rFonts w:hint="eastAsia"/>
                      <w:b/>
                      <w:bCs/>
                      <w:lang w:val="en-US" w:eastAsia="zh-CN"/>
                    </w:rPr>
                    <w:t>X</w:t>
                  </w:r>
                </w:p>
              </w:tc>
              <w:tc>
                <w:tcPr>
                  <w:tcW w:w="139" w:type="pct"/>
                  <w:vAlign w:val="center"/>
                </w:tcPr>
                <w:p>
                  <w:pPr>
                    <w:pStyle w:val="22"/>
                    <w:rPr>
                      <w:rFonts w:hint="eastAsia" w:eastAsia="宋体"/>
                      <w:b/>
                      <w:bCs/>
                      <w:lang w:eastAsia="zh-CN"/>
                    </w:rPr>
                  </w:pPr>
                  <w:r>
                    <w:rPr>
                      <w:rFonts w:hint="eastAsia"/>
                      <w:b/>
                      <w:bCs/>
                      <w:lang w:val="en-US" w:eastAsia="zh-CN"/>
                    </w:rPr>
                    <w:t>Y</w:t>
                  </w:r>
                </w:p>
              </w:tc>
              <w:tc>
                <w:tcPr>
                  <w:tcW w:w="286" w:type="pct"/>
                  <w:vAlign w:val="center"/>
                </w:tcPr>
                <w:p>
                  <w:pPr>
                    <w:pStyle w:val="22"/>
                    <w:rPr>
                      <w:b/>
                      <w:bCs/>
                    </w:rPr>
                  </w:pPr>
                  <w:r>
                    <w:rPr>
                      <w:rFonts w:hint="eastAsia"/>
                      <w:b/>
                      <w:bCs/>
                    </w:rPr>
                    <w:t>面源海拔高度m</w:t>
                  </w:r>
                </w:p>
              </w:tc>
              <w:tc>
                <w:tcPr>
                  <w:tcW w:w="239" w:type="pct"/>
                  <w:vAlign w:val="center"/>
                </w:tcPr>
                <w:p>
                  <w:pPr>
                    <w:pStyle w:val="22"/>
                    <w:rPr>
                      <w:b/>
                      <w:bCs/>
                    </w:rPr>
                  </w:pPr>
                  <w:r>
                    <w:rPr>
                      <w:rFonts w:hint="eastAsia"/>
                      <w:b/>
                      <w:bCs/>
                    </w:rPr>
                    <w:t>面源长度m</w:t>
                  </w:r>
                </w:p>
              </w:tc>
              <w:tc>
                <w:tcPr>
                  <w:tcW w:w="186" w:type="pct"/>
                  <w:vAlign w:val="center"/>
                </w:tcPr>
                <w:p>
                  <w:pPr>
                    <w:pStyle w:val="22"/>
                    <w:rPr>
                      <w:b/>
                      <w:bCs/>
                    </w:rPr>
                  </w:pPr>
                  <w:r>
                    <w:rPr>
                      <w:rFonts w:hint="eastAsia"/>
                      <w:b/>
                      <w:bCs/>
                    </w:rPr>
                    <w:t>面源宽m</w:t>
                  </w:r>
                </w:p>
              </w:tc>
              <w:tc>
                <w:tcPr>
                  <w:tcW w:w="324" w:type="pct"/>
                  <w:vAlign w:val="center"/>
                </w:tcPr>
                <w:p>
                  <w:pPr>
                    <w:pStyle w:val="22"/>
                    <w:rPr>
                      <w:b/>
                      <w:bCs/>
                    </w:rPr>
                  </w:pPr>
                  <w:r>
                    <w:rPr>
                      <w:rFonts w:hint="eastAsia"/>
                      <w:b/>
                      <w:bCs/>
                    </w:rPr>
                    <w:t>与正北方向夹角/°</w:t>
                  </w:r>
                </w:p>
              </w:tc>
              <w:tc>
                <w:tcPr>
                  <w:tcW w:w="332" w:type="pct"/>
                  <w:vAlign w:val="center"/>
                </w:tcPr>
                <w:p>
                  <w:pPr>
                    <w:pStyle w:val="22"/>
                    <w:rPr>
                      <w:b/>
                      <w:bCs/>
                    </w:rPr>
                  </w:pPr>
                  <w:r>
                    <w:rPr>
                      <w:rFonts w:hint="eastAsia"/>
                      <w:b/>
                      <w:bCs/>
                    </w:rPr>
                    <w:t>面源有效排放高度m</w:t>
                  </w:r>
                </w:p>
              </w:tc>
              <w:tc>
                <w:tcPr>
                  <w:tcW w:w="285" w:type="pct"/>
                  <w:vAlign w:val="center"/>
                </w:tcPr>
                <w:p>
                  <w:pPr>
                    <w:pStyle w:val="22"/>
                    <w:rPr>
                      <w:b/>
                      <w:bCs/>
                    </w:rPr>
                  </w:pPr>
                  <w:r>
                    <w:rPr>
                      <w:rFonts w:hint="eastAsia"/>
                      <w:b/>
                      <w:bCs/>
                    </w:rPr>
                    <w:t>年排放小时h</w:t>
                  </w:r>
                </w:p>
              </w:tc>
              <w:tc>
                <w:tcPr>
                  <w:tcW w:w="185" w:type="pct"/>
                  <w:vAlign w:val="center"/>
                </w:tcPr>
                <w:p>
                  <w:pPr>
                    <w:pStyle w:val="22"/>
                    <w:rPr>
                      <w:b/>
                      <w:bCs/>
                    </w:rPr>
                  </w:pPr>
                  <w:r>
                    <w:rPr>
                      <w:rFonts w:hint="eastAsia"/>
                      <w:b/>
                      <w:bCs/>
                    </w:rPr>
                    <w:t>排放工况</w:t>
                  </w:r>
                </w:p>
              </w:tc>
              <w:tc>
                <w:tcPr>
                  <w:tcW w:w="447" w:type="pct"/>
                  <w:vAlign w:val="center"/>
                </w:tcPr>
                <w:p>
                  <w:pPr>
                    <w:pStyle w:val="22"/>
                    <w:rPr>
                      <w:b/>
                      <w:bCs/>
                    </w:rPr>
                  </w:pPr>
                  <w:r>
                    <w:rPr>
                      <w:rFonts w:hint="eastAsia"/>
                      <w:b/>
                      <w:bCs/>
                    </w:rPr>
                    <w:t>污染物排放速率kg/h</w:t>
                  </w:r>
                </w:p>
              </w:tc>
              <w:tc>
                <w:tcPr>
                  <w:tcW w:w="1042" w:type="pct"/>
                  <w:vAlign w:val="center"/>
                </w:tcPr>
                <w:p>
                  <w:pPr>
                    <w:pStyle w:val="22"/>
                    <w:rPr>
                      <w:b/>
                      <w:bCs/>
                    </w:rPr>
                  </w:pPr>
                  <w:r>
                    <w:rPr>
                      <w:rFonts w:hint="eastAsia"/>
                      <w:b/>
                      <w:bCs/>
                    </w:rPr>
                    <w:t>标准名称</w:t>
                  </w:r>
                </w:p>
              </w:tc>
              <w:tc>
                <w:tcPr>
                  <w:tcW w:w="393" w:type="pct"/>
                  <w:vAlign w:val="center"/>
                </w:tcPr>
                <w:p>
                  <w:pPr>
                    <w:pStyle w:val="22"/>
                    <w:rPr>
                      <w:rFonts w:hint="eastAsia"/>
                      <w:b/>
                      <w:bCs/>
                    </w:rPr>
                  </w:pPr>
                  <w:r>
                    <w:rPr>
                      <w:rFonts w:hint="eastAsia"/>
                      <w:b/>
                      <w:bCs/>
                    </w:rPr>
                    <w:t>浓度限值</w:t>
                  </w:r>
                </w:p>
                <w:p>
                  <w:pPr>
                    <w:pStyle w:val="22"/>
                    <w:rPr>
                      <w:b/>
                      <w:bCs/>
                    </w:rPr>
                  </w:pPr>
                  <w:r>
                    <w:rPr>
                      <w:rFonts w:hint="eastAsia"/>
                      <w:b/>
                      <w:bCs/>
                    </w:rPr>
                    <w:t>（mg/m</w:t>
                  </w:r>
                  <w:r>
                    <w:rPr>
                      <w:rFonts w:hint="eastAsia"/>
                      <w:b/>
                      <w:bCs/>
                      <w:vertAlign w:val="superscript"/>
                    </w:rPr>
                    <w:t>3</w:t>
                  </w:r>
                  <w:r>
                    <w:rPr>
                      <w:rFonts w:hint="eastAsia"/>
                      <w:b/>
                      <w:bCs/>
                    </w:rPr>
                    <w:t>）</w:t>
                  </w:r>
                </w:p>
              </w:tc>
              <w:tc>
                <w:tcPr>
                  <w:tcW w:w="354" w:type="pct"/>
                  <w:vMerge w:val="continue"/>
                  <w:vAlign w:val="center"/>
                </w:tcPr>
                <w:p>
                  <w:pPr>
                    <w:pStyle w:val="22"/>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243" w:type="pct"/>
                  <w:vAlign w:val="center"/>
                </w:tcPr>
                <w:p>
                  <w:pPr>
                    <w:pStyle w:val="22"/>
                    <w:rPr>
                      <w:rFonts w:hint="eastAsia" w:eastAsia="宋体"/>
                      <w:lang w:val="en-US" w:eastAsia="zh-CN"/>
                    </w:rPr>
                  </w:pPr>
                  <w:r>
                    <w:rPr>
                      <w:rFonts w:hint="eastAsia"/>
                      <w:lang w:val="en-US" w:eastAsia="zh-CN"/>
                    </w:rPr>
                    <w:t>厂界</w:t>
                  </w:r>
                </w:p>
              </w:tc>
              <w:tc>
                <w:tcPr>
                  <w:tcW w:w="185" w:type="pct"/>
                  <w:vAlign w:val="center"/>
                </w:tcPr>
                <w:p>
                  <w:pPr>
                    <w:pStyle w:val="22"/>
                    <w:rPr>
                      <w:rFonts w:hint="eastAsia" w:eastAsia="宋体"/>
                      <w:lang w:val="en-US" w:eastAsia="zh-CN"/>
                    </w:rPr>
                  </w:pPr>
                  <w:r>
                    <w:rPr>
                      <w:rFonts w:hint="eastAsia"/>
                      <w:lang w:val="en-US" w:eastAsia="zh-CN"/>
                    </w:rPr>
                    <w:t>生产车间</w:t>
                  </w:r>
                </w:p>
              </w:tc>
              <w:tc>
                <w:tcPr>
                  <w:tcW w:w="214" w:type="pct"/>
                  <w:vAlign w:val="center"/>
                </w:tcPr>
                <w:p>
                  <w:pPr>
                    <w:pStyle w:val="22"/>
                    <w:rPr>
                      <w:rFonts w:hint="eastAsia" w:eastAsia="宋体"/>
                      <w:lang w:val="en-US" w:eastAsia="zh-CN"/>
                    </w:rPr>
                  </w:pPr>
                  <w:r>
                    <w:rPr>
                      <w:rFonts w:hint="eastAsia"/>
                      <w:lang w:val="en-US" w:eastAsia="zh-CN"/>
                    </w:rPr>
                    <w:t>颗粒物</w:t>
                  </w:r>
                </w:p>
              </w:tc>
              <w:tc>
                <w:tcPr>
                  <w:tcW w:w="138" w:type="pct"/>
                  <w:vAlign w:val="center"/>
                </w:tcPr>
                <w:p>
                  <w:pPr>
                    <w:pStyle w:val="22"/>
                    <w:rPr>
                      <w:rFonts w:hint="eastAsia" w:eastAsia="宋体"/>
                      <w:lang w:val="en-US" w:eastAsia="zh-CN"/>
                    </w:rPr>
                  </w:pPr>
                  <w:r>
                    <w:rPr>
                      <w:rFonts w:hint="eastAsia"/>
                      <w:lang w:val="en-US" w:eastAsia="zh-CN"/>
                    </w:rPr>
                    <w:t>/</w:t>
                  </w:r>
                </w:p>
              </w:tc>
              <w:tc>
                <w:tcPr>
                  <w:tcW w:w="139" w:type="pct"/>
                  <w:vAlign w:val="center"/>
                </w:tcPr>
                <w:p>
                  <w:pPr>
                    <w:pStyle w:val="22"/>
                    <w:rPr>
                      <w:rFonts w:hint="eastAsia" w:eastAsia="宋体"/>
                      <w:lang w:val="en-US" w:eastAsia="zh-CN"/>
                    </w:rPr>
                  </w:pPr>
                  <w:r>
                    <w:rPr>
                      <w:rFonts w:hint="eastAsia"/>
                      <w:lang w:val="en-US" w:eastAsia="zh-CN"/>
                    </w:rPr>
                    <w:t>/</w:t>
                  </w:r>
                </w:p>
              </w:tc>
              <w:tc>
                <w:tcPr>
                  <w:tcW w:w="286" w:type="pct"/>
                  <w:vAlign w:val="center"/>
                </w:tcPr>
                <w:p>
                  <w:pPr>
                    <w:pStyle w:val="22"/>
                    <w:rPr>
                      <w:rFonts w:hint="default" w:eastAsia="宋体"/>
                      <w:lang w:val="en-US" w:eastAsia="zh-CN"/>
                    </w:rPr>
                  </w:pPr>
                  <w:r>
                    <w:rPr>
                      <w:rFonts w:hint="eastAsia"/>
                      <w:lang w:val="en-US" w:eastAsia="zh-CN"/>
                    </w:rPr>
                    <w:t>7.1</w:t>
                  </w:r>
                </w:p>
              </w:tc>
              <w:tc>
                <w:tcPr>
                  <w:tcW w:w="239" w:type="pct"/>
                  <w:vAlign w:val="center"/>
                </w:tcPr>
                <w:p>
                  <w:pPr>
                    <w:pStyle w:val="22"/>
                    <w:rPr>
                      <w:rFonts w:hint="default" w:eastAsia="宋体"/>
                      <w:lang w:val="en-US" w:eastAsia="zh-CN"/>
                    </w:rPr>
                  </w:pPr>
                  <w:r>
                    <w:rPr>
                      <w:rFonts w:hint="eastAsia"/>
                      <w:lang w:val="en-US" w:eastAsia="zh-CN"/>
                    </w:rPr>
                    <w:t>120</w:t>
                  </w:r>
                </w:p>
              </w:tc>
              <w:tc>
                <w:tcPr>
                  <w:tcW w:w="186" w:type="pct"/>
                  <w:vAlign w:val="center"/>
                </w:tcPr>
                <w:p>
                  <w:pPr>
                    <w:pStyle w:val="22"/>
                    <w:rPr>
                      <w:rFonts w:hint="default" w:eastAsia="宋体"/>
                      <w:lang w:val="en-US" w:eastAsia="zh-CN"/>
                    </w:rPr>
                  </w:pPr>
                  <w:r>
                    <w:rPr>
                      <w:rFonts w:hint="eastAsia"/>
                      <w:lang w:val="en-US" w:eastAsia="zh-CN"/>
                    </w:rPr>
                    <w:t>84</w:t>
                  </w:r>
                </w:p>
              </w:tc>
              <w:tc>
                <w:tcPr>
                  <w:tcW w:w="324" w:type="pct"/>
                  <w:vAlign w:val="center"/>
                </w:tcPr>
                <w:p>
                  <w:pPr>
                    <w:pStyle w:val="22"/>
                    <w:rPr>
                      <w:rFonts w:hint="default" w:eastAsia="宋体"/>
                      <w:lang w:val="en-US" w:eastAsia="zh-CN"/>
                    </w:rPr>
                  </w:pPr>
                  <w:r>
                    <w:rPr>
                      <w:rFonts w:hint="eastAsia"/>
                      <w:lang w:val="en-US" w:eastAsia="zh-CN"/>
                    </w:rPr>
                    <w:t>73</w:t>
                  </w:r>
                </w:p>
              </w:tc>
              <w:tc>
                <w:tcPr>
                  <w:tcW w:w="332" w:type="pct"/>
                  <w:vAlign w:val="center"/>
                </w:tcPr>
                <w:p>
                  <w:pPr>
                    <w:pStyle w:val="22"/>
                    <w:rPr>
                      <w:rFonts w:hint="default" w:eastAsia="宋体"/>
                      <w:lang w:val="en-US" w:eastAsia="zh-CN"/>
                    </w:rPr>
                  </w:pPr>
                  <w:r>
                    <w:rPr>
                      <w:rFonts w:hint="eastAsia"/>
                      <w:lang w:val="en-US" w:eastAsia="zh-CN"/>
                    </w:rPr>
                    <w:t>6</w:t>
                  </w:r>
                </w:p>
              </w:tc>
              <w:tc>
                <w:tcPr>
                  <w:tcW w:w="285" w:type="pct"/>
                  <w:vAlign w:val="center"/>
                </w:tcPr>
                <w:p>
                  <w:pPr>
                    <w:pStyle w:val="22"/>
                    <w:rPr>
                      <w:rFonts w:hint="default" w:eastAsia="宋体"/>
                      <w:lang w:val="en-US" w:eastAsia="zh-CN"/>
                    </w:rPr>
                  </w:pPr>
                  <w:r>
                    <w:rPr>
                      <w:rFonts w:hint="eastAsia"/>
                      <w:lang w:val="en-US" w:eastAsia="zh-CN"/>
                    </w:rPr>
                    <w:t>1280</w:t>
                  </w:r>
                </w:p>
              </w:tc>
              <w:tc>
                <w:tcPr>
                  <w:tcW w:w="185" w:type="pct"/>
                  <w:vAlign w:val="center"/>
                </w:tcPr>
                <w:p>
                  <w:pPr>
                    <w:pStyle w:val="22"/>
                    <w:rPr>
                      <w:rFonts w:hint="eastAsia" w:eastAsia="宋体"/>
                      <w:lang w:val="en-US" w:eastAsia="zh-CN"/>
                    </w:rPr>
                  </w:pPr>
                  <w:r>
                    <w:rPr>
                      <w:rFonts w:hint="eastAsia"/>
                      <w:lang w:val="en-US" w:eastAsia="zh-CN"/>
                    </w:rPr>
                    <w:t>正常</w:t>
                  </w:r>
                </w:p>
              </w:tc>
              <w:tc>
                <w:tcPr>
                  <w:tcW w:w="447" w:type="pct"/>
                  <w:vAlign w:val="center"/>
                </w:tcPr>
                <w:p>
                  <w:pPr>
                    <w:pStyle w:val="22"/>
                    <w:rPr>
                      <w:rFonts w:hint="default" w:eastAsia="宋体"/>
                      <w:lang w:val="en-US" w:eastAsia="zh-CN"/>
                    </w:rPr>
                  </w:pPr>
                  <w:r>
                    <w:rPr>
                      <w:rFonts w:hint="eastAsia"/>
                      <w:lang w:val="en-US" w:eastAsia="zh-CN"/>
                    </w:rPr>
                    <w:t>0.04199</w:t>
                  </w:r>
                </w:p>
              </w:tc>
              <w:tc>
                <w:tcPr>
                  <w:tcW w:w="1042" w:type="pct"/>
                  <w:vAlign w:val="center"/>
                </w:tcPr>
                <w:p>
                  <w:pPr>
                    <w:pStyle w:val="22"/>
                  </w:pPr>
                  <w:r>
                    <w:rPr>
                      <w:rFonts w:hint="eastAsia"/>
                    </w:rPr>
                    <w:t>《大气污染物综合排放标准》（GB16297-1996）</w:t>
                  </w:r>
                </w:p>
              </w:tc>
              <w:tc>
                <w:tcPr>
                  <w:tcW w:w="393" w:type="pct"/>
                  <w:vAlign w:val="center"/>
                </w:tcPr>
                <w:p>
                  <w:pPr>
                    <w:pStyle w:val="22"/>
                    <w:rPr>
                      <w:rFonts w:hint="default" w:eastAsia="宋体"/>
                      <w:lang w:val="en-US" w:eastAsia="zh-CN"/>
                    </w:rPr>
                  </w:pPr>
                  <w:r>
                    <w:rPr>
                      <w:rFonts w:hint="eastAsia"/>
                      <w:lang w:val="en-US" w:eastAsia="zh-CN"/>
                    </w:rPr>
                    <w:t>1.0</w:t>
                  </w:r>
                </w:p>
              </w:tc>
              <w:tc>
                <w:tcPr>
                  <w:tcW w:w="354" w:type="pct"/>
                  <w:vAlign w:val="center"/>
                </w:tcPr>
                <w:p>
                  <w:pPr>
                    <w:pStyle w:val="22"/>
                    <w:rPr>
                      <w:rFonts w:hint="default" w:eastAsia="宋体"/>
                      <w:lang w:val="en-US" w:eastAsia="zh-CN"/>
                    </w:rPr>
                  </w:pPr>
                  <w:r>
                    <w:rPr>
                      <w:rFonts w:hint="eastAsia"/>
                      <w:lang w:val="en-US" w:eastAsia="zh-CN"/>
                    </w:rPr>
                    <w:t>0.05375</w:t>
                  </w:r>
                </w:p>
              </w:tc>
            </w:tr>
          </w:tbl>
          <w:p>
            <w:pPr>
              <w:numPr>
                <w:ilvl w:val="0"/>
                <w:numId w:val="9"/>
              </w:numPr>
              <w:bidi w:val="0"/>
              <w:ind w:left="0" w:leftChars="0" w:firstLine="482" w:firstLineChars="200"/>
              <w:rPr>
                <w:rFonts w:hint="eastAsia"/>
                <w:b/>
                <w:bCs/>
              </w:rPr>
            </w:pPr>
            <w:r>
              <w:rPr>
                <w:rFonts w:hint="eastAsia"/>
                <w:b/>
                <w:bCs/>
              </w:rPr>
              <w:t>废气治理设施可行性分析</w:t>
            </w:r>
          </w:p>
          <w:p>
            <w:pPr>
              <w:bidi w:val="0"/>
            </w:pPr>
            <w:r>
              <w:rPr>
                <w:rFonts w:hint="eastAsia"/>
              </w:rPr>
              <w:t xml:space="preserve">参照《排污许可证申请与核发技术规范 汽车制造业》（HJ </w:t>
            </w:r>
            <w:r>
              <w:rPr>
                <w:rFonts w:hint="eastAsia"/>
                <w:lang w:val="en-US" w:eastAsia="zh-CN"/>
              </w:rPr>
              <w:t>971</w:t>
            </w:r>
            <w:r>
              <w:rPr>
                <w:rFonts w:hint="eastAsia"/>
              </w:rPr>
              <w:t>—20</w:t>
            </w:r>
            <w:r>
              <w:rPr>
                <w:rFonts w:hint="eastAsia"/>
                <w:lang w:val="en-US" w:eastAsia="zh-CN"/>
              </w:rPr>
              <w:t>18</w:t>
            </w:r>
            <w:r>
              <w:rPr>
                <w:rFonts w:hint="eastAsia"/>
              </w:rPr>
              <w:t>）中表</w:t>
            </w:r>
            <w:r>
              <w:rPr>
                <w:rFonts w:hint="eastAsia"/>
                <w:lang w:val="en-US" w:eastAsia="zh-CN"/>
              </w:rPr>
              <w:t>15</w:t>
            </w:r>
            <w:r>
              <w:rPr>
                <w:rFonts w:hint="eastAsia"/>
              </w:rPr>
              <w:t>废气污染防治推荐可行技术参照表，本项目</w:t>
            </w:r>
            <w:r>
              <w:rPr>
                <w:rFonts w:hint="eastAsia"/>
                <w:lang w:val="en-US" w:eastAsia="zh-CN"/>
              </w:rPr>
              <w:t>焊接</w:t>
            </w:r>
            <w:r>
              <w:rPr>
                <w:rFonts w:hint="eastAsia"/>
              </w:rPr>
              <w:t>工序采取移动焊烟净化器收集处理、</w:t>
            </w:r>
            <w:r>
              <w:rPr>
                <w:rFonts w:hint="eastAsia"/>
                <w:lang w:val="en-US" w:eastAsia="zh-CN"/>
              </w:rPr>
              <w:t>打磨</w:t>
            </w:r>
            <w:r>
              <w:rPr>
                <w:rFonts w:hint="eastAsia"/>
              </w:rPr>
              <w:t>工序</w:t>
            </w:r>
            <w:r>
              <w:rPr>
                <w:rFonts w:hint="eastAsia"/>
                <w:lang w:val="en-US" w:eastAsia="zh-CN"/>
              </w:rPr>
              <w:t>设备自带袋式除尘设备处理</w:t>
            </w:r>
            <w:r>
              <w:rPr>
                <w:rFonts w:hint="eastAsia"/>
              </w:rPr>
              <w:t>措施是可行的。</w:t>
            </w:r>
          </w:p>
          <w:p>
            <w:pPr>
              <w:pStyle w:val="23"/>
              <w:bidi w:val="0"/>
              <w:rPr>
                <w:rFonts w:hint="eastAsia"/>
              </w:rPr>
            </w:pPr>
          </w:p>
          <w:p>
            <w:pPr>
              <w:pStyle w:val="23"/>
              <w:bidi w:val="0"/>
              <w:rPr>
                <w:rFonts w:hint="eastAsia"/>
              </w:rPr>
            </w:pPr>
          </w:p>
          <w:p>
            <w:pPr>
              <w:pStyle w:val="23"/>
              <w:bidi w:val="0"/>
              <w:rPr>
                <w:rFonts w:hint="eastAsia"/>
              </w:rPr>
            </w:pPr>
          </w:p>
          <w:p>
            <w:pPr>
              <w:pStyle w:val="23"/>
              <w:bidi w:val="0"/>
              <w:rPr>
                <w:rFonts w:hint="eastAsia"/>
              </w:rPr>
            </w:pPr>
            <w:r>
              <w:rPr>
                <w:rFonts w:hint="eastAsia"/>
              </w:rPr>
              <w:t>表4-</w:t>
            </w:r>
            <w:r>
              <w:rPr>
                <w:rFonts w:hint="eastAsia"/>
                <w:lang w:val="en-US" w:eastAsia="zh-CN"/>
              </w:rPr>
              <w:t xml:space="preserve">4 </w:t>
            </w:r>
            <w:r>
              <w:rPr>
                <w:rFonts w:hint="eastAsia"/>
              </w:rPr>
              <w:t xml:space="preserve"> 项目废气治理措施可行性分析</w:t>
            </w:r>
          </w:p>
          <w:tbl>
            <w:tblPr>
              <w:tblStyle w:val="1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35"/>
              <w:gridCol w:w="1294"/>
              <w:gridCol w:w="2803"/>
              <w:gridCol w:w="1383"/>
              <w:gridCol w:w="1205"/>
              <w:gridCol w:w="2887"/>
              <w:gridCol w:w="1704"/>
              <w:gridCol w:w="106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72" w:type="pct"/>
                  <w:gridSpan w:val="6"/>
                  <w:tcBorders>
                    <w:tl2br w:val="nil"/>
                    <w:tr2bl w:val="nil"/>
                  </w:tcBorders>
                  <w:vAlign w:val="center"/>
                </w:tcPr>
                <w:p>
                  <w:pPr>
                    <w:pStyle w:val="22"/>
                    <w:bidi w:val="0"/>
                    <w:jc w:val="center"/>
                    <w:rPr>
                      <w:rFonts w:hint="eastAsia" w:eastAsia="宋体"/>
                      <w:b/>
                      <w:bCs/>
                      <w:lang w:val="en-US" w:eastAsia="zh-CN"/>
                    </w:rPr>
                  </w:pPr>
                  <w:r>
                    <w:rPr>
                      <w:rFonts w:hint="eastAsia" w:eastAsia="宋体"/>
                      <w:b/>
                      <w:bCs/>
                      <w:lang w:val="en-US" w:eastAsia="zh-CN"/>
                    </w:rPr>
                    <w:t>HJ 971—2018</w:t>
                  </w:r>
                  <w:r>
                    <w:rPr>
                      <w:rFonts w:hint="eastAsia"/>
                      <w:b/>
                      <w:bCs/>
                      <w:lang w:val="en-US" w:eastAsia="zh-CN"/>
                    </w:rPr>
                    <w:t>（表15  电车制造排污单位工艺生产单元产排污环节、废气污染物及对应排放口类型一览表）</w:t>
                  </w:r>
                </w:p>
              </w:tc>
              <w:tc>
                <w:tcPr>
                  <w:tcW w:w="632" w:type="pct"/>
                  <w:vMerge w:val="restart"/>
                  <w:tcBorders>
                    <w:tl2br w:val="nil"/>
                    <w:tr2bl w:val="nil"/>
                  </w:tcBorders>
                  <w:vAlign w:val="center"/>
                </w:tcPr>
                <w:p>
                  <w:pPr>
                    <w:pStyle w:val="22"/>
                    <w:bidi w:val="0"/>
                    <w:jc w:val="center"/>
                    <w:rPr>
                      <w:rFonts w:hint="default" w:eastAsia="宋体"/>
                      <w:b/>
                      <w:bCs/>
                      <w:lang w:val="en-US" w:eastAsia="zh-CN"/>
                    </w:rPr>
                  </w:pPr>
                  <w:r>
                    <w:rPr>
                      <w:rFonts w:hint="eastAsia"/>
                      <w:b/>
                      <w:bCs/>
                      <w:lang w:val="en-US" w:eastAsia="zh-CN"/>
                    </w:rPr>
                    <w:t>本项目情况</w:t>
                  </w:r>
                </w:p>
              </w:tc>
              <w:tc>
                <w:tcPr>
                  <w:tcW w:w="394" w:type="pct"/>
                  <w:vMerge w:val="restart"/>
                  <w:tcBorders>
                    <w:tl2br w:val="nil"/>
                    <w:tr2bl w:val="nil"/>
                  </w:tcBorders>
                  <w:vAlign w:val="center"/>
                </w:tcPr>
                <w:p>
                  <w:pPr>
                    <w:pStyle w:val="22"/>
                    <w:bidi w:val="0"/>
                    <w:jc w:val="center"/>
                    <w:rPr>
                      <w:rFonts w:hint="eastAsia" w:eastAsia="宋体"/>
                      <w:b/>
                      <w:bCs/>
                      <w:lang w:val="en-US" w:eastAsia="zh-CN"/>
                    </w:rPr>
                  </w:pPr>
                  <w:r>
                    <w:rPr>
                      <w:rFonts w:hint="eastAsia"/>
                      <w:b/>
                      <w:bCs/>
                      <w:lang w:val="en-US" w:eastAsia="zh-CN"/>
                    </w:rPr>
                    <w:t>可行性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1" w:type="pct"/>
                  <w:tcBorders>
                    <w:tl2br w:val="nil"/>
                    <w:tr2bl w:val="nil"/>
                  </w:tcBorders>
                  <w:vAlign w:val="center"/>
                </w:tcPr>
                <w:p>
                  <w:pPr>
                    <w:pStyle w:val="22"/>
                    <w:bidi w:val="0"/>
                    <w:ind w:firstLine="0" w:firstLineChars="0"/>
                    <w:jc w:val="center"/>
                    <w:rPr>
                      <w:rFonts w:hint="eastAsia" w:ascii="Times New Roman" w:hAnsi="Times New Roman" w:eastAsia="宋体" w:cs="Times New Roman"/>
                      <w:b/>
                      <w:bCs/>
                      <w:kern w:val="2"/>
                      <w:sz w:val="21"/>
                      <w:szCs w:val="24"/>
                      <w:lang w:val="en-US" w:eastAsia="zh-CN" w:bidi="ar-SA"/>
                    </w:rPr>
                  </w:pPr>
                  <w:r>
                    <w:rPr>
                      <w:rFonts w:hint="eastAsia"/>
                      <w:b/>
                      <w:bCs/>
                      <w:lang w:val="en-US" w:eastAsia="zh-CN"/>
                    </w:rPr>
                    <w:t>生产单元</w:t>
                  </w:r>
                </w:p>
              </w:tc>
              <w:tc>
                <w:tcPr>
                  <w:tcW w:w="480" w:type="pct"/>
                  <w:tcBorders>
                    <w:tl2br w:val="nil"/>
                    <w:tr2bl w:val="nil"/>
                  </w:tcBorders>
                  <w:vAlign w:val="center"/>
                </w:tcPr>
                <w:p>
                  <w:pPr>
                    <w:pStyle w:val="22"/>
                    <w:bidi w:val="0"/>
                    <w:ind w:firstLine="0" w:firstLineChars="0"/>
                    <w:jc w:val="center"/>
                    <w:rPr>
                      <w:rFonts w:hint="eastAsia" w:ascii="Times New Roman" w:hAnsi="Times New Roman" w:eastAsia="宋体" w:cs="Times New Roman"/>
                      <w:b/>
                      <w:bCs/>
                      <w:kern w:val="2"/>
                      <w:sz w:val="21"/>
                      <w:szCs w:val="24"/>
                      <w:lang w:val="en-US" w:eastAsia="zh-CN" w:bidi="ar-SA"/>
                    </w:rPr>
                  </w:pPr>
                  <w:r>
                    <w:rPr>
                      <w:rFonts w:hint="eastAsia"/>
                      <w:b/>
                      <w:bCs/>
                      <w:lang w:val="en-US" w:eastAsia="zh-CN"/>
                    </w:rPr>
                    <w:t>生产工艺</w:t>
                  </w:r>
                </w:p>
              </w:tc>
              <w:tc>
                <w:tcPr>
                  <w:tcW w:w="1040" w:type="pct"/>
                  <w:tcBorders>
                    <w:tl2br w:val="nil"/>
                    <w:tr2bl w:val="nil"/>
                  </w:tcBorders>
                  <w:vAlign w:val="center"/>
                </w:tcPr>
                <w:p>
                  <w:pPr>
                    <w:pStyle w:val="22"/>
                    <w:bidi w:val="0"/>
                    <w:ind w:firstLine="0" w:firstLineChars="0"/>
                    <w:jc w:val="center"/>
                    <w:rPr>
                      <w:rFonts w:hint="eastAsia" w:ascii="Times New Roman" w:hAnsi="Times New Roman" w:eastAsia="宋体" w:cs="Times New Roman"/>
                      <w:b/>
                      <w:bCs/>
                      <w:kern w:val="2"/>
                      <w:sz w:val="21"/>
                      <w:szCs w:val="24"/>
                      <w:lang w:val="en-US" w:eastAsia="zh-CN" w:bidi="ar-SA"/>
                    </w:rPr>
                  </w:pPr>
                  <w:r>
                    <w:rPr>
                      <w:rFonts w:hint="eastAsia"/>
                      <w:b/>
                      <w:bCs/>
                      <w:lang w:val="en-US" w:eastAsia="zh-CN"/>
                    </w:rPr>
                    <w:t>产排污环节</w:t>
                  </w:r>
                </w:p>
              </w:tc>
              <w:tc>
                <w:tcPr>
                  <w:tcW w:w="513" w:type="pct"/>
                  <w:tcBorders>
                    <w:tl2br w:val="nil"/>
                    <w:tr2bl w:val="nil"/>
                  </w:tcBorders>
                  <w:vAlign w:val="center"/>
                </w:tcPr>
                <w:p>
                  <w:pPr>
                    <w:pStyle w:val="22"/>
                    <w:bidi w:val="0"/>
                    <w:ind w:firstLine="0" w:firstLineChars="0"/>
                    <w:jc w:val="center"/>
                    <w:rPr>
                      <w:rFonts w:hint="eastAsia" w:ascii="Times New Roman" w:hAnsi="Times New Roman" w:eastAsia="宋体" w:cs="Times New Roman"/>
                      <w:b/>
                      <w:bCs/>
                      <w:kern w:val="2"/>
                      <w:sz w:val="21"/>
                      <w:szCs w:val="24"/>
                      <w:lang w:val="en-US" w:eastAsia="zh-CN" w:bidi="ar-SA"/>
                    </w:rPr>
                  </w:pPr>
                  <w:r>
                    <w:rPr>
                      <w:rFonts w:hint="eastAsia"/>
                      <w:b/>
                      <w:bCs/>
                      <w:lang w:val="en-US" w:eastAsia="zh-CN"/>
                    </w:rPr>
                    <w:t>污染物种类</w:t>
                  </w:r>
                </w:p>
              </w:tc>
              <w:tc>
                <w:tcPr>
                  <w:tcW w:w="447" w:type="pct"/>
                  <w:tcBorders>
                    <w:tl2br w:val="nil"/>
                    <w:tr2bl w:val="nil"/>
                  </w:tcBorders>
                  <w:vAlign w:val="center"/>
                </w:tcPr>
                <w:p>
                  <w:pPr>
                    <w:pStyle w:val="22"/>
                    <w:bidi w:val="0"/>
                    <w:ind w:firstLine="0" w:firstLineChars="0"/>
                    <w:jc w:val="center"/>
                    <w:rPr>
                      <w:rFonts w:hint="eastAsia" w:ascii="Times New Roman" w:hAnsi="Times New Roman" w:eastAsia="宋体" w:cs="Times New Roman"/>
                      <w:b/>
                      <w:bCs/>
                      <w:kern w:val="2"/>
                      <w:sz w:val="21"/>
                      <w:szCs w:val="24"/>
                      <w:lang w:val="en-US" w:eastAsia="zh-CN" w:bidi="ar-SA"/>
                    </w:rPr>
                  </w:pPr>
                  <w:r>
                    <w:rPr>
                      <w:rFonts w:hint="eastAsia"/>
                      <w:b/>
                      <w:bCs/>
                      <w:lang w:val="en-US" w:eastAsia="zh-CN"/>
                    </w:rPr>
                    <w:t>排放形式</w:t>
                  </w:r>
                </w:p>
              </w:tc>
              <w:tc>
                <w:tcPr>
                  <w:tcW w:w="1070" w:type="pct"/>
                  <w:tcBorders>
                    <w:tl2br w:val="nil"/>
                    <w:tr2bl w:val="nil"/>
                  </w:tcBorders>
                  <w:vAlign w:val="center"/>
                </w:tcPr>
                <w:p>
                  <w:pPr>
                    <w:pStyle w:val="22"/>
                    <w:bidi w:val="0"/>
                    <w:ind w:firstLine="0" w:firstLineChars="0"/>
                    <w:jc w:val="center"/>
                    <w:rPr>
                      <w:rFonts w:hint="eastAsia" w:ascii="Times New Roman" w:hAnsi="Times New Roman" w:eastAsia="宋体" w:cs="Times New Roman"/>
                      <w:b/>
                      <w:bCs/>
                      <w:kern w:val="2"/>
                      <w:sz w:val="21"/>
                      <w:szCs w:val="24"/>
                      <w:lang w:val="en-US" w:eastAsia="zh-CN" w:bidi="ar-SA"/>
                    </w:rPr>
                  </w:pPr>
                  <w:r>
                    <w:rPr>
                      <w:rFonts w:hint="eastAsia"/>
                      <w:b/>
                      <w:bCs/>
                      <w:lang w:val="en-US" w:eastAsia="zh-CN"/>
                    </w:rPr>
                    <w:t>污染治理措施</w:t>
                  </w:r>
                </w:p>
              </w:tc>
              <w:tc>
                <w:tcPr>
                  <w:tcW w:w="632" w:type="pct"/>
                  <w:vMerge w:val="continue"/>
                  <w:tcBorders>
                    <w:tl2br w:val="nil"/>
                    <w:tr2bl w:val="nil"/>
                  </w:tcBorders>
                  <w:vAlign w:val="center"/>
                </w:tcPr>
                <w:p>
                  <w:pPr>
                    <w:pStyle w:val="22"/>
                    <w:bidi w:val="0"/>
                    <w:jc w:val="center"/>
                    <w:rPr>
                      <w:rFonts w:hint="eastAsia"/>
                      <w:lang w:val="en-US" w:eastAsia="zh-CN"/>
                    </w:rPr>
                  </w:pPr>
                </w:p>
              </w:tc>
              <w:tc>
                <w:tcPr>
                  <w:tcW w:w="394" w:type="pct"/>
                  <w:vMerge w:val="continue"/>
                  <w:tcBorders>
                    <w:tl2br w:val="nil"/>
                    <w:tr2bl w:val="nil"/>
                  </w:tcBorders>
                  <w:vAlign w:val="center"/>
                </w:tcPr>
                <w:p>
                  <w:pPr>
                    <w:pStyle w:val="22"/>
                    <w:bidi w:val="0"/>
                    <w:jc w:val="center"/>
                    <w:rPr>
                      <w:rFonts w:hint="eastAsia"/>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1" w:type="pct"/>
                  <w:tcBorders>
                    <w:tl2br w:val="nil"/>
                    <w:tr2bl w:val="nil"/>
                  </w:tcBorders>
                  <w:vAlign w:val="center"/>
                </w:tcPr>
                <w:p>
                  <w:pPr>
                    <w:pStyle w:val="22"/>
                    <w:bidi w:val="0"/>
                    <w:jc w:val="center"/>
                    <w:rPr>
                      <w:rFonts w:hint="eastAsia" w:eastAsia="宋体"/>
                      <w:lang w:val="en-US" w:eastAsia="zh-CN"/>
                    </w:rPr>
                  </w:pPr>
                  <w:r>
                    <w:rPr>
                      <w:rFonts w:hint="eastAsia"/>
                      <w:lang w:val="en-US" w:eastAsia="zh-CN"/>
                    </w:rPr>
                    <w:t>焊接</w:t>
                  </w:r>
                </w:p>
              </w:tc>
              <w:tc>
                <w:tcPr>
                  <w:tcW w:w="480" w:type="pct"/>
                  <w:tcBorders>
                    <w:tl2br w:val="nil"/>
                    <w:tr2bl w:val="nil"/>
                  </w:tcBorders>
                  <w:vAlign w:val="center"/>
                </w:tcPr>
                <w:p>
                  <w:pPr>
                    <w:pStyle w:val="22"/>
                    <w:bidi w:val="0"/>
                    <w:jc w:val="center"/>
                    <w:rPr>
                      <w:rFonts w:hint="eastAsia" w:eastAsia="宋体"/>
                      <w:lang w:val="en-US" w:eastAsia="zh-CN"/>
                    </w:rPr>
                  </w:pPr>
                  <w:r>
                    <w:rPr>
                      <w:rFonts w:hint="eastAsia"/>
                      <w:lang w:val="en-US" w:eastAsia="zh-CN"/>
                    </w:rPr>
                    <w:t>弧焊</w:t>
                  </w:r>
                </w:p>
              </w:tc>
              <w:tc>
                <w:tcPr>
                  <w:tcW w:w="1040" w:type="pct"/>
                  <w:tcBorders>
                    <w:tl2br w:val="nil"/>
                    <w:tr2bl w:val="nil"/>
                  </w:tcBorders>
                  <w:vAlign w:val="center"/>
                </w:tcPr>
                <w:p>
                  <w:pPr>
                    <w:pStyle w:val="22"/>
                    <w:bidi w:val="0"/>
                    <w:jc w:val="center"/>
                    <w:rPr>
                      <w:rFonts w:hint="eastAsia" w:eastAsia="宋体"/>
                      <w:lang w:val="en-US" w:eastAsia="zh-CN"/>
                    </w:rPr>
                  </w:pPr>
                  <w:r>
                    <w:rPr>
                      <w:rFonts w:hint="eastAsia"/>
                      <w:lang w:val="en-US" w:eastAsia="zh-CN"/>
                    </w:rPr>
                    <w:t>各种弧焊设备</w:t>
                  </w:r>
                </w:p>
              </w:tc>
              <w:tc>
                <w:tcPr>
                  <w:tcW w:w="513" w:type="pct"/>
                  <w:tcBorders>
                    <w:tl2br w:val="nil"/>
                    <w:tr2bl w:val="nil"/>
                  </w:tcBorders>
                  <w:vAlign w:val="center"/>
                </w:tcPr>
                <w:p>
                  <w:pPr>
                    <w:pStyle w:val="22"/>
                    <w:bidi w:val="0"/>
                    <w:jc w:val="center"/>
                    <w:rPr>
                      <w:rFonts w:hint="eastAsia" w:eastAsia="宋体"/>
                      <w:lang w:val="en-US" w:eastAsia="zh-CN"/>
                    </w:rPr>
                  </w:pPr>
                  <w:r>
                    <w:rPr>
                      <w:rFonts w:hint="eastAsia"/>
                      <w:lang w:val="en-US" w:eastAsia="zh-CN"/>
                    </w:rPr>
                    <w:t>颗粒物</w:t>
                  </w:r>
                </w:p>
              </w:tc>
              <w:tc>
                <w:tcPr>
                  <w:tcW w:w="447" w:type="pct"/>
                  <w:vMerge w:val="restart"/>
                  <w:tcBorders>
                    <w:tl2br w:val="nil"/>
                    <w:tr2bl w:val="nil"/>
                  </w:tcBorders>
                  <w:vAlign w:val="center"/>
                </w:tcPr>
                <w:p>
                  <w:pPr>
                    <w:pStyle w:val="22"/>
                    <w:bidi w:val="0"/>
                    <w:jc w:val="center"/>
                    <w:rPr>
                      <w:rFonts w:hint="eastAsia"/>
                    </w:rPr>
                  </w:pPr>
                  <w:r>
                    <w:rPr>
                      <w:rFonts w:hint="eastAsia"/>
                    </w:rPr>
                    <w:t>有组织/无组织</w:t>
                  </w:r>
                </w:p>
              </w:tc>
              <w:tc>
                <w:tcPr>
                  <w:tcW w:w="1070" w:type="pct"/>
                  <w:tcBorders>
                    <w:tl2br w:val="nil"/>
                    <w:tr2bl w:val="nil"/>
                  </w:tcBorders>
                  <w:vAlign w:val="center"/>
                </w:tcPr>
                <w:p>
                  <w:pPr>
                    <w:pStyle w:val="22"/>
                    <w:bidi w:val="0"/>
                    <w:jc w:val="center"/>
                    <w:rPr>
                      <w:rFonts w:hint="eastAsia"/>
                    </w:rPr>
                  </w:pPr>
                  <w:r>
                    <w:rPr>
                      <w:rFonts w:hint="eastAsia"/>
                    </w:rPr>
                    <w:t>袋式过滤除尘、静电净化除尘</w:t>
                  </w:r>
                </w:p>
              </w:tc>
              <w:tc>
                <w:tcPr>
                  <w:tcW w:w="632" w:type="pct"/>
                  <w:tcBorders>
                    <w:tl2br w:val="nil"/>
                    <w:tr2bl w:val="nil"/>
                  </w:tcBorders>
                  <w:vAlign w:val="center"/>
                </w:tcPr>
                <w:p>
                  <w:pPr>
                    <w:pStyle w:val="22"/>
                    <w:bidi w:val="0"/>
                    <w:jc w:val="center"/>
                    <w:rPr>
                      <w:rFonts w:hint="eastAsia"/>
                    </w:rPr>
                  </w:pPr>
                  <w:r>
                    <w:rPr>
                      <w:rFonts w:hint="eastAsia"/>
                    </w:rPr>
                    <w:t>移动焊烟净化器</w:t>
                  </w:r>
                </w:p>
              </w:tc>
              <w:tc>
                <w:tcPr>
                  <w:tcW w:w="394" w:type="pct"/>
                  <w:tcBorders>
                    <w:tl2br w:val="nil"/>
                    <w:tr2bl w:val="nil"/>
                  </w:tcBorders>
                  <w:vAlign w:val="center"/>
                </w:tcPr>
                <w:p>
                  <w:pPr>
                    <w:pStyle w:val="22"/>
                    <w:bidi w:val="0"/>
                    <w:jc w:val="center"/>
                    <w:rPr>
                      <w:rFonts w:hint="eastAsia" w:eastAsia="宋体"/>
                      <w:lang w:val="en-US" w:eastAsia="zh-CN"/>
                    </w:rPr>
                  </w:pPr>
                  <w:r>
                    <w:rPr>
                      <w:rFonts w:hint="eastAsia"/>
                      <w:lang w:val="en-US" w:eastAsia="zh-CN"/>
                    </w:rPr>
                    <w:t>可行</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1" w:type="pct"/>
                  <w:tcBorders>
                    <w:tl2br w:val="nil"/>
                    <w:tr2bl w:val="nil"/>
                  </w:tcBorders>
                  <w:vAlign w:val="center"/>
                </w:tcPr>
                <w:p>
                  <w:pPr>
                    <w:pStyle w:val="22"/>
                    <w:bidi w:val="0"/>
                    <w:jc w:val="center"/>
                    <w:rPr>
                      <w:rFonts w:hint="eastAsia" w:eastAsia="宋体"/>
                      <w:lang w:val="en-US" w:eastAsia="zh-CN"/>
                    </w:rPr>
                  </w:pPr>
                  <w:r>
                    <w:rPr>
                      <w:rFonts w:hint="eastAsia"/>
                      <w:lang w:val="en-US" w:eastAsia="zh-CN"/>
                    </w:rPr>
                    <w:t>预处理</w:t>
                  </w:r>
                </w:p>
              </w:tc>
              <w:tc>
                <w:tcPr>
                  <w:tcW w:w="480" w:type="pct"/>
                  <w:tcBorders>
                    <w:tl2br w:val="nil"/>
                    <w:tr2bl w:val="nil"/>
                  </w:tcBorders>
                  <w:vAlign w:val="center"/>
                </w:tcPr>
                <w:p>
                  <w:pPr>
                    <w:pStyle w:val="22"/>
                    <w:bidi w:val="0"/>
                    <w:jc w:val="center"/>
                    <w:rPr>
                      <w:rFonts w:hint="default" w:eastAsia="宋体"/>
                      <w:lang w:val="en-US" w:eastAsia="zh-CN"/>
                    </w:rPr>
                  </w:pPr>
                  <w:r>
                    <w:rPr>
                      <w:rFonts w:hint="eastAsia"/>
                      <w:lang w:val="en-US" w:eastAsia="zh-CN"/>
                    </w:rPr>
                    <w:t>机械预处理</w:t>
                  </w:r>
                </w:p>
              </w:tc>
              <w:tc>
                <w:tcPr>
                  <w:tcW w:w="1040" w:type="pct"/>
                  <w:tcBorders>
                    <w:tl2br w:val="nil"/>
                    <w:tr2bl w:val="nil"/>
                  </w:tcBorders>
                  <w:vAlign w:val="center"/>
                </w:tcPr>
                <w:p>
                  <w:pPr>
                    <w:pStyle w:val="22"/>
                    <w:bidi w:val="0"/>
                    <w:jc w:val="center"/>
                    <w:rPr>
                      <w:rFonts w:hint="eastAsia"/>
                    </w:rPr>
                  </w:pPr>
                  <w:r>
                    <w:rPr>
                      <w:rFonts w:hint="eastAsia"/>
                    </w:rPr>
                    <w:t>机械抛丸、</w:t>
                  </w:r>
                  <w:r>
                    <w:rPr>
                      <w:rFonts w:hint="eastAsia"/>
                      <w:b/>
                      <w:bCs/>
                    </w:rPr>
                    <w:t>打磨</w:t>
                  </w:r>
                  <w:r>
                    <w:rPr>
                      <w:rFonts w:hint="eastAsia"/>
                    </w:rPr>
                    <w:t>、喷砂、清理设备</w:t>
                  </w:r>
                </w:p>
              </w:tc>
              <w:tc>
                <w:tcPr>
                  <w:tcW w:w="513" w:type="pct"/>
                  <w:tcBorders>
                    <w:tl2br w:val="nil"/>
                    <w:tr2bl w:val="nil"/>
                  </w:tcBorders>
                  <w:vAlign w:val="center"/>
                </w:tcPr>
                <w:p>
                  <w:pPr>
                    <w:pStyle w:val="22"/>
                    <w:bidi w:val="0"/>
                    <w:jc w:val="center"/>
                    <w:rPr>
                      <w:rFonts w:hint="eastAsia"/>
                    </w:rPr>
                  </w:pPr>
                  <w:r>
                    <w:rPr>
                      <w:rFonts w:hint="eastAsia"/>
                      <w:lang w:val="en-US" w:eastAsia="zh-CN"/>
                    </w:rPr>
                    <w:t>颗粒物</w:t>
                  </w:r>
                </w:p>
              </w:tc>
              <w:tc>
                <w:tcPr>
                  <w:tcW w:w="447" w:type="pct"/>
                  <w:vMerge w:val="continue"/>
                  <w:tcBorders>
                    <w:tl2br w:val="nil"/>
                    <w:tr2bl w:val="nil"/>
                  </w:tcBorders>
                  <w:vAlign w:val="center"/>
                </w:tcPr>
                <w:p>
                  <w:pPr>
                    <w:pStyle w:val="22"/>
                    <w:bidi w:val="0"/>
                    <w:jc w:val="center"/>
                    <w:rPr>
                      <w:rFonts w:hint="eastAsia"/>
                    </w:rPr>
                  </w:pPr>
                </w:p>
              </w:tc>
              <w:tc>
                <w:tcPr>
                  <w:tcW w:w="1070" w:type="pct"/>
                  <w:tcBorders>
                    <w:tl2br w:val="nil"/>
                    <w:tr2bl w:val="nil"/>
                  </w:tcBorders>
                  <w:vAlign w:val="center"/>
                </w:tcPr>
                <w:p>
                  <w:pPr>
                    <w:pStyle w:val="22"/>
                    <w:bidi w:val="0"/>
                    <w:jc w:val="center"/>
                    <w:rPr>
                      <w:rFonts w:hint="eastAsia"/>
                    </w:rPr>
                  </w:pPr>
                  <w:r>
                    <w:rPr>
                      <w:rFonts w:hint="eastAsia"/>
                    </w:rPr>
                    <w:t>袋式过滤除尘、湿式除尘</w:t>
                  </w:r>
                </w:p>
              </w:tc>
              <w:tc>
                <w:tcPr>
                  <w:tcW w:w="632" w:type="pct"/>
                  <w:tcBorders>
                    <w:tl2br w:val="nil"/>
                    <w:tr2bl w:val="nil"/>
                  </w:tcBorders>
                  <w:vAlign w:val="center"/>
                </w:tcPr>
                <w:p>
                  <w:pPr>
                    <w:pStyle w:val="22"/>
                    <w:bidi w:val="0"/>
                    <w:jc w:val="center"/>
                    <w:rPr>
                      <w:rFonts w:hint="eastAsia"/>
                    </w:rPr>
                  </w:pPr>
                  <w:r>
                    <w:rPr>
                      <w:rFonts w:hint="eastAsia"/>
                    </w:rPr>
                    <w:t>设备自带袋式除尘设备</w:t>
                  </w:r>
                </w:p>
              </w:tc>
              <w:tc>
                <w:tcPr>
                  <w:tcW w:w="394" w:type="pct"/>
                  <w:tcBorders>
                    <w:tl2br w:val="nil"/>
                    <w:tr2bl w:val="nil"/>
                  </w:tcBorders>
                  <w:vAlign w:val="center"/>
                </w:tcPr>
                <w:p>
                  <w:pPr>
                    <w:pStyle w:val="22"/>
                    <w:bidi w:val="0"/>
                    <w:jc w:val="center"/>
                    <w:rPr>
                      <w:rFonts w:hint="eastAsia"/>
                    </w:rPr>
                  </w:pPr>
                  <w:r>
                    <w:rPr>
                      <w:rFonts w:hint="eastAsia"/>
                      <w:lang w:val="en-US" w:eastAsia="zh-CN"/>
                    </w:rPr>
                    <w:t>可行</w:t>
                  </w:r>
                </w:p>
              </w:tc>
            </w:tr>
          </w:tbl>
          <w:p>
            <w:pPr>
              <w:bidi w:val="0"/>
            </w:pPr>
          </w:p>
          <w:p/>
        </w:tc>
      </w:tr>
    </w:tbl>
    <w:p>
      <w:pPr>
        <w:pStyle w:val="2"/>
        <w:numPr>
          <w:ilvl w:val="3"/>
          <w:numId w:val="0"/>
        </w:numPr>
        <w:sectPr>
          <w:pgSz w:w="16838" w:h="11906" w:orient="landscape"/>
          <w:pgMar w:top="1531" w:right="1440" w:bottom="1531" w:left="1440" w:header="851" w:footer="992" w:gutter="0"/>
          <w:pgBorders>
            <w:top w:val="none" w:sz="0" w:space="0"/>
            <w:left w:val="none" w:sz="0" w:space="0"/>
            <w:bottom w:val="none" w:sz="0" w:space="0"/>
            <w:right w:val="none" w:sz="0" w:space="0"/>
          </w:pgBorders>
          <w:cols w:space="0" w:num="1"/>
          <w:rtlGutter w:val="0"/>
          <w:docGrid w:linePitch="312" w:charSpace="0"/>
        </w:sectPr>
      </w:pPr>
    </w:p>
    <w:tbl>
      <w:tblPr>
        <w:tblStyle w:val="15"/>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87"/>
        <w:gridCol w:w="857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41" w:hRule="atLeast"/>
          <w:jc w:val="center"/>
        </w:trPr>
        <w:tc>
          <w:tcPr>
            <w:tcW w:w="487" w:type="dxa"/>
            <w:tcBorders>
              <w:tl2br w:val="nil"/>
              <w:tr2bl w:val="nil"/>
            </w:tcBorders>
            <w:shd w:val="clear" w:color="auto" w:fill="auto"/>
            <w:vAlign w:val="center"/>
          </w:tcPr>
          <w:p>
            <w:pPr>
              <w:ind w:firstLine="0" w:firstLineChars="0"/>
              <w:jc w:val="center"/>
              <w:rPr>
                <w:rFonts w:cs="宋体"/>
              </w:rPr>
            </w:pPr>
          </w:p>
        </w:tc>
        <w:tc>
          <w:tcPr>
            <w:tcW w:w="8573" w:type="dxa"/>
            <w:tcBorders>
              <w:tl2br w:val="nil"/>
              <w:tr2bl w:val="nil"/>
            </w:tcBorders>
            <w:shd w:val="clear" w:color="auto" w:fill="auto"/>
          </w:tcPr>
          <w:p>
            <w:pPr>
              <w:numPr>
                <w:ilvl w:val="0"/>
                <w:numId w:val="9"/>
              </w:numPr>
              <w:bidi w:val="0"/>
              <w:ind w:left="0" w:leftChars="0" w:firstLine="480" w:firstLineChars="200"/>
              <w:rPr>
                <w:rFonts w:hint="eastAsia"/>
              </w:rPr>
            </w:pPr>
            <w:r>
              <w:rPr>
                <w:rFonts w:hint="eastAsia"/>
              </w:rPr>
              <w:t>废气污染源监测要求</w:t>
            </w:r>
          </w:p>
          <w:p>
            <w:pPr>
              <w:bidi w:val="0"/>
              <w:rPr>
                <w:rFonts w:hint="eastAsia"/>
              </w:rPr>
            </w:pPr>
            <w:r>
              <w:rPr>
                <w:rFonts w:hint="eastAsia"/>
              </w:rPr>
              <w:t>根据《排污单位自行监测技术指南 总则》（HJ819-2017）以及参考《排污许可证申请与核发技术规范 汽车制造业》（HJ 971—2018）中的相关要求进行制定环境监测计划，本项目废气监测内容如下表。</w:t>
            </w:r>
          </w:p>
          <w:p>
            <w:pPr>
              <w:pStyle w:val="23"/>
              <w:bidi w:val="0"/>
            </w:pPr>
            <w:r>
              <w:t>表4-</w:t>
            </w:r>
            <w:r>
              <w:rPr>
                <w:rFonts w:hint="eastAsia"/>
                <w:lang w:val="en-US" w:eastAsia="zh-CN"/>
              </w:rPr>
              <w:t>5</w:t>
            </w:r>
            <w:r>
              <w:t xml:space="preserve">  项目运营期废气监控计划一览表</w:t>
            </w:r>
          </w:p>
          <w:tbl>
            <w:tblPr>
              <w:tblStyle w:val="1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82"/>
              <w:gridCol w:w="1282"/>
              <w:gridCol w:w="1090"/>
              <w:gridCol w:w="1077"/>
              <w:gridCol w:w="1568"/>
              <w:gridCol w:w="265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08" w:type="pct"/>
                  <w:tcBorders>
                    <w:tl2br w:val="nil"/>
                    <w:tr2bl w:val="nil"/>
                  </w:tcBorders>
                  <w:shd w:val="clear" w:color="auto" w:fill="auto"/>
                  <w:vAlign w:val="center"/>
                </w:tcPr>
                <w:p>
                  <w:pPr>
                    <w:pStyle w:val="22"/>
                    <w:bidi w:val="0"/>
                  </w:pPr>
                  <w:r>
                    <w:t>类别</w:t>
                  </w:r>
                </w:p>
              </w:tc>
              <w:tc>
                <w:tcPr>
                  <w:tcW w:w="767" w:type="pct"/>
                  <w:tcBorders>
                    <w:tl2br w:val="nil"/>
                    <w:tr2bl w:val="nil"/>
                  </w:tcBorders>
                  <w:vAlign w:val="center"/>
                </w:tcPr>
                <w:p>
                  <w:pPr>
                    <w:pStyle w:val="22"/>
                    <w:bidi w:val="0"/>
                  </w:pPr>
                  <w:r>
                    <w:t>排放口类型</w:t>
                  </w:r>
                </w:p>
              </w:tc>
              <w:tc>
                <w:tcPr>
                  <w:tcW w:w="652" w:type="pct"/>
                  <w:tcBorders>
                    <w:tl2br w:val="nil"/>
                    <w:tr2bl w:val="nil"/>
                  </w:tcBorders>
                  <w:shd w:val="clear" w:color="auto" w:fill="auto"/>
                  <w:vAlign w:val="center"/>
                </w:tcPr>
                <w:p>
                  <w:pPr>
                    <w:pStyle w:val="22"/>
                    <w:bidi w:val="0"/>
                  </w:pPr>
                  <w:r>
                    <w:t>监测点位</w:t>
                  </w:r>
                </w:p>
              </w:tc>
              <w:tc>
                <w:tcPr>
                  <w:tcW w:w="644" w:type="pct"/>
                  <w:tcBorders>
                    <w:tl2br w:val="nil"/>
                    <w:tr2bl w:val="nil"/>
                  </w:tcBorders>
                  <w:shd w:val="clear" w:color="auto" w:fill="auto"/>
                  <w:vAlign w:val="center"/>
                </w:tcPr>
                <w:p>
                  <w:pPr>
                    <w:pStyle w:val="22"/>
                    <w:bidi w:val="0"/>
                  </w:pPr>
                  <w:r>
                    <w:t>监测项目</w:t>
                  </w:r>
                </w:p>
              </w:tc>
              <w:tc>
                <w:tcPr>
                  <w:tcW w:w="938" w:type="pct"/>
                  <w:tcBorders>
                    <w:tl2br w:val="nil"/>
                    <w:tr2bl w:val="nil"/>
                  </w:tcBorders>
                  <w:shd w:val="clear" w:color="auto" w:fill="auto"/>
                  <w:vAlign w:val="center"/>
                </w:tcPr>
                <w:p>
                  <w:pPr>
                    <w:pStyle w:val="22"/>
                    <w:bidi w:val="0"/>
                  </w:pPr>
                  <w:r>
                    <w:t>最低监测频次</w:t>
                  </w:r>
                </w:p>
              </w:tc>
              <w:tc>
                <w:tcPr>
                  <w:tcW w:w="1589" w:type="pct"/>
                  <w:tcBorders>
                    <w:tl2br w:val="nil"/>
                    <w:tr2bl w:val="nil"/>
                  </w:tcBorders>
                  <w:vAlign w:val="center"/>
                </w:tcPr>
                <w:p>
                  <w:pPr>
                    <w:pStyle w:val="22"/>
                    <w:bidi w:val="0"/>
                  </w:pPr>
                  <w:r>
                    <w:t>执行标准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08" w:type="pct"/>
                  <w:tcBorders>
                    <w:tl2br w:val="nil"/>
                    <w:tr2bl w:val="nil"/>
                  </w:tcBorders>
                  <w:shd w:val="clear" w:color="auto" w:fill="auto"/>
                  <w:vAlign w:val="center"/>
                </w:tcPr>
                <w:p>
                  <w:pPr>
                    <w:pStyle w:val="22"/>
                    <w:bidi w:val="0"/>
                  </w:pPr>
                  <w:r>
                    <w:t>废气</w:t>
                  </w:r>
                </w:p>
              </w:tc>
              <w:tc>
                <w:tcPr>
                  <w:tcW w:w="767" w:type="pct"/>
                  <w:tcBorders>
                    <w:tl2br w:val="nil"/>
                    <w:tr2bl w:val="nil"/>
                  </w:tcBorders>
                  <w:vAlign w:val="center"/>
                </w:tcPr>
                <w:p>
                  <w:pPr>
                    <w:pStyle w:val="22"/>
                    <w:bidi w:val="0"/>
                  </w:pPr>
                  <w:r>
                    <w:t>无组织废气</w:t>
                  </w:r>
                </w:p>
              </w:tc>
              <w:tc>
                <w:tcPr>
                  <w:tcW w:w="652" w:type="pct"/>
                  <w:tcBorders>
                    <w:tl2br w:val="nil"/>
                    <w:tr2bl w:val="nil"/>
                  </w:tcBorders>
                  <w:shd w:val="clear" w:color="auto" w:fill="auto"/>
                  <w:vAlign w:val="center"/>
                </w:tcPr>
                <w:p>
                  <w:pPr>
                    <w:pStyle w:val="22"/>
                    <w:bidi w:val="0"/>
                  </w:pPr>
                  <w:r>
                    <w:t>厂界无组织监控点</w:t>
                  </w:r>
                </w:p>
              </w:tc>
              <w:tc>
                <w:tcPr>
                  <w:tcW w:w="644" w:type="pct"/>
                  <w:tcBorders>
                    <w:tl2br w:val="nil"/>
                    <w:tr2bl w:val="nil"/>
                  </w:tcBorders>
                  <w:shd w:val="clear" w:color="auto" w:fill="auto"/>
                  <w:vAlign w:val="center"/>
                </w:tcPr>
                <w:p>
                  <w:pPr>
                    <w:pStyle w:val="22"/>
                    <w:bidi w:val="0"/>
                  </w:pPr>
                  <w:r>
                    <w:t>颗粒物</w:t>
                  </w:r>
                </w:p>
              </w:tc>
              <w:tc>
                <w:tcPr>
                  <w:tcW w:w="938" w:type="pct"/>
                  <w:tcBorders>
                    <w:tl2br w:val="nil"/>
                    <w:tr2bl w:val="nil"/>
                  </w:tcBorders>
                  <w:shd w:val="clear" w:color="auto" w:fill="auto"/>
                  <w:vAlign w:val="center"/>
                </w:tcPr>
                <w:p>
                  <w:pPr>
                    <w:pStyle w:val="22"/>
                    <w:bidi w:val="0"/>
                  </w:pPr>
                  <w:r>
                    <w:t>每年一次</w:t>
                  </w:r>
                </w:p>
              </w:tc>
              <w:tc>
                <w:tcPr>
                  <w:tcW w:w="1589" w:type="pct"/>
                  <w:tcBorders>
                    <w:tl2br w:val="nil"/>
                    <w:tr2bl w:val="nil"/>
                  </w:tcBorders>
                  <w:vAlign w:val="center"/>
                </w:tcPr>
                <w:p>
                  <w:pPr>
                    <w:pStyle w:val="22"/>
                    <w:bidi w:val="0"/>
                  </w:pPr>
                  <w:r>
                    <w:t>《大气污染物综合排放标准》（DB31/933-2015）</w:t>
                  </w:r>
                </w:p>
              </w:tc>
            </w:tr>
          </w:tbl>
          <w:p>
            <w:pPr>
              <w:numPr>
                <w:ilvl w:val="0"/>
                <w:numId w:val="9"/>
              </w:numPr>
              <w:bidi w:val="0"/>
              <w:ind w:left="0" w:leftChars="0" w:firstLine="480" w:firstLineChars="200"/>
              <w:rPr>
                <w:rFonts w:hint="eastAsia"/>
              </w:rPr>
            </w:pPr>
            <w:r>
              <w:rPr>
                <w:rFonts w:hint="eastAsia"/>
              </w:rPr>
              <w:t>废气排放的影响分析</w:t>
            </w:r>
          </w:p>
          <w:p>
            <w:pPr>
              <w:bidi w:val="0"/>
              <w:rPr>
                <w:rFonts w:hint="eastAsia"/>
              </w:rPr>
            </w:pPr>
            <w:r>
              <w:rPr>
                <w:rFonts w:hint="eastAsia"/>
              </w:rPr>
              <w:t>根据上述分析，项目所在区域属于环境空气质量达标区；项目各类废气均采取有效收集措施，污染物无组织排放量大幅降低；收集后的废气均采取相应治理措施，废气治理措施符合《排污许可证申请与核发技术规范 汽车制造业》（HJ 971—2018）相关技术规范及相关政策要求，且治理后废气均能达标排放，废气处理后最终排放量较小，预计达标排放的废气对周围环境空气影响较小。</w:t>
            </w:r>
          </w:p>
          <w:p>
            <w:pPr>
              <w:bidi w:val="0"/>
              <w:rPr>
                <w:rFonts w:hint="eastAsia"/>
              </w:rPr>
            </w:pPr>
            <w:r>
              <w:rPr>
                <w:rFonts w:hint="eastAsia"/>
              </w:rPr>
              <w:t>综上，本评价初步判定本项目废气排放量较小且都能达标排放，本项目大气环境影响可接受。</w:t>
            </w:r>
          </w:p>
          <w:p>
            <w:pPr>
              <w:spacing w:before="156"/>
              <w:ind w:firstLine="482"/>
              <w:rPr>
                <w:rFonts w:hint="eastAsia"/>
              </w:rPr>
            </w:pPr>
          </w:p>
          <w:p>
            <w:pPr>
              <w:spacing w:before="156"/>
              <w:ind w:firstLine="482"/>
              <w:rPr>
                <w:rFonts w:hint="eastAsia"/>
              </w:rPr>
            </w:pPr>
          </w:p>
          <w:p>
            <w:pPr>
              <w:spacing w:before="156"/>
              <w:ind w:firstLine="482"/>
              <w:rPr>
                <w:rFonts w:hint="eastAsia"/>
              </w:rPr>
            </w:pPr>
          </w:p>
          <w:p>
            <w:pPr>
              <w:spacing w:before="156"/>
              <w:ind w:firstLine="482"/>
              <w:rPr>
                <w:rFonts w:hint="eastAsia"/>
              </w:rPr>
            </w:pPr>
          </w:p>
          <w:p>
            <w:pPr>
              <w:spacing w:before="156"/>
              <w:ind w:firstLine="482"/>
              <w:rPr>
                <w:rFonts w:hint="eastAsia"/>
              </w:rPr>
            </w:pPr>
          </w:p>
          <w:p>
            <w:pPr>
              <w:spacing w:before="156"/>
              <w:ind w:firstLine="482"/>
              <w:rPr>
                <w:rFonts w:hint="eastAsia"/>
              </w:rPr>
            </w:pPr>
          </w:p>
          <w:p>
            <w:pPr>
              <w:spacing w:before="156"/>
              <w:ind w:firstLine="482"/>
              <w:rPr>
                <w:rFonts w:hint="eastAsia"/>
              </w:rPr>
            </w:pPr>
          </w:p>
          <w:p>
            <w:pPr>
              <w:spacing w:before="156"/>
              <w:ind w:firstLine="482"/>
              <w:rPr>
                <w:rFonts w:hint="eastAsia"/>
              </w:rPr>
            </w:pPr>
          </w:p>
          <w:p>
            <w:pPr>
              <w:spacing w:before="156"/>
              <w:ind w:firstLine="482"/>
              <w:rPr>
                <w:rFonts w:hint="eastAsia"/>
              </w:rPr>
            </w:pPr>
          </w:p>
          <w:p>
            <w:pPr>
              <w:spacing w:before="156"/>
              <w:ind w:firstLine="482"/>
              <w:rPr>
                <w:rFonts w:hint="eastAsia"/>
              </w:rPr>
            </w:pPr>
          </w:p>
          <w:p>
            <w:pPr>
              <w:spacing w:before="156"/>
              <w:ind w:firstLine="482"/>
              <w:rPr>
                <w:rFonts w:hint="eastAsia"/>
              </w:rPr>
            </w:pPr>
          </w:p>
          <w:p>
            <w:pPr>
              <w:spacing w:before="156"/>
              <w:ind w:firstLine="482"/>
              <w:rPr>
                <w:b/>
                <w:bCs/>
              </w:rPr>
            </w:pPr>
            <w:r>
              <w:rPr>
                <w:rFonts w:hint="eastAsia"/>
                <w:b/>
                <w:bCs/>
              </w:rPr>
              <w:t>二、废水环境影响和保护措施</w:t>
            </w:r>
          </w:p>
          <w:p>
            <w:pPr>
              <w:spacing w:before="156"/>
              <w:ind w:firstLine="482"/>
              <w:rPr>
                <w:b/>
                <w:bCs/>
              </w:rPr>
            </w:pPr>
            <w:r>
              <w:rPr>
                <w:rFonts w:hint="eastAsia"/>
                <w:b/>
                <w:bCs/>
              </w:rPr>
              <w:t>1、</w:t>
            </w:r>
            <w:r>
              <w:rPr>
                <w:b/>
                <w:bCs/>
              </w:rPr>
              <w:t>废</w:t>
            </w:r>
            <w:r>
              <w:rPr>
                <w:rFonts w:hint="eastAsia"/>
                <w:b/>
                <w:bCs/>
              </w:rPr>
              <w:t>水</w:t>
            </w:r>
            <w:r>
              <w:rPr>
                <w:b/>
                <w:bCs/>
              </w:rPr>
              <w:t>污染源</w:t>
            </w:r>
            <w:r>
              <w:rPr>
                <w:rFonts w:hint="eastAsia"/>
                <w:b/>
                <w:bCs/>
              </w:rPr>
              <w:t>分析</w:t>
            </w:r>
          </w:p>
          <w:p>
            <w:pPr>
              <w:ind w:firstLine="480"/>
            </w:pPr>
            <w:r>
              <w:rPr>
                <w:rFonts w:hint="eastAsia"/>
              </w:rPr>
              <w:t>本项目用水主要为生活用水和切削液配置用水；废水主要为生活污水。</w:t>
            </w:r>
          </w:p>
          <w:p>
            <w:pPr>
              <w:ind w:firstLine="480"/>
              <w:rPr>
                <w:rFonts w:hint="eastAsia"/>
              </w:rPr>
            </w:pPr>
            <w:r>
              <w:rPr>
                <w:rFonts w:hint="eastAsia"/>
              </w:rPr>
              <w:t>（1）切削液配制用水</w:t>
            </w:r>
          </w:p>
          <w:p>
            <w:pPr>
              <w:ind w:firstLine="480"/>
              <w:rPr>
                <w:rFonts w:hint="eastAsia"/>
              </w:rPr>
            </w:pPr>
            <w:r>
              <w:rPr>
                <w:rFonts w:hint="eastAsia"/>
              </w:rPr>
              <w:t>本项目使用的切削液需与水按1：10的比例配制后使用，该工序切削液用量为1.5t，则配置用水量为15t/a。产生的废切削液作为危废暂存至危废仓库定期交由有资质单位处理。</w:t>
            </w:r>
          </w:p>
          <w:p>
            <w:pPr>
              <w:ind w:firstLine="480"/>
              <w:rPr>
                <w:rFonts w:hint="eastAsia"/>
              </w:rPr>
            </w:pPr>
            <w:r>
              <w:rPr>
                <w:rFonts w:hint="eastAsia"/>
              </w:rPr>
              <w:t>（2）生活污水</w:t>
            </w:r>
          </w:p>
          <w:p>
            <w:pPr>
              <w:ind w:firstLine="480"/>
              <w:rPr>
                <w:rFonts w:hint="eastAsia"/>
              </w:rPr>
            </w:pPr>
            <w:r>
              <w:rPr>
                <w:rFonts w:hint="eastAsia"/>
              </w:rPr>
              <w:t>项目劳动定员1</w:t>
            </w:r>
            <w:r>
              <w:rPr>
                <w:rFonts w:hint="eastAsia"/>
                <w:lang w:val="en-US" w:eastAsia="zh-CN"/>
              </w:rPr>
              <w:t>2</w:t>
            </w:r>
            <w:r>
              <w:rPr>
                <w:rFonts w:hint="eastAsia"/>
              </w:rPr>
              <w:t>0人，年工作320天，生活用水以50L/人·d计，因此生活用水量</w:t>
            </w:r>
            <w:r>
              <w:rPr>
                <w:rFonts w:hint="eastAsia"/>
                <w:lang w:val="en-US" w:eastAsia="zh-CN"/>
              </w:rPr>
              <w:t>6</w:t>
            </w:r>
            <w:r>
              <w:rPr>
                <w:rFonts w:hint="eastAsia"/>
              </w:rPr>
              <w:t>t/d、</w:t>
            </w:r>
            <w:r>
              <w:rPr>
                <w:rFonts w:hint="eastAsia"/>
                <w:lang w:val="en-US" w:eastAsia="zh-CN"/>
              </w:rPr>
              <w:t>1920</w:t>
            </w:r>
            <w:r>
              <w:rPr>
                <w:rFonts w:hint="eastAsia"/>
              </w:rPr>
              <w:t>t/a，产污系数按80%计算，生活污水排放量为</w:t>
            </w:r>
            <w:r>
              <w:rPr>
                <w:rFonts w:hint="eastAsia"/>
                <w:lang w:val="en-US" w:eastAsia="zh-CN"/>
              </w:rPr>
              <w:t>4.8</w:t>
            </w:r>
            <w:r>
              <w:rPr>
                <w:rFonts w:hint="eastAsia"/>
              </w:rPr>
              <w:t>t/d，</w:t>
            </w:r>
            <w:r>
              <w:rPr>
                <w:rFonts w:hint="eastAsia"/>
                <w:lang w:val="en-US" w:eastAsia="zh-CN"/>
              </w:rPr>
              <w:t>1530</w:t>
            </w:r>
            <w:r>
              <w:rPr>
                <w:rFonts w:hint="eastAsia"/>
              </w:rPr>
              <w:t>t/a。</w:t>
            </w:r>
          </w:p>
          <w:p>
            <w:pPr>
              <w:bidi w:val="0"/>
            </w:pPr>
            <w:r>
              <w:rPr>
                <w:rFonts w:hint="eastAsia"/>
              </w:rPr>
              <w:t>本项目生活污水产生、处理情况见下表。</w:t>
            </w:r>
          </w:p>
          <w:p>
            <w:pPr>
              <w:pStyle w:val="23"/>
              <w:bidi w:val="0"/>
            </w:pPr>
            <w:r>
              <w:rPr>
                <w:rFonts w:hint="eastAsia"/>
              </w:rPr>
              <w:t>表4-</w:t>
            </w:r>
            <w:r>
              <w:rPr>
                <w:rFonts w:hint="eastAsia"/>
                <w:lang w:val="en-US" w:eastAsia="zh-CN"/>
              </w:rPr>
              <w:t>6</w:t>
            </w:r>
            <w:r>
              <w:rPr>
                <w:rFonts w:hint="eastAsia"/>
              </w:rPr>
              <w:t xml:space="preserve">  项目废水产生及排放情况一览表</w:t>
            </w:r>
          </w:p>
          <w:tbl>
            <w:tblPr>
              <w:tblStyle w:val="1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94"/>
              <w:gridCol w:w="918"/>
              <w:gridCol w:w="1149"/>
              <w:gridCol w:w="1043"/>
              <w:gridCol w:w="1027"/>
              <w:gridCol w:w="1194"/>
              <w:gridCol w:w="998"/>
              <w:gridCol w:w="123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75" w:type="pct"/>
                  <w:vMerge w:val="restart"/>
                  <w:shd w:val="clear" w:color="auto" w:fill="auto"/>
                  <w:vAlign w:val="center"/>
                </w:tcPr>
                <w:p>
                  <w:pPr>
                    <w:pStyle w:val="22"/>
                  </w:pPr>
                  <w:r>
                    <w:t>污染源</w:t>
                  </w:r>
                </w:p>
              </w:tc>
              <w:tc>
                <w:tcPr>
                  <w:tcW w:w="549" w:type="pct"/>
                  <w:vMerge w:val="restart"/>
                  <w:shd w:val="clear" w:color="auto" w:fill="auto"/>
                  <w:vAlign w:val="center"/>
                </w:tcPr>
                <w:p>
                  <w:pPr>
                    <w:pStyle w:val="22"/>
                  </w:pPr>
                  <w:r>
                    <w:t>污染物</w:t>
                  </w:r>
                </w:p>
              </w:tc>
              <w:tc>
                <w:tcPr>
                  <w:tcW w:w="1311" w:type="pct"/>
                  <w:gridSpan w:val="2"/>
                  <w:shd w:val="clear" w:color="auto" w:fill="auto"/>
                  <w:vAlign w:val="center"/>
                </w:tcPr>
                <w:p>
                  <w:pPr>
                    <w:pStyle w:val="22"/>
                  </w:pPr>
                  <w:r>
                    <w:t>产生情况</w:t>
                  </w:r>
                </w:p>
              </w:tc>
              <w:tc>
                <w:tcPr>
                  <w:tcW w:w="614" w:type="pct"/>
                  <w:vMerge w:val="restart"/>
                  <w:shd w:val="clear" w:color="auto" w:fill="auto"/>
                  <w:vAlign w:val="center"/>
                </w:tcPr>
                <w:p>
                  <w:pPr>
                    <w:pStyle w:val="22"/>
                  </w:pPr>
                  <w:r>
                    <w:t>采取的处理方式</w:t>
                  </w:r>
                </w:p>
              </w:tc>
              <w:tc>
                <w:tcPr>
                  <w:tcW w:w="1311" w:type="pct"/>
                  <w:gridSpan w:val="2"/>
                  <w:shd w:val="clear" w:color="auto" w:fill="auto"/>
                  <w:vAlign w:val="center"/>
                </w:tcPr>
                <w:p>
                  <w:pPr>
                    <w:pStyle w:val="22"/>
                  </w:pPr>
                  <w:r>
                    <w:t>排放情况</w:t>
                  </w:r>
                </w:p>
              </w:tc>
              <w:tc>
                <w:tcPr>
                  <w:tcW w:w="738" w:type="pct"/>
                  <w:vMerge w:val="restart"/>
                  <w:vAlign w:val="center"/>
                </w:tcPr>
                <w:p>
                  <w:pPr>
                    <w:pStyle w:val="22"/>
                  </w:pPr>
                  <w:r>
                    <w:t>接管标准（mg/L）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75" w:type="pct"/>
                  <w:vMerge w:val="continue"/>
                  <w:shd w:val="clear" w:color="auto" w:fill="auto"/>
                  <w:vAlign w:val="center"/>
                </w:tcPr>
                <w:p>
                  <w:pPr>
                    <w:pStyle w:val="22"/>
                  </w:pPr>
                </w:p>
              </w:tc>
              <w:tc>
                <w:tcPr>
                  <w:tcW w:w="549" w:type="pct"/>
                  <w:vMerge w:val="continue"/>
                  <w:shd w:val="clear" w:color="auto" w:fill="auto"/>
                  <w:vAlign w:val="center"/>
                </w:tcPr>
                <w:p>
                  <w:pPr>
                    <w:pStyle w:val="22"/>
                  </w:pPr>
                </w:p>
              </w:tc>
              <w:tc>
                <w:tcPr>
                  <w:tcW w:w="687" w:type="pct"/>
                  <w:shd w:val="clear" w:color="auto" w:fill="auto"/>
                  <w:vAlign w:val="center"/>
                </w:tcPr>
                <w:p>
                  <w:pPr>
                    <w:pStyle w:val="22"/>
                  </w:pPr>
                  <w:r>
                    <w:t>浓度（mg/L）</w:t>
                  </w:r>
                </w:p>
              </w:tc>
              <w:tc>
                <w:tcPr>
                  <w:tcW w:w="623" w:type="pct"/>
                  <w:shd w:val="clear" w:color="auto" w:fill="auto"/>
                  <w:vAlign w:val="center"/>
                </w:tcPr>
                <w:p>
                  <w:pPr>
                    <w:pStyle w:val="22"/>
                  </w:pPr>
                  <w:r>
                    <w:t>产生量（t/a）</w:t>
                  </w:r>
                </w:p>
              </w:tc>
              <w:tc>
                <w:tcPr>
                  <w:tcW w:w="614" w:type="pct"/>
                  <w:vMerge w:val="continue"/>
                  <w:shd w:val="clear" w:color="auto" w:fill="auto"/>
                  <w:vAlign w:val="center"/>
                </w:tcPr>
                <w:p>
                  <w:pPr>
                    <w:pStyle w:val="22"/>
                  </w:pPr>
                </w:p>
              </w:tc>
              <w:tc>
                <w:tcPr>
                  <w:tcW w:w="714" w:type="pct"/>
                  <w:shd w:val="clear" w:color="auto" w:fill="auto"/>
                  <w:vAlign w:val="center"/>
                </w:tcPr>
                <w:p>
                  <w:pPr>
                    <w:pStyle w:val="22"/>
                  </w:pPr>
                  <w:r>
                    <w:t>浓度（mg/L）</w:t>
                  </w:r>
                </w:p>
              </w:tc>
              <w:tc>
                <w:tcPr>
                  <w:tcW w:w="596" w:type="pct"/>
                  <w:vAlign w:val="center"/>
                </w:tcPr>
                <w:p>
                  <w:pPr>
                    <w:pStyle w:val="22"/>
                  </w:pPr>
                  <w:r>
                    <w:t>排放量（t/a）</w:t>
                  </w:r>
                </w:p>
              </w:tc>
              <w:tc>
                <w:tcPr>
                  <w:tcW w:w="738" w:type="pct"/>
                  <w:vMerge w:val="continue"/>
                  <w:vAlign w:val="center"/>
                </w:tcPr>
                <w:p>
                  <w:pPr>
                    <w:pStyle w:val="22"/>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475" w:type="pct"/>
                  <w:vMerge w:val="restart"/>
                  <w:shd w:val="clear" w:color="auto" w:fill="auto"/>
                  <w:vAlign w:val="center"/>
                </w:tcPr>
                <w:p>
                  <w:pPr>
                    <w:pStyle w:val="22"/>
                    <w:rPr>
                      <w:rFonts w:hint="default"/>
                      <w:lang w:val="en-US" w:eastAsia="zh-CN"/>
                    </w:rPr>
                  </w:pPr>
                  <w:r>
                    <w:t>生活用水</w:t>
                  </w:r>
                  <w:r>
                    <w:rPr>
                      <w:rFonts w:hint="eastAsia"/>
                      <w:lang w:val="en-US" w:eastAsia="zh-CN"/>
                    </w:rPr>
                    <w:t>1530</w:t>
                  </w:r>
                </w:p>
                <w:p>
                  <w:pPr>
                    <w:pStyle w:val="22"/>
                  </w:pPr>
                  <w:r>
                    <w:rPr>
                      <w:rFonts w:hint="eastAsia"/>
                    </w:rPr>
                    <w:t>t/a</w:t>
                  </w:r>
                </w:p>
              </w:tc>
              <w:tc>
                <w:tcPr>
                  <w:tcW w:w="549" w:type="pct"/>
                  <w:shd w:val="clear" w:color="auto" w:fill="auto"/>
                  <w:vAlign w:val="center"/>
                </w:tcPr>
                <w:p>
                  <w:pPr>
                    <w:pStyle w:val="22"/>
                    <w:rPr>
                      <w:rFonts w:hint="default"/>
                      <w:lang w:val="en-US" w:eastAsia="zh-CN"/>
                    </w:rPr>
                  </w:pPr>
                  <w:r>
                    <w:rPr>
                      <w:rFonts w:hint="eastAsia"/>
                      <w:lang w:val="en-US" w:eastAsia="zh-CN"/>
                    </w:rPr>
                    <w:t>pH</w:t>
                  </w:r>
                </w:p>
              </w:tc>
              <w:tc>
                <w:tcPr>
                  <w:tcW w:w="687" w:type="pct"/>
                  <w:shd w:val="clear" w:color="auto" w:fill="auto"/>
                  <w:vAlign w:val="center"/>
                </w:tcPr>
                <w:p>
                  <w:pPr>
                    <w:pStyle w:val="22"/>
                    <w:bidi w:val="0"/>
                  </w:pPr>
                  <w:r>
                    <w:t>6~9</w:t>
                  </w:r>
                </w:p>
              </w:tc>
              <w:tc>
                <w:tcPr>
                  <w:tcW w:w="623" w:type="pct"/>
                  <w:shd w:val="clear" w:color="auto" w:fill="auto"/>
                  <w:vAlign w:val="center"/>
                </w:tcPr>
                <w:p>
                  <w:pPr>
                    <w:pStyle w:val="22"/>
                    <w:bidi w:val="0"/>
                  </w:pPr>
                  <w:r>
                    <w:t>6~9</w:t>
                  </w:r>
                </w:p>
              </w:tc>
              <w:tc>
                <w:tcPr>
                  <w:tcW w:w="614" w:type="pct"/>
                  <w:vMerge w:val="restart"/>
                  <w:shd w:val="clear" w:color="auto" w:fill="auto"/>
                  <w:vAlign w:val="center"/>
                </w:tcPr>
                <w:p>
                  <w:pPr>
                    <w:pStyle w:val="22"/>
                  </w:pPr>
                  <w:r>
                    <w:t>化粪池</w:t>
                  </w:r>
                </w:p>
              </w:tc>
              <w:tc>
                <w:tcPr>
                  <w:tcW w:w="1194" w:type="dxa"/>
                  <w:shd w:val="clear" w:color="auto" w:fill="auto"/>
                  <w:vAlign w:val="center"/>
                </w:tcPr>
                <w:p>
                  <w:pPr>
                    <w:pStyle w:val="22"/>
                    <w:bidi w:val="0"/>
                    <w:ind w:firstLine="0" w:firstLineChars="0"/>
                  </w:pPr>
                  <w:r>
                    <w:t>6~9</w:t>
                  </w:r>
                </w:p>
              </w:tc>
              <w:tc>
                <w:tcPr>
                  <w:tcW w:w="997" w:type="dxa"/>
                  <w:vAlign w:val="center"/>
                </w:tcPr>
                <w:p>
                  <w:pPr>
                    <w:pStyle w:val="22"/>
                    <w:bidi w:val="0"/>
                    <w:ind w:firstLine="0" w:firstLineChars="0"/>
                  </w:pPr>
                  <w:r>
                    <w:t>6~9</w:t>
                  </w:r>
                </w:p>
              </w:tc>
              <w:tc>
                <w:tcPr>
                  <w:tcW w:w="738" w:type="pct"/>
                  <w:vAlign w:val="center"/>
                </w:tcPr>
                <w:p>
                  <w:pPr>
                    <w:pStyle w:val="22"/>
                  </w:pPr>
                  <w:r>
                    <w:t>6~9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475" w:type="pct"/>
                  <w:vMerge w:val="continue"/>
                  <w:shd w:val="clear" w:color="auto" w:fill="auto"/>
                  <w:vAlign w:val="center"/>
                </w:tcPr>
                <w:p>
                  <w:pPr>
                    <w:pStyle w:val="22"/>
                  </w:pPr>
                </w:p>
              </w:tc>
              <w:tc>
                <w:tcPr>
                  <w:tcW w:w="549" w:type="pct"/>
                  <w:shd w:val="clear" w:color="auto" w:fill="auto"/>
                  <w:vAlign w:val="center"/>
                </w:tcPr>
                <w:p>
                  <w:pPr>
                    <w:pStyle w:val="22"/>
                  </w:pPr>
                  <w:r>
                    <w:t>COD</w:t>
                  </w:r>
                </w:p>
              </w:tc>
              <w:tc>
                <w:tcPr>
                  <w:tcW w:w="687" w:type="pct"/>
                  <w:shd w:val="clear" w:color="auto" w:fill="auto"/>
                  <w:vAlign w:val="center"/>
                </w:tcPr>
                <w:p>
                  <w:pPr>
                    <w:pStyle w:val="22"/>
                  </w:pPr>
                  <w:r>
                    <w:t>260</w:t>
                  </w:r>
                </w:p>
              </w:tc>
              <w:tc>
                <w:tcPr>
                  <w:tcW w:w="623" w:type="pct"/>
                  <w:shd w:val="clear" w:color="auto" w:fill="auto"/>
                  <w:vAlign w:val="center"/>
                </w:tcPr>
                <w:p>
                  <w:pPr>
                    <w:pStyle w:val="22"/>
                    <w:rPr>
                      <w:rFonts w:hint="default"/>
                      <w:lang w:val="en-US" w:eastAsia="zh-CN"/>
                    </w:rPr>
                  </w:pPr>
                  <w:r>
                    <w:rPr>
                      <w:rFonts w:hint="eastAsia"/>
                      <w:lang w:val="en-US" w:eastAsia="zh-CN"/>
                    </w:rPr>
                    <w:t>0.399</w:t>
                  </w:r>
                </w:p>
              </w:tc>
              <w:tc>
                <w:tcPr>
                  <w:tcW w:w="614" w:type="pct"/>
                  <w:vMerge w:val="continue"/>
                  <w:shd w:val="clear" w:color="auto" w:fill="auto"/>
                  <w:vAlign w:val="center"/>
                </w:tcPr>
                <w:p>
                  <w:pPr>
                    <w:pStyle w:val="22"/>
                  </w:pPr>
                </w:p>
              </w:tc>
              <w:tc>
                <w:tcPr>
                  <w:tcW w:w="714" w:type="pct"/>
                  <w:shd w:val="clear" w:color="auto" w:fill="auto"/>
                  <w:vAlign w:val="center"/>
                </w:tcPr>
                <w:p>
                  <w:pPr>
                    <w:pStyle w:val="22"/>
                  </w:pPr>
                  <w:r>
                    <w:t>200</w:t>
                  </w:r>
                </w:p>
              </w:tc>
              <w:tc>
                <w:tcPr>
                  <w:tcW w:w="596" w:type="pct"/>
                  <w:vAlign w:val="center"/>
                </w:tcPr>
                <w:p>
                  <w:pPr>
                    <w:pStyle w:val="22"/>
                    <w:rPr>
                      <w:rFonts w:hint="default"/>
                      <w:lang w:val="en-US" w:eastAsia="zh-CN"/>
                    </w:rPr>
                  </w:pPr>
                  <w:r>
                    <w:rPr>
                      <w:rFonts w:hint="eastAsia"/>
                      <w:lang w:val="en-US" w:eastAsia="zh-CN"/>
                    </w:rPr>
                    <w:t>0.307</w:t>
                  </w:r>
                </w:p>
              </w:tc>
              <w:tc>
                <w:tcPr>
                  <w:tcW w:w="738" w:type="pct"/>
                  <w:vAlign w:val="center"/>
                </w:tcPr>
                <w:p>
                  <w:pPr>
                    <w:pStyle w:val="22"/>
                  </w:pPr>
                  <w:r>
                    <w:t>500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475" w:type="pct"/>
                  <w:vMerge w:val="continue"/>
                  <w:shd w:val="clear" w:color="auto" w:fill="auto"/>
                  <w:vAlign w:val="center"/>
                </w:tcPr>
                <w:p>
                  <w:pPr>
                    <w:pStyle w:val="22"/>
                  </w:pPr>
                </w:p>
              </w:tc>
              <w:tc>
                <w:tcPr>
                  <w:tcW w:w="549" w:type="pct"/>
                  <w:shd w:val="clear" w:color="auto" w:fill="auto"/>
                  <w:vAlign w:val="center"/>
                </w:tcPr>
                <w:p>
                  <w:pPr>
                    <w:pStyle w:val="22"/>
                  </w:pPr>
                  <w:r>
                    <w:t>BOD5</w:t>
                  </w:r>
                </w:p>
              </w:tc>
              <w:tc>
                <w:tcPr>
                  <w:tcW w:w="687" w:type="pct"/>
                  <w:shd w:val="clear" w:color="auto" w:fill="auto"/>
                  <w:vAlign w:val="center"/>
                </w:tcPr>
                <w:p>
                  <w:pPr>
                    <w:pStyle w:val="22"/>
                  </w:pPr>
                  <w:r>
                    <w:t>150</w:t>
                  </w:r>
                </w:p>
              </w:tc>
              <w:tc>
                <w:tcPr>
                  <w:tcW w:w="623" w:type="pct"/>
                  <w:shd w:val="clear" w:color="auto" w:fill="auto"/>
                  <w:vAlign w:val="center"/>
                </w:tcPr>
                <w:p>
                  <w:pPr>
                    <w:pStyle w:val="22"/>
                    <w:rPr>
                      <w:rFonts w:hint="default"/>
                      <w:lang w:val="en-US" w:eastAsia="zh-CN"/>
                    </w:rPr>
                  </w:pPr>
                  <w:r>
                    <w:rPr>
                      <w:rFonts w:hint="eastAsia"/>
                      <w:lang w:val="en-US" w:eastAsia="zh-CN"/>
                    </w:rPr>
                    <w:t>0.230</w:t>
                  </w:r>
                </w:p>
              </w:tc>
              <w:tc>
                <w:tcPr>
                  <w:tcW w:w="614" w:type="pct"/>
                  <w:vMerge w:val="continue"/>
                  <w:shd w:val="clear" w:color="auto" w:fill="auto"/>
                  <w:vAlign w:val="center"/>
                </w:tcPr>
                <w:p>
                  <w:pPr>
                    <w:pStyle w:val="22"/>
                  </w:pPr>
                </w:p>
              </w:tc>
              <w:tc>
                <w:tcPr>
                  <w:tcW w:w="714" w:type="pct"/>
                  <w:shd w:val="clear" w:color="auto" w:fill="auto"/>
                  <w:vAlign w:val="center"/>
                </w:tcPr>
                <w:p>
                  <w:pPr>
                    <w:pStyle w:val="22"/>
                  </w:pPr>
                  <w:r>
                    <w:t>120</w:t>
                  </w:r>
                </w:p>
              </w:tc>
              <w:tc>
                <w:tcPr>
                  <w:tcW w:w="596" w:type="pct"/>
                  <w:vAlign w:val="center"/>
                </w:tcPr>
                <w:p>
                  <w:pPr>
                    <w:pStyle w:val="22"/>
                    <w:rPr>
                      <w:rFonts w:hint="default"/>
                      <w:lang w:val="en-US" w:eastAsia="zh-CN"/>
                    </w:rPr>
                  </w:pPr>
                  <w:r>
                    <w:rPr>
                      <w:rFonts w:hint="eastAsia"/>
                      <w:lang w:val="en-US" w:eastAsia="zh-CN"/>
                    </w:rPr>
                    <w:t>0.184</w:t>
                  </w:r>
                </w:p>
              </w:tc>
              <w:tc>
                <w:tcPr>
                  <w:tcW w:w="738" w:type="pct"/>
                  <w:vAlign w:val="center"/>
                </w:tcPr>
                <w:p>
                  <w:pPr>
                    <w:pStyle w:val="22"/>
                  </w:pPr>
                  <w:r>
                    <w:t>300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75" w:type="pct"/>
                  <w:vMerge w:val="continue"/>
                  <w:shd w:val="clear" w:color="auto" w:fill="auto"/>
                  <w:vAlign w:val="center"/>
                </w:tcPr>
                <w:p>
                  <w:pPr>
                    <w:pStyle w:val="22"/>
                  </w:pPr>
                </w:p>
              </w:tc>
              <w:tc>
                <w:tcPr>
                  <w:tcW w:w="549" w:type="pct"/>
                  <w:shd w:val="clear" w:color="auto" w:fill="auto"/>
                  <w:vAlign w:val="center"/>
                </w:tcPr>
                <w:p>
                  <w:pPr>
                    <w:pStyle w:val="22"/>
                  </w:pPr>
                  <w:r>
                    <w:t>氨氮</w:t>
                  </w:r>
                </w:p>
              </w:tc>
              <w:tc>
                <w:tcPr>
                  <w:tcW w:w="687" w:type="pct"/>
                  <w:shd w:val="clear" w:color="auto" w:fill="auto"/>
                  <w:vAlign w:val="center"/>
                </w:tcPr>
                <w:p>
                  <w:pPr>
                    <w:pStyle w:val="22"/>
                  </w:pPr>
                  <w:r>
                    <w:t>25</w:t>
                  </w:r>
                </w:p>
              </w:tc>
              <w:tc>
                <w:tcPr>
                  <w:tcW w:w="623" w:type="pct"/>
                  <w:shd w:val="clear" w:color="auto" w:fill="auto"/>
                  <w:vAlign w:val="center"/>
                </w:tcPr>
                <w:p>
                  <w:pPr>
                    <w:pStyle w:val="22"/>
                    <w:rPr>
                      <w:rFonts w:hint="default"/>
                      <w:lang w:val="en-US" w:eastAsia="zh-CN"/>
                    </w:rPr>
                  </w:pPr>
                  <w:r>
                    <w:rPr>
                      <w:rFonts w:hint="eastAsia"/>
                      <w:lang w:val="en-US" w:eastAsia="zh-CN"/>
                    </w:rPr>
                    <w:t>0.038</w:t>
                  </w:r>
                </w:p>
              </w:tc>
              <w:tc>
                <w:tcPr>
                  <w:tcW w:w="614" w:type="pct"/>
                  <w:vMerge w:val="continue"/>
                  <w:shd w:val="clear" w:color="auto" w:fill="auto"/>
                  <w:vAlign w:val="center"/>
                </w:tcPr>
                <w:p>
                  <w:pPr>
                    <w:pStyle w:val="22"/>
                  </w:pPr>
                </w:p>
              </w:tc>
              <w:tc>
                <w:tcPr>
                  <w:tcW w:w="714" w:type="pct"/>
                  <w:shd w:val="clear" w:color="auto" w:fill="auto"/>
                  <w:vAlign w:val="center"/>
                </w:tcPr>
                <w:p>
                  <w:pPr>
                    <w:pStyle w:val="22"/>
                  </w:pPr>
                  <w:r>
                    <w:t>18</w:t>
                  </w:r>
                </w:p>
              </w:tc>
              <w:tc>
                <w:tcPr>
                  <w:tcW w:w="596" w:type="pct"/>
                  <w:vAlign w:val="center"/>
                </w:tcPr>
                <w:p>
                  <w:pPr>
                    <w:pStyle w:val="22"/>
                    <w:rPr>
                      <w:rFonts w:hint="default"/>
                      <w:lang w:val="en-US" w:eastAsia="zh-CN"/>
                    </w:rPr>
                  </w:pPr>
                  <w:r>
                    <w:rPr>
                      <w:rFonts w:hint="eastAsia"/>
                      <w:lang w:val="en-US" w:eastAsia="zh-CN"/>
                    </w:rPr>
                    <w:t>0.028</w:t>
                  </w:r>
                </w:p>
              </w:tc>
              <w:tc>
                <w:tcPr>
                  <w:tcW w:w="738" w:type="pct"/>
                  <w:vAlign w:val="center"/>
                </w:tcPr>
                <w:p>
                  <w:pPr>
                    <w:pStyle w:val="22"/>
                  </w:pPr>
                  <w: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475" w:type="pct"/>
                  <w:vMerge w:val="continue"/>
                  <w:shd w:val="clear" w:color="auto" w:fill="auto"/>
                  <w:vAlign w:val="center"/>
                </w:tcPr>
                <w:p>
                  <w:pPr>
                    <w:pStyle w:val="22"/>
                  </w:pPr>
                </w:p>
              </w:tc>
              <w:tc>
                <w:tcPr>
                  <w:tcW w:w="549" w:type="pct"/>
                  <w:shd w:val="clear" w:color="auto" w:fill="auto"/>
                  <w:vAlign w:val="center"/>
                </w:tcPr>
                <w:p>
                  <w:pPr>
                    <w:pStyle w:val="22"/>
                  </w:pPr>
                  <w:r>
                    <w:t>SS</w:t>
                  </w:r>
                </w:p>
              </w:tc>
              <w:tc>
                <w:tcPr>
                  <w:tcW w:w="687" w:type="pct"/>
                  <w:shd w:val="clear" w:color="auto" w:fill="auto"/>
                  <w:vAlign w:val="center"/>
                </w:tcPr>
                <w:p>
                  <w:pPr>
                    <w:pStyle w:val="22"/>
                  </w:pPr>
                  <w:r>
                    <w:t>120</w:t>
                  </w:r>
                </w:p>
              </w:tc>
              <w:tc>
                <w:tcPr>
                  <w:tcW w:w="623" w:type="pct"/>
                  <w:shd w:val="clear" w:color="auto" w:fill="auto"/>
                  <w:vAlign w:val="center"/>
                </w:tcPr>
                <w:p>
                  <w:pPr>
                    <w:pStyle w:val="22"/>
                    <w:rPr>
                      <w:rFonts w:hint="default"/>
                      <w:lang w:val="en-US" w:eastAsia="zh-CN"/>
                    </w:rPr>
                  </w:pPr>
                  <w:r>
                    <w:rPr>
                      <w:rFonts w:hint="eastAsia"/>
                      <w:lang w:val="en-US" w:eastAsia="zh-CN"/>
                    </w:rPr>
                    <w:t>0.184</w:t>
                  </w:r>
                </w:p>
              </w:tc>
              <w:tc>
                <w:tcPr>
                  <w:tcW w:w="614" w:type="pct"/>
                  <w:vMerge w:val="continue"/>
                  <w:shd w:val="clear" w:color="auto" w:fill="auto"/>
                  <w:vAlign w:val="center"/>
                </w:tcPr>
                <w:p>
                  <w:pPr>
                    <w:pStyle w:val="22"/>
                  </w:pPr>
                </w:p>
              </w:tc>
              <w:tc>
                <w:tcPr>
                  <w:tcW w:w="714" w:type="pct"/>
                  <w:shd w:val="clear" w:color="auto" w:fill="auto"/>
                  <w:vAlign w:val="center"/>
                </w:tcPr>
                <w:p>
                  <w:pPr>
                    <w:pStyle w:val="22"/>
                  </w:pPr>
                  <w:r>
                    <w:t>70</w:t>
                  </w:r>
                </w:p>
              </w:tc>
              <w:tc>
                <w:tcPr>
                  <w:tcW w:w="596" w:type="pct"/>
                  <w:vAlign w:val="center"/>
                </w:tcPr>
                <w:p>
                  <w:pPr>
                    <w:pStyle w:val="22"/>
                    <w:rPr>
                      <w:rFonts w:hint="default"/>
                      <w:lang w:val="en-US" w:eastAsia="zh-CN"/>
                    </w:rPr>
                  </w:pPr>
                  <w:r>
                    <w:rPr>
                      <w:rFonts w:hint="eastAsia"/>
                      <w:lang w:val="en-US" w:eastAsia="zh-CN"/>
                    </w:rPr>
                    <w:t>0.108</w:t>
                  </w:r>
                </w:p>
              </w:tc>
              <w:tc>
                <w:tcPr>
                  <w:tcW w:w="738" w:type="pct"/>
                  <w:vAlign w:val="center"/>
                </w:tcPr>
                <w:p>
                  <w:pPr>
                    <w:pStyle w:val="22"/>
                  </w:pPr>
                  <w:r>
                    <w:t>400</w:t>
                  </w:r>
                </w:p>
              </w:tc>
            </w:tr>
          </w:tbl>
          <w:p>
            <w:pPr>
              <w:bidi w:val="0"/>
              <w:rPr>
                <w:rFonts w:hint="eastAsia"/>
              </w:rPr>
            </w:pPr>
            <w:r>
              <w:rPr>
                <w:rFonts w:hint="eastAsia"/>
              </w:rPr>
              <w:t>本项目生活污水经化粪池预处理后接管进入</w:t>
            </w:r>
            <w:r>
              <w:rPr>
                <w:rFonts w:hint="eastAsia"/>
                <w:lang w:val="en-US" w:eastAsia="zh-CN"/>
              </w:rPr>
              <w:t>天门山</w:t>
            </w:r>
            <w:r>
              <w:rPr>
                <w:rFonts w:hint="eastAsia"/>
              </w:rPr>
              <w:t>污水处理厂集中处理，尾水最终排入长江。</w:t>
            </w:r>
          </w:p>
          <w:p>
            <w:pPr>
              <w:tabs>
                <w:tab w:val="left" w:pos="612"/>
              </w:tabs>
              <w:adjustRightInd w:val="0"/>
              <w:spacing w:before="156" w:beforeLines="50"/>
              <w:ind w:firstLine="482"/>
              <w:jc w:val="left"/>
              <w:rPr>
                <w:rFonts w:hint="eastAsia"/>
                <w:b/>
                <w:bCs/>
              </w:rPr>
            </w:pPr>
            <w:r>
              <w:rPr>
                <w:rFonts w:hint="eastAsia"/>
                <w:b/>
                <w:bCs/>
              </w:rPr>
              <w:t>2、废水接管可行性分析</w:t>
            </w:r>
          </w:p>
          <w:p>
            <w:pPr>
              <w:bidi w:val="0"/>
              <w:rPr>
                <w:rFonts w:hint="eastAsia"/>
              </w:rPr>
            </w:pPr>
            <w:r>
              <w:rPr>
                <w:rFonts w:hint="eastAsia"/>
              </w:rPr>
              <w:t>天门山污水处理厂的厂址位于银湖北路与恒山路交叉处，靠近长江东岸的东梁山。天门山污水处理厂工程服务范围包括芜湖经济开发区北区及大桥镇桥北工业区，西至长江，南边以四褐山-小马鞍山-李家山-龙头山-泰山路为界，北边、东边至市界，总面积约44km2。</w:t>
            </w:r>
          </w:p>
          <w:p>
            <w:pPr>
              <w:bidi w:val="0"/>
              <w:rPr>
                <w:rFonts w:hint="eastAsia"/>
              </w:rPr>
            </w:pPr>
            <w:r>
              <w:rPr>
                <w:rFonts w:hint="eastAsia"/>
              </w:rPr>
              <w:t>天门山污水处理厂一期工程设计日处理能力6万吨，工程污水处理采用“粗格栅+细格栅及沉砂池+混凝沉淀池+氧化沟+二沉池+磁混凝沉淀池+臭氧反应池+曝气生物滤池+V型滤池+消毒”工艺，出水水质将达到《城镇污水处理厂污染物排放标准》一级A类排放标准。污泥处理采用机械浓缩和离心脱水机；天门山污水处理厂二期扩建工程设计日处理能力3万吨，工程污水处理采用“粗格栅及进水泵房＋细格栅及混凝沉淀+水解酸化+改良型A2O+磁混凝沉淀+臭氧接触+曝气生物滤池+V型过滤+消”工艺，全厂运行管理采用国内外先进的计算机自动控制系统，使厂内生产运行全部实现自动化控制。</w:t>
            </w:r>
          </w:p>
          <w:p>
            <w:pPr>
              <w:bidi w:val="0"/>
              <w:rPr>
                <w:rFonts w:hint="eastAsia"/>
              </w:rPr>
            </w:pPr>
            <w:r>
              <w:rPr>
                <w:rFonts w:hint="eastAsia"/>
              </w:rPr>
              <w:t>本项目属于天门山污水处理厂收集范围，且排放废水主要为生活污水，废水排放总量为</w:t>
            </w:r>
            <w:r>
              <w:rPr>
                <w:rFonts w:hint="eastAsia"/>
                <w:lang w:val="en-US" w:eastAsia="zh-CN"/>
              </w:rPr>
              <w:t>4.8</w:t>
            </w:r>
            <w:r>
              <w:rPr>
                <w:rFonts w:hint="eastAsia"/>
              </w:rPr>
              <w:t>m3/d，</w:t>
            </w:r>
            <w:r>
              <w:rPr>
                <w:rFonts w:hint="eastAsia"/>
                <w:lang w:val="en-US" w:eastAsia="zh-CN"/>
              </w:rPr>
              <w:t>1530</w:t>
            </w:r>
            <w:r>
              <w:rPr>
                <w:rFonts w:hint="eastAsia"/>
              </w:rPr>
              <w:t>m</w:t>
            </w:r>
            <w:r>
              <w:rPr>
                <w:rFonts w:hint="eastAsia"/>
                <w:lang w:val="en-US" w:eastAsia="zh-CN"/>
              </w:rPr>
              <w:t>3</w:t>
            </w:r>
            <w:r>
              <w:rPr>
                <w:rFonts w:hint="eastAsia"/>
              </w:rPr>
              <w:t>/a，污水产生量不大，且水质简单，不会对污水处理厂正常运行有影响，因此项目污水接管天门山污水处理厂是可行的，对周围水环境影响较小。</w:t>
            </w:r>
          </w:p>
          <w:p>
            <w:pPr>
              <w:ind w:firstLine="480"/>
            </w:pPr>
            <w:r>
              <w:rPr>
                <w:rFonts w:hint="eastAsia"/>
                <w:lang w:val="en-US" w:eastAsia="zh-CN"/>
              </w:rPr>
              <w:t>3</w:t>
            </w:r>
            <w:r>
              <w:rPr>
                <w:rFonts w:hint="eastAsia"/>
              </w:rPr>
              <w:t>、废水自行监测要求</w:t>
            </w:r>
          </w:p>
          <w:p>
            <w:pPr>
              <w:adjustRightInd w:val="0"/>
              <w:snapToGrid w:val="0"/>
              <w:spacing w:line="360" w:lineRule="auto"/>
              <w:ind w:firstLine="480" w:firstLineChars="200"/>
              <w:jc w:val="left"/>
            </w:pPr>
            <w:r>
              <w:rPr>
                <w:rFonts w:hint="eastAsia"/>
              </w:rPr>
              <w:t>建议厂内应定期自行进行环境监测工作，参照《排污单位自行监测技术指南 总则》（HJ</w:t>
            </w:r>
            <w:r>
              <w:rPr>
                <w:rFonts w:hint="eastAsia"/>
                <w:lang w:val="en-US" w:eastAsia="zh-CN"/>
              </w:rPr>
              <w:t xml:space="preserve"> </w:t>
            </w:r>
            <w:r>
              <w:rPr>
                <w:rFonts w:hint="eastAsia"/>
              </w:rPr>
              <w:t>819-2017）、《排污许可证申请与核发技术规范 汽车制造业》（HJ</w:t>
            </w:r>
            <w:r>
              <w:rPr>
                <w:rFonts w:hint="eastAsia"/>
                <w:lang w:val="en-US" w:eastAsia="zh-CN"/>
              </w:rPr>
              <w:t xml:space="preserve"> </w:t>
            </w:r>
            <w:r>
              <w:rPr>
                <w:rFonts w:hint="eastAsia"/>
              </w:rPr>
              <w:t>971-2018）、《排污许可管理条例》（国令第 736 号）的相关要求，排污单位应当按照排污许可证规定和有关标准规范，依法开展自行监测，并保存原始监测记录，原始监测记录保存期限不得少于5年。排污单位应当对自行监测数据的真实性、准确性负责，不得篡改、伪造。</w:t>
            </w:r>
          </w:p>
          <w:p>
            <w:pPr>
              <w:pStyle w:val="23"/>
              <w:bidi w:val="0"/>
            </w:pPr>
            <w:r>
              <w:t>表4-</w:t>
            </w:r>
            <w:r>
              <w:rPr>
                <w:rFonts w:hint="eastAsia"/>
                <w:lang w:val="en-US" w:eastAsia="zh-CN"/>
              </w:rPr>
              <w:t>7</w:t>
            </w:r>
            <w:r>
              <w:t xml:space="preserve"> </w:t>
            </w:r>
            <w:r>
              <w:rPr>
                <w:rFonts w:hint="eastAsia"/>
                <w:lang w:val="en-US" w:eastAsia="zh-CN"/>
              </w:rPr>
              <w:t xml:space="preserve"> </w:t>
            </w:r>
            <w:r>
              <w:t>项目运营期废水监控计划一览表</w:t>
            </w:r>
          </w:p>
          <w:tbl>
            <w:tblPr>
              <w:tblStyle w:val="1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43"/>
              <w:gridCol w:w="2019"/>
              <w:gridCol w:w="3216"/>
              <w:gridCol w:w="207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1088" w:type="dxa"/>
                  <w:tcBorders>
                    <w:tl2br w:val="nil"/>
                    <w:tr2bl w:val="nil"/>
                  </w:tcBorders>
                  <w:vAlign w:val="center"/>
                </w:tcPr>
                <w:p>
                  <w:pPr>
                    <w:pStyle w:val="22"/>
                    <w:bidi w:val="0"/>
                  </w:pPr>
                  <w:r>
                    <w:rPr>
                      <w:rFonts w:hint="eastAsia"/>
                    </w:rPr>
                    <w:t>类别</w:t>
                  </w:r>
                </w:p>
              </w:tc>
              <w:tc>
                <w:tcPr>
                  <w:tcW w:w="2136" w:type="dxa"/>
                  <w:tcBorders>
                    <w:tl2br w:val="nil"/>
                    <w:tr2bl w:val="nil"/>
                  </w:tcBorders>
                  <w:vAlign w:val="center"/>
                </w:tcPr>
                <w:p>
                  <w:pPr>
                    <w:pStyle w:val="22"/>
                    <w:bidi w:val="0"/>
                  </w:pPr>
                  <w:r>
                    <w:rPr>
                      <w:rFonts w:hint="eastAsia"/>
                    </w:rPr>
                    <w:t>监测点位</w:t>
                  </w:r>
                </w:p>
              </w:tc>
              <w:tc>
                <w:tcPr>
                  <w:tcW w:w="3381" w:type="dxa"/>
                  <w:tcBorders>
                    <w:tl2br w:val="nil"/>
                    <w:tr2bl w:val="nil"/>
                  </w:tcBorders>
                  <w:vAlign w:val="center"/>
                </w:tcPr>
                <w:p>
                  <w:pPr>
                    <w:pStyle w:val="22"/>
                    <w:bidi w:val="0"/>
                  </w:pPr>
                  <w:r>
                    <w:rPr>
                      <w:rFonts w:hint="eastAsia"/>
                    </w:rPr>
                    <w:t>监测项目</w:t>
                  </w:r>
                </w:p>
              </w:tc>
              <w:tc>
                <w:tcPr>
                  <w:tcW w:w="2201" w:type="dxa"/>
                  <w:tcBorders>
                    <w:tl2br w:val="nil"/>
                    <w:tr2bl w:val="nil"/>
                  </w:tcBorders>
                  <w:vAlign w:val="center"/>
                </w:tcPr>
                <w:p>
                  <w:pPr>
                    <w:pStyle w:val="22"/>
                    <w:bidi w:val="0"/>
                  </w:pPr>
                  <w:r>
                    <w:rPr>
                      <w:rFonts w:hint="eastAsia"/>
                    </w:rPr>
                    <w:t>监测频次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1088" w:type="dxa"/>
                  <w:tcBorders>
                    <w:tl2br w:val="nil"/>
                    <w:tr2bl w:val="nil"/>
                  </w:tcBorders>
                  <w:vAlign w:val="center"/>
                </w:tcPr>
                <w:p>
                  <w:pPr>
                    <w:pStyle w:val="22"/>
                    <w:bidi w:val="0"/>
                  </w:pPr>
                  <w:r>
                    <w:rPr>
                      <w:rFonts w:hint="eastAsia"/>
                    </w:rPr>
                    <w:t>废水</w:t>
                  </w:r>
                </w:p>
              </w:tc>
              <w:tc>
                <w:tcPr>
                  <w:tcW w:w="2136" w:type="dxa"/>
                  <w:tcBorders>
                    <w:tl2br w:val="nil"/>
                    <w:tr2bl w:val="nil"/>
                  </w:tcBorders>
                  <w:vAlign w:val="center"/>
                </w:tcPr>
                <w:p>
                  <w:pPr>
                    <w:pStyle w:val="22"/>
                    <w:bidi w:val="0"/>
                  </w:pPr>
                  <w:r>
                    <w:rPr>
                      <w:rFonts w:hint="eastAsia"/>
                    </w:rPr>
                    <w:t>厂区废水总排口</w:t>
                  </w:r>
                </w:p>
              </w:tc>
              <w:tc>
                <w:tcPr>
                  <w:tcW w:w="3381" w:type="dxa"/>
                  <w:tcBorders>
                    <w:tl2br w:val="nil"/>
                    <w:tr2bl w:val="nil"/>
                  </w:tcBorders>
                  <w:vAlign w:val="center"/>
                </w:tcPr>
                <w:p>
                  <w:pPr>
                    <w:pStyle w:val="22"/>
                    <w:bidi w:val="0"/>
                  </w:pPr>
                  <w:r>
                    <w:rPr>
                      <w:rFonts w:hint="eastAsia"/>
                    </w:rPr>
                    <w:t>pH、COD、BOD5、SS、NH3-N</w:t>
                  </w:r>
                </w:p>
              </w:tc>
              <w:tc>
                <w:tcPr>
                  <w:tcW w:w="2201" w:type="dxa"/>
                  <w:tcBorders>
                    <w:tl2br w:val="nil"/>
                    <w:tr2bl w:val="nil"/>
                  </w:tcBorders>
                  <w:vAlign w:val="center"/>
                </w:tcPr>
                <w:p>
                  <w:pPr>
                    <w:pStyle w:val="22"/>
                    <w:bidi w:val="0"/>
                  </w:pPr>
                  <w:r>
                    <w:rPr>
                      <w:rFonts w:hint="eastAsia"/>
                    </w:rPr>
                    <w:t>1次/年</w:t>
                  </w:r>
                </w:p>
              </w:tc>
            </w:tr>
          </w:tbl>
          <w:p>
            <w:pPr>
              <w:ind w:firstLine="48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tc>
      </w:tr>
    </w:tbl>
    <w:p>
      <w:pPr>
        <w:sectPr>
          <w:pgSz w:w="11906" w:h="16838"/>
          <w:pgMar w:top="1440" w:right="1531" w:bottom="1440" w:left="1531" w:header="851" w:footer="992" w:gutter="0"/>
          <w:pgBorders>
            <w:top w:val="none" w:sz="0" w:space="0"/>
            <w:left w:val="none" w:sz="0" w:space="0"/>
            <w:bottom w:val="none" w:sz="0" w:space="0"/>
            <w:right w:val="none" w:sz="0" w:space="0"/>
          </w:pgBorders>
          <w:cols w:space="0" w:num="1"/>
          <w:rtlGutter w:val="0"/>
          <w:docGrid w:linePitch="312" w:charSpace="0"/>
        </w:sectPr>
      </w:pPr>
    </w:p>
    <w:tbl>
      <w:tblPr>
        <w:tblStyle w:val="16"/>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66"/>
        <w:gridCol w:w="1390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8213" w:hRule="atLeast"/>
          <w:jc w:val="center"/>
        </w:trPr>
        <w:tc>
          <w:tcPr>
            <w:tcW w:w="435" w:type="dxa"/>
            <w:tcBorders>
              <w:tl2br w:val="nil"/>
              <w:tr2bl w:val="nil"/>
            </w:tcBorders>
            <w:vAlign w:val="center"/>
          </w:tcPr>
          <w:p>
            <w:pPr>
              <w:pStyle w:val="22"/>
              <w:bidi w:val="0"/>
              <w:jc w:val="center"/>
              <w:rPr>
                <w:sz w:val="24"/>
                <w:szCs w:val="24"/>
              </w:rPr>
            </w:pPr>
          </w:p>
        </w:tc>
        <w:tc>
          <w:tcPr>
            <w:tcW w:w="13704" w:type="dxa"/>
            <w:tcBorders>
              <w:tl2br w:val="nil"/>
              <w:tr2bl w:val="nil"/>
            </w:tcBorders>
          </w:tcPr>
          <w:p>
            <w:pPr>
              <w:bidi w:val="0"/>
              <w:rPr>
                <w:b/>
                <w:bCs/>
              </w:rPr>
            </w:pPr>
            <w:r>
              <w:rPr>
                <w:rFonts w:hint="eastAsia"/>
                <w:b/>
                <w:bCs/>
              </w:rPr>
              <w:t>三、噪声环境影响和保护措施</w:t>
            </w:r>
          </w:p>
          <w:p>
            <w:pPr>
              <w:bidi w:val="0"/>
              <w:rPr>
                <w:b/>
                <w:bCs/>
              </w:rPr>
            </w:pPr>
            <w:r>
              <w:rPr>
                <w:rFonts w:hint="eastAsia"/>
                <w:b/>
                <w:bCs/>
              </w:rPr>
              <w:t>1、噪声源强</w:t>
            </w:r>
          </w:p>
          <w:p>
            <w:pPr>
              <w:bidi w:val="0"/>
              <w:rPr>
                <w:lang w:val="de-DE"/>
              </w:rPr>
            </w:pPr>
            <w:r>
              <w:rPr>
                <w:rFonts w:hint="eastAsia"/>
              </w:rPr>
              <w:t>本项目噪声源为有1000吨油压机、315千牛四柱液压机、开式固定台压力机、台钻、手摇数显平面磨床、卧式车床、摇臂钻床、电火花数控线切割机床、中丝线切割设备、立式加工中心、龙门铣、空气压力泵、一体式永磁变频蜗杆空压机</w:t>
            </w:r>
            <w:r>
              <w:t>等设备运行时将产生噪声</w:t>
            </w:r>
            <w:r>
              <w:rPr>
                <w:rFonts w:hint="eastAsia"/>
              </w:rPr>
              <w:t>，主要噪声源源强清单详见下表。</w:t>
            </w:r>
          </w:p>
          <w:p>
            <w:pPr>
              <w:pStyle w:val="23"/>
            </w:pPr>
            <w:r>
              <w:t>表</w:t>
            </w:r>
            <w:r>
              <w:rPr>
                <w:rFonts w:hint="eastAsia"/>
              </w:rPr>
              <w:t>4-</w:t>
            </w:r>
            <w:r>
              <w:rPr>
                <w:rFonts w:hint="eastAsia"/>
                <w:lang w:val="en-US" w:eastAsia="zh-CN"/>
              </w:rPr>
              <w:t>8</w:t>
            </w:r>
            <w:r>
              <w:t xml:space="preserve"> </w:t>
            </w:r>
            <w:r>
              <w:rPr>
                <w:rFonts w:hint="eastAsia"/>
              </w:rPr>
              <w:t xml:space="preserve"> 本项目运营期噪声源强调查清单</w:t>
            </w:r>
          </w:p>
          <w:tbl>
            <w:tblPr>
              <w:tblStyle w:val="1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426"/>
              <w:gridCol w:w="636"/>
              <w:gridCol w:w="426"/>
              <w:gridCol w:w="788"/>
              <w:gridCol w:w="636"/>
              <w:gridCol w:w="531"/>
              <w:gridCol w:w="531"/>
              <w:gridCol w:w="345"/>
              <w:gridCol w:w="426"/>
              <w:gridCol w:w="531"/>
              <w:gridCol w:w="426"/>
              <w:gridCol w:w="531"/>
              <w:gridCol w:w="584"/>
              <w:gridCol w:w="584"/>
              <w:gridCol w:w="584"/>
              <w:gridCol w:w="584"/>
              <w:gridCol w:w="1497"/>
              <w:gridCol w:w="426"/>
              <w:gridCol w:w="584"/>
              <w:gridCol w:w="584"/>
              <w:gridCol w:w="584"/>
              <w:gridCol w:w="584"/>
              <w:gridCol w:w="43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5" w:type="pct"/>
                  <w:vMerge w:val="restart"/>
                  <w:vAlign w:val="center"/>
                </w:tcPr>
                <w:p>
                  <w:pPr>
                    <w:pStyle w:val="22"/>
                    <w:ind w:firstLine="0" w:firstLineChars="0"/>
                    <w:jc w:val="center"/>
                    <w:rPr>
                      <w:rFonts w:hint="default"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序号</w:t>
                  </w:r>
                </w:p>
              </w:tc>
              <w:tc>
                <w:tcPr>
                  <w:tcW w:w="155" w:type="pct"/>
                  <w:vMerge w:val="restart"/>
                  <w:vAlign w:val="center"/>
                </w:tcPr>
                <w:p>
                  <w:pPr>
                    <w:pStyle w:val="22"/>
                    <w:jc w:val="center"/>
                    <w:rPr>
                      <w:rFonts w:hint="default" w:eastAsia="宋体"/>
                      <w:lang w:val="en-US" w:eastAsia="zh-CN"/>
                    </w:rPr>
                  </w:pPr>
                  <w:r>
                    <w:rPr>
                      <w:rFonts w:hint="eastAsia"/>
                      <w:lang w:val="en-US" w:eastAsia="zh-CN"/>
                    </w:rPr>
                    <w:t>建筑名称</w:t>
                  </w:r>
                </w:p>
              </w:tc>
              <w:tc>
                <w:tcPr>
                  <w:tcW w:w="232" w:type="pct"/>
                  <w:vMerge w:val="restart"/>
                  <w:vAlign w:val="center"/>
                </w:tcPr>
                <w:p>
                  <w:pPr>
                    <w:pStyle w:val="22"/>
                    <w:jc w:val="center"/>
                    <w:rPr>
                      <w:rFonts w:hint="default" w:eastAsia="宋体"/>
                      <w:lang w:val="en-US" w:eastAsia="zh-CN"/>
                    </w:rPr>
                  </w:pPr>
                  <w:r>
                    <w:rPr>
                      <w:rFonts w:hint="eastAsia"/>
                      <w:lang w:val="en-US" w:eastAsia="zh-CN"/>
                    </w:rPr>
                    <w:t>声源名称</w:t>
                  </w:r>
                </w:p>
              </w:tc>
              <w:tc>
                <w:tcPr>
                  <w:tcW w:w="155" w:type="pct"/>
                  <w:vMerge w:val="restart"/>
                  <w:vAlign w:val="center"/>
                </w:tcPr>
                <w:p>
                  <w:pPr>
                    <w:pStyle w:val="22"/>
                    <w:jc w:val="center"/>
                  </w:pPr>
                  <w:r>
                    <w:t>数量</w:t>
                  </w:r>
                </w:p>
              </w:tc>
              <w:tc>
                <w:tcPr>
                  <w:tcW w:w="287" w:type="pct"/>
                  <w:vAlign w:val="center"/>
                </w:tcPr>
                <w:p>
                  <w:pPr>
                    <w:pStyle w:val="22"/>
                    <w:jc w:val="center"/>
                    <w:rPr>
                      <w:rFonts w:hint="default" w:eastAsia="宋体"/>
                      <w:lang w:val="en-US" w:eastAsia="zh-CN"/>
                    </w:rPr>
                  </w:pPr>
                  <w:r>
                    <w:rPr>
                      <w:rFonts w:hint="eastAsia"/>
                      <w:lang w:val="en-US" w:eastAsia="zh-CN"/>
                    </w:rPr>
                    <w:t>声源源强</w:t>
                  </w:r>
                </w:p>
              </w:tc>
              <w:tc>
                <w:tcPr>
                  <w:tcW w:w="232" w:type="pct"/>
                  <w:vMerge w:val="restart"/>
                  <w:vAlign w:val="center"/>
                </w:tcPr>
                <w:p>
                  <w:pPr>
                    <w:pStyle w:val="22"/>
                    <w:jc w:val="center"/>
                    <w:rPr>
                      <w:rFonts w:hint="eastAsia" w:eastAsia="宋体"/>
                      <w:lang w:val="en-US" w:eastAsia="zh-CN"/>
                    </w:rPr>
                  </w:pPr>
                  <w:r>
                    <w:rPr>
                      <w:rFonts w:hint="eastAsia"/>
                      <w:lang w:val="en-US" w:eastAsia="zh-CN"/>
                    </w:rPr>
                    <w:t>声源控制措施</w:t>
                  </w:r>
                </w:p>
              </w:tc>
              <w:tc>
                <w:tcPr>
                  <w:tcW w:w="513" w:type="pct"/>
                  <w:gridSpan w:val="3"/>
                  <w:vAlign w:val="center"/>
                </w:tcPr>
                <w:p>
                  <w:pPr>
                    <w:pStyle w:val="22"/>
                    <w:jc w:val="center"/>
                    <w:rPr>
                      <w:rFonts w:hint="default" w:eastAsia="宋体"/>
                      <w:lang w:val="en-US" w:eastAsia="zh-CN"/>
                    </w:rPr>
                  </w:pPr>
                  <w:r>
                    <w:rPr>
                      <w:rFonts w:hint="eastAsia"/>
                      <w:lang w:val="en-US" w:eastAsia="zh-CN"/>
                    </w:rPr>
                    <w:t>空间相对位置/m</w:t>
                  </w:r>
                </w:p>
              </w:tc>
              <w:tc>
                <w:tcPr>
                  <w:tcW w:w="698" w:type="pct"/>
                  <w:gridSpan w:val="4"/>
                  <w:vAlign w:val="center"/>
                </w:tcPr>
                <w:p>
                  <w:pPr>
                    <w:pStyle w:val="22"/>
                    <w:ind w:firstLine="0" w:firstLineChars="0"/>
                    <w:jc w:val="center"/>
                    <w:rPr>
                      <w:rFonts w:hint="eastAsia"/>
                      <w:lang w:val="en-US" w:eastAsia="zh-CN"/>
                    </w:rPr>
                  </w:pPr>
                  <w:r>
                    <w:rPr>
                      <w:rFonts w:hint="eastAsia"/>
                      <w:lang w:val="en-US" w:eastAsia="zh-CN"/>
                    </w:rPr>
                    <w:t>室内边界</w:t>
                  </w:r>
                  <w:r>
                    <w:t>距离m</w:t>
                  </w:r>
                </w:p>
              </w:tc>
              <w:tc>
                <w:tcPr>
                  <w:tcW w:w="853" w:type="pct"/>
                  <w:gridSpan w:val="4"/>
                  <w:vAlign w:val="center"/>
                </w:tcPr>
                <w:p>
                  <w:pPr>
                    <w:pStyle w:val="22"/>
                    <w:jc w:val="center"/>
                  </w:pPr>
                  <w:r>
                    <w:rPr>
                      <w:rFonts w:hint="eastAsia"/>
                    </w:rPr>
                    <w:t>室内边界声级/dB(A)</w:t>
                  </w:r>
                </w:p>
              </w:tc>
              <w:tc>
                <w:tcPr>
                  <w:tcW w:w="546" w:type="pct"/>
                  <w:vMerge w:val="restart"/>
                  <w:vAlign w:val="center"/>
                </w:tcPr>
                <w:p>
                  <w:pPr>
                    <w:pStyle w:val="22"/>
                    <w:jc w:val="center"/>
                    <w:rPr>
                      <w:rFonts w:hint="default" w:eastAsia="宋体"/>
                      <w:lang w:val="en-US" w:eastAsia="zh-CN"/>
                    </w:rPr>
                  </w:pPr>
                  <w:r>
                    <w:rPr>
                      <w:rFonts w:hint="eastAsia"/>
                      <w:lang w:val="en-US" w:eastAsia="zh-CN"/>
                    </w:rPr>
                    <w:t>运行时段</w:t>
                  </w:r>
                </w:p>
              </w:tc>
              <w:tc>
                <w:tcPr>
                  <w:tcW w:w="155" w:type="pct"/>
                  <w:vMerge w:val="restart"/>
                  <w:vAlign w:val="center"/>
                </w:tcPr>
                <w:p>
                  <w:pPr>
                    <w:pStyle w:val="22"/>
                    <w:jc w:val="center"/>
                    <w:rPr>
                      <w:rFonts w:hint="eastAsia" w:eastAsia="宋体"/>
                      <w:lang w:val="en-US" w:eastAsia="zh-CN"/>
                    </w:rPr>
                  </w:pPr>
                  <w:r>
                    <w:rPr>
                      <w:rFonts w:hint="eastAsia"/>
                      <w:lang w:val="en-US" w:eastAsia="zh-CN"/>
                    </w:rPr>
                    <w:t>建筑物插入损失</w:t>
                  </w:r>
                </w:p>
              </w:tc>
              <w:tc>
                <w:tcPr>
                  <w:tcW w:w="853" w:type="pct"/>
                  <w:gridSpan w:val="4"/>
                  <w:vAlign w:val="center"/>
                </w:tcPr>
                <w:p>
                  <w:pPr>
                    <w:pStyle w:val="22"/>
                    <w:jc w:val="center"/>
                    <w:rPr>
                      <w:rFonts w:hint="eastAsia"/>
                    </w:rPr>
                  </w:pPr>
                  <w:r>
                    <w:rPr>
                      <w:rFonts w:hint="eastAsia"/>
                    </w:rPr>
                    <w:t>建筑物外噪声声压级/dB(A)</w:t>
                  </w:r>
                </w:p>
              </w:tc>
              <w:tc>
                <w:tcPr>
                  <w:tcW w:w="159" w:type="pct"/>
                  <w:vMerge w:val="restart"/>
                  <w:vAlign w:val="center"/>
                </w:tcPr>
                <w:p>
                  <w:pPr>
                    <w:pStyle w:val="22"/>
                    <w:jc w:val="center"/>
                    <w:rPr>
                      <w:rFonts w:hint="default"/>
                      <w:lang w:val="en-US"/>
                    </w:rPr>
                  </w:pPr>
                  <w:r>
                    <w:rPr>
                      <w:rStyle w:val="32"/>
                      <w:rFonts w:hint="default" w:ascii="Times New Roman" w:hAnsi="Times New Roman" w:cs="Times New Roman"/>
                      <w:b w:val="0"/>
                      <w:bCs w:val="0"/>
                      <w:color w:val="auto"/>
                      <w:sz w:val="21"/>
                      <w:szCs w:val="21"/>
                      <w:lang w:val="en-US" w:eastAsia="zh-CN" w:bidi="ar"/>
                    </w:rPr>
                    <w:t>建筑物外</w:t>
                  </w:r>
                  <w:r>
                    <w:rPr>
                      <w:rStyle w:val="32"/>
                      <w:rFonts w:hint="eastAsia" w:ascii="Times New Roman" w:hAnsi="Times New Roman" w:cs="Times New Roman"/>
                      <w:b w:val="0"/>
                      <w:bCs w:val="0"/>
                      <w:color w:val="auto"/>
                      <w:sz w:val="21"/>
                      <w:szCs w:val="21"/>
                      <w:lang w:val="en-US" w:eastAsia="zh-CN" w:bidi="ar"/>
                    </w:rPr>
                    <w:t>距离/m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5" w:type="pct"/>
                  <w:vMerge w:val="continue"/>
                  <w:vAlign w:val="center"/>
                </w:tcPr>
                <w:p>
                  <w:pPr>
                    <w:pStyle w:val="22"/>
                    <w:ind w:firstLine="0" w:firstLineChars="0"/>
                    <w:jc w:val="center"/>
                    <w:rPr>
                      <w:rFonts w:ascii="Times New Roman" w:hAnsi="Times New Roman" w:eastAsia="宋体" w:cs="Times New Roman"/>
                      <w:kern w:val="2"/>
                      <w:sz w:val="21"/>
                      <w:szCs w:val="24"/>
                      <w:lang w:val="en-US" w:eastAsia="zh-CN" w:bidi="ar-SA"/>
                    </w:rPr>
                  </w:pPr>
                </w:p>
              </w:tc>
              <w:tc>
                <w:tcPr>
                  <w:tcW w:w="155" w:type="pct"/>
                  <w:vMerge w:val="continue"/>
                  <w:vAlign w:val="center"/>
                </w:tcPr>
                <w:p>
                  <w:pPr>
                    <w:pStyle w:val="22"/>
                    <w:jc w:val="center"/>
                  </w:pPr>
                </w:p>
              </w:tc>
              <w:tc>
                <w:tcPr>
                  <w:tcW w:w="232" w:type="pct"/>
                  <w:vMerge w:val="continue"/>
                  <w:vAlign w:val="center"/>
                </w:tcPr>
                <w:p>
                  <w:pPr>
                    <w:pStyle w:val="22"/>
                    <w:jc w:val="center"/>
                  </w:pPr>
                </w:p>
              </w:tc>
              <w:tc>
                <w:tcPr>
                  <w:tcW w:w="155" w:type="pct"/>
                  <w:vMerge w:val="continue"/>
                  <w:vAlign w:val="center"/>
                </w:tcPr>
                <w:p>
                  <w:pPr>
                    <w:pStyle w:val="22"/>
                    <w:jc w:val="center"/>
                  </w:pPr>
                </w:p>
              </w:tc>
              <w:tc>
                <w:tcPr>
                  <w:tcW w:w="287" w:type="pct"/>
                  <w:vAlign w:val="center"/>
                </w:tcPr>
                <w:p>
                  <w:pPr>
                    <w:pStyle w:val="22"/>
                    <w:jc w:val="center"/>
                    <w:rPr>
                      <w:rFonts w:hint="eastAsia" w:eastAsia="宋体"/>
                      <w:lang w:val="en-US" w:eastAsia="zh-CN"/>
                    </w:rPr>
                  </w:pPr>
                  <w:r>
                    <w:rPr>
                      <w:rFonts w:hint="eastAsia"/>
                    </w:rPr>
                    <w:t>声压级</w:t>
                  </w:r>
                  <w:r>
                    <w:rPr>
                      <w:rFonts w:hint="eastAsia"/>
                      <w:lang w:val="en-US" w:eastAsia="zh-CN"/>
                    </w:rPr>
                    <w:t>/dB（A）/m</w:t>
                  </w:r>
                </w:p>
              </w:tc>
              <w:tc>
                <w:tcPr>
                  <w:tcW w:w="232" w:type="pct"/>
                  <w:vMerge w:val="continue"/>
                  <w:vAlign w:val="center"/>
                </w:tcPr>
                <w:p>
                  <w:pPr>
                    <w:pStyle w:val="22"/>
                    <w:jc w:val="center"/>
                  </w:pPr>
                </w:p>
              </w:tc>
              <w:tc>
                <w:tcPr>
                  <w:tcW w:w="193" w:type="pct"/>
                  <w:vAlign w:val="center"/>
                </w:tcPr>
                <w:p>
                  <w:pPr>
                    <w:pStyle w:val="22"/>
                    <w:jc w:val="center"/>
                    <w:rPr>
                      <w:rFonts w:hint="eastAsia" w:eastAsia="宋体"/>
                      <w:lang w:val="en-US" w:eastAsia="zh-CN"/>
                    </w:rPr>
                  </w:pPr>
                  <w:r>
                    <w:rPr>
                      <w:rFonts w:hint="eastAsia"/>
                      <w:lang w:val="en-US" w:eastAsia="zh-CN"/>
                    </w:rPr>
                    <w:t>X</w:t>
                  </w:r>
                </w:p>
              </w:tc>
              <w:tc>
                <w:tcPr>
                  <w:tcW w:w="193" w:type="pct"/>
                  <w:vAlign w:val="center"/>
                </w:tcPr>
                <w:p>
                  <w:pPr>
                    <w:pStyle w:val="22"/>
                    <w:jc w:val="center"/>
                    <w:rPr>
                      <w:rFonts w:hint="eastAsia" w:eastAsia="宋体"/>
                      <w:lang w:val="en-US" w:eastAsia="zh-CN"/>
                    </w:rPr>
                  </w:pPr>
                  <w:r>
                    <w:rPr>
                      <w:rFonts w:hint="eastAsia"/>
                      <w:lang w:val="en-US" w:eastAsia="zh-CN"/>
                    </w:rPr>
                    <w:t>Y</w:t>
                  </w:r>
                </w:p>
              </w:tc>
              <w:tc>
                <w:tcPr>
                  <w:tcW w:w="125" w:type="pct"/>
                  <w:vAlign w:val="center"/>
                </w:tcPr>
                <w:p>
                  <w:pPr>
                    <w:pStyle w:val="22"/>
                    <w:jc w:val="center"/>
                    <w:rPr>
                      <w:rFonts w:hint="eastAsia" w:eastAsia="宋体"/>
                      <w:lang w:val="en-US" w:eastAsia="zh-CN"/>
                    </w:rPr>
                  </w:pPr>
                  <w:r>
                    <w:rPr>
                      <w:rFonts w:hint="eastAsia"/>
                      <w:lang w:val="en-US" w:eastAsia="zh-CN"/>
                    </w:rPr>
                    <w:t>Z</w:t>
                  </w:r>
                </w:p>
              </w:tc>
              <w:tc>
                <w:tcPr>
                  <w:tcW w:w="155" w:type="pct"/>
                  <w:vAlign w:val="center"/>
                </w:tcPr>
                <w:p>
                  <w:pPr>
                    <w:pStyle w:val="22"/>
                    <w:ind w:firstLine="0" w:firstLineChars="0"/>
                    <w:jc w:val="center"/>
                  </w:pPr>
                  <w:r>
                    <w:t>东</w:t>
                  </w:r>
                </w:p>
              </w:tc>
              <w:tc>
                <w:tcPr>
                  <w:tcW w:w="193" w:type="pct"/>
                  <w:vAlign w:val="center"/>
                </w:tcPr>
                <w:p>
                  <w:pPr>
                    <w:pStyle w:val="22"/>
                    <w:ind w:firstLine="0" w:firstLineChars="0"/>
                    <w:jc w:val="center"/>
                  </w:pPr>
                  <w:r>
                    <w:t>南</w:t>
                  </w:r>
                </w:p>
              </w:tc>
              <w:tc>
                <w:tcPr>
                  <w:tcW w:w="155" w:type="pct"/>
                  <w:vAlign w:val="center"/>
                </w:tcPr>
                <w:p>
                  <w:pPr>
                    <w:pStyle w:val="22"/>
                    <w:ind w:firstLine="0" w:firstLineChars="0"/>
                    <w:jc w:val="center"/>
                  </w:pPr>
                  <w:r>
                    <w:t>西</w:t>
                  </w:r>
                </w:p>
              </w:tc>
              <w:tc>
                <w:tcPr>
                  <w:tcW w:w="193" w:type="pct"/>
                  <w:vAlign w:val="center"/>
                </w:tcPr>
                <w:p>
                  <w:pPr>
                    <w:pStyle w:val="22"/>
                    <w:ind w:firstLine="0" w:firstLineChars="0"/>
                    <w:jc w:val="center"/>
                  </w:pPr>
                  <w:r>
                    <w:t>北</w:t>
                  </w:r>
                </w:p>
              </w:tc>
              <w:tc>
                <w:tcPr>
                  <w:tcW w:w="213" w:type="pct"/>
                  <w:vAlign w:val="center"/>
                </w:tcPr>
                <w:p>
                  <w:pPr>
                    <w:pStyle w:val="22"/>
                    <w:jc w:val="center"/>
                  </w:pPr>
                  <w:r>
                    <w:t>东</w:t>
                  </w:r>
                </w:p>
              </w:tc>
              <w:tc>
                <w:tcPr>
                  <w:tcW w:w="213" w:type="pct"/>
                  <w:vAlign w:val="center"/>
                </w:tcPr>
                <w:p>
                  <w:pPr>
                    <w:pStyle w:val="22"/>
                    <w:jc w:val="center"/>
                  </w:pPr>
                  <w:r>
                    <w:t>南</w:t>
                  </w:r>
                </w:p>
              </w:tc>
              <w:tc>
                <w:tcPr>
                  <w:tcW w:w="213" w:type="pct"/>
                  <w:vAlign w:val="center"/>
                </w:tcPr>
                <w:p>
                  <w:pPr>
                    <w:pStyle w:val="22"/>
                    <w:jc w:val="center"/>
                  </w:pPr>
                  <w:r>
                    <w:t>西</w:t>
                  </w:r>
                </w:p>
              </w:tc>
              <w:tc>
                <w:tcPr>
                  <w:tcW w:w="213" w:type="pct"/>
                  <w:vAlign w:val="center"/>
                </w:tcPr>
                <w:p>
                  <w:pPr>
                    <w:pStyle w:val="22"/>
                    <w:jc w:val="center"/>
                  </w:pPr>
                  <w:r>
                    <w:t>北</w:t>
                  </w:r>
                </w:p>
              </w:tc>
              <w:tc>
                <w:tcPr>
                  <w:tcW w:w="546" w:type="pct"/>
                  <w:vMerge w:val="continue"/>
                  <w:vAlign w:val="center"/>
                </w:tcPr>
                <w:p>
                  <w:pPr>
                    <w:pStyle w:val="22"/>
                    <w:jc w:val="center"/>
                  </w:pPr>
                </w:p>
              </w:tc>
              <w:tc>
                <w:tcPr>
                  <w:tcW w:w="155" w:type="pct"/>
                  <w:vMerge w:val="continue"/>
                  <w:vAlign w:val="center"/>
                </w:tcPr>
                <w:p>
                  <w:pPr>
                    <w:pStyle w:val="22"/>
                    <w:jc w:val="center"/>
                  </w:pPr>
                </w:p>
              </w:tc>
              <w:tc>
                <w:tcPr>
                  <w:tcW w:w="213" w:type="pct"/>
                  <w:vAlign w:val="center"/>
                </w:tcPr>
                <w:p>
                  <w:pPr>
                    <w:pStyle w:val="22"/>
                    <w:ind w:firstLine="0" w:firstLineChars="0"/>
                    <w:jc w:val="center"/>
                  </w:pPr>
                  <w:r>
                    <w:t>东</w:t>
                  </w:r>
                </w:p>
              </w:tc>
              <w:tc>
                <w:tcPr>
                  <w:tcW w:w="213" w:type="pct"/>
                  <w:vAlign w:val="center"/>
                </w:tcPr>
                <w:p>
                  <w:pPr>
                    <w:pStyle w:val="22"/>
                    <w:ind w:firstLine="0" w:firstLineChars="0"/>
                    <w:jc w:val="center"/>
                  </w:pPr>
                  <w:r>
                    <w:t>南</w:t>
                  </w:r>
                </w:p>
              </w:tc>
              <w:tc>
                <w:tcPr>
                  <w:tcW w:w="213" w:type="pct"/>
                  <w:vAlign w:val="center"/>
                </w:tcPr>
                <w:p>
                  <w:pPr>
                    <w:pStyle w:val="22"/>
                    <w:ind w:firstLine="0" w:firstLineChars="0"/>
                    <w:jc w:val="center"/>
                  </w:pPr>
                  <w:r>
                    <w:t>西</w:t>
                  </w:r>
                </w:p>
              </w:tc>
              <w:tc>
                <w:tcPr>
                  <w:tcW w:w="213" w:type="pct"/>
                  <w:vAlign w:val="center"/>
                </w:tcPr>
                <w:p>
                  <w:pPr>
                    <w:pStyle w:val="22"/>
                    <w:ind w:firstLine="0" w:firstLineChars="0"/>
                    <w:jc w:val="center"/>
                  </w:pPr>
                  <w:r>
                    <w:t>北</w:t>
                  </w:r>
                </w:p>
              </w:tc>
              <w:tc>
                <w:tcPr>
                  <w:tcW w:w="159" w:type="pct"/>
                  <w:vMerge w:val="continue"/>
                  <w:vAlign w:val="center"/>
                </w:tcPr>
                <w:p>
                  <w:pPr>
                    <w:pStyle w:val="22"/>
                    <w:jc w:val="cente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5" w:type="pct"/>
                  <w:vAlign w:val="center"/>
                </w:tcPr>
                <w:p>
                  <w:pPr>
                    <w:pStyle w:val="22"/>
                    <w:ind w:firstLine="0" w:firstLineChars="0"/>
                    <w:jc w:val="center"/>
                    <w:rPr>
                      <w:rFonts w:hint="default" w:ascii="Times New Roman" w:hAnsi="Times New Roman" w:eastAsia="宋体" w:cs="Times New Roman"/>
                      <w:kern w:val="2"/>
                      <w:sz w:val="21"/>
                      <w:szCs w:val="24"/>
                      <w:lang w:val="en-US" w:eastAsia="zh-CN" w:bidi="ar-SA"/>
                    </w:rPr>
                  </w:pPr>
                  <w:bookmarkStart w:id="2" w:name="OLE_LINK2" w:colFirst="4" w:colLast="4"/>
                  <w:r>
                    <w:rPr>
                      <w:rFonts w:hint="eastAsia" w:cs="Times New Roman"/>
                      <w:kern w:val="2"/>
                      <w:sz w:val="21"/>
                      <w:szCs w:val="24"/>
                      <w:lang w:val="en-US" w:eastAsia="zh-CN" w:bidi="ar-SA"/>
                    </w:rPr>
                    <w:t>1</w:t>
                  </w:r>
                </w:p>
              </w:tc>
              <w:tc>
                <w:tcPr>
                  <w:tcW w:w="155" w:type="pct"/>
                  <w:vMerge w:val="restart"/>
                  <w:vAlign w:val="center"/>
                </w:tcPr>
                <w:p>
                  <w:pPr>
                    <w:pStyle w:val="22"/>
                    <w:bidi w:val="0"/>
                    <w:ind w:firstLine="0" w:firstLineChars="0"/>
                    <w:jc w:val="center"/>
                    <w:rPr>
                      <w:rFonts w:hint="default"/>
                      <w:lang w:val="en-US" w:eastAsia="zh-CN"/>
                    </w:rPr>
                  </w:pPr>
                  <w:r>
                    <w:rPr>
                      <w:rFonts w:hint="eastAsia"/>
                      <w:lang w:val="en-US" w:eastAsia="zh-CN"/>
                    </w:rPr>
                    <w:t>生产车间</w:t>
                  </w:r>
                </w:p>
              </w:tc>
              <w:tc>
                <w:tcPr>
                  <w:tcW w:w="232" w:type="pct"/>
                  <w:vAlign w:val="center"/>
                </w:tcPr>
                <w:p>
                  <w:pPr>
                    <w:pStyle w:val="22"/>
                    <w:bidi w:val="0"/>
                    <w:ind w:firstLine="0" w:firstLineChars="0"/>
                    <w:jc w:val="center"/>
                    <w:rPr>
                      <w:lang w:val="en-US" w:eastAsia="zh-CN"/>
                    </w:rPr>
                  </w:pPr>
                  <w:r>
                    <w:rPr>
                      <w:rFonts w:hint="eastAsia"/>
                      <w:lang w:val="en-US" w:eastAsia="zh-CN"/>
                    </w:rPr>
                    <w:t>1000吨油压机</w:t>
                  </w:r>
                </w:p>
              </w:tc>
              <w:tc>
                <w:tcPr>
                  <w:tcW w:w="155" w:type="pct"/>
                  <w:vAlign w:val="center"/>
                </w:tcPr>
                <w:p>
                  <w:pPr>
                    <w:pStyle w:val="22"/>
                    <w:jc w:val="center"/>
                    <w:rPr>
                      <w:rFonts w:hint="eastAsia"/>
                      <w:lang w:val="en-US" w:eastAsia="zh-CN"/>
                    </w:rPr>
                  </w:pPr>
                  <w:r>
                    <w:rPr>
                      <w:rFonts w:hint="eastAsia"/>
                      <w:lang w:val="en-US" w:eastAsia="zh-CN"/>
                    </w:rPr>
                    <w:t>1</w:t>
                  </w:r>
                </w:p>
              </w:tc>
              <w:tc>
                <w:tcPr>
                  <w:tcW w:w="287" w:type="pct"/>
                  <w:vAlign w:val="center"/>
                </w:tcPr>
                <w:p>
                  <w:pPr>
                    <w:pStyle w:val="22"/>
                    <w:bidi w:val="0"/>
                    <w:ind w:firstLine="0" w:firstLineChars="0"/>
                    <w:rPr>
                      <w:rFonts w:hint="default" w:ascii="Times New Roman" w:hAnsi="Times New Roman" w:eastAsia="宋体" w:cs="Times New Roman"/>
                      <w:kern w:val="2"/>
                      <w:sz w:val="21"/>
                      <w:szCs w:val="24"/>
                      <w:lang w:val="en-US" w:eastAsia="zh-CN" w:bidi="ar-SA"/>
                    </w:rPr>
                  </w:pPr>
                  <w:r>
                    <w:rPr>
                      <w:rFonts w:hint="default"/>
                      <w:lang w:val="en-US" w:eastAsia="zh-CN"/>
                    </w:rPr>
                    <w:t>85</w:t>
                  </w:r>
                  <w:r>
                    <w:rPr>
                      <w:rFonts w:hint="eastAsia"/>
                      <w:lang w:val="en-US" w:eastAsia="zh-CN"/>
                    </w:rPr>
                    <w:t>/1</w:t>
                  </w:r>
                </w:p>
              </w:tc>
              <w:tc>
                <w:tcPr>
                  <w:tcW w:w="232" w:type="pct"/>
                  <w:vMerge w:val="restart"/>
                  <w:vAlign w:val="center"/>
                </w:tcPr>
                <w:p>
                  <w:pPr>
                    <w:pStyle w:val="22"/>
                    <w:jc w:val="center"/>
                    <w:rPr>
                      <w:rFonts w:hint="eastAsia"/>
                      <w:lang w:val="en-US" w:eastAsia="zh-CN"/>
                    </w:rPr>
                  </w:pPr>
                  <w:r>
                    <w:rPr>
                      <w:rFonts w:hint="eastAsia"/>
                      <w:lang w:val="en-US" w:eastAsia="zh-CN"/>
                    </w:rPr>
                    <w:t>采用低噪声设备、基础减震、消声、建筑隔声、加强管理</w:t>
                  </w:r>
                </w:p>
              </w:tc>
              <w:tc>
                <w:tcPr>
                  <w:tcW w:w="193" w:type="pct"/>
                  <w:vAlign w:val="center"/>
                </w:tcPr>
                <w:p>
                  <w:pPr>
                    <w:pStyle w:val="22"/>
                    <w:jc w:val="center"/>
                    <w:rPr>
                      <w:rFonts w:hint="default"/>
                      <w:lang w:val="en-US" w:eastAsia="zh-CN"/>
                    </w:rPr>
                  </w:pPr>
                  <w:r>
                    <w:rPr>
                      <w:rFonts w:hint="eastAsia"/>
                      <w:lang w:val="en-US" w:eastAsia="zh-CN"/>
                    </w:rPr>
                    <w:t>96</w:t>
                  </w:r>
                </w:p>
              </w:tc>
              <w:tc>
                <w:tcPr>
                  <w:tcW w:w="193" w:type="pct"/>
                  <w:vAlign w:val="center"/>
                </w:tcPr>
                <w:p>
                  <w:pPr>
                    <w:pStyle w:val="22"/>
                    <w:jc w:val="center"/>
                    <w:rPr>
                      <w:rFonts w:hint="default"/>
                      <w:lang w:val="en-US" w:eastAsia="zh-CN"/>
                    </w:rPr>
                  </w:pPr>
                  <w:r>
                    <w:rPr>
                      <w:rFonts w:hint="eastAsia"/>
                      <w:lang w:val="en-US" w:eastAsia="zh-CN"/>
                    </w:rPr>
                    <w:t>120</w:t>
                  </w:r>
                </w:p>
              </w:tc>
              <w:tc>
                <w:tcPr>
                  <w:tcW w:w="125" w:type="pct"/>
                  <w:vAlign w:val="center"/>
                </w:tcPr>
                <w:p>
                  <w:pPr>
                    <w:pStyle w:val="22"/>
                    <w:jc w:val="center"/>
                    <w:rPr>
                      <w:rFonts w:hint="default"/>
                      <w:lang w:val="en-US" w:eastAsia="zh-CN"/>
                    </w:rPr>
                  </w:pPr>
                  <w:r>
                    <w:rPr>
                      <w:rFonts w:hint="eastAsia"/>
                      <w:lang w:val="en-US" w:eastAsia="zh-CN"/>
                    </w:rPr>
                    <w:t>0</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90</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127</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16</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33</w:t>
                  </w:r>
                </w:p>
              </w:tc>
              <w:tc>
                <w:tcPr>
                  <w:tcW w:w="213" w:type="pct"/>
                  <w:vAlign w:val="center"/>
                </w:tcPr>
                <w:p>
                  <w:pPr>
                    <w:pStyle w:val="22"/>
                    <w:bidi w:val="0"/>
                    <w:jc w:val="center"/>
                    <w:rPr>
                      <w:rFonts w:hint="default"/>
                      <w:lang w:val="en-US" w:eastAsia="zh-CN"/>
                    </w:rPr>
                  </w:pPr>
                  <w:r>
                    <w:rPr>
                      <w:rFonts w:hint="default"/>
                      <w:lang w:val="en-US" w:eastAsia="zh-CN"/>
                    </w:rPr>
                    <w:t>45.9</w:t>
                  </w:r>
                </w:p>
              </w:tc>
              <w:tc>
                <w:tcPr>
                  <w:tcW w:w="213" w:type="pct"/>
                  <w:vAlign w:val="center"/>
                </w:tcPr>
                <w:p>
                  <w:pPr>
                    <w:pStyle w:val="22"/>
                    <w:bidi w:val="0"/>
                    <w:jc w:val="center"/>
                    <w:rPr>
                      <w:rFonts w:hint="default"/>
                      <w:lang w:val="en-US" w:eastAsia="zh-CN"/>
                    </w:rPr>
                  </w:pPr>
                  <w:r>
                    <w:rPr>
                      <w:rFonts w:hint="default"/>
                      <w:lang w:val="en-US" w:eastAsia="zh-CN"/>
                    </w:rPr>
                    <w:t>42.9</w:t>
                  </w:r>
                </w:p>
              </w:tc>
              <w:tc>
                <w:tcPr>
                  <w:tcW w:w="213" w:type="pct"/>
                  <w:vAlign w:val="center"/>
                </w:tcPr>
                <w:p>
                  <w:pPr>
                    <w:pStyle w:val="22"/>
                    <w:bidi w:val="0"/>
                    <w:jc w:val="center"/>
                    <w:rPr>
                      <w:rFonts w:hint="default"/>
                      <w:lang w:val="en-US" w:eastAsia="zh-CN"/>
                    </w:rPr>
                  </w:pPr>
                  <w:r>
                    <w:rPr>
                      <w:rFonts w:hint="default"/>
                      <w:lang w:val="en-US" w:eastAsia="zh-CN"/>
                    </w:rPr>
                    <w:t>60.9</w:t>
                  </w:r>
                </w:p>
              </w:tc>
              <w:tc>
                <w:tcPr>
                  <w:tcW w:w="213" w:type="pct"/>
                  <w:vAlign w:val="center"/>
                </w:tcPr>
                <w:p>
                  <w:pPr>
                    <w:pStyle w:val="22"/>
                    <w:bidi w:val="0"/>
                    <w:jc w:val="center"/>
                    <w:rPr>
                      <w:rFonts w:hint="default"/>
                      <w:lang w:val="en-US" w:eastAsia="zh-CN"/>
                    </w:rPr>
                  </w:pPr>
                  <w:r>
                    <w:rPr>
                      <w:rFonts w:hint="default"/>
                      <w:lang w:val="en-US" w:eastAsia="zh-CN"/>
                    </w:rPr>
                    <w:t>54.6</w:t>
                  </w:r>
                </w:p>
              </w:tc>
              <w:tc>
                <w:tcPr>
                  <w:tcW w:w="546" w:type="pct"/>
                  <w:vMerge w:val="restart"/>
                  <w:vAlign w:val="center"/>
                </w:tcPr>
                <w:p>
                  <w:pPr>
                    <w:pStyle w:val="22"/>
                    <w:bidi w:val="0"/>
                    <w:rPr>
                      <w:rFonts w:hint="default"/>
                      <w:lang w:val="en-US" w:eastAsia="zh-CN"/>
                    </w:rPr>
                  </w:pPr>
                  <w:r>
                    <w:rPr>
                      <w:rFonts w:hint="default"/>
                      <w:lang w:val="en-US" w:eastAsia="zh-CN"/>
                    </w:rPr>
                    <w:t>08:00~16:00、16:00~24:00</w:t>
                  </w:r>
                </w:p>
              </w:tc>
              <w:tc>
                <w:tcPr>
                  <w:tcW w:w="155" w:type="pct"/>
                  <w:vAlign w:val="center"/>
                </w:tcPr>
                <w:p>
                  <w:pPr>
                    <w:pStyle w:val="22"/>
                    <w:bidi w:val="0"/>
                    <w:rPr>
                      <w:rFonts w:hint="default"/>
                      <w:lang w:val="en-US" w:eastAsia="zh-CN"/>
                    </w:rPr>
                  </w:pPr>
                  <w:r>
                    <w:rPr>
                      <w:rFonts w:hint="eastAsia"/>
                      <w:lang w:val="en-US" w:eastAsia="zh-CN"/>
                    </w:rPr>
                    <w:t>20</w:t>
                  </w:r>
                </w:p>
              </w:tc>
              <w:tc>
                <w:tcPr>
                  <w:tcW w:w="213" w:type="pct"/>
                  <w:vMerge w:val="restart"/>
                  <w:vAlign w:val="center"/>
                </w:tcPr>
                <w:p>
                  <w:pPr>
                    <w:pStyle w:val="22"/>
                    <w:bidi w:val="0"/>
                    <w:jc w:val="center"/>
                    <w:rPr>
                      <w:rFonts w:hint="default"/>
                      <w:lang w:val="en-US" w:eastAsia="zh-CN"/>
                    </w:rPr>
                  </w:pPr>
                  <w:r>
                    <w:rPr>
                      <w:rFonts w:hint="default"/>
                      <w:lang w:val="en-US" w:eastAsia="zh-CN"/>
                    </w:rPr>
                    <w:t>40.6</w:t>
                  </w:r>
                </w:p>
              </w:tc>
              <w:tc>
                <w:tcPr>
                  <w:tcW w:w="213" w:type="pct"/>
                  <w:vMerge w:val="restart"/>
                  <w:vAlign w:val="center"/>
                </w:tcPr>
                <w:p>
                  <w:pPr>
                    <w:pStyle w:val="22"/>
                    <w:bidi w:val="0"/>
                    <w:jc w:val="center"/>
                    <w:rPr>
                      <w:rFonts w:hint="default"/>
                      <w:lang w:val="en-US" w:eastAsia="zh-CN"/>
                    </w:rPr>
                  </w:pPr>
                  <w:r>
                    <w:rPr>
                      <w:rFonts w:hint="default"/>
                      <w:lang w:val="en-US" w:eastAsia="zh-CN"/>
                    </w:rPr>
                    <w:t>39.0</w:t>
                  </w:r>
                </w:p>
              </w:tc>
              <w:tc>
                <w:tcPr>
                  <w:tcW w:w="213" w:type="pct"/>
                  <w:vMerge w:val="restart"/>
                  <w:vAlign w:val="center"/>
                </w:tcPr>
                <w:p>
                  <w:pPr>
                    <w:pStyle w:val="22"/>
                    <w:bidi w:val="0"/>
                    <w:jc w:val="center"/>
                    <w:rPr>
                      <w:rFonts w:hint="default"/>
                      <w:lang w:val="en-US" w:eastAsia="zh-CN"/>
                    </w:rPr>
                  </w:pPr>
                  <w:r>
                    <w:rPr>
                      <w:rFonts w:hint="default"/>
                      <w:lang w:val="en-US" w:eastAsia="zh-CN"/>
                    </w:rPr>
                    <w:t>51.7</w:t>
                  </w:r>
                </w:p>
              </w:tc>
              <w:tc>
                <w:tcPr>
                  <w:tcW w:w="213" w:type="pct"/>
                  <w:vMerge w:val="restart"/>
                  <w:vAlign w:val="center"/>
                </w:tcPr>
                <w:p>
                  <w:pPr>
                    <w:pStyle w:val="22"/>
                    <w:bidi w:val="0"/>
                    <w:jc w:val="center"/>
                    <w:rPr>
                      <w:rFonts w:hint="default"/>
                      <w:lang w:val="en-US" w:eastAsia="zh-CN"/>
                    </w:rPr>
                  </w:pPr>
                  <w:r>
                    <w:rPr>
                      <w:rFonts w:hint="default"/>
                      <w:lang w:val="en-US" w:eastAsia="zh-CN"/>
                    </w:rPr>
                    <w:t>42.6</w:t>
                  </w:r>
                </w:p>
              </w:tc>
              <w:tc>
                <w:tcPr>
                  <w:tcW w:w="159" w:type="pct"/>
                  <w:vMerge w:val="restart"/>
                  <w:vAlign w:val="center"/>
                </w:tcPr>
                <w:p>
                  <w:pPr>
                    <w:pStyle w:val="22"/>
                    <w:bidi w:val="0"/>
                    <w:rPr>
                      <w:rFonts w:hint="default"/>
                      <w:lang w:val="en-US" w:eastAsia="zh-CN"/>
                    </w:rPr>
                  </w:pPr>
                  <w:r>
                    <w:rPr>
                      <w:rFonts w:hint="eastAsia"/>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5" w:type="pct"/>
                  <w:vAlign w:val="center"/>
                </w:tcPr>
                <w:p>
                  <w:pPr>
                    <w:pStyle w:val="22"/>
                    <w:ind w:firstLine="0" w:firstLineChars="0"/>
                    <w:jc w:val="center"/>
                    <w:rPr>
                      <w:rFonts w:hint="default"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2</w:t>
                  </w:r>
                </w:p>
              </w:tc>
              <w:tc>
                <w:tcPr>
                  <w:tcW w:w="155" w:type="pct"/>
                  <w:vMerge w:val="continue"/>
                  <w:vAlign w:val="center"/>
                </w:tcPr>
                <w:p>
                  <w:pPr>
                    <w:pStyle w:val="22"/>
                    <w:bidi w:val="0"/>
                    <w:ind w:firstLine="0" w:firstLineChars="0"/>
                    <w:jc w:val="center"/>
                    <w:rPr>
                      <w:rFonts w:hint="eastAsia"/>
                      <w:lang w:val="en-US" w:eastAsia="zh-CN"/>
                    </w:rPr>
                  </w:pPr>
                </w:p>
              </w:tc>
              <w:tc>
                <w:tcPr>
                  <w:tcW w:w="232" w:type="pct"/>
                  <w:vAlign w:val="center"/>
                </w:tcPr>
                <w:p>
                  <w:pPr>
                    <w:pStyle w:val="22"/>
                    <w:bidi w:val="0"/>
                    <w:ind w:firstLine="0" w:firstLineChars="0"/>
                    <w:jc w:val="center"/>
                    <w:rPr>
                      <w:lang w:val="en-US" w:eastAsia="zh-CN"/>
                    </w:rPr>
                  </w:pPr>
                  <w:r>
                    <w:rPr>
                      <w:rFonts w:hint="eastAsia"/>
                      <w:lang w:val="en-US" w:eastAsia="zh-CN"/>
                    </w:rPr>
                    <w:t>液压机床</w:t>
                  </w:r>
                </w:p>
              </w:tc>
              <w:tc>
                <w:tcPr>
                  <w:tcW w:w="155" w:type="pct"/>
                  <w:vAlign w:val="center"/>
                </w:tcPr>
                <w:p>
                  <w:pPr>
                    <w:pStyle w:val="22"/>
                    <w:jc w:val="center"/>
                    <w:rPr>
                      <w:rFonts w:hint="eastAsia"/>
                      <w:lang w:val="en-US" w:eastAsia="zh-CN"/>
                    </w:rPr>
                  </w:pPr>
                  <w:r>
                    <w:rPr>
                      <w:rFonts w:hint="eastAsia"/>
                      <w:lang w:val="en-US" w:eastAsia="zh-CN"/>
                    </w:rPr>
                    <w:t>3</w:t>
                  </w:r>
                </w:p>
              </w:tc>
              <w:tc>
                <w:tcPr>
                  <w:tcW w:w="287" w:type="pct"/>
                  <w:vAlign w:val="center"/>
                </w:tcPr>
                <w:p>
                  <w:pPr>
                    <w:pStyle w:val="22"/>
                    <w:bidi w:val="0"/>
                    <w:ind w:firstLine="0" w:firstLineChars="0"/>
                    <w:rPr>
                      <w:rFonts w:hint="eastAsia" w:ascii="Times New Roman" w:hAnsi="Times New Roman" w:eastAsia="宋体" w:cs="Times New Roman"/>
                      <w:kern w:val="2"/>
                      <w:sz w:val="21"/>
                      <w:szCs w:val="24"/>
                      <w:lang w:val="en-US" w:eastAsia="zh-CN" w:bidi="ar-SA"/>
                    </w:rPr>
                  </w:pPr>
                  <w:r>
                    <w:rPr>
                      <w:rFonts w:hint="default"/>
                      <w:lang w:val="en-US" w:eastAsia="zh-CN"/>
                    </w:rPr>
                    <w:t>85</w:t>
                  </w:r>
                  <w:r>
                    <w:rPr>
                      <w:rFonts w:hint="eastAsia"/>
                      <w:lang w:val="en-US" w:eastAsia="zh-CN"/>
                    </w:rPr>
                    <w:t>/1</w:t>
                  </w:r>
                </w:p>
              </w:tc>
              <w:tc>
                <w:tcPr>
                  <w:tcW w:w="232" w:type="pct"/>
                  <w:vMerge w:val="continue"/>
                  <w:vAlign w:val="center"/>
                </w:tcPr>
                <w:p>
                  <w:pPr>
                    <w:pStyle w:val="22"/>
                    <w:ind w:firstLine="0" w:firstLineChars="0"/>
                    <w:jc w:val="center"/>
                    <w:rPr>
                      <w:rFonts w:hint="eastAsia"/>
                      <w:lang w:val="en-US" w:eastAsia="zh-CN"/>
                    </w:rPr>
                  </w:pPr>
                </w:p>
              </w:tc>
              <w:tc>
                <w:tcPr>
                  <w:tcW w:w="193" w:type="pct"/>
                  <w:vAlign w:val="center"/>
                </w:tcPr>
                <w:p>
                  <w:pPr>
                    <w:pStyle w:val="22"/>
                    <w:ind w:firstLine="0" w:firstLineChars="0"/>
                    <w:jc w:val="center"/>
                    <w:rPr>
                      <w:rFonts w:hint="default"/>
                      <w:lang w:val="en-US" w:eastAsia="zh-CN"/>
                    </w:rPr>
                  </w:pPr>
                  <w:r>
                    <w:rPr>
                      <w:rFonts w:hint="eastAsia"/>
                      <w:lang w:val="en-US" w:eastAsia="zh-CN"/>
                    </w:rPr>
                    <w:t>24</w:t>
                  </w:r>
                </w:p>
              </w:tc>
              <w:tc>
                <w:tcPr>
                  <w:tcW w:w="193" w:type="pct"/>
                  <w:vAlign w:val="center"/>
                </w:tcPr>
                <w:p>
                  <w:pPr>
                    <w:pStyle w:val="22"/>
                    <w:ind w:firstLine="0" w:firstLineChars="0"/>
                    <w:jc w:val="center"/>
                    <w:rPr>
                      <w:rFonts w:hint="default"/>
                      <w:lang w:val="en-US" w:eastAsia="zh-CN"/>
                    </w:rPr>
                  </w:pPr>
                  <w:r>
                    <w:rPr>
                      <w:rFonts w:hint="eastAsia"/>
                      <w:lang w:val="en-US" w:eastAsia="zh-CN"/>
                    </w:rPr>
                    <w:t>98</w:t>
                  </w:r>
                </w:p>
              </w:tc>
              <w:tc>
                <w:tcPr>
                  <w:tcW w:w="125" w:type="pct"/>
                  <w:vAlign w:val="center"/>
                </w:tcPr>
                <w:p>
                  <w:pPr>
                    <w:pStyle w:val="22"/>
                    <w:bidi w:val="0"/>
                    <w:rPr>
                      <w:rFonts w:hint="eastAsia"/>
                      <w:lang w:val="en-US" w:eastAsia="zh-CN"/>
                    </w:rPr>
                  </w:pPr>
                  <w:r>
                    <w:rPr>
                      <w:rFonts w:hint="eastAsia"/>
                      <w:lang w:val="en-US" w:eastAsia="zh-CN"/>
                    </w:rPr>
                    <w:t>0</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35</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62</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71</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98</w:t>
                  </w:r>
                </w:p>
              </w:tc>
              <w:tc>
                <w:tcPr>
                  <w:tcW w:w="213" w:type="pct"/>
                  <w:vAlign w:val="center"/>
                </w:tcPr>
                <w:p>
                  <w:pPr>
                    <w:pStyle w:val="22"/>
                    <w:bidi w:val="0"/>
                    <w:jc w:val="center"/>
                    <w:rPr>
                      <w:rFonts w:hint="default"/>
                      <w:lang w:val="en-US" w:eastAsia="zh-CN"/>
                    </w:rPr>
                  </w:pPr>
                  <w:r>
                    <w:rPr>
                      <w:rFonts w:hint="default"/>
                      <w:lang w:val="en-US" w:eastAsia="zh-CN"/>
                    </w:rPr>
                    <w:t>54.1</w:t>
                  </w:r>
                </w:p>
              </w:tc>
              <w:tc>
                <w:tcPr>
                  <w:tcW w:w="213" w:type="pct"/>
                  <w:vAlign w:val="center"/>
                </w:tcPr>
                <w:p>
                  <w:pPr>
                    <w:pStyle w:val="22"/>
                    <w:bidi w:val="0"/>
                    <w:jc w:val="center"/>
                    <w:rPr>
                      <w:rFonts w:hint="default"/>
                      <w:lang w:val="en-US" w:eastAsia="zh-CN"/>
                    </w:rPr>
                  </w:pPr>
                  <w:r>
                    <w:rPr>
                      <w:rFonts w:hint="default"/>
                      <w:lang w:val="en-US" w:eastAsia="zh-CN"/>
                    </w:rPr>
                    <w:t>49.2</w:t>
                  </w:r>
                </w:p>
              </w:tc>
              <w:tc>
                <w:tcPr>
                  <w:tcW w:w="213" w:type="pct"/>
                  <w:vAlign w:val="center"/>
                </w:tcPr>
                <w:p>
                  <w:pPr>
                    <w:pStyle w:val="22"/>
                    <w:bidi w:val="0"/>
                    <w:jc w:val="center"/>
                    <w:rPr>
                      <w:rFonts w:hint="default"/>
                      <w:lang w:val="en-US" w:eastAsia="zh-CN"/>
                    </w:rPr>
                  </w:pPr>
                  <w:r>
                    <w:rPr>
                      <w:rFonts w:hint="default"/>
                      <w:lang w:val="en-US" w:eastAsia="zh-CN"/>
                    </w:rPr>
                    <w:t>48.0</w:t>
                  </w:r>
                </w:p>
              </w:tc>
              <w:tc>
                <w:tcPr>
                  <w:tcW w:w="213" w:type="pct"/>
                  <w:vAlign w:val="center"/>
                </w:tcPr>
                <w:p>
                  <w:pPr>
                    <w:pStyle w:val="22"/>
                    <w:bidi w:val="0"/>
                    <w:jc w:val="center"/>
                    <w:rPr>
                      <w:rFonts w:hint="default"/>
                      <w:lang w:val="en-US" w:eastAsia="zh-CN"/>
                    </w:rPr>
                  </w:pPr>
                  <w:r>
                    <w:rPr>
                      <w:rFonts w:hint="default"/>
                      <w:lang w:val="en-US" w:eastAsia="zh-CN"/>
                    </w:rPr>
                    <w:t>45.2</w:t>
                  </w:r>
                </w:p>
              </w:tc>
              <w:tc>
                <w:tcPr>
                  <w:tcW w:w="546" w:type="pct"/>
                  <w:vMerge w:val="continue"/>
                  <w:vAlign w:val="center"/>
                </w:tcPr>
                <w:p>
                  <w:pPr>
                    <w:pStyle w:val="22"/>
                    <w:bidi w:val="0"/>
                    <w:rPr>
                      <w:rFonts w:hint="default"/>
                      <w:lang w:val="en-US" w:eastAsia="zh-CN"/>
                    </w:rPr>
                  </w:pPr>
                </w:p>
              </w:tc>
              <w:tc>
                <w:tcPr>
                  <w:tcW w:w="155" w:type="pct"/>
                  <w:vAlign w:val="center"/>
                </w:tcPr>
                <w:p>
                  <w:pPr>
                    <w:pStyle w:val="22"/>
                    <w:bidi w:val="0"/>
                    <w:rPr>
                      <w:rFonts w:hint="default"/>
                      <w:lang w:val="en-US" w:eastAsia="zh-CN"/>
                    </w:rPr>
                  </w:pPr>
                  <w:r>
                    <w:rPr>
                      <w:rFonts w:hint="eastAsia"/>
                      <w:lang w:val="en-US" w:eastAsia="zh-CN"/>
                    </w:rPr>
                    <w:t>20</w:t>
                  </w: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159" w:type="pct"/>
                  <w:vMerge w:val="continue"/>
                  <w:vAlign w:val="center"/>
                </w:tcPr>
                <w:p>
                  <w:pPr>
                    <w:pStyle w:val="22"/>
                    <w:bidi w:val="0"/>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5" w:type="pct"/>
                  <w:vAlign w:val="center"/>
                </w:tcPr>
                <w:p>
                  <w:pPr>
                    <w:pStyle w:val="22"/>
                    <w:ind w:firstLine="0" w:firstLineChars="0"/>
                    <w:jc w:val="center"/>
                    <w:rPr>
                      <w:rFonts w:hint="default"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3</w:t>
                  </w:r>
                </w:p>
              </w:tc>
              <w:tc>
                <w:tcPr>
                  <w:tcW w:w="155" w:type="pct"/>
                  <w:vMerge w:val="continue"/>
                  <w:vAlign w:val="center"/>
                </w:tcPr>
                <w:p>
                  <w:pPr>
                    <w:pStyle w:val="22"/>
                    <w:bidi w:val="0"/>
                    <w:ind w:firstLine="0" w:firstLineChars="0"/>
                    <w:jc w:val="center"/>
                    <w:rPr>
                      <w:rFonts w:hint="eastAsia"/>
                      <w:lang w:val="en-US" w:eastAsia="zh-CN"/>
                    </w:rPr>
                  </w:pPr>
                </w:p>
              </w:tc>
              <w:tc>
                <w:tcPr>
                  <w:tcW w:w="232" w:type="pct"/>
                  <w:vAlign w:val="center"/>
                </w:tcPr>
                <w:p>
                  <w:pPr>
                    <w:pStyle w:val="22"/>
                    <w:bidi w:val="0"/>
                    <w:ind w:firstLine="0" w:firstLineChars="0"/>
                    <w:jc w:val="center"/>
                    <w:rPr>
                      <w:lang w:val="en-US" w:eastAsia="zh-CN"/>
                    </w:rPr>
                  </w:pPr>
                  <w:r>
                    <w:rPr>
                      <w:rFonts w:hint="eastAsia"/>
                      <w:lang w:val="en-US" w:eastAsia="zh-CN"/>
                    </w:rPr>
                    <w:t>315千牛四柱液压机</w:t>
                  </w:r>
                </w:p>
              </w:tc>
              <w:tc>
                <w:tcPr>
                  <w:tcW w:w="155" w:type="pct"/>
                  <w:vAlign w:val="center"/>
                </w:tcPr>
                <w:p>
                  <w:pPr>
                    <w:pStyle w:val="22"/>
                    <w:jc w:val="center"/>
                    <w:rPr>
                      <w:rFonts w:hint="eastAsia"/>
                      <w:lang w:val="en-US" w:eastAsia="zh-CN"/>
                    </w:rPr>
                  </w:pPr>
                  <w:r>
                    <w:rPr>
                      <w:rFonts w:hint="eastAsia"/>
                      <w:lang w:val="en-US" w:eastAsia="zh-CN"/>
                    </w:rPr>
                    <w:t>1</w:t>
                  </w:r>
                </w:p>
              </w:tc>
              <w:tc>
                <w:tcPr>
                  <w:tcW w:w="287" w:type="pct"/>
                  <w:vAlign w:val="center"/>
                </w:tcPr>
                <w:p>
                  <w:pPr>
                    <w:pStyle w:val="22"/>
                    <w:bidi w:val="0"/>
                    <w:ind w:firstLine="0" w:firstLineChars="0"/>
                    <w:rPr>
                      <w:rFonts w:hint="eastAsia" w:ascii="Times New Roman" w:hAnsi="Times New Roman" w:eastAsia="宋体" w:cs="Times New Roman"/>
                      <w:kern w:val="2"/>
                      <w:sz w:val="21"/>
                      <w:szCs w:val="24"/>
                      <w:lang w:val="en-US" w:eastAsia="zh-CN" w:bidi="ar-SA"/>
                    </w:rPr>
                  </w:pPr>
                  <w:r>
                    <w:rPr>
                      <w:rFonts w:hint="default"/>
                      <w:lang w:val="en-US" w:eastAsia="zh-CN"/>
                    </w:rPr>
                    <w:t>85</w:t>
                  </w:r>
                  <w:r>
                    <w:rPr>
                      <w:rFonts w:hint="eastAsia"/>
                      <w:lang w:val="en-US" w:eastAsia="zh-CN"/>
                    </w:rPr>
                    <w:t>/1</w:t>
                  </w:r>
                </w:p>
              </w:tc>
              <w:tc>
                <w:tcPr>
                  <w:tcW w:w="232" w:type="pct"/>
                  <w:vMerge w:val="continue"/>
                  <w:vAlign w:val="center"/>
                </w:tcPr>
                <w:p>
                  <w:pPr>
                    <w:pStyle w:val="22"/>
                    <w:ind w:firstLine="0" w:firstLineChars="0"/>
                    <w:jc w:val="center"/>
                    <w:rPr>
                      <w:rFonts w:hint="eastAsia"/>
                      <w:lang w:val="en-US" w:eastAsia="zh-CN"/>
                    </w:rPr>
                  </w:pPr>
                </w:p>
              </w:tc>
              <w:tc>
                <w:tcPr>
                  <w:tcW w:w="193" w:type="pct"/>
                  <w:vAlign w:val="center"/>
                </w:tcPr>
                <w:p>
                  <w:pPr>
                    <w:pStyle w:val="22"/>
                    <w:ind w:firstLine="0" w:firstLineChars="0"/>
                    <w:jc w:val="center"/>
                    <w:rPr>
                      <w:rFonts w:hint="default"/>
                      <w:lang w:val="en-US" w:eastAsia="zh-CN"/>
                    </w:rPr>
                  </w:pPr>
                  <w:r>
                    <w:rPr>
                      <w:rFonts w:hint="eastAsia"/>
                      <w:lang w:val="en-US" w:eastAsia="zh-CN"/>
                    </w:rPr>
                    <w:t>103</w:t>
                  </w:r>
                </w:p>
              </w:tc>
              <w:tc>
                <w:tcPr>
                  <w:tcW w:w="193" w:type="pct"/>
                  <w:vAlign w:val="center"/>
                </w:tcPr>
                <w:p>
                  <w:pPr>
                    <w:pStyle w:val="22"/>
                    <w:ind w:firstLine="0" w:firstLineChars="0"/>
                    <w:jc w:val="center"/>
                    <w:rPr>
                      <w:rFonts w:hint="default"/>
                      <w:lang w:val="en-US" w:eastAsia="zh-CN"/>
                    </w:rPr>
                  </w:pPr>
                  <w:r>
                    <w:rPr>
                      <w:rFonts w:hint="eastAsia"/>
                      <w:lang w:val="en-US" w:eastAsia="zh-CN"/>
                    </w:rPr>
                    <w:t>122</w:t>
                  </w:r>
                </w:p>
              </w:tc>
              <w:tc>
                <w:tcPr>
                  <w:tcW w:w="125" w:type="pct"/>
                  <w:vAlign w:val="center"/>
                </w:tcPr>
                <w:p>
                  <w:pPr>
                    <w:pStyle w:val="22"/>
                    <w:bidi w:val="0"/>
                    <w:rPr>
                      <w:rFonts w:hint="eastAsia"/>
                      <w:lang w:val="en-US" w:eastAsia="zh-CN"/>
                    </w:rPr>
                  </w:pPr>
                  <w:r>
                    <w:rPr>
                      <w:rFonts w:hint="eastAsia"/>
                      <w:lang w:val="en-US" w:eastAsia="zh-CN"/>
                    </w:rPr>
                    <w:t>0</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90</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135</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16</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25</w:t>
                  </w:r>
                </w:p>
              </w:tc>
              <w:tc>
                <w:tcPr>
                  <w:tcW w:w="213" w:type="pct"/>
                  <w:vAlign w:val="center"/>
                </w:tcPr>
                <w:p>
                  <w:pPr>
                    <w:pStyle w:val="22"/>
                    <w:bidi w:val="0"/>
                    <w:jc w:val="center"/>
                    <w:rPr>
                      <w:lang w:val="en-US" w:eastAsia="zh-CN"/>
                    </w:rPr>
                  </w:pPr>
                  <w:r>
                    <w:rPr>
                      <w:rFonts w:hint="default"/>
                      <w:lang w:val="en-US" w:eastAsia="zh-CN"/>
                    </w:rPr>
                    <w:t>45.9</w:t>
                  </w:r>
                </w:p>
              </w:tc>
              <w:tc>
                <w:tcPr>
                  <w:tcW w:w="213" w:type="pct"/>
                  <w:vAlign w:val="center"/>
                </w:tcPr>
                <w:p>
                  <w:pPr>
                    <w:pStyle w:val="22"/>
                    <w:bidi w:val="0"/>
                    <w:jc w:val="center"/>
                    <w:rPr>
                      <w:rFonts w:hint="default"/>
                      <w:lang w:val="en-US" w:eastAsia="zh-CN"/>
                    </w:rPr>
                  </w:pPr>
                  <w:r>
                    <w:rPr>
                      <w:rFonts w:hint="default"/>
                      <w:lang w:val="en-US" w:eastAsia="zh-CN"/>
                    </w:rPr>
                    <w:t>42.4</w:t>
                  </w:r>
                </w:p>
              </w:tc>
              <w:tc>
                <w:tcPr>
                  <w:tcW w:w="213" w:type="pct"/>
                  <w:vAlign w:val="center"/>
                </w:tcPr>
                <w:p>
                  <w:pPr>
                    <w:pStyle w:val="22"/>
                    <w:bidi w:val="0"/>
                    <w:jc w:val="center"/>
                    <w:rPr>
                      <w:lang w:val="en-US" w:eastAsia="zh-CN"/>
                    </w:rPr>
                  </w:pPr>
                  <w:r>
                    <w:rPr>
                      <w:rFonts w:hint="default"/>
                      <w:lang w:val="en-US" w:eastAsia="zh-CN"/>
                    </w:rPr>
                    <w:t>60.9</w:t>
                  </w:r>
                </w:p>
              </w:tc>
              <w:tc>
                <w:tcPr>
                  <w:tcW w:w="213" w:type="pct"/>
                  <w:vAlign w:val="center"/>
                </w:tcPr>
                <w:p>
                  <w:pPr>
                    <w:pStyle w:val="22"/>
                    <w:bidi w:val="0"/>
                    <w:jc w:val="center"/>
                    <w:rPr>
                      <w:rFonts w:hint="default"/>
                      <w:lang w:val="en-US" w:eastAsia="zh-CN"/>
                    </w:rPr>
                  </w:pPr>
                  <w:r>
                    <w:rPr>
                      <w:rFonts w:hint="default"/>
                      <w:lang w:val="en-US" w:eastAsia="zh-CN"/>
                    </w:rPr>
                    <w:t>57.0</w:t>
                  </w:r>
                </w:p>
              </w:tc>
              <w:tc>
                <w:tcPr>
                  <w:tcW w:w="546" w:type="pct"/>
                  <w:vMerge w:val="continue"/>
                  <w:vAlign w:val="center"/>
                </w:tcPr>
                <w:p>
                  <w:pPr>
                    <w:pStyle w:val="22"/>
                    <w:bidi w:val="0"/>
                    <w:rPr>
                      <w:rFonts w:hint="default"/>
                      <w:lang w:val="en-US" w:eastAsia="zh-CN"/>
                    </w:rPr>
                  </w:pPr>
                </w:p>
              </w:tc>
              <w:tc>
                <w:tcPr>
                  <w:tcW w:w="155" w:type="pct"/>
                  <w:vAlign w:val="center"/>
                </w:tcPr>
                <w:p>
                  <w:pPr>
                    <w:pStyle w:val="22"/>
                    <w:bidi w:val="0"/>
                    <w:rPr>
                      <w:rFonts w:hint="default"/>
                      <w:lang w:val="en-US" w:eastAsia="zh-CN"/>
                    </w:rPr>
                  </w:pPr>
                  <w:r>
                    <w:rPr>
                      <w:rFonts w:hint="eastAsia"/>
                      <w:lang w:val="en-US" w:eastAsia="zh-CN"/>
                    </w:rPr>
                    <w:t>20</w:t>
                  </w: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159" w:type="pct"/>
                  <w:vMerge w:val="continue"/>
                  <w:vAlign w:val="center"/>
                </w:tcPr>
                <w:p>
                  <w:pPr>
                    <w:pStyle w:val="22"/>
                    <w:bidi w:val="0"/>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5" w:type="pct"/>
                  <w:vAlign w:val="center"/>
                </w:tcPr>
                <w:p>
                  <w:pPr>
                    <w:pStyle w:val="22"/>
                    <w:ind w:firstLine="0" w:firstLineChars="0"/>
                    <w:jc w:val="center"/>
                    <w:rPr>
                      <w:rFonts w:hint="default"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4</w:t>
                  </w:r>
                </w:p>
              </w:tc>
              <w:tc>
                <w:tcPr>
                  <w:tcW w:w="155" w:type="pct"/>
                  <w:vMerge w:val="continue"/>
                  <w:vAlign w:val="center"/>
                </w:tcPr>
                <w:p>
                  <w:pPr>
                    <w:pStyle w:val="22"/>
                    <w:bidi w:val="0"/>
                    <w:ind w:firstLine="0" w:firstLineChars="0"/>
                    <w:jc w:val="center"/>
                    <w:rPr>
                      <w:rFonts w:hint="eastAsia"/>
                      <w:lang w:val="en-US" w:eastAsia="zh-CN"/>
                    </w:rPr>
                  </w:pPr>
                </w:p>
              </w:tc>
              <w:tc>
                <w:tcPr>
                  <w:tcW w:w="232" w:type="pct"/>
                  <w:vAlign w:val="center"/>
                </w:tcPr>
                <w:p>
                  <w:pPr>
                    <w:pStyle w:val="22"/>
                    <w:bidi w:val="0"/>
                    <w:ind w:firstLine="0" w:firstLineChars="0"/>
                    <w:jc w:val="center"/>
                    <w:rPr>
                      <w:rFonts w:hint="eastAsia"/>
                      <w:lang w:val="en-US" w:eastAsia="zh-CN"/>
                    </w:rPr>
                  </w:pPr>
                  <w:r>
                    <w:rPr>
                      <w:rFonts w:hint="eastAsia"/>
                      <w:lang w:val="en-US" w:eastAsia="zh-CN"/>
                    </w:rPr>
                    <w:t>开式固定台压力机</w:t>
                  </w:r>
                </w:p>
              </w:tc>
              <w:tc>
                <w:tcPr>
                  <w:tcW w:w="155" w:type="pct"/>
                  <w:vAlign w:val="center"/>
                </w:tcPr>
                <w:p>
                  <w:pPr>
                    <w:pStyle w:val="22"/>
                    <w:jc w:val="center"/>
                    <w:rPr>
                      <w:rFonts w:hint="default"/>
                      <w:lang w:val="en-US" w:eastAsia="zh-CN"/>
                    </w:rPr>
                  </w:pPr>
                  <w:r>
                    <w:rPr>
                      <w:rFonts w:hint="eastAsia"/>
                      <w:lang w:val="en-US" w:eastAsia="zh-CN"/>
                    </w:rPr>
                    <w:t>1</w:t>
                  </w:r>
                </w:p>
              </w:tc>
              <w:tc>
                <w:tcPr>
                  <w:tcW w:w="287" w:type="pct"/>
                  <w:vAlign w:val="center"/>
                </w:tcPr>
                <w:p>
                  <w:pPr>
                    <w:pStyle w:val="22"/>
                    <w:bidi w:val="0"/>
                    <w:ind w:firstLine="0" w:firstLineChars="0"/>
                    <w:rPr>
                      <w:rFonts w:hint="eastAsia" w:ascii="Times New Roman" w:hAnsi="Times New Roman" w:eastAsia="宋体" w:cs="Times New Roman"/>
                      <w:kern w:val="2"/>
                      <w:sz w:val="21"/>
                      <w:szCs w:val="24"/>
                      <w:lang w:val="en-US" w:eastAsia="zh-CN" w:bidi="ar-SA"/>
                    </w:rPr>
                  </w:pPr>
                  <w:r>
                    <w:rPr>
                      <w:rFonts w:hint="default"/>
                      <w:lang w:val="en-US" w:eastAsia="zh-CN"/>
                    </w:rPr>
                    <w:t>80</w:t>
                  </w:r>
                  <w:r>
                    <w:rPr>
                      <w:rFonts w:hint="eastAsia" w:ascii="Times New Roman" w:eastAsia="宋体"/>
                      <w:lang w:val="en-US" w:eastAsia="zh-CN"/>
                    </w:rPr>
                    <w:t>/1</w:t>
                  </w:r>
                </w:p>
              </w:tc>
              <w:tc>
                <w:tcPr>
                  <w:tcW w:w="232" w:type="pct"/>
                  <w:vMerge w:val="continue"/>
                  <w:vAlign w:val="center"/>
                </w:tcPr>
                <w:p>
                  <w:pPr>
                    <w:pStyle w:val="22"/>
                    <w:ind w:firstLine="0" w:firstLineChars="0"/>
                    <w:jc w:val="center"/>
                    <w:rPr>
                      <w:rFonts w:hint="eastAsia"/>
                      <w:lang w:val="en-US" w:eastAsia="zh-CN"/>
                    </w:rPr>
                  </w:pPr>
                </w:p>
              </w:tc>
              <w:tc>
                <w:tcPr>
                  <w:tcW w:w="193" w:type="pct"/>
                  <w:vAlign w:val="center"/>
                </w:tcPr>
                <w:p>
                  <w:pPr>
                    <w:pStyle w:val="22"/>
                    <w:ind w:firstLine="0" w:firstLineChars="0"/>
                    <w:jc w:val="center"/>
                    <w:rPr>
                      <w:rFonts w:hint="default"/>
                      <w:lang w:val="en-US" w:eastAsia="zh-CN"/>
                    </w:rPr>
                  </w:pPr>
                  <w:r>
                    <w:rPr>
                      <w:rFonts w:hint="eastAsia"/>
                      <w:lang w:val="en-US" w:eastAsia="zh-CN"/>
                    </w:rPr>
                    <w:t>89</w:t>
                  </w:r>
                </w:p>
              </w:tc>
              <w:tc>
                <w:tcPr>
                  <w:tcW w:w="193" w:type="pct"/>
                  <w:vAlign w:val="center"/>
                </w:tcPr>
                <w:p>
                  <w:pPr>
                    <w:pStyle w:val="22"/>
                    <w:ind w:firstLine="0" w:firstLineChars="0"/>
                    <w:jc w:val="center"/>
                    <w:rPr>
                      <w:rFonts w:hint="default"/>
                      <w:lang w:val="en-US" w:eastAsia="zh-CN"/>
                    </w:rPr>
                  </w:pPr>
                  <w:r>
                    <w:rPr>
                      <w:rFonts w:hint="eastAsia"/>
                      <w:lang w:val="en-US" w:eastAsia="zh-CN"/>
                    </w:rPr>
                    <w:t>119</w:t>
                  </w:r>
                </w:p>
              </w:tc>
              <w:tc>
                <w:tcPr>
                  <w:tcW w:w="125" w:type="pct"/>
                  <w:vAlign w:val="center"/>
                </w:tcPr>
                <w:p>
                  <w:pPr>
                    <w:pStyle w:val="22"/>
                    <w:bidi w:val="0"/>
                    <w:rPr>
                      <w:rFonts w:hint="eastAsia"/>
                      <w:lang w:val="en-US" w:eastAsia="zh-CN"/>
                    </w:rPr>
                  </w:pPr>
                  <w:r>
                    <w:rPr>
                      <w:rFonts w:hint="eastAsia"/>
                      <w:lang w:val="en-US" w:eastAsia="zh-CN"/>
                    </w:rPr>
                    <w:t>0</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59</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89</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47</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71</w:t>
                  </w:r>
                </w:p>
              </w:tc>
              <w:tc>
                <w:tcPr>
                  <w:tcW w:w="213" w:type="pct"/>
                  <w:vAlign w:val="center"/>
                </w:tcPr>
                <w:p>
                  <w:pPr>
                    <w:pStyle w:val="22"/>
                    <w:bidi w:val="0"/>
                    <w:jc w:val="center"/>
                  </w:pPr>
                  <w:r>
                    <w:rPr>
                      <w:rFonts w:hint="default"/>
                      <w:lang w:val="en-US" w:eastAsia="zh-CN"/>
                    </w:rPr>
                    <w:t>44.6</w:t>
                  </w:r>
                </w:p>
              </w:tc>
              <w:tc>
                <w:tcPr>
                  <w:tcW w:w="213" w:type="pct"/>
                  <w:vAlign w:val="center"/>
                </w:tcPr>
                <w:p>
                  <w:pPr>
                    <w:pStyle w:val="22"/>
                    <w:bidi w:val="0"/>
                    <w:jc w:val="center"/>
                  </w:pPr>
                  <w:r>
                    <w:rPr>
                      <w:rFonts w:hint="default"/>
                      <w:lang w:val="en-US" w:eastAsia="zh-CN"/>
                    </w:rPr>
                    <w:t>41.0</w:t>
                  </w:r>
                </w:p>
              </w:tc>
              <w:tc>
                <w:tcPr>
                  <w:tcW w:w="213" w:type="pct"/>
                  <w:vAlign w:val="center"/>
                </w:tcPr>
                <w:p>
                  <w:pPr>
                    <w:pStyle w:val="22"/>
                    <w:bidi w:val="0"/>
                    <w:jc w:val="center"/>
                  </w:pPr>
                  <w:r>
                    <w:rPr>
                      <w:rFonts w:hint="default"/>
                      <w:lang w:val="en-US" w:eastAsia="zh-CN"/>
                    </w:rPr>
                    <w:t>46.6</w:t>
                  </w:r>
                </w:p>
              </w:tc>
              <w:tc>
                <w:tcPr>
                  <w:tcW w:w="213" w:type="pct"/>
                  <w:vAlign w:val="center"/>
                </w:tcPr>
                <w:p>
                  <w:pPr>
                    <w:pStyle w:val="22"/>
                    <w:bidi w:val="0"/>
                    <w:jc w:val="center"/>
                  </w:pPr>
                  <w:r>
                    <w:rPr>
                      <w:rFonts w:hint="default"/>
                      <w:lang w:val="en-US" w:eastAsia="zh-CN"/>
                    </w:rPr>
                    <w:t>43.0</w:t>
                  </w:r>
                </w:p>
              </w:tc>
              <w:tc>
                <w:tcPr>
                  <w:tcW w:w="546" w:type="pct"/>
                  <w:vMerge w:val="continue"/>
                  <w:vAlign w:val="center"/>
                </w:tcPr>
                <w:p>
                  <w:pPr>
                    <w:pStyle w:val="22"/>
                    <w:bidi w:val="0"/>
                    <w:rPr>
                      <w:rFonts w:hint="default"/>
                      <w:lang w:val="en-US" w:eastAsia="zh-CN"/>
                    </w:rPr>
                  </w:pPr>
                </w:p>
              </w:tc>
              <w:tc>
                <w:tcPr>
                  <w:tcW w:w="155" w:type="pct"/>
                  <w:vAlign w:val="center"/>
                </w:tcPr>
                <w:p>
                  <w:pPr>
                    <w:pStyle w:val="22"/>
                    <w:bidi w:val="0"/>
                    <w:rPr>
                      <w:rFonts w:hint="default"/>
                      <w:lang w:val="en-US" w:eastAsia="zh-CN"/>
                    </w:rPr>
                  </w:pPr>
                  <w:r>
                    <w:rPr>
                      <w:rFonts w:hint="eastAsia"/>
                      <w:lang w:val="en-US" w:eastAsia="zh-CN"/>
                    </w:rPr>
                    <w:t>20</w:t>
                  </w: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159" w:type="pct"/>
                  <w:vMerge w:val="continue"/>
                  <w:vAlign w:val="center"/>
                </w:tcPr>
                <w:p>
                  <w:pPr>
                    <w:pStyle w:val="22"/>
                    <w:bidi w:val="0"/>
                    <w:rPr>
                      <w:rFonts w:hint="default"/>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5" w:type="pct"/>
                  <w:vAlign w:val="center"/>
                </w:tcPr>
                <w:p>
                  <w:pPr>
                    <w:pStyle w:val="22"/>
                    <w:bidi w:val="0"/>
                    <w:ind w:firstLine="0" w:firstLineChars="0"/>
                    <w:jc w:val="center"/>
                    <w:rPr>
                      <w:rFonts w:hint="default"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5</w:t>
                  </w:r>
                </w:p>
              </w:tc>
              <w:tc>
                <w:tcPr>
                  <w:tcW w:w="155" w:type="pct"/>
                  <w:vMerge w:val="continue"/>
                  <w:vAlign w:val="center"/>
                </w:tcPr>
                <w:p>
                  <w:pPr>
                    <w:pStyle w:val="22"/>
                    <w:bidi w:val="0"/>
                    <w:ind w:firstLine="0" w:firstLineChars="0"/>
                    <w:jc w:val="center"/>
                    <w:rPr>
                      <w:rFonts w:hint="eastAsia"/>
                      <w:lang w:val="en-US" w:eastAsia="zh-CN"/>
                    </w:rPr>
                  </w:pPr>
                </w:p>
              </w:tc>
              <w:tc>
                <w:tcPr>
                  <w:tcW w:w="232" w:type="pct"/>
                  <w:vAlign w:val="center"/>
                </w:tcPr>
                <w:p>
                  <w:pPr>
                    <w:pStyle w:val="22"/>
                    <w:bidi w:val="0"/>
                    <w:ind w:firstLine="0" w:firstLineChars="0"/>
                    <w:jc w:val="center"/>
                    <w:rPr>
                      <w:rFonts w:hint="eastAsia"/>
                      <w:lang w:val="en-US" w:eastAsia="zh-CN"/>
                    </w:rPr>
                  </w:pPr>
                  <w:r>
                    <w:rPr>
                      <w:rFonts w:hint="eastAsia"/>
                      <w:lang w:val="en-US" w:eastAsia="zh-CN"/>
                    </w:rPr>
                    <w:t>手摇数显平面磨床</w:t>
                  </w:r>
                </w:p>
              </w:tc>
              <w:tc>
                <w:tcPr>
                  <w:tcW w:w="155" w:type="pct"/>
                  <w:vAlign w:val="center"/>
                </w:tcPr>
                <w:p>
                  <w:pPr>
                    <w:pStyle w:val="22"/>
                    <w:bidi w:val="0"/>
                    <w:ind w:firstLine="0" w:firstLineChars="0"/>
                    <w:jc w:val="center"/>
                    <w:rPr>
                      <w:rFonts w:hint="eastAsia"/>
                      <w:lang w:val="en-US" w:eastAsia="zh-CN"/>
                    </w:rPr>
                  </w:pPr>
                  <w:r>
                    <w:rPr>
                      <w:rFonts w:hint="eastAsia"/>
                      <w:lang w:val="en-US" w:eastAsia="zh-CN"/>
                    </w:rPr>
                    <w:t>1</w:t>
                  </w:r>
                </w:p>
              </w:tc>
              <w:tc>
                <w:tcPr>
                  <w:tcW w:w="287" w:type="pct"/>
                  <w:vAlign w:val="center"/>
                </w:tcPr>
                <w:p>
                  <w:pPr>
                    <w:pStyle w:val="22"/>
                    <w:bidi w:val="0"/>
                    <w:ind w:firstLine="0" w:firstLineChars="0"/>
                    <w:rPr>
                      <w:rFonts w:hint="eastAsia" w:ascii="Times New Roman" w:hAnsi="Times New Roman" w:eastAsia="宋体" w:cs="Times New Roman"/>
                      <w:kern w:val="2"/>
                      <w:sz w:val="21"/>
                      <w:szCs w:val="24"/>
                      <w:lang w:val="en-US" w:eastAsia="zh-CN" w:bidi="ar-SA"/>
                    </w:rPr>
                  </w:pPr>
                  <w:r>
                    <w:rPr>
                      <w:rFonts w:hint="default"/>
                      <w:lang w:val="en-US" w:eastAsia="zh-CN"/>
                    </w:rPr>
                    <w:t>80</w:t>
                  </w:r>
                  <w:r>
                    <w:rPr>
                      <w:rFonts w:hint="eastAsia"/>
                      <w:lang w:val="en-US" w:eastAsia="zh-CN"/>
                    </w:rPr>
                    <w:t>/1</w:t>
                  </w:r>
                </w:p>
              </w:tc>
              <w:tc>
                <w:tcPr>
                  <w:tcW w:w="232" w:type="pct"/>
                  <w:vMerge w:val="continue"/>
                  <w:vAlign w:val="center"/>
                </w:tcPr>
                <w:p>
                  <w:pPr>
                    <w:pStyle w:val="22"/>
                    <w:jc w:val="center"/>
                    <w:rPr>
                      <w:rFonts w:hint="eastAsia"/>
                      <w:lang w:val="en-US" w:eastAsia="zh-CN"/>
                    </w:rPr>
                  </w:pPr>
                </w:p>
              </w:tc>
              <w:tc>
                <w:tcPr>
                  <w:tcW w:w="193" w:type="pct"/>
                  <w:vAlign w:val="center"/>
                </w:tcPr>
                <w:p>
                  <w:pPr>
                    <w:pStyle w:val="22"/>
                    <w:jc w:val="center"/>
                    <w:rPr>
                      <w:rFonts w:hint="default"/>
                      <w:lang w:val="en-US" w:eastAsia="zh-CN"/>
                    </w:rPr>
                  </w:pPr>
                  <w:r>
                    <w:rPr>
                      <w:rFonts w:hint="eastAsia"/>
                      <w:lang w:val="en-US" w:eastAsia="zh-CN"/>
                    </w:rPr>
                    <w:t>26</w:t>
                  </w:r>
                </w:p>
              </w:tc>
              <w:tc>
                <w:tcPr>
                  <w:tcW w:w="193" w:type="pct"/>
                  <w:vAlign w:val="center"/>
                </w:tcPr>
                <w:p>
                  <w:pPr>
                    <w:pStyle w:val="22"/>
                    <w:jc w:val="center"/>
                    <w:rPr>
                      <w:rFonts w:hint="default"/>
                      <w:lang w:val="en-US" w:eastAsia="zh-CN"/>
                    </w:rPr>
                  </w:pPr>
                  <w:r>
                    <w:rPr>
                      <w:rFonts w:hint="eastAsia"/>
                      <w:lang w:val="en-US" w:eastAsia="zh-CN"/>
                    </w:rPr>
                    <w:t>89</w:t>
                  </w:r>
                </w:p>
              </w:tc>
              <w:tc>
                <w:tcPr>
                  <w:tcW w:w="125" w:type="pct"/>
                  <w:vAlign w:val="center"/>
                </w:tcPr>
                <w:p>
                  <w:pPr>
                    <w:pStyle w:val="22"/>
                    <w:bidi w:val="0"/>
                    <w:rPr>
                      <w:rFonts w:hint="eastAsia"/>
                      <w:lang w:val="en-US" w:eastAsia="zh-CN"/>
                    </w:rPr>
                  </w:pPr>
                  <w:r>
                    <w:rPr>
                      <w:rFonts w:hint="eastAsia"/>
                      <w:lang w:val="en-US" w:eastAsia="zh-CN"/>
                    </w:rPr>
                    <w:t>0</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81</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52</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25</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108</w:t>
                  </w:r>
                </w:p>
              </w:tc>
              <w:tc>
                <w:tcPr>
                  <w:tcW w:w="213" w:type="pct"/>
                  <w:vAlign w:val="center"/>
                </w:tcPr>
                <w:p>
                  <w:pPr>
                    <w:pStyle w:val="22"/>
                    <w:bidi w:val="0"/>
                    <w:jc w:val="center"/>
                    <w:rPr>
                      <w:rFonts w:hint="default"/>
                      <w:lang w:val="en-US" w:eastAsia="zh-CN"/>
                    </w:rPr>
                  </w:pPr>
                  <w:r>
                    <w:rPr>
                      <w:rFonts w:hint="default"/>
                      <w:lang w:val="en-US" w:eastAsia="zh-CN"/>
                    </w:rPr>
                    <w:t>41.8</w:t>
                  </w:r>
                </w:p>
              </w:tc>
              <w:tc>
                <w:tcPr>
                  <w:tcW w:w="213" w:type="pct"/>
                  <w:vAlign w:val="center"/>
                </w:tcPr>
                <w:p>
                  <w:pPr>
                    <w:pStyle w:val="22"/>
                    <w:bidi w:val="0"/>
                    <w:jc w:val="center"/>
                    <w:rPr>
                      <w:rFonts w:hint="default"/>
                      <w:lang w:val="en-US" w:eastAsia="zh-CN"/>
                    </w:rPr>
                  </w:pPr>
                  <w:r>
                    <w:rPr>
                      <w:rFonts w:hint="default"/>
                      <w:lang w:val="en-US" w:eastAsia="zh-CN"/>
                    </w:rPr>
                    <w:t>45.7</w:t>
                  </w:r>
                </w:p>
              </w:tc>
              <w:tc>
                <w:tcPr>
                  <w:tcW w:w="213" w:type="pct"/>
                  <w:vAlign w:val="center"/>
                </w:tcPr>
                <w:p>
                  <w:pPr>
                    <w:pStyle w:val="22"/>
                    <w:bidi w:val="0"/>
                    <w:jc w:val="center"/>
                    <w:rPr>
                      <w:rFonts w:hint="default"/>
                      <w:lang w:val="en-US" w:eastAsia="zh-CN"/>
                    </w:rPr>
                  </w:pPr>
                  <w:r>
                    <w:rPr>
                      <w:rFonts w:hint="default"/>
                      <w:lang w:val="en-US" w:eastAsia="zh-CN"/>
                    </w:rPr>
                    <w:t>52.0</w:t>
                  </w:r>
                </w:p>
              </w:tc>
              <w:tc>
                <w:tcPr>
                  <w:tcW w:w="213" w:type="pct"/>
                  <w:vAlign w:val="center"/>
                </w:tcPr>
                <w:p>
                  <w:pPr>
                    <w:pStyle w:val="22"/>
                    <w:bidi w:val="0"/>
                    <w:jc w:val="center"/>
                    <w:rPr>
                      <w:rFonts w:hint="default"/>
                      <w:lang w:val="en-US" w:eastAsia="zh-CN"/>
                    </w:rPr>
                  </w:pPr>
                  <w:r>
                    <w:rPr>
                      <w:rFonts w:hint="default"/>
                      <w:lang w:val="en-US" w:eastAsia="zh-CN"/>
                    </w:rPr>
                    <w:t>39.3</w:t>
                  </w:r>
                </w:p>
              </w:tc>
              <w:tc>
                <w:tcPr>
                  <w:tcW w:w="546" w:type="pct"/>
                  <w:vMerge w:val="continue"/>
                  <w:vAlign w:val="center"/>
                </w:tcPr>
                <w:p>
                  <w:pPr>
                    <w:pStyle w:val="22"/>
                    <w:bidi w:val="0"/>
                    <w:rPr>
                      <w:rFonts w:hint="default"/>
                      <w:lang w:val="en-US" w:eastAsia="zh-CN"/>
                    </w:rPr>
                  </w:pPr>
                </w:p>
              </w:tc>
              <w:tc>
                <w:tcPr>
                  <w:tcW w:w="155" w:type="pct"/>
                  <w:vAlign w:val="center"/>
                </w:tcPr>
                <w:p>
                  <w:pPr>
                    <w:pStyle w:val="22"/>
                    <w:bidi w:val="0"/>
                    <w:rPr>
                      <w:rFonts w:hint="default"/>
                      <w:lang w:val="en-US" w:eastAsia="zh-CN"/>
                    </w:rPr>
                  </w:pPr>
                  <w:r>
                    <w:rPr>
                      <w:rFonts w:hint="eastAsia"/>
                      <w:lang w:val="en-US" w:eastAsia="zh-CN"/>
                    </w:rPr>
                    <w:t>20</w:t>
                  </w: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159" w:type="pct"/>
                  <w:vMerge w:val="continue"/>
                  <w:vAlign w:val="center"/>
                </w:tcPr>
                <w:p>
                  <w:pPr>
                    <w:pStyle w:val="22"/>
                    <w:bidi w:val="0"/>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5" w:type="pct"/>
                  <w:vAlign w:val="center"/>
                </w:tcPr>
                <w:p>
                  <w:pPr>
                    <w:pStyle w:val="22"/>
                    <w:bidi w:val="0"/>
                    <w:ind w:firstLine="0" w:firstLineChars="0"/>
                    <w:jc w:val="center"/>
                    <w:rPr>
                      <w:rFonts w:hint="default"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6</w:t>
                  </w:r>
                </w:p>
              </w:tc>
              <w:tc>
                <w:tcPr>
                  <w:tcW w:w="155" w:type="pct"/>
                  <w:vMerge w:val="continue"/>
                  <w:vAlign w:val="center"/>
                </w:tcPr>
                <w:p>
                  <w:pPr>
                    <w:pStyle w:val="22"/>
                    <w:bidi w:val="0"/>
                    <w:ind w:firstLine="0" w:firstLineChars="0"/>
                    <w:jc w:val="center"/>
                    <w:rPr>
                      <w:rFonts w:hint="eastAsia"/>
                      <w:lang w:val="en-US" w:eastAsia="zh-CN"/>
                    </w:rPr>
                  </w:pPr>
                </w:p>
              </w:tc>
              <w:tc>
                <w:tcPr>
                  <w:tcW w:w="232" w:type="pct"/>
                  <w:vAlign w:val="center"/>
                </w:tcPr>
                <w:p>
                  <w:pPr>
                    <w:pStyle w:val="22"/>
                    <w:bidi w:val="0"/>
                    <w:ind w:firstLine="0" w:firstLineChars="0"/>
                    <w:jc w:val="center"/>
                    <w:rPr>
                      <w:rFonts w:hint="eastAsia"/>
                      <w:lang w:val="en-US" w:eastAsia="zh-CN"/>
                    </w:rPr>
                  </w:pPr>
                  <w:r>
                    <w:rPr>
                      <w:rFonts w:hint="eastAsia"/>
                      <w:lang w:val="en-US" w:eastAsia="zh-CN"/>
                    </w:rPr>
                    <w:t>卧式车床</w:t>
                  </w:r>
                </w:p>
              </w:tc>
              <w:tc>
                <w:tcPr>
                  <w:tcW w:w="155" w:type="pct"/>
                  <w:vAlign w:val="center"/>
                </w:tcPr>
                <w:p>
                  <w:pPr>
                    <w:pStyle w:val="22"/>
                    <w:bidi w:val="0"/>
                    <w:ind w:firstLine="0" w:firstLineChars="0"/>
                    <w:jc w:val="center"/>
                    <w:rPr>
                      <w:rFonts w:hint="eastAsia"/>
                      <w:lang w:val="en-US" w:eastAsia="zh-CN"/>
                    </w:rPr>
                  </w:pPr>
                  <w:r>
                    <w:rPr>
                      <w:rFonts w:hint="eastAsia"/>
                      <w:lang w:val="en-US" w:eastAsia="zh-CN"/>
                    </w:rPr>
                    <w:t>1</w:t>
                  </w:r>
                </w:p>
              </w:tc>
              <w:tc>
                <w:tcPr>
                  <w:tcW w:w="287" w:type="pct"/>
                  <w:vAlign w:val="center"/>
                </w:tcPr>
                <w:p>
                  <w:pPr>
                    <w:pStyle w:val="22"/>
                    <w:bidi w:val="0"/>
                    <w:ind w:firstLine="0" w:firstLineChars="0"/>
                    <w:rPr>
                      <w:rFonts w:hint="eastAsia" w:ascii="Times New Roman" w:hAnsi="Times New Roman" w:eastAsia="宋体" w:cs="Times New Roman"/>
                      <w:kern w:val="2"/>
                      <w:sz w:val="21"/>
                      <w:szCs w:val="24"/>
                      <w:lang w:val="en-US" w:eastAsia="zh-CN" w:bidi="ar-SA"/>
                    </w:rPr>
                  </w:pPr>
                  <w:r>
                    <w:rPr>
                      <w:rFonts w:hint="default"/>
                      <w:lang w:val="en-US" w:eastAsia="zh-CN"/>
                    </w:rPr>
                    <w:t>75</w:t>
                  </w:r>
                  <w:r>
                    <w:rPr>
                      <w:rFonts w:hint="eastAsia"/>
                      <w:lang w:val="en-US" w:eastAsia="zh-CN"/>
                    </w:rPr>
                    <w:t>/1</w:t>
                  </w:r>
                </w:p>
              </w:tc>
              <w:tc>
                <w:tcPr>
                  <w:tcW w:w="232" w:type="pct"/>
                  <w:vMerge w:val="continue"/>
                  <w:vAlign w:val="center"/>
                </w:tcPr>
                <w:p>
                  <w:pPr>
                    <w:pStyle w:val="22"/>
                    <w:ind w:firstLine="0" w:firstLineChars="0"/>
                    <w:jc w:val="center"/>
                    <w:rPr>
                      <w:rFonts w:hint="eastAsia"/>
                      <w:lang w:val="en-US" w:eastAsia="zh-CN"/>
                    </w:rPr>
                  </w:pPr>
                </w:p>
              </w:tc>
              <w:tc>
                <w:tcPr>
                  <w:tcW w:w="193" w:type="pct"/>
                  <w:vAlign w:val="center"/>
                </w:tcPr>
                <w:p>
                  <w:pPr>
                    <w:pStyle w:val="22"/>
                    <w:ind w:firstLine="0" w:firstLineChars="0"/>
                    <w:jc w:val="center"/>
                    <w:rPr>
                      <w:rFonts w:hint="default"/>
                      <w:lang w:val="en-US" w:eastAsia="zh-CN"/>
                    </w:rPr>
                  </w:pPr>
                  <w:r>
                    <w:rPr>
                      <w:rFonts w:hint="eastAsia"/>
                      <w:lang w:val="en-US" w:eastAsia="zh-CN"/>
                    </w:rPr>
                    <w:t>27</w:t>
                  </w:r>
                </w:p>
              </w:tc>
              <w:tc>
                <w:tcPr>
                  <w:tcW w:w="193" w:type="pct"/>
                  <w:vAlign w:val="center"/>
                </w:tcPr>
                <w:p>
                  <w:pPr>
                    <w:pStyle w:val="22"/>
                    <w:ind w:firstLine="0" w:firstLineChars="0"/>
                    <w:jc w:val="center"/>
                    <w:rPr>
                      <w:rFonts w:hint="default"/>
                      <w:lang w:val="en-US" w:eastAsia="zh-CN"/>
                    </w:rPr>
                  </w:pPr>
                  <w:r>
                    <w:rPr>
                      <w:rFonts w:hint="eastAsia"/>
                      <w:lang w:val="en-US" w:eastAsia="zh-CN"/>
                    </w:rPr>
                    <w:t>83</w:t>
                  </w:r>
                </w:p>
              </w:tc>
              <w:tc>
                <w:tcPr>
                  <w:tcW w:w="125" w:type="pct"/>
                  <w:vAlign w:val="center"/>
                </w:tcPr>
                <w:p>
                  <w:pPr>
                    <w:pStyle w:val="22"/>
                    <w:bidi w:val="0"/>
                    <w:rPr>
                      <w:rFonts w:hint="eastAsia"/>
                      <w:lang w:val="en-US" w:eastAsia="zh-CN"/>
                    </w:rPr>
                  </w:pPr>
                  <w:r>
                    <w:rPr>
                      <w:rFonts w:hint="eastAsia"/>
                      <w:lang w:val="en-US" w:eastAsia="zh-CN"/>
                    </w:rPr>
                    <w:t>0</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78</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52</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22</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108</w:t>
                  </w:r>
                </w:p>
              </w:tc>
              <w:tc>
                <w:tcPr>
                  <w:tcW w:w="213" w:type="pct"/>
                  <w:vAlign w:val="center"/>
                </w:tcPr>
                <w:p>
                  <w:pPr>
                    <w:pStyle w:val="22"/>
                    <w:bidi w:val="0"/>
                    <w:jc w:val="center"/>
                    <w:rPr>
                      <w:rFonts w:hint="default"/>
                      <w:lang w:val="en-US" w:eastAsia="zh-CN"/>
                    </w:rPr>
                  </w:pPr>
                  <w:r>
                    <w:rPr>
                      <w:rFonts w:hint="default"/>
                      <w:lang w:val="en-US" w:eastAsia="zh-CN"/>
                    </w:rPr>
                    <w:t>37.2</w:t>
                  </w:r>
                </w:p>
              </w:tc>
              <w:tc>
                <w:tcPr>
                  <w:tcW w:w="213" w:type="pct"/>
                  <w:vAlign w:val="center"/>
                </w:tcPr>
                <w:p>
                  <w:pPr>
                    <w:pStyle w:val="22"/>
                    <w:bidi w:val="0"/>
                    <w:jc w:val="center"/>
                    <w:rPr>
                      <w:rFonts w:hint="default"/>
                      <w:lang w:val="en-US" w:eastAsia="zh-CN"/>
                    </w:rPr>
                  </w:pPr>
                  <w:r>
                    <w:rPr>
                      <w:rFonts w:hint="default"/>
                      <w:lang w:val="en-US" w:eastAsia="zh-CN"/>
                    </w:rPr>
                    <w:t>40.7</w:t>
                  </w:r>
                </w:p>
              </w:tc>
              <w:tc>
                <w:tcPr>
                  <w:tcW w:w="213" w:type="pct"/>
                  <w:vAlign w:val="center"/>
                </w:tcPr>
                <w:p>
                  <w:pPr>
                    <w:pStyle w:val="22"/>
                    <w:bidi w:val="0"/>
                    <w:jc w:val="center"/>
                    <w:rPr>
                      <w:rFonts w:hint="default"/>
                      <w:lang w:val="en-US" w:eastAsia="zh-CN"/>
                    </w:rPr>
                  </w:pPr>
                  <w:r>
                    <w:rPr>
                      <w:rFonts w:hint="default"/>
                      <w:lang w:val="en-US" w:eastAsia="zh-CN"/>
                    </w:rPr>
                    <w:t>48.2</w:t>
                  </w:r>
                </w:p>
              </w:tc>
              <w:tc>
                <w:tcPr>
                  <w:tcW w:w="213" w:type="pct"/>
                  <w:vAlign w:val="center"/>
                </w:tcPr>
                <w:p>
                  <w:pPr>
                    <w:pStyle w:val="22"/>
                    <w:bidi w:val="0"/>
                    <w:jc w:val="center"/>
                    <w:rPr>
                      <w:rFonts w:hint="default"/>
                      <w:lang w:val="en-US" w:eastAsia="zh-CN"/>
                    </w:rPr>
                  </w:pPr>
                  <w:r>
                    <w:rPr>
                      <w:rFonts w:hint="default"/>
                      <w:lang w:val="en-US" w:eastAsia="zh-CN"/>
                    </w:rPr>
                    <w:t>34.3</w:t>
                  </w:r>
                </w:p>
              </w:tc>
              <w:tc>
                <w:tcPr>
                  <w:tcW w:w="546" w:type="pct"/>
                  <w:vMerge w:val="continue"/>
                  <w:vAlign w:val="center"/>
                </w:tcPr>
                <w:p>
                  <w:pPr>
                    <w:pStyle w:val="22"/>
                    <w:bidi w:val="0"/>
                    <w:rPr>
                      <w:rFonts w:hint="default"/>
                      <w:lang w:val="en-US" w:eastAsia="zh-CN"/>
                    </w:rPr>
                  </w:pPr>
                </w:p>
              </w:tc>
              <w:tc>
                <w:tcPr>
                  <w:tcW w:w="155" w:type="pct"/>
                  <w:vAlign w:val="center"/>
                </w:tcPr>
                <w:p>
                  <w:pPr>
                    <w:pStyle w:val="22"/>
                    <w:bidi w:val="0"/>
                    <w:rPr>
                      <w:rFonts w:hint="default"/>
                      <w:lang w:val="en-US" w:eastAsia="zh-CN"/>
                    </w:rPr>
                  </w:pPr>
                  <w:r>
                    <w:rPr>
                      <w:rFonts w:hint="eastAsia"/>
                      <w:lang w:val="en-US" w:eastAsia="zh-CN"/>
                    </w:rPr>
                    <w:t>20</w:t>
                  </w: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159" w:type="pct"/>
                  <w:vMerge w:val="continue"/>
                  <w:vAlign w:val="center"/>
                </w:tcPr>
                <w:p>
                  <w:pPr>
                    <w:pStyle w:val="22"/>
                    <w:bidi w:val="0"/>
                    <w:rPr>
                      <w:rFonts w:hint="default"/>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5" w:type="pct"/>
                  <w:vAlign w:val="center"/>
                </w:tcPr>
                <w:p>
                  <w:pPr>
                    <w:pStyle w:val="22"/>
                    <w:bidi w:val="0"/>
                    <w:ind w:firstLine="0" w:firstLineChars="0"/>
                    <w:jc w:val="center"/>
                    <w:rPr>
                      <w:rFonts w:hint="default"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7</w:t>
                  </w:r>
                </w:p>
              </w:tc>
              <w:tc>
                <w:tcPr>
                  <w:tcW w:w="155" w:type="pct"/>
                  <w:vMerge w:val="continue"/>
                  <w:vAlign w:val="center"/>
                </w:tcPr>
                <w:p>
                  <w:pPr>
                    <w:pStyle w:val="22"/>
                    <w:bidi w:val="0"/>
                    <w:ind w:firstLine="0" w:firstLineChars="0"/>
                    <w:jc w:val="center"/>
                    <w:rPr>
                      <w:rFonts w:hint="eastAsia"/>
                      <w:lang w:val="en-US" w:eastAsia="zh-CN"/>
                    </w:rPr>
                  </w:pPr>
                </w:p>
              </w:tc>
              <w:tc>
                <w:tcPr>
                  <w:tcW w:w="232" w:type="pct"/>
                  <w:vAlign w:val="center"/>
                </w:tcPr>
                <w:p>
                  <w:pPr>
                    <w:pStyle w:val="22"/>
                    <w:bidi w:val="0"/>
                    <w:ind w:firstLine="0" w:firstLineChars="0"/>
                    <w:jc w:val="center"/>
                    <w:rPr>
                      <w:rFonts w:hint="eastAsia"/>
                      <w:lang w:val="en-US" w:eastAsia="zh-CN"/>
                    </w:rPr>
                  </w:pPr>
                  <w:r>
                    <w:rPr>
                      <w:rFonts w:hint="eastAsia"/>
                      <w:lang w:val="en-US" w:eastAsia="zh-CN"/>
                    </w:rPr>
                    <w:t>摇臂钻床</w:t>
                  </w:r>
                </w:p>
              </w:tc>
              <w:tc>
                <w:tcPr>
                  <w:tcW w:w="155" w:type="pct"/>
                  <w:vAlign w:val="center"/>
                </w:tcPr>
                <w:p>
                  <w:pPr>
                    <w:pStyle w:val="22"/>
                    <w:bidi w:val="0"/>
                    <w:ind w:firstLine="0" w:firstLineChars="0"/>
                    <w:jc w:val="center"/>
                    <w:rPr>
                      <w:rFonts w:hint="eastAsia"/>
                      <w:lang w:val="en-US" w:eastAsia="zh-CN"/>
                    </w:rPr>
                  </w:pPr>
                  <w:r>
                    <w:rPr>
                      <w:rFonts w:hint="eastAsia"/>
                      <w:lang w:val="en-US" w:eastAsia="zh-CN"/>
                    </w:rPr>
                    <w:t>3</w:t>
                  </w:r>
                </w:p>
              </w:tc>
              <w:tc>
                <w:tcPr>
                  <w:tcW w:w="287" w:type="pct"/>
                  <w:vAlign w:val="center"/>
                </w:tcPr>
                <w:p>
                  <w:pPr>
                    <w:pStyle w:val="22"/>
                    <w:bidi w:val="0"/>
                    <w:ind w:firstLine="0" w:firstLineChars="0"/>
                    <w:rPr>
                      <w:rFonts w:hint="eastAsia" w:ascii="Times New Roman" w:hAnsi="Times New Roman" w:eastAsia="宋体" w:cs="Times New Roman"/>
                      <w:kern w:val="2"/>
                      <w:sz w:val="21"/>
                      <w:szCs w:val="24"/>
                      <w:lang w:val="en-US" w:eastAsia="zh-CN" w:bidi="ar-SA"/>
                    </w:rPr>
                  </w:pPr>
                  <w:r>
                    <w:rPr>
                      <w:rFonts w:hint="default"/>
                      <w:lang w:val="en-US" w:eastAsia="zh-CN"/>
                    </w:rPr>
                    <w:t>78</w:t>
                  </w:r>
                  <w:r>
                    <w:rPr>
                      <w:rFonts w:hint="eastAsia"/>
                      <w:lang w:val="en-US" w:eastAsia="zh-CN"/>
                    </w:rPr>
                    <w:t>/1</w:t>
                  </w:r>
                </w:p>
              </w:tc>
              <w:tc>
                <w:tcPr>
                  <w:tcW w:w="232" w:type="pct"/>
                  <w:vMerge w:val="continue"/>
                  <w:vAlign w:val="center"/>
                </w:tcPr>
                <w:p>
                  <w:pPr>
                    <w:pStyle w:val="22"/>
                    <w:jc w:val="center"/>
                    <w:rPr>
                      <w:rFonts w:hint="eastAsia"/>
                      <w:lang w:val="en-US" w:eastAsia="zh-CN"/>
                    </w:rPr>
                  </w:pPr>
                </w:p>
              </w:tc>
              <w:tc>
                <w:tcPr>
                  <w:tcW w:w="193" w:type="pct"/>
                  <w:vAlign w:val="center"/>
                </w:tcPr>
                <w:p>
                  <w:pPr>
                    <w:pStyle w:val="22"/>
                    <w:jc w:val="center"/>
                    <w:rPr>
                      <w:rFonts w:hint="default"/>
                      <w:lang w:val="en-US" w:eastAsia="zh-CN"/>
                    </w:rPr>
                  </w:pPr>
                  <w:r>
                    <w:rPr>
                      <w:rFonts w:hint="eastAsia"/>
                      <w:lang w:val="en-US" w:eastAsia="zh-CN"/>
                    </w:rPr>
                    <w:t>50</w:t>
                  </w:r>
                </w:p>
              </w:tc>
              <w:tc>
                <w:tcPr>
                  <w:tcW w:w="193" w:type="pct"/>
                  <w:vAlign w:val="center"/>
                </w:tcPr>
                <w:p>
                  <w:pPr>
                    <w:pStyle w:val="22"/>
                    <w:jc w:val="center"/>
                    <w:rPr>
                      <w:rFonts w:hint="default"/>
                      <w:lang w:val="en-US" w:eastAsia="zh-CN"/>
                    </w:rPr>
                  </w:pPr>
                  <w:r>
                    <w:rPr>
                      <w:rFonts w:hint="eastAsia"/>
                      <w:lang w:val="en-US" w:eastAsia="zh-CN"/>
                    </w:rPr>
                    <w:t>107</w:t>
                  </w:r>
                </w:p>
              </w:tc>
              <w:tc>
                <w:tcPr>
                  <w:tcW w:w="125" w:type="pct"/>
                  <w:vAlign w:val="center"/>
                </w:tcPr>
                <w:p>
                  <w:pPr>
                    <w:pStyle w:val="22"/>
                    <w:bidi w:val="0"/>
                    <w:rPr>
                      <w:rFonts w:hint="eastAsia"/>
                      <w:lang w:val="en-US" w:eastAsia="zh-CN"/>
                    </w:rPr>
                  </w:pPr>
                  <w:r>
                    <w:rPr>
                      <w:rFonts w:hint="eastAsia"/>
                      <w:lang w:val="en-US" w:eastAsia="zh-CN"/>
                    </w:rPr>
                    <w:t>0</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91</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77</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15</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83</w:t>
                  </w:r>
                </w:p>
              </w:tc>
              <w:tc>
                <w:tcPr>
                  <w:tcW w:w="213" w:type="pct"/>
                  <w:vAlign w:val="center"/>
                </w:tcPr>
                <w:p>
                  <w:pPr>
                    <w:pStyle w:val="22"/>
                    <w:bidi w:val="0"/>
                    <w:jc w:val="center"/>
                    <w:rPr>
                      <w:rFonts w:hint="default"/>
                      <w:lang w:val="en-US" w:eastAsia="zh-CN"/>
                    </w:rPr>
                  </w:pPr>
                  <w:r>
                    <w:rPr>
                      <w:rFonts w:hint="default"/>
                      <w:lang w:val="en-US" w:eastAsia="zh-CN"/>
                    </w:rPr>
                    <w:t>38.8</w:t>
                  </w:r>
                </w:p>
              </w:tc>
              <w:tc>
                <w:tcPr>
                  <w:tcW w:w="213" w:type="pct"/>
                  <w:vAlign w:val="center"/>
                </w:tcPr>
                <w:p>
                  <w:pPr>
                    <w:pStyle w:val="22"/>
                    <w:bidi w:val="0"/>
                    <w:jc w:val="center"/>
                    <w:rPr>
                      <w:rFonts w:hint="default"/>
                      <w:lang w:val="en-US" w:eastAsia="zh-CN"/>
                    </w:rPr>
                  </w:pPr>
                  <w:r>
                    <w:rPr>
                      <w:rFonts w:hint="default"/>
                      <w:lang w:val="en-US" w:eastAsia="zh-CN"/>
                    </w:rPr>
                    <w:t>40.3</w:t>
                  </w:r>
                </w:p>
              </w:tc>
              <w:tc>
                <w:tcPr>
                  <w:tcW w:w="213" w:type="pct"/>
                  <w:vAlign w:val="center"/>
                </w:tcPr>
                <w:p>
                  <w:pPr>
                    <w:pStyle w:val="22"/>
                    <w:bidi w:val="0"/>
                    <w:jc w:val="center"/>
                    <w:rPr>
                      <w:rFonts w:hint="default"/>
                      <w:lang w:val="en-US" w:eastAsia="zh-CN"/>
                    </w:rPr>
                  </w:pPr>
                  <w:r>
                    <w:rPr>
                      <w:rFonts w:hint="default"/>
                      <w:lang w:val="en-US" w:eastAsia="zh-CN"/>
                    </w:rPr>
                    <w:t>54.5</w:t>
                  </w:r>
                </w:p>
              </w:tc>
              <w:tc>
                <w:tcPr>
                  <w:tcW w:w="213" w:type="pct"/>
                  <w:vAlign w:val="center"/>
                </w:tcPr>
                <w:p>
                  <w:pPr>
                    <w:pStyle w:val="22"/>
                    <w:bidi w:val="0"/>
                    <w:jc w:val="center"/>
                    <w:rPr>
                      <w:rFonts w:hint="default"/>
                      <w:lang w:val="en-US" w:eastAsia="zh-CN"/>
                    </w:rPr>
                  </w:pPr>
                  <w:r>
                    <w:rPr>
                      <w:rFonts w:hint="default"/>
                      <w:lang w:val="en-US" w:eastAsia="zh-CN"/>
                    </w:rPr>
                    <w:t>39.6</w:t>
                  </w:r>
                </w:p>
              </w:tc>
              <w:tc>
                <w:tcPr>
                  <w:tcW w:w="546" w:type="pct"/>
                  <w:vMerge w:val="continue"/>
                  <w:vAlign w:val="center"/>
                </w:tcPr>
                <w:p>
                  <w:pPr>
                    <w:pStyle w:val="22"/>
                    <w:bidi w:val="0"/>
                    <w:rPr>
                      <w:rFonts w:hint="default"/>
                      <w:lang w:val="en-US" w:eastAsia="zh-CN"/>
                    </w:rPr>
                  </w:pPr>
                </w:p>
              </w:tc>
              <w:tc>
                <w:tcPr>
                  <w:tcW w:w="155" w:type="pct"/>
                  <w:vAlign w:val="center"/>
                </w:tcPr>
                <w:p>
                  <w:pPr>
                    <w:pStyle w:val="22"/>
                    <w:bidi w:val="0"/>
                    <w:rPr>
                      <w:rFonts w:hint="default"/>
                      <w:lang w:val="en-US" w:eastAsia="zh-CN"/>
                    </w:rPr>
                  </w:pPr>
                  <w:r>
                    <w:rPr>
                      <w:rFonts w:hint="eastAsia"/>
                      <w:lang w:val="en-US" w:eastAsia="zh-CN"/>
                    </w:rPr>
                    <w:t>20</w:t>
                  </w: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159" w:type="pct"/>
                  <w:vMerge w:val="continue"/>
                  <w:vAlign w:val="center"/>
                </w:tcPr>
                <w:p>
                  <w:pPr>
                    <w:pStyle w:val="22"/>
                    <w:bidi w:val="0"/>
                    <w:rPr>
                      <w:rFonts w:hint="default"/>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5" w:type="pct"/>
                  <w:vAlign w:val="center"/>
                </w:tcPr>
                <w:p>
                  <w:pPr>
                    <w:pStyle w:val="22"/>
                    <w:bidi w:val="0"/>
                    <w:ind w:firstLine="0" w:firstLineChars="0"/>
                    <w:jc w:val="center"/>
                    <w:rPr>
                      <w:rFonts w:hint="default"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8</w:t>
                  </w:r>
                </w:p>
              </w:tc>
              <w:tc>
                <w:tcPr>
                  <w:tcW w:w="155" w:type="pct"/>
                  <w:vMerge w:val="continue"/>
                  <w:vAlign w:val="center"/>
                </w:tcPr>
                <w:p>
                  <w:pPr>
                    <w:pStyle w:val="22"/>
                    <w:bidi w:val="0"/>
                    <w:ind w:firstLine="0" w:firstLineChars="0"/>
                    <w:jc w:val="center"/>
                    <w:rPr>
                      <w:rFonts w:hint="eastAsia"/>
                      <w:lang w:val="en-US" w:eastAsia="zh-CN"/>
                    </w:rPr>
                  </w:pPr>
                </w:p>
              </w:tc>
              <w:tc>
                <w:tcPr>
                  <w:tcW w:w="232" w:type="pct"/>
                  <w:vAlign w:val="center"/>
                </w:tcPr>
                <w:p>
                  <w:pPr>
                    <w:pStyle w:val="22"/>
                    <w:bidi w:val="0"/>
                    <w:ind w:firstLine="0" w:firstLineChars="0"/>
                    <w:jc w:val="center"/>
                    <w:rPr>
                      <w:rFonts w:hint="eastAsia"/>
                      <w:lang w:val="en-US" w:eastAsia="zh-CN"/>
                    </w:rPr>
                  </w:pPr>
                  <w:r>
                    <w:rPr>
                      <w:rFonts w:hint="eastAsia"/>
                      <w:lang w:val="en-US" w:eastAsia="zh-CN"/>
                    </w:rPr>
                    <w:t>电火花数控线切割设备</w:t>
                  </w:r>
                </w:p>
              </w:tc>
              <w:tc>
                <w:tcPr>
                  <w:tcW w:w="155" w:type="pct"/>
                  <w:vAlign w:val="center"/>
                </w:tcPr>
                <w:p>
                  <w:pPr>
                    <w:pStyle w:val="22"/>
                    <w:bidi w:val="0"/>
                    <w:ind w:firstLine="0" w:firstLineChars="0"/>
                    <w:jc w:val="center"/>
                    <w:rPr>
                      <w:rFonts w:hint="default"/>
                      <w:lang w:val="en-US" w:eastAsia="zh-CN"/>
                    </w:rPr>
                  </w:pPr>
                  <w:r>
                    <w:rPr>
                      <w:rFonts w:hint="eastAsia"/>
                      <w:lang w:val="en-US" w:eastAsia="zh-CN"/>
                    </w:rPr>
                    <w:t>2</w:t>
                  </w:r>
                </w:p>
              </w:tc>
              <w:tc>
                <w:tcPr>
                  <w:tcW w:w="287" w:type="pct"/>
                  <w:vAlign w:val="center"/>
                </w:tcPr>
                <w:p>
                  <w:pPr>
                    <w:pStyle w:val="22"/>
                    <w:bidi w:val="0"/>
                    <w:ind w:firstLine="0" w:firstLineChars="0"/>
                    <w:rPr>
                      <w:rFonts w:hint="eastAsia" w:ascii="Times New Roman" w:hAnsi="Times New Roman" w:eastAsia="宋体" w:cs="Times New Roman"/>
                      <w:kern w:val="2"/>
                      <w:sz w:val="21"/>
                      <w:szCs w:val="24"/>
                      <w:lang w:val="en-US" w:eastAsia="zh-CN" w:bidi="ar-SA"/>
                    </w:rPr>
                  </w:pPr>
                  <w:r>
                    <w:rPr>
                      <w:rFonts w:hint="default"/>
                      <w:lang w:val="en-US" w:eastAsia="zh-CN"/>
                    </w:rPr>
                    <w:t>80</w:t>
                  </w:r>
                  <w:r>
                    <w:rPr>
                      <w:rFonts w:hint="eastAsia"/>
                      <w:lang w:val="en-US" w:eastAsia="zh-CN"/>
                    </w:rPr>
                    <w:t>/1</w:t>
                  </w:r>
                </w:p>
              </w:tc>
              <w:tc>
                <w:tcPr>
                  <w:tcW w:w="232" w:type="pct"/>
                  <w:vMerge w:val="continue"/>
                  <w:vAlign w:val="center"/>
                </w:tcPr>
                <w:p>
                  <w:pPr>
                    <w:pStyle w:val="22"/>
                    <w:ind w:firstLine="0" w:firstLineChars="0"/>
                    <w:jc w:val="center"/>
                    <w:rPr>
                      <w:rFonts w:hint="eastAsia"/>
                      <w:lang w:val="en-US" w:eastAsia="zh-CN"/>
                    </w:rPr>
                  </w:pPr>
                </w:p>
              </w:tc>
              <w:tc>
                <w:tcPr>
                  <w:tcW w:w="193" w:type="pct"/>
                  <w:vAlign w:val="center"/>
                </w:tcPr>
                <w:p>
                  <w:pPr>
                    <w:pStyle w:val="22"/>
                    <w:ind w:firstLine="0" w:firstLineChars="0"/>
                    <w:jc w:val="center"/>
                    <w:rPr>
                      <w:rFonts w:hint="default"/>
                      <w:lang w:val="en-US" w:eastAsia="zh-CN"/>
                    </w:rPr>
                  </w:pPr>
                  <w:r>
                    <w:rPr>
                      <w:rFonts w:hint="eastAsia"/>
                      <w:lang w:val="en-US" w:eastAsia="zh-CN"/>
                    </w:rPr>
                    <w:t>39</w:t>
                  </w:r>
                </w:p>
              </w:tc>
              <w:tc>
                <w:tcPr>
                  <w:tcW w:w="193" w:type="pct"/>
                  <w:vAlign w:val="center"/>
                </w:tcPr>
                <w:p>
                  <w:pPr>
                    <w:pStyle w:val="22"/>
                    <w:ind w:firstLine="0" w:firstLineChars="0"/>
                    <w:jc w:val="center"/>
                    <w:rPr>
                      <w:rFonts w:hint="default"/>
                      <w:lang w:val="en-US" w:eastAsia="zh-CN"/>
                    </w:rPr>
                  </w:pPr>
                  <w:r>
                    <w:rPr>
                      <w:rFonts w:hint="eastAsia"/>
                      <w:lang w:val="en-US" w:eastAsia="zh-CN"/>
                    </w:rPr>
                    <w:t>103</w:t>
                  </w:r>
                </w:p>
              </w:tc>
              <w:tc>
                <w:tcPr>
                  <w:tcW w:w="125" w:type="pct"/>
                  <w:vAlign w:val="center"/>
                </w:tcPr>
                <w:p>
                  <w:pPr>
                    <w:pStyle w:val="22"/>
                    <w:bidi w:val="0"/>
                    <w:rPr>
                      <w:rFonts w:hint="eastAsia"/>
                      <w:lang w:val="en-US" w:eastAsia="zh-CN"/>
                    </w:rPr>
                  </w:pPr>
                  <w:r>
                    <w:rPr>
                      <w:rFonts w:hint="eastAsia"/>
                      <w:lang w:val="en-US" w:eastAsia="zh-CN"/>
                    </w:rPr>
                    <w:t>0</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91</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70</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15</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90</w:t>
                  </w:r>
                </w:p>
              </w:tc>
              <w:tc>
                <w:tcPr>
                  <w:tcW w:w="213" w:type="pct"/>
                  <w:vAlign w:val="center"/>
                </w:tcPr>
                <w:p>
                  <w:pPr>
                    <w:pStyle w:val="22"/>
                    <w:bidi w:val="0"/>
                    <w:jc w:val="center"/>
                    <w:rPr>
                      <w:rFonts w:hint="default"/>
                      <w:lang w:val="en-US" w:eastAsia="zh-CN"/>
                    </w:rPr>
                  </w:pPr>
                  <w:r>
                    <w:rPr>
                      <w:rFonts w:hint="default"/>
                      <w:lang w:val="en-US" w:eastAsia="zh-CN"/>
                    </w:rPr>
                    <w:t>40.8</w:t>
                  </w:r>
                </w:p>
              </w:tc>
              <w:tc>
                <w:tcPr>
                  <w:tcW w:w="213" w:type="pct"/>
                  <w:vAlign w:val="center"/>
                </w:tcPr>
                <w:p>
                  <w:pPr>
                    <w:pStyle w:val="22"/>
                    <w:bidi w:val="0"/>
                    <w:jc w:val="center"/>
                    <w:rPr>
                      <w:rFonts w:hint="default"/>
                      <w:lang w:val="en-US" w:eastAsia="zh-CN"/>
                    </w:rPr>
                  </w:pPr>
                  <w:r>
                    <w:rPr>
                      <w:rFonts w:hint="default"/>
                      <w:lang w:val="en-US" w:eastAsia="zh-CN"/>
                    </w:rPr>
                    <w:t>43.1</w:t>
                  </w:r>
                </w:p>
              </w:tc>
              <w:tc>
                <w:tcPr>
                  <w:tcW w:w="213" w:type="pct"/>
                  <w:vAlign w:val="center"/>
                </w:tcPr>
                <w:p>
                  <w:pPr>
                    <w:pStyle w:val="22"/>
                    <w:bidi w:val="0"/>
                    <w:jc w:val="center"/>
                    <w:rPr>
                      <w:rFonts w:hint="default"/>
                      <w:lang w:val="en-US" w:eastAsia="zh-CN"/>
                    </w:rPr>
                  </w:pPr>
                  <w:r>
                    <w:rPr>
                      <w:rFonts w:hint="default"/>
                      <w:lang w:val="en-US" w:eastAsia="zh-CN"/>
                    </w:rPr>
                    <w:t>56.5</w:t>
                  </w:r>
                </w:p>
              </w:tc>
              <w:tc>
                <w:tcPr>
                  <w:tcW w:w="213" w:type="pct"/>
                  <w:vAlign w:val="center"/>
                </w:tcPr>
                <w:p>
                  <w:pPr>
                    <w:pStyle w:val="22"/>
                    <w:bidi w:val="0"/>
                    <w:jc w:val="center"/>
                    <w:rPr>
                      <w:rFonts w:hint="default"/>
                      <w:lang w:val="en-US" w:eastAsia="zh-CN"/>
                    </w:rPr>
                  </w:pPr>
                  <w:r>
                    <w:rPr>
                      <w:rFonts w:hint="default"/>
                      <w:lang w:val="en-US" w:eastAsia="zh-CN"/>
                    </w:rPr>
                    <w:t>40.9</w:t>
                  </w:r>
                </w:p>
              </w:tc>
              <w:tc>
                <w:tcPr>
                  <w:tcW w:w="546" w:type="pct"/>
                  <w:vMerge w:val="continue"/>
                  <w:vAlign w:val="center"/>
                </w:tcPr>
                <w:p>
                  <w:pPr>
                    <w:pStyle w:val="22"/>
                    <w:bidi w:val="0"/>
                    <w:rPr>
                      <w:rFonts w:hint="default"/>
                      <w:lang w:val="en-US" w:eastAsia="zh-CN"/>
                    </w:rPr>
                  </w:pPr>
                </w:p>
              </w:tc>
              <w:tc>
                <w:tcPr>
                  <w:tcW w:w="155" w:type="pct"/>
                  <w:vAlign w:val="center"/>
                </w:tcPr>
                <w:p>
                  <w:pPr>
                    <w:pStyle w:val="22"/>
                    <w:bidi w:val="0"/>
                    <w:rPr>
                      <w:rFonts w:hint="default"/>
                      <w:lang w:val="en-US" w:eastAsia="zh-CN"/>
                    </w:rPr>
                  </w:pPr>
                  <w:r>
                    <w:rPr>
                      <w:rFonts w:hint="eastAsia"/>
                      <w:lang w:val="en-US" w:eastAsia="zh-CN"/>
                    </w:rPr>
                    <w:t>20</w:t>
                  </w: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159" w:type="pct"/>
                  <w:vMerge w:val="continue"/>
                  <w:vAlign w:val="center"/>
                </w:tcPr>
                <w:p>
                  <w:pPr>
                    <w:pStyle w:val="22"/>
                    <w:bidi w:val="0"/>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5" w:type="pct"/>
                  <w:vAlign w:val="center"/>
                </w:tcPr>
                <w:p>
                  <w:pPr>
                    <w:pStyle w:val="22"/>
                    <w:bidi w:val="0"/>
                    <w:ind w:firstLine="0" w:firstLineChars="0"/>
                    <w:jc w:val="center"/>
                    <w:rPr>
                      <w:rFonts w:hint="default"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9</w:t>
                  </w:r>
                </w:p>
              </w:tc>
              <w:tc>
                <w:tcPr>
                  <w:tcW w:w="155" w:type="pct"/>
                  <w:vMerge w:val="continue"/>
                  <w:vAlign w:val="center"/>
                </w:tcPr>
                <w:p>
                  <w:pPr>
                    <w:pStyle w:val="22"/>
                    <w:bidi w:val="0"/>
                    <w:ind w:firstLine="0" w:firstLineChars="0"/>
                    <w:jc w:val="center"/>
                    <w:rPr>
                      <w:rFonts w:hint="eastAsia"/>
                      <w:lang w:val="en-US" w:eastAsia="zh-CN"/>
                    </w:rPr>
                  </w:pPr>
                </w:p>
              </w:tc>
              <w:tc>
                <w:tcPr>
                  <w:tcW w:w="232" w:type="pct"/>
                  <w:vAlign w:val="center"/>
                </w:tcPr>
                <w:p>
                  <w:pPr>
                    <w:pStyle w:val="22"/>
                    <w:bidi w:val="0"/>
                    <w:ind w:firstLine="0" w:firstLineChars="0"/>
                    <w:jc w:val="center"/>
                    <w:rPr>
                      <w:rFonts w:hint="eastAsia"/>
                      <w:lang w:val="en-US" w:eastAsia="zh-CN"/>
                    </w:rPr>
                  </w:pPr>
                  <w:r>
                    <w:rPr>
                      <w:rFonts w:hint="eastAsia"/>
                      <w:lang w:val="en-US" w:eastAsia="zh-CN"/>
                    </w:rPr>
                    <w:t>中丝线切割设备</w:t>
                  </w:r>
                </w:p>
              </w:tc>
              <w:tc>
                <w:tcPr>
                  <w:tcW w:w="155" w:type="pct"/>
                  <w:vAlign w:val="center"/>
                </w:tcPr>
                <w:p>
                  <w:pPr>
                    <w:pStyle w:val="22"/>
                    <w:bidi w:val="0"/>
                    <w:ind w:firstLine="0" w:firstLineChars="0"/>
                    <w:jc w:val="center"/>
                    <w:rPr>
                      <w:rFonts w:hint="eastAsia"/>
                      <w:lang w:val="en-US" w:eastAsia="zh-CN"/>
                    </w:rPr>
                  </w:pPr>
                  <w:r>
                    <w:rPr>
                      <w:rFonts w:hint="eastAsia"/>
                      <w:lang w:val="en-US" w:eastAsia="zh-CN"/>
                    </w:rPr>
                    <w:t>2</w:t>
                  </w:r>
                </w:p>
              </w:tc>
              <w:tc>
                <w:tcPr>
                  <w:tcW w:w="287" w:type="pct"/>
                  <w:vAlign w:val="center"/>
                </w:tcPr>
                <w:p>
                  <w:pPr>
                    <w:pStyle w:val="22"/>
                    <w:bidi w:val="0"/>
                    <w:ind w:firstLine="0" w:firstLineChars="0"/>
                    <w:rPr>
                      <w:rFonts w:hint="eastAsia" w:ascii="Times New Roman" w:hAnsi="Times New Roman" w:eastAsia="宋体" w:cs="Times New Roman"/>
                      <w:kern w:val="2"/>
                      <w:sz w:val="21"/>
                      <w:szCs w:val="24"/>
                      <w:lang w:val="en-US" w:eastAsia="zh-CN" w:bidi="ar-SA"/>
                    </w:rPr>
                  </w:pPr>
                  <w:r>
                    <w:rPr>
                      <w:rFonts w:hint="default"/>
                      <w:lang w:val="en-US" w:eastAsia="zh-CN"/>
                    </w:rPr>
                    <w:t>80</w:t>
                  </w:r>
                  <w:r>
                    <w:rPr>
                      <w:rFonts w:hint="eastAsia"/>
                      <w:lang w:val="en-US" w:eastAsia="zh-CN"/>
                    </w:rPr>
                    <w:t>/1</w:t>
                  </w:r>
                </w:p>
              </w:tc>
              <w:tc>
                <w:tcPr>
                  <w:tcW w:w="232" w:type="pct"/>
                  <w:vMerge w:val="continue"/>
                  <w:vAlign w:val="center"/>
                </w:tcPr>
                <w:p>
                  <w:pPr>
                    <w:pStyle w:val="22"/>
                    <w:ind w:firstLine="0" w:firstLineChars="0"/>
                    <w:jc w:val="center"/>
                    <w:rPr>
                      <w:rFonts w:hint="eastAsia"/>
                      <w:lang w:val="en-US" w:eastAsia="zh-CN"/>
                    </w:rPr>
                  </w:pPr>
                </w:p>
              </w:tc>
              <w:tc>
                <w:tcPr>
                  <w:tcW w:w="193" w:type="pct"/>
                  <w:vAlign w:val="center"/>
                </w:tcPr>
                <w:p>
                  <w:pPr>
                    <w:pStyle w:val="22"/>
                    <w:ind w:firstLine="0" w:firstLineChars="0"/>
                    <w:jc w:val="center"/>
                    <w:rPr>
                      <w:rFonts w:hint="default"/>
                      <w:lang w:val="en-US" w:eastAsia="zh-CN"/>
                    </w:rPr>
                  </w:pPr>
                  <w:r>
                    <w:rPr>
                      <w:rFonts w:hint="eastAsia"/>
                      <w:lang w:val="en-US" w:eastAsia="zh-CN"/>
                    </w:rPr>
                    <w:t>30</w:t>
                  </w:r>
                </w:p>
              </w:tc>
              <w:tc>
                <w:tcPr>
                  <w:tcW w:w="193" w:type="pct"/>
                  <w:vAlign w:val="center"/>
                </w:tcPr>
                <w:p>
                  <w:pPr>
                    <w:pStyle w:val="22"/>
                    <w:ind w:firstLine="0" w:firstLineChars="0"/>
                    <w:jc w:val="center"/>
                    <w:rPr>
                      <w:rFonts w:hint="default"/>
                      <w:lang w:val="en-US" w:eastAsia="zh-CN"/>
                    </w:rPr>
                  </w:pPr>
                  <w:r>
                    <w:rPr>
                      <w:rFonts w:hint="eastAsia"/>
                      <w:lang w:val="en-US" w:eastAsia="zh-CN"/>
                    </w:rPr>
                    <w:t>101</w:t>
                  </w:r>
                </w:p>
              </w:tc>
              <w:tc>
                <w:tcPr>
                  <w:tcW w:w="125" w:type="pct"/>
                  <w:vAlign w:val="center"/>
                </w:tcPr>
                <w:p>
                  <w:pPr>
                    <w:pStyle w:val="22"/>
                    <w:bidi w:val="0"/>
                    <w:rPr>
                      <w:rFonts w:hint="eastAsia"/>
                      <w:lang w:val="en-US" w:eastAsia="zh-CN"/>
                    </w:rPr>
                  </w:pPr>
                  <w:r>
                    <w:rPr>
                      <w:rFonts w:hint="eastAsia"/>
                      <w:lang w:val="en-US" w:eastAsia="zh-CN"/>
                    </w:rPr>
                    <w:t>0</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91</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62</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15</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88</w:t>
                  </w:r>
                </w:p>
              </w:tc>
              <w:tc>
                <w:tcPr>
                  <w:tcW w:w="213" w:type="pct"/>
                  <w:vAlign w:val="center"/>
                </w:tcPr>
                <w:p>
                  <w:pPr>
                    <w:pStyle w:val="22"/>
                    <w:bidi w:val="0"/>
                    <w:jc w:val="center"/>
                    <w:rPr>
                      <w:rFonts w:hint="eastAsia"/>
                      <w:lang w:val="en-US" w:eastAsia="zh-CN"/>
                    </w:rPr>
                  </w:pPr>
                  <w:r>
                    <w:rPr>
                      <w:rFonts w:hint="default"/>
                      <w:lang w:val="en-US" w:eastAsia="zh-CN"/>
                    </w:rPr>
                    <w:t>40.8</w:t>
                  </w:r>
                </w:p>
              </w:tc>
              <w:tc>
                <w:tcPr>
                  <w:tcW w:w="213" w:type="pct"/>
                  <w:vAlign w:val="center"/>
                </w:tcPr>
                <w:p>
                  <w:pPr>
                    <w:pStyle w:val="22"/>
                    <w:bidi w:val="0"/>
                    <w:jc w:val="center"/>
                    <w:rPr>
                      <w:rFonts w:hint="eastAsia"/>
                      <w:lang w:val="en-US" w:eastAsia="zh-CN"/>
                    </w:rPr>
                  </w:pPr>
                  <w:r>
                    <w:rPr>
                      <w:rFonts w:hint="default"/>
                      <w:lang w:val="en-US" w:eastAsia="zh-CN"/>
                    </w:rPr>
                    <w:t>44.2</w:t>
                  </w:r>
                </w:p>
              </w:tc>
              <w:tc>
                <w:tcPr>
                  <w:tcW w:w="213" w:type="pct"/>
                  <w:vAlign w:val="center"/>
                </w:tcPr>
                <w:p>
                  <w:pPr>
                    <w:pStyle w:val="22"/>
                    <w:bidi w:val="0"/>
                    <w:jc w:val="center"/>
                    <w:rPr>
                      <w:rFonts w:hint="eastAsia"/>
                      <w:lang w:val="en-US" w:eastAsia="zh-CN"/>
                    </w:rPr>
                  </w:pPr>
                  <w:r>
                    <w:rPr>
                      <w:rFonts w:hint="default"/>
                      <w:lang w:val="en-US" w:eastAsia="zh-CN"/>
                    </w:rPr>
                    <w:t>56.5</w:t>
                  </w:r>
                </w:p>
              </w:tc>
              <w:tc>
                <w:tcPr>
                  <w:tcW w:w="213" w:type="pct"/>
                  <w:vAlign w:val="center"/>
                </w:tcPr>
                <w:p>
                  <w:pPr>
                    <w:pStyle w:val="22"/>
                    <w:bidi w:val="0"/>
                    <w:jc w:val="center"/>
                    <w:rPr>
                      <w:rFonts w:hint="eastAsia"/>
                      <w:lang w:val="en-US" w:eastAsia="zh-CN"/>
                    </w:rPr>
                  </w:pPr>
                  <w:r>
                    <w:rPr>
                      <w:rFonts w:hint="default"/>
                      <w:lang w:val="en-US" w:eastAsia="zh-CN"/>
                    </w:rPr>
                    <w:t>41.1</w:t>
                  </w:r>
                </w:p>
              </w:tc>
              <w:tc>
                <w:tcPr>
                  <w:tcW w:w="546" w:type="pct"/>
                  <w:vMerge w:val="continue"/>
                  <w:vAlign w:val="center"/>
                </w:tcPr>
                <w:p>
                  <w:pPr>
                    <w:pStyle w:val="22"/>
                    <w:bidi w:val="0"/>
                    <w:rPr>
                      <w:rFonts w:hint="default"/>
                      <w:lang w:val="en-US" w:eastAsia="zh-CN"/>
                    </w:rPr>
                  </w:pPr>
                </w:p>
              </w:tc>
              <w:tc>
                <w:tcPr>
                  <w:tcW w:w="155" w:type="pct"/>
                  <w:vAlign w:val="center"/>
                </w:tcPr>
                <w:p>
                  <w:pPr>
                    <w:pStyle w:val="22"/>
                    <w:bidi w:val="0"/>
                    <w:rPr>
                      <w:rFonts w:hint="default"/>
                      <w:lang w:val="en-US" w:eastAsia="zh-CN"/>
                    </w:rPr>
                  </w:pPr>
                  <w:r>
                    <w:rPr>
                      <w:rFonts w:hint="eastAsia"/>
                      <w:lang w:val="en-US" w:eastAsia="zh-CN"/>
                    </w:rPr>
                    <w:t>20</w:t>
                  </w: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159" w:type="pct"/>
                  <w:vMerge w:val="continue"/>
                  <w:vAlign w:val="center"/>
                </w:tcPr>
                <w:p>
                  <w:pPr>
                    <w:pStyle w:val="22"/>
                    <w:bidi w:val="0"/>
                    <w:rPr>
                      <w:rFonts w:hint="default"/>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5" w:type="pct"/>
                  <w:vAlign w:val="center"/>
                </w:tcPr>
                <w:p>
                  <w:pPr>
                    <w:pStyle w:val="22"/>
                    <w:bidi w:val="0"/>
                    <w:ind w:firstLine="0" w:firstLineChars="0"/>
                    <w:jc w:val="center"/>
                    <w:rPr>
                      <w:rFonts w:hint="default"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10</w:t>
                  </w:r>
                </w:p>
              </w:tc>
              <w:tc>
                <w:tcPr>
                  <w:tcW w:w="155" w:type="pct"/>
                  <w:vMerge w:val="continue"/>
                  <w:vAlign w:val="center"/>
                </w:tcPr>
                <w:p>
                  <w:pPr>
                    <w:pStyle w:val="22"/>
                    <w:bidi w:val="0"/>
                    <w:ind w:firstLine="0" w:firstLineChars="0"/>
                    <w:jc w:val="center"/>
                    <w:rPr>
                      <w:rFonts w:hint="eastAsia"/>
                      <w:lang w:val="en-US" w:eastAsia="zh-CN"/>
                    </w:rPr>
                  </w:pPr>
                </w:p>
              </w:tc>
              <w:tc>
                <w:tcPr>
                  <w:tcW w:w="232" w:type="pct"/>
                  <w:vAlign w:val="center"/>
                </w:tcPr>
                <w:p>
                  <w:pPr>
                    <w:pStyle w:val="22"/>
                    <w:bidi w:val="0"/>
                    <w:ind w:firstLine="0" w:firstLineChars="0"/>
                    <w:jc w:val="center"/>
                    <w:rPr>
                      <w:rFonts w:hint="eastAsia"/>
                      <w:lang w:val="en-US" w:eastAsia="zh-CN"/>
                    </w:rPr>
                  </w:pPr>
                  <w:r>
                    <w:rPr>
                      <w:rFonts w:hint="eastAsia"/>
                      <w:lang w:val="en-US" w:eastAsia="zh-CN"/>
                    </w:rPr>
                    <w:t>立式加工中心</w:t>
                  </w:r>
                </w:p>
              </w:tc>
              <w:tc>
                <w:tcPr>
                  <w:tcW w:w="155" w:type="pct"/>
                  <w:vAlign w:val="center"/>
                </w:tcPr>
                <w:p>
                  <w:pPr>
                    <w:pStyle w:val="22"/>
                    <w:bidi w:val="0"/>
                    <w:ind w:firstLine="0" w:firstLineChars="0"/>
                    <w:jc w:val="center"/>
                    <w:rPr>
                      <w:rFonts w:hint="default"/>
                      <w:lang w:val="en-US" w:eastAsia="zh-CN"/>
                    </w:rPr>
                  </w:pPr>
                  <w:r>
                    <w:rPr>
                      <w:rFonts w:hint="eastAsia"/>
                      <w:lang w:val="en-US" w:eastAsia="zh-CN"/>
                    </w:rPr>
                    <w:t>4</w:t>
                  </w:r>
                </w:p>
              </w:tc>
              <w:tc>
                <w:tcPr>
                  <w:tcW w:w="287" w:type="pct"/>
                  <w:vAlign w:val="center"/>
                </w:tcPr>
                <w:p>
                  <w:pPr>
                    <w:pStyle w:val="22"/>
                    <w:bidi w:val="0"/>
                    <w:ind w:firstLine="0" w:firstLineChars="0"/>
                    <w:rPr>
                      <w:rFonts w:hint="eastAsia" w:ascii="Times New Roman" w:hAnsi="Times New Roman" w:eastAsia="宋体" w:cs="Times New Roman"/>
                      <w:kern w:val="2"/>
                      <w:sz w:val="21"/>
                      <w:szCs w:val="24"/>
                      <w:lang w:val="en-US" w:eastAsia="zh-CN" w:bidi="ar-SA"/>
                    </w:rPr>
                  </w:pPr>
                  <w:r>
                    <w:rPr>
                      <w:rFonts w:hint="default"/>
                      <w:lang w:val="en-US" w:eastAsia="zh-CN"/>
                    </w:rPr>
                    <w:t>75</w:t>
                  </w:r>
                  <w:r>
                    <w:rPr>
                      <w:rFonts w:hint="eastAsia"/>
                      <w:lang w:val="en-US" w:eastAsia="zh-CN"/>
                    </w:rPr>
                    <w:t>/1</w:t>
                  </w:r>
                </w:p>
              </w:tc>
              <w:tc>
                <w:tcPr>
                  <w:tcW w:w="232" w:type="pct"/>
                  <w:vMerge w:val="continue"/>
                  <w:vAlign w:val="center"/>
                </w:tcPr>
                <w:p>
                  <w:pPr>
                    <w:pStyle w:val="22"/>
                    <w:jc w:val="center"/>
                    <w:rPr>
                      <w:rFonts w:hint="eastAsia"/>
                      <w:lang w:val="en-US" w:eastAsia="zh-CN"/>
                    </w:rPr>
                  </w:pPr>
                </w:p>
              </w:tc>
              <w:tc>
                <w:tcPr>
                  <w:tcW w:w="193" w:type="pct"/>
                  <w:vAlign w:val="center"/>
                </w:tcPr>
                <w:p>
                  <w:pPr>
                    <w:pStyle w:val="22"/>
                    <w:ind w:firstLine="0" w:firstLineChars="0"/>
                    <w:jc w:val="center"/>
                    <w:rPr>
                      <w:rFonts w:hint="default"/>
                      <w:lang w:val="en-US" w:eastAsia="zh-CN"/>
                    </w:rPr>
                  </w:pPr>
                  <w:r>
                    <w:rPr>
                      <w:rFonts w:hint="eastAsia"/>
                      <w:lang w:val="en-US" w:eastAsia="zh-CN"/>
                    </w:rPr>
                    <w:t>57</w:t>
                  </w:r>
                </w:p>
              </w:tc>
              <w:tc>
                <w:tcPr>
                  <w:tcW w:w="193" w:type="pct"/>
                  <w:vAlign w:val="center"/>
                </w:tcPr>
                <w:p>
                  <w:pPr>
                    <w:pStyle w:val="22"/>
                    <w:ind w:firstLine="0" w:firstLineChars="0"/>
                    <w:jc w:val="center"/>
                    <w:rPr>
                      <w:rFonts w:hint="default"/>
                      <w:lang w:val="en-US" w:eastAsia="zh-CN"/>
                    </w:rPr>
                  </w:pPr>
                  <w:r>
                    <w:rPr>
                      <w:rFonts w:hint="eastAsia"/>
                      <w:lang w:val="en-US" w:eastAsia="zh-CN"/>
                    </w:rPr>
                    <w:t>93</w:t>
                  </w:r>
                </w:p>
              </w:tc>
              <w:tc>
                <w:tcPr>
                  <w:tcW w:w="125" w:type="pct"/>
                  <w:vAlign w:val="center"/>
                </w:tcPr>
                <w:p>
                  <w:pPr>
                    <w:pStyle w:val="22"/>
                    <w:bidi w:val="0"/>
                    <w:rPr>
                      <w:rFonts w:hint="eastAsia"/>
                      <w:lang w:val="en-US" w:eastAsia="zh-CN"/>
                    </w:rPr>
                  </w:pPr>
                  <w:r>
                    <w:rPr>
                      <w:rFonts w:hint="eastAsia"/>
                      <w:lang w:val="en-US" w:eastAsia="zh-CN"/>
                    </w:rPr>
                    <w:t>0</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76</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70</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30</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90</w:t>
                  </w:r>
                </w:p>
              </w:tc>
              <w:tc>
                <w:tcPr>
                  <w:tcW w:w="213" w:type="pct"/>
                  <w:vAlign w:val="center"/>
                </w:tcPr>
                <w:p>
                  <w:pPr>
                    <w:pStyle w:val="22"/>
                    <w:bidi w:val="0"/>
                    <w:jc w:val="center"/>
                    <w:rPr>
                      <w:rFonts w:hint="default"/>
                      <w:lang w:val="en-US" w:eastAsia="zh-CN"/>
                    </w:rPr>
                  </w:pPr>
                  <w:r>
                    <w:rPr>
                      <w:rFonts w:hint="default"/>
                      <w:lang w:val="en-US" w:eastAsia="zh-CN"/>
                    </w:rPr>
                    <w:t>37.4</w:t>
                  </w:r>
                </w:p>
              </w:tc>
              <w:tc>
                <w:tcPr>
                  <w:tcW w:w="213" w:type="pct"/>
                  <w:vAlign w:val="center"/>
                </w:tcPr>
                <w:p>
                  <w:pPr>
                    <w:pStyle w:val="22"/>
                    <w:bidi w:val="0"/>
                    <w:jc w:val="center"/>
                    <w:rPr>
                      <w:rFonts w:hint="default"/>
                      <w:lang w:val="en-US" w:eastAsia="zh-CN"/>
                    </w:rPr>
                  </w:pPr>
                  <w:r>
                    <w:rPr>
                      <w:rFonts w:hint="default"/>
                      <w:lang w:val="en-US" w:eastAsia="zh-CN"/>
                    </w:rPr>
                    <w:t>38.1</w:t>
                  </w:r>
                </w:p>
              </w:tc>
              <w:tc>
                <w:tcPr>
                  <w:tcW w:w="213" w:type="pct"/>
                  <w:vAlign w:val="center"/>
                </w:tcPr>
                <w:p>
                  <w:pPr>
                    <w:pStyle w:val="22"/>
                    <w:bidi w:val="0"/>
                    <w:jc w:val="center"/>
                    <w:rPr>
                      <w:rFonts w:hint="default"/>
                      <w:lang w:val="en-US" w:eastAsia="zh-CN"/>
                    </w:rPr>
                  </w:pPr>
                  <w:r>
                    <w:rPr>
                      <w:rFonts w:hint="default"/>
                      <w:lang w:val="en-US" w:eastAsia="zh-CN"/>
                    </w:rPr>
                    <w:t>45.5</w:t>
                  </w:r>
                </w:p>
              </w:tc>
              <w:tc>
                <w:tcPr>
                  <w:tcW w:w="213" w:type="pct"/>
                  <w:vAlign w:val="center"/>
                </w:tcPr>
                <w:p>
                  <w:pPr>
                    <w:pStyle w:val="22"/>
                    <w:bidi w:val="0"/>
                    <w:jc w:val="center"/>
                    <w:rPr>
                      <w:rFonts w:hint="default"/>
                      <w:lang w:val="en-US" w:eastAsia="zh-CN"/>
                    </w:rPr>
                  </w:pPr>
                  <w:r>
                    <w:rPr>
                      <w:rFonts w:hint="default"/>
                      <w:lang w:val="en-US" w:eastAsia="zh-CN"/>
                    </w:rPr>
                    <w:t>35.9</w:t>
                  </w:r>
                </w:p>
              </w:tc>
              <w:tc>
                <w:tcPr>
                  <w:tcW w:w="546" w:type="pct"/>
                  <w:vMerge w:val="continue"/>
                  <w:vAlign w:val="center"/>
                </w:tcPr>
                <w:p>
                  <w:pPr>
                    <w:pStyle w:val="22"/>
                    <w:bidi w:val="0"/>
                    <w:rPr>
                      <w:rFonts w:hint="default"/>
                      <w:lang w:val="en-US" w:eastAsia="zh-CN"/>
                    </w:rPr>
                  </w:pPr>
                </w:p>
              </w:tc>
              <w:tc>
                <w:tcPr>
                  <w:tcW w:w="155" w:type="pct"/>
                  <w:vAlign w:val="center"/>
                </w:tcPr>
                <w:p>
                  <w:pPr>
                    <w:pStyle w:val="22"/>
                    <w:bidi w:val="0"/>
                    <w:rPr>
                      <w:rFonts w:hint="default"/>
                      <w:lang w:val="en-US" w:eastAsia="zh-CN"/>
                    </w:rPr>
                  </w:pPr>
                  <w:r>
                    <w:rPr>
                      <w:rFonts w:hint="eastAsia"/>
                      <w:lang w:val="en-US" w:eastAsia="zh-CN"/>
                    </w:rPr>
                    <w:t>20</w:t>
                  </w: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159" w:type="pct"/>
                  <w:vMerge w:val="continue"/>
                  <w:vAlign w:val="center"/>
                </w:tcPr>
                <w:p>
                  <w:pPr>
                    <w:pStyle w:val="22"/>
                    <w:bidi w:val="0"/>
                    <w:rPr>
                      <w:rFonts w:hint="default"/>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5" w:type="pct"/>
                  <w:vAlign w:val="center"/>
                </w:tcPr>
                <w:p>
                  <w:pPr>
                    <w:pStyle w:val="22"/>
                    <w:bidi w:val="0"/>
                    <w:ind w:firstLine="0" w:firstLineChars="0"/>
                    <w:jc w:val="center"/>
                    <w:rPr>
                      <w:rFonts w:hint="default"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11</w:t>
                  </w:r>
                </w:p>
              </w:tc>
              <w:tc>
                <w:tcPr>
                  <w:tcW w:w="155" w:type="pct"/>
                  <w:vMerge w:val="continue"/>
                  <w:vAlign w:val="center"/>
                </w:tcPr>
                <w:p>
                  <w:pPr>
                    <w:pStyle w:val="22"/>
                    <w:bidi w:val="0"/>
                    <w:ind w:firstLine="0" w:firstLineChars="0"/>
                    <w:jc w:val="center"/>
                    <w:rPr>
                      <w:rFonts w:hint="eastAsia"/>
                      <w:lang w:val="en-US" w:eastAsia="zh-CN"/>
                    </w:rPr>
                  </w:pPr>
                </w:p>
              </w:tc>
              <w:tc>
                <w:tcPr>
                  <w:tcW w:w="232" w:type="pct"/>
                  <w:vAlign w:val="center"/>
                </w:tcPr>
                <w:p>
                  <w:pPr>
                    <w:pStyle w:val="22"/>
                    <w:bidi w:val="0"/>
                    <w:ind w:firstLine="0" w:firstLineChars="0"/>
                    <w:jc w:val="center"/>
                    <w:rPr>
                      <w:lang w:val="en-US" w:eastAsia="zh-CN"/>
                    </w:rPr>
                  </w:pPr>
                  <w:r>
                    <w:rPr>
                      <w:rFonts w:hint="eastAsia"/>
                      <w:lang w:val="en-US" w:eastAsia="zh-CN"/>
                    </w:rPr>
                    <w:t>龙门铣</w:t>
                  </w:r>
                </w:p>
              </w:tc>
              <w:tc>
                <w:tcPr>
                  <w:tcW w:w="155" w:type="pct"/>
                  <w:vAlign w:val="center"/>
                </w:tcPr>
                <w:p>
                  <w:pPr>
                    <w:pStyle w:val="22"/>
                    <w:bidi w:val="0"/>
                    <w:ind w:firstLine="0" w:firstLineChars="0"/>
                    <w:jc w:val="center"/>
                    <w:rPr>
                      <w:rFonts w:hint="eastAsia"/>
                      <w:lang w:val="en-US" w:eastAsia="zh-CN"/>
                    </w:rPr>
                  </w:pPr>
                  <w:r>
                    <w:rPr>
                      <w:rFonts w:hint="eastAsia"/>
                      <w:lang w:val="en-US" w:eastAsia="zh-CN"/>
                    </w:rPr>
                    <w:t>4</w:t>
                  </w:r>
                </w:p>
              </w:tc>
              <w:tc>
                <w:tcPr>
                  <w:tcW w:w="287" w:type="pct"/>
                  <w:vAlign w:val="center"/>
                </w:tcPr>
                <w:p>
                  <w:pPr>
                    <w:pStyle w:val="22"/>
                    <w:bidi w:val="0"/>
                    <w:ind w:firstLine="0" w:firstLineChars="0"/>
                    <w:rPr>
                      <w:rFonts w:hint="eastAsia" w:ascii="Times New Roman" w:hAnsi="Times New Roman" w:eastAsia="宋体" w:cs="Times New Roman"/>
                      <w:kern w:val="2"/>
                      <w:sz w:val="21"/>
                      <w:szCs w:val="24"/>
                      <w:lang w:val="en-US" w:eastAsia="zh-CN" w:bidi="ar-SA"/>
                    </w:rPr>
                  </w:pPr>
                  <w:r>
                    <w:rPr>
                      <w:rFonts w:hint="default"/>
                      <w:lang w:val="en-US" w:eastAsia="zh-CN"/>
                    </w:rPr>
                    <w:t>85</w:t>
                  </w:r>
                  <w:r>
                    <w:rPr>
                      <w:rFonts w:hint="eastAsia"/>
                      <w:lang w:val="en-US" w:eastAsia="zh-CN"/>
                    </w:rPr>
                    <w:t>/1</w:t>
                  </w:r>
                </w:p>
              </w:tc>
              <w:tc>
                <w:tcPr>
                  <w:tcW w:w="232" w:type="pct"/>
                  <w:vMerge w:val="continue"/>
                  <w:vAlign w:val="center"/>
                </w:tcPr>
                <w:p>
                  <w:pPr>
                    <w:pStyle w:val="22"/>
                    <w:ind w:firstLine="0" w:firstLineChars="0"/>
                    <w:jc w:val="center"/>
                    <w:rPr>
                      <w:rFonts w:hint="eastAsia"/>
                      <w:lang w:val="en-US" w:eastAsia="zh-CN"/>
                    </w:rPr>
                  </w:pPr>
                </w:p>
              </w:tc>
              <w:tc>
                <w:tcPr>
                  <w:tcW w:w="193" w:type="pct"/>
                  <w:vAlign w:val="center"/>
                </w:tcPr>
                <w:p>
                  <w:pPr>
                    <w:pStyle w:val="22"/>
                    <w:ind w:firstLine="0" w:firstLineChars="0"/>
                    <w:jc w:val="center"/>
                    <w:rPr>
                      <w:rFonts w:hint="default"/>
                      <w:lang w:val="en-US" w:eastAsia="zh-CN"/>
                    </w:rPr>
                  </w:pPr>
                  <w:r>
                    <w:rPr>
                      <w:rFonts w:hint="eastAsia"/>
                      <w:lang w:val="en-US" w:eastAsia="zh-CN"/>
                    </w:rPr>
                    <w:t>45</w:t>
                  </w:r>
                </w:p>
              </w:tc>
              <w:tc>
                <w:tcPr>
                  <w:tcW w:w="193" w:type="pct"/>
                  <w:vAlign w:val="center"/>
                </w:tcPr>
                <w:p>
                  <w:pPr>
                    <w:pStyle w:val="22"/>
                    <w:ind w:firstLine="0" w:firstLineChars="0"/>
                    <w:jc w:val="center"/>
                    <w:rPr>
                      <w:rFonts w:hint="default"/>
                      <w:lang w:val="en-US" w:eastAsia="zh-CN"/>
                    </w:rPr>
                  </w:pPr>
                  <w:r>
                    <w:rPr>
                      <w:rFonts w:hint="eastAsia"/>
                      <w:lang w:val="en-US" w:eastAsia="zh-CN"/>
                    </w:rPr>
                    <w:t>90</w:t>
                  </w:r>
                </w:p>
              </w:tc>
              <w:tc>
                <w:tcPr>
                  <w:tcW w:w="125" w:type="pct"/>
                  <w:vAlign w:val="center"/>
                </w:tcPr>
                <w:p>
                  <w:pPr>
                    <w:pStyle w:val="22"/>
                    <w:bidi w:val="0"/>
                    <w:rPr>
                      <w:rFonts w:hint="eastAsia"/>
                      <w:lang w:val="en-US" w:eastAsia="zh-CN"/>
                    </w:rPr>
                  </w:pPr>
                  <w:r>
                    <w:rPr>
                      <w:rFonts w:hint="eastAsia"/>
                      <w:lang w:val="en-US" w:eastAsia="zh-CN"/>
                    </w:rPr>
                    <w:t>0</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76</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123</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30</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37</w:t>
                  </w:r>
                </w:p>
              </w:tc>
              <w:tc>
                <w:tcPr>
                  <w:tcW w:w="213" w:type="pct"/>
                  <w:vAlign w:val="center"/>
                </w:tcPr>
                <w:p>
                  <w:pPr>
                    <w:pStyle w:val="22"/>
                    <w:bidi w:val="0"/>
                    <w:jc w:val="center"/>
                    <w:rPr>
                      <w:rFonts w:hint="eastAsia"/>
                      <w:lang w:val="en-US" w:eastAsia="zh-CN"/>
                    </w:rPr>
                  </w:pPr>
                  <w:r>
                    <w:rPr>
                      <w:rFonts w:hint="default"/>
                      <w:lang w:val="en-US" w:eastAsia="zh-CN"/>
                    </w:rPr>
                    <w:t>47.4</w:t>
                  </w:r>
                </w:p>
              </w:tc>
              <w:tc>
                <w:tcPr>
                  <w:tcW w:w="213" w:type="pct"/>
                  <w:vAlign w:val="center"/>
                </w:tcPr>
                <w:p>
                  <w:pPr>
                    <w:pStyle w:val="22"/>
                    <w:bidi w:val="0"/>
                    <w:jc w:val="center"/>
                    <w:rPr>
                      <w:rFonts w:hint="eastAsia"/>
                      <w:lang w:val="en-US" w:eastAsia="zh-CN"/>
                    </w:rPr>
                  </w:pPr>
                  <w:r>
                    <w:rPr>
                      <w:rFonts w:hint="default"/>
                      <w:lang w:val="en-US" w:eastAsia="zh-CN"/>
                    </w:rPr>
                    <w:t>43.2</w:t>
                  </w:r>
                </w:p>
              </w:tc>
              <w:tc>
                <w:tcPr>
                  <w:tcW w:w="213" w:type="pct"/>
                  <w:vAlign w:val="center"/>
                </w:tcPr>
                <w:p>
                  <w:pPr>
                    <w:pStyle w:val="22"/>
                    <w:bidi w:val="0"/>
                    <w:jc w:val="center"/>
                    <w:rPr>
                      <w:rFonts w:hint="eastAsia"/>
                      <w:lang w:val="en-US" w:eastAsia="zh-CN"/>
                    </w:rPr>
                  </w:pPr>
                  <w:r>
                    <w:rPr>
                      <w:rFonts w:hint="default"/>
                      <w:lang w:val="en-US" w:eastAsia="zh-CN"/>
                    </w:rPr>
                    <w:t>55.5</w:t>
                  </w:r>
                </w:p>
              </w:tc>
              <w:tc>
                <w:tcPr>
                  <w:tcW w:w="213" w:type="pct"/>
                  <w:vAlign w:val="center"/>
                </w:tcPr>
                <w:p>
                  <w:pPr>
                    <w:pStyle w:val="22"/>
                    <w:bidi w:val="0"/>
                    <w:jc w:val="center"/>
                    <w:rPr>
                      <w:rFonts w:hint="default"/>
                      <w:lang w:val="en-US" w:eastAsia="zh-CN"/>
                    </w:rPr>
                  </w:pPr>
                  <w:r>
                    <w:rPr>
                      <w:rFonts w:hint="default"/>
                      <w:lang w:val="en-US" w:eastAsia="zh-CN"/>
                    </w:rPr>
                    <w:t>53.6</w:t>
                  </w:r>
                </w:p>
              </w:tc>
              <w:tc>
                <w:tcPr>
                  <w:tcW w:w="546" w:type="pct"/>
                  <w:vMerge w:val="continue"/>
                  <w:vAlign w:val="center"/>
                </w:tcPr>
                <w:p>
                  <w:pPr>
                    <w:pStyle w:val="22"/>
                    <w:bidi w:val="0"/>
                    <w:rPr>
                      <w:rFonts w:hint="default"/>
                      <w:lang w:val="en-US" w:eastAsia="zh-CN"/>
                    </w:rPr>
                  </w:pPr>
                </w:p>
              </w:tc>
              <w:tc>
                <w:tcPr>
                  <w:tcW w:w="155" w:type="pct"/>
                  <w:vAlign w:val="center"/>
                </w:tcPr>
                <w:p>
                  <w:pPr>
                    <w:pStyle w:val="22"/>
                    <w:bidi w:val="0"/>
                    <w:rPr>
                      <w:rFonts w:hint="default"/>
                      <w:lang w:val="en-US" w:eastAsia="zh-CN"/>
                    </w:rPr>
                  </w:pPr>
                  <w:r>
                    <w:rPr>
                      <w:rFonts w:hint="eastAsia"/>
                      <w:lang w:val="en-US" w:eastAsia="zh-CN"/>
                    </w:rPr>
                    <w:t>20</w:t>
                  </w: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159" w:type="pct"/>
                  <w:vMerge w:val="continue"/>
                  <w:vAlign w:val="center"/>
                </w:tcPr>
                <w:p>
                  <w:pPr>
                    <w:pStyle w:val="22"/>
                    <w:bidi w:val="0"/>
                    <w:rPr>
                      <w:rFonts w:hint="default"/>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5" w:type="pct"/>
                  <w:vAlign w:val="center"/>
                </w:tcPr>
                <w:p>
                  <w:pPr>
                    <w:pStyle w:val="22"/>
                    <w:bidi w:val="0"/>
                    <w:ind w:firstLine="0" w:firstLineChars="0"/>
                    <w:jc w:val="center"/>
                    <w:rPr>
                      <w:rFonts w:hint="default"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12</w:t>
                  </w:r>
                </w:p>
              </w:tc>
              <w:tc>
                <w:tcPr>
                  <w:tcW w:w="155" w:type="pct"/>
                  <w:vMerge w:val="continue"/>
                  <w:vAlign w:val="center"/>
                </w:tcPr>
                <w:p>
                  <w:pPr>
                    <w:pStyle w:val="22"/>
                    <w:bidi w:val="0"/>
                    <w:ind w:firstLine="0" w:firstLineChars="0"/>
                    <w:jc w:val="center"/>
                    <w:rPr>
                      <w:rFonts w:hint="eastAsia"/>
                      <w:lang w:val="en-US" w:eastAsia="zh-CN"/>
                    </w:rPr>
                  </w:pPr>
                </w:p>
              </w:tc>
              <w:tc>
                <w:tcPr>
                  <w:tcW w:w="232" w:type="pct"/>
                  <w:vAlign w:val="center"/>
                </w:tcPr>
                <w:p>
                  <w:pPr>
                    <w:pStyle w:val="22"/>
                    <w:bidi w:val="0"/>
                    <w:ind w:firstLine="0" w:firstLineChars="0"/>
                    <w:jc w:val="center"/>
                    <w:rPr>
                      <w:lang w:val="en-US" w:eastAsia="zh-CN"/>
                    </w:rPr>
                  </w:pPr>
                  <w:r>
                    <w:rPr>
                      <w:rFonts w:hint="eastAsia"/>
                      <w:lang w:val="en-US" w:eastAsia="zh-CN"/>
                    </w:rPr>
                    <w:t>空压机</w:t>
                  </w:r>
                </w:p>
              </w:tc>
              <w:tc>
                <w:tcPr>
                  <w:tcW w:w="155" w:type="pct"/>
                  <w:vAlign w:val="center"/>
                </w:tcPr>
                <w:p>
                  <w:pPr>
                    <w:pStyle w:val="22"/>
                    <w:bidi w:val="0"/>
                    <w:ind w:firstLine="0" w:firstLineChars="0"/>
                    <w:jc w:val="center"/>
                    <w:rPr>
                      <w:rFonts w:hint="eastAsia"/>
                      <w:lang w:val="en-US" w:eastAsia="zh-CN"/>
                    </w:rPr>
                  </w:pPr>
                  <w:r>
                    <w:rPr>
                      <w:rFonts w:hint="eastAsia"/>
                      <w:lang w:val="en-US" w:eastAsia="zh-CN"/>
                    </w:rPr>
                    <w:t>2</w:t>
                  </w:r>
                </w:p>
              </w:tc>
              <w:tc>
                <w:tcPr>
                  <w:tcW w:w="287" w:type="pct"/>
                  <w:vAlign w:val="center"/>
                </w:tcPr>
                <w:p>
                  <w:pPr>
                    <w:pStyle w:val="22"/>
                    <w:bidi w:val="0"/>
                    <w:ind w:firstLine="0" w:firstLineChars="0"/>
                    <w:rPr>
                      <w:rFonts w:hint="eastAsia" w:ascii="Times New Roman" w:hAnsi="Times New Roman" w:eastAsia="宋体" w:cs="Times New Roman"/>
                      <w:kern w:val="2"/>
                      <w:sz w:val="21"/>
                      <w:szCs w:val="24"/>
                      <w:lang w:val="en-US" w:eastAsia="zh-CN" w:bidi="ar-SA"/>
                    </w:rPr>
                  </w:pPr>
                  <w:r>
                    <w:rPr>
                      <w:rFonts w:hint="default"/>
                      <w:lang w:val="en-US" w:eastAsia="zh-CN"/>
                    </w:rPr>
                    <w:t>85</w:t>
                  </w:r>
                  <w:r>
                    <w:rPr>
                      <w:rFonts w:hint="eastAsia"/>
                      <w:lang w:val="en-US" w:eastAsia="zh-CN"/>
                    </w:rPr>
                    <w:t>/1</w:t>
                  </w:r>
                </w:p>
              </w:tc>
              <w:tc>
                <w:tcPr>
                  <w:tcW w:w="232" w:type="pct"/>
                  <w:vMerge w:val="continue"/>
                  <w:vAlign w:val="center"/>
                </w:tcPr>
                <w:p>
                  <w:pPr>
                    <w:pStyle w:val="22"/>
                    <w:jc w:val="center"/>
                    <w:rPr>
                      <w:rFonts w:hint="eastAsia"/>
                      <w:lang w:val="en-US" w:eastAsia="zh-CN"/>
                    </w:rPr>
                  </w:pPr>
                </w:p>
              </w:tc>
              <w:tc>
                <w:tcPr>
                  <w:tcW w:w="193" w:type="pct"/>
                  <w:vAlign w:val="center"/>
                </w:tcPr>
                <w:p>
                  <w:pPr>
                    <w:pStyle w:val="22"/>
                    <w:jc w:val="center"/>
                    <w:rPr>
                      <w:rFonts w:hint="default"/>
                      <w:lang w:val="en-US" w:eastAsia="zh-CN"/>
                    </w:rPr>
                  </w:pPr>
                  <w:r>
                    <w:rPr>
                      <w:rFonts w:hint="eastAsia"/>
                      <w:lang w:val="en-US" w:eastAsia="zh-CN"/>
                    </w:rPr>
                    <w:t>18</w:t>
                  </w:r>
                </w:p>
              </w:tc>
              <w:tc>
                <w:tcPr>
                  <w:tcW w:w="193" w:type="pct"/>
                  <w:vAlign w:val="center"/>
                </w:tcPr>
                <w:p>
                  <w:pPr>
                    <w:pStyle w:val="22"/>
                    <w:jc w:val="center"/>
                    <w:rPr>
                      <w:rFonts w:hint="default"/>
                      <w:lang w:val="en-US" w:eastAsia="zh-CN"/>
                    </w:rPr>
                  </w:pPr>
                  <w:r>
                    <w:rPr>
                      <w:rFonts w:hint="eastAsia"/>
                      <w:lang w:val="en-US" w:eastAsia="zh-CN"/>
                    </w:rPr>
                    <w:t>103</w:t>
                  </w:r>
                </w:p>
              </w:tc>
              <w:tc>
                <w:tcPr>
                  <w:tcW w:w="125" w:type="pct"/>
                  <w:vAlign w:val="center"/>
                </w:tcPr>
                <w:p>
                  <w:pPr>
                    <w:pStyle w:val="22"/>
                    <w:bidi w:val="0"/>
                    <w:rPr>
                      <w:rFonts w:hint="eastAsia"/>
                      <w:lang w:val="en-US" w:eastAsia="zh-CN"/>
                    </w:rPr>
                  </w:pPr>
                  <w:r>
                    <w:rPr>
                      <w:rFonts w:hint="eastAsia"/>
                      <w:lang w:val="en-US" w:eastAsia="zh-CN"/>
                    </w:rPr>
                    <w:t>0</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97</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72</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9</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88</w:t>
                  </w:r>
                </w:p>
              </w:tc>
              <w:tc>
                <w:tcPr>
                  <w:tcW w:w="213" w:type="pct"/>
                  <w:vAlign w:val="center"/>
                </w:tcPr>
                <w:p>
                  <w:pPr>
                    <w:pStyle w:val="22"/>
                    <w:bidi w:val="0"/>
                    <w:jc w:val="center"/>
                    <w:rPr>
                      <w:rFonts w:hint="default"/>
                      <w:lang w:val="en-US" w:eastAsia="zh-CN"/>
                    </w:rPr>
                  </w:pPr>
                  <w:r>
                    <w:rPr>
                      <w:rFonts w:hint="default"/>
                      <w:lang w:val="en-US" w:eastAsia="zh-CN"/>
                    </w:rPr>
                    <w:t>45.3</w:t>
                  </w:r>
                </w:p>
              </w:tc>
              <w:tc>
                <w:tcPr>
                  <w:tcW w:w="213" w:type="pct"/>
                  <w:vAlign w:val="center"/>
                </w:tcPr>
                <w:p>
                  <w:pPr>
                    <w:pStyle w:val="22"/>
                    <w:bidi w:val="0"/>
                    <w:jc w:val="center"/>
                    <w:rPr>
                      <w:rFonts w:hint="default"/>
                      <w:lang w:val="en-US" w:eastAsia="zh-CN"/>
                    </w:rPr>
                  </w:pPr>
                  <w:r>
                    <w:rPr>
                      <w:rFonts w:hint="default"/>
                      <w:lang w:val="en-US" w:eastAsia="zh-CN"/>
                    </w:rPr>
                    <w:t>47.9</w:t>
                  </w:r>
                </w:p>
              </w:tc>
              <w:tc>
                <w:tcPr>
                  <w:tcW w:w="213" w:type="pct"/>
                  <w:vAlign w:val="center"/>
                </w:tcPr>
                <w:p>
                  <w:pPr>
                    <w:pStyle w:val="22"/>
                    <w:bidi w:val="0"/>
                    <w:jc w:val="center"/>
                    <w:rPr>
                      <w:rFonts w:hint="eastAsia"/>
                      <w:lang w:val="en-US" w:eastAsia="zh-CN"/>
                    </w:rPr>
                  </w:pPr>
                  <w:r>
                    <w:rPr>
                      <w:rFonts w:hint="default"/>
                      <w:lang w:val="en-US" w:eastAsia="zh-CN"/>
                    </w:rPr>
                    <w:t>65.9</w:t>
                  </w:r>
                </w:p>
              </w:tc>
              <w:tc>
                <w:tcPr>
                  <w:tcW w:w="213" w:type="pct"/>
                  <w:vAlign w:val="center"/>
                </w:tcPr>
                <w:p>
                  <w:pPr>
                    <w:pStyle w:val="22"/>
                    <w:bidi w:val="0"/>
                    <w:jc w:val="center"/>
                    <w:rPr>
                      <w:rFonts w:hint="default"/>
                      <w:lang w:val="en-US" w:eastAsia="zh-CN"/>
                    </w:rPr>
                  </w:pPr>
                  <w:r>
                    <w:rPr>
                      <w:rFonts w:hint="default"/>
                      <w:lang w:val="en-US" w:eastAsia="zh-CN"/>
                    </w:rPr>
                    <w:t>46.1</w:t>
                  </w:r>
                </w:p>
              </w:tc>
              <w:tc>
                <w:tcPr>
                  <w:tcW w:w="546" w:type="pct"/>
                  <w:vMerge w:val="continue"/>
                  <w:vAlign w:val="center"/>
                </w:tcPr>
                <w:p>
                  <w:pPr>
                    <w:pStyle w:val="22"/>
                    <w:bidi w:val="0"/>
                    <w:rPr>
                      <w:rFonts w:hint="default"/>
                      <w:lang w:val="en-US" w:eastAsia="zh-CN"/>
                    </w:rPr>
                  </w:pPr>
                </w:p>
              </w:tc>
              <w:tc>
                <w:tcPr>
                  <w:tcW w:w="155" w:type="pct"/>
                  <w:vAlign w:val="center"/>
                </w:tcPr>
                <w:p>
                  <w:pPr>
                    <w:pStyle w:val="22"/>
                    <w:bidi w:val="0"/>
                    <w:rPr>
                      <w:rFonts w:hint="default"/>
                      <w:lang w:val="en-US" w:eastAsia="zh-CN"/>
                    </w:rPr>
                  </w:pPr>
                  <w:r>
                    <w:rPr>
                      <w:rFonts w:hint="eastAsia"/>
                      <w:lang w:val="en-US" w:eastAsia="zh-CN"/>
                    </w:rPr>
                    <w:t>20</w:t>
                  </w: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159" w:type="pct"/>
                  <w:vMerge w:val="continue"/>
                  <w:vAlign w:val="center"/>
                </w:tcPr>
                <w:p>
                  <w:pPr>
                    <w:pStyle w:val="22"/>
                    <w:bidi w:val="0"/>
                    <w:rPr>
                      <w:rFonts w:hint="default"/>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5" w:type="pct"/>
                  <w:vAlign w:val="center"/>
                </w:tcPr>
                <w:p>
                  <w:pPr>
                    <w:pStyle w:val="22"/>
                    <w:bidi w:val="0"/>
                    <w:ind w:firstLine="0" w:firstLineChars="0"/>
                    <w:jc w:val="center"/>
                    <w:rPr>
                      <w:rFonts w:hint="default"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13</w:t>
                  </w:r>
                </w:p>
              </w:tc>
              <w:tc>
                <w:tcPr>
                  <w:tcW w:w="155" w:type="pct"/>
                  <w:vMerge w:val="continue"/>
                  <w:vAlign w:val="center"/>
                </w:tcPr>
                <w:p>
                  <w:pPr>
                    <w:pStyle w:val="22"/>
                    <w:bidi w:val="0"/>
                    <w:ind w:firstLine="0" w:firstLineChars="0"/>
                    <w:jc w:val="center"/>
                    <w:rPr>
                      <w:rFonts w:hint="eastAsia"/>
                      <w:lang w:val="en-US" w:eastAsia="zh-CN"/>
                    </w:rPr>
                  </w:pPr>
                </w:p>
              </w:tc>
              <w:tc>
                <w:tcPr>
                  <w:tcW w:w="232" w:type="pct"/>
                  <w:vAlign w:val="center"/>
                </w:tcPr>
                <w:p>
                  <w:pPr>
                    <w:pStyle w:val="22"/>
                    <w:bidi w:val="0"/>
                    <w:ind w:firstLine="0" w:firstLineChars="0"/>
                    <w:jc w:val="center"/>
                    <w:rPr>
                      <w:lang w:val="en-US" w:eastAsia="zh-CN"/>
                    </w:rPr>
                  </w:pPr>
                  <w:r>
                    <w:rPr>
                      <w:rFonts w:hint="eastAsia"/>
                      <w:lang w:val="en-US" w:eastAsia="zh-CN"/>
                    </w:rPr>
                    <w:t>一体式永磁变频蜗杆空压机</w:t>
                  </w:r>
                </w:p>
              </w:tc>
              <w:tc>
                <w:tcPr>
                  <w:tcW w:w="155" w:type="pct"/>
                  <w:vAlign w:val="center"/>
                </w:tcPr>
                <w:p>
                  <w:pPr>
                    <w:pStyle w:val="22"/>
                    <w:bidi w:val="0"/>
                    <w:ind w:firstLine="0" w:firstLineChars="0"/>
                    <w:jc w:val="center"/>
                    <w:rPr>
                      <w:rFonts w:hint="eastAsia"/>
                      <w:lang w:val="en-US" w:eastAsia="zh-CN"/>
                    </w:rPr>
                  </w:pPr>
                  <w:r>
                    <w:rPr>
                      <w:rFonts w:hint="eastAsia"/>
                      <w:lang w:val="en-US" w:eastAsia="zh-CN"/>
                    </w:rPr>
                    <w:t>1</w:t>
                  </w:r>
                </w:p>
              </w:tc>
              <w:tc>
                <w:tcPr>
                  <w:tcW w:w="287" w:type="pct"/>
                  <w:vAlign w:val="center"/>
                </w:tcPr>
                <w:p>
                  <w:pPr>
                    <w:pStyle w:val="22"/>
                    <w:bidi w:val="0"/>
                    <w:ind w:firstLine="0" w:firstLineChars="0"/>
                    <w:rPr>
                      <w:rFonts w:hint="eastAsia" w:ascii="Times New Roman" w:hAnsi="Times New Roman" w:eastAsia="宋体" w:cs="Times New Roman"/>
                      <w:kern w:val="2"/>
                      <w:sz w:val="21"/>
                      <w:szCs w:val="24"/>
                      <w:lang w:val="en-US" w:eastAsia="zh-CN" w:bidi="ar-SA"/>
                    </w:rPr>
                  </w:pPr>
                  <w:r>
                    <w:rPr>
                      <w:rFonts w:hint="default"/>
                      <w:lang w:val="en-US" w:eastAsia="zh-CN"/>
                    </w:rPr>
                    <w:t>85</w:t>
                  </w:r>
                  <w:r>
                    <w:rPr>
                      <w:rFonts w:hint="eastAsia"/>
                      <w:lang w:val="en-US" w:eastAsia="zh-CN"/>
                    </w:rPr>
                    <w:t>/1</w:t>
                  </w:r>
                </w:p>
              </w:tc>
              <w:tc>
                <w:tcPr>
                  <w:tcW w:w="232" w:type="pct"/>
                  <w:vMerge w:val="continue"/>
                  <w:vAlign w:val="center"/>
                </w:tcPr>
                <w:p>
                  <w:pPr>
                    <w:pStyle w:val="22"/>
                    <w:ind w:firstLine="0" w:firstLineChars="0"/>
                    <w:jc w:val="center"/>
                    <w:rPr>
                      <w:rFonts w:hint="eastAsia"/>
                      <w:lang w:val="en-US" w:eastAsia="zh-CN"/>
                    </w:rPr>
                  </w:pPr>
                </w:p>
              </w:tc>
              <w:tc>
                <w:tcPr>
                  <w:tcW w:w="193" w:type="pct"/>
                  <w:vAlign w:val="center"/>
                </w:tcPr>
                <w:p>
                  <w:pPr>
                    <w:pStyle w:val="22"/>
                    <w:ind w:firstLine="0" w:firstLineChars="0"/>
                    <w:jc w:val="center"/>
                    <w:rPr>
                      <w:rFonts w:hint="default"/>
                      <w:lang w:val="en-US" w:eastAsia="zh-CN"/>
                    </w:rPr>
                  </w:pPr>
                  <w:r>
                    <w:rPr>
                      <w:rFonts w:hint="eastAsia"/>
                      <w:lang w:val="en-US" w:eastAsia="zh-CN"/>
                    </w:rPr>
                    <w:t>41</w:t>
                  </w:r>
                </w:p>
              </w:tc>
              <w:tc>
                <w:tcPr>
                  <w:tcW w:w="193" w:type="pct"/>
                  <w:vAlign w:val="center"/>
                </w:tcPr>
                <w:p>
                  <w:pPr>
                    <w:pStyle w:val="22"/>
                    <w:ind w:firstLine="0" w:firstLineChars="0"/>
                    <w:jc w:val="center"/>
                    <w:rPr>
                      <w:rFonts w:hint="default"/>
                      <w:lang w:val="en-US" w:eastAsia="zh-CN"/>
                    </w:rPr>
                  </w:pPr>
                  <w:r>
                    <w:rPr>
                      <w:rFonts w:hint="eastAsia"/>
                      <w:lang w:val="en-US" w:eastAsia="zh-CN"/>
                    </w:rPr>
                    <w:t>110</w:t>
                  </w:r>
                </w:p>
              </w:tc>
              <w:tc>
                <w:tcPr>
                  <w:tcW w:w="125" w:type="pct"/>
                  <w:vAlign w:val="center"/>
                </w:tcPr>
                <w:p>
                  <w:pPr>
                    <w:pStyle w:val="22"/>
                    <w:bidi w:val="0"/>
                    <w:rPr>
                      <w:rFonts w:hint="eastAsia"/>
                      <w:lang w:val="en-US" w:eastAsia="zh-CN"/>
                    </w:rPr>
                  </w:pPr>
                  <w:r>
                    <w:rPr>
                      <w:rFonts w:hint="eastAsia"/>
                      <w:lang w:val="en-US" w:eastAsia="zh-CN"/>
                    </w:rPr>
                    <w:t>0</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97</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72</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9</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88</w:t>
                  </w:r>
                </w:p>
              </w:tc>
              <w:tc>
                <w:tcPr>
                  <w:tcW w:w="213" w:type="pct"/>
                  <w:vAlign w:val="center"/>
                </w:tcPr>
                <w:p>
                  <w:pPr>
                    <w:pStyle w:val="22"/>
                    <w:bidi w:val="0"/>
                    <w:jc w:val="center"/>
                    <w:rPr>
                      <w:rFonts w:hint="eastAsia"/>
                      <w:lang w:val="en-US" w:eastAsia="zh-CN"/>
                    </w:rPr>
                  </w:pPr>
                  <w:r>
                    <w:rPr>
                      <w:rFonts w:hint="default"/>
                      <w:lang w:val="en-US" w:eastAsia="zh-CN"/>
                    </w:rPr>
                    <w:t>45.3</w:t>
                  </w:r>
                </w:p>
              </w:tc>
              <w:tc>
                <w:tcPr>
                  <w:tcW w:w="213" w:type="pct"/>
                  <w:vAlign w:val="center"/>
                </w:tcPr>
                <w:p>
                  <w:pPr>
                    <w:pStyle w:val="22"/>
                    <w:bidi w:val="0"/>
                    <w:jc w:val="center"/>
                    <w:rPr>
                      <w:rFonts w:hint="eastAsia"/>
                      <w:lang w:val="en-US" w:eastAsia="zh-CN"/>
                    </w:rPr>
                  </w:pPr>
                  <w:r>
                    <w:rPr>
                      <w:rFonts w:hint="default"/>
                      <w:lang w:val="en-US" w:eastAsia="zh-CN"/>
                    </w:rPr>
                    <w:t>47.9</w:t>
                  </w:r>
                </w:p>
              </w:tc>
              <w:tc>
                <w:tcPr>
                  <w:tcW w:w="213" w:type="pct"/>
                  <w:vAlign w:val="center"/>
                </w:tcPr>
                <w:p>
                  <w:pPr>
                    <w:pStyle w:val="22"/>
                    <w:bidi w:val="0"/>
                    <w:jc w:val="center"/>
                    <w:rPr>
                      <w:rFonts w:hint="eastAsia"/>
                      <w:lang w:val="en-US" w:eastAsia="zh-CN"/>
                    </w:rPr>
                  </w:pPr>
                  <w:r>
                    <w:rPr>
                      <w:rFonts w:hint="default"/>
                      <w:lang w:val="en-US" w:eastAsia="zh-CN"/>
                    </w:rPr>
                    <w:t>65.9</w:t>
                  </w:r>
                </w:p>
              </w:tc>
              <w:tc>
                <w:tcPr>
                  <w:tcW w:w="213" w:type="pct"/>
                  <w:vAlign w:val="center"/>
                </w:tcPr>
                <w:p>
                  <w:pPr>
                    <w:pStyle w:val="22"/>
                    <w:bidi w:val="0"/>
                    <w:jc w:val="center"/>
                    <w:rPr>
                      <w:rFonts w:hint="eastAsia"/>
                      <w:lang w:val="en-US" w:eastAsia="zh-CN"/>
                    </w:rPr>
                  </w:pPr>
                  <w:r>
                    <w:rPr>
                      <w:rFonts w:hint="default"/>
                      <w:lang w:val="en-US" w:eastAsia="zh-CN"/>
                    </w:rPr>
                    <w:t>46.1</w:t>
                  </w:r>
                </w:p>
              </w:tc>
              <w:tc>
                <w:tcPr>
                  <w:tcW w:w="546" w:type="pct"/>
                  <w:vMerge w:val="continue"/>
                  <w:vAlign w:val="center"/>
                </w:tcPr>
                <w:p>
                  <w:pPr>
                    <w:pStyle w:val="22"/>
                    <w:bidi w:val="0"/>
                    <w:rPr>
                      <w:rFonts w:hint="default"/>
                      <w:lang w:val="en-US" w:eastAsia="zh-CN"/>
                    </w:rPr>
                  </w:pPr>
                </w:p>
              </w:tc>
              <w:tc>
                <w:tcPr>
                  <w:tcW w:w="155" w:type="pct"/>
                  <w:vAlign w:val="center"/>
                </w:tcPr>
                <w:p>
                  <w:pPr>
                    <w:pStyle w:val="22"/>
                    <w:bidi w:val="0"/>
                    <w:rPr>
                      <w:rFonts w:hint="default"/>
                      <w:lang w:val="en-US" w:eastAsia="zh-CN"/>
                    </w:rPr>
                  </w:pPr>
                  <w:r>
                    <w:rPr>
                      <w:rFonts w:hint="eastAsia"/>
                      <w:lang w:val="en-US" w:eastAsia="zh-CN"/>
                    </w:rPr>
                    <w:t>20</w:t>
                  </w: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159" w:type="pct"/>
                  <w:vMerge w:val="continue"/>
                  <w:vAlign w:val="center"/>
                </w:tcPr>
                <w:p>
                  <w:pPr>
                    <w:pStyle w:val="22"/>
                    <w:bidi w:val="0"/>
                    <w:rPr>
                      <w:rFonts w:hint="default"/>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5" w:type="pct"/>
                  <w:vAlign w:val="center"/>
                </w:tcPr>
                <w:p>
                  <w:pPr>
                    <w:pStyle w:val="22"/>
                    <w:bidi w:val="0"/>
                    <w:ind w:firstLine="0" w:firstLineChars="0"/>
                    <w:jc w:val="center"/>
                    <w:rPr>
                      <w:rFonts w:hint="default"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14</w:t>
                  </w:r>
                </w:p>
              </w:tc>
              <w:tc>
                <w:tcPr>
                  <w:tcW w:w="155" w:type="pct"/>
                  <w:vMerge w:val="continue"/>
                  <w:vAlign w:val="center"/>
                </w:tcPr>
                <w:p>
                  <w:pPr>
                    <w:pStyle w:val="22"/>
                    <w:bidi w:val="0"/>
                    <w:ind w:firstLine="0" w:firstLineChars="0"/>
                    <w:jc w:val="center"/>
                    <w:rPr>
                      <w:rFonts w:hint="eastAsia"/>
                      <w:lang w:val="en-US" w:eastAsia="zh-CN"/>
                    </w:rPr>
                  </w:pPr>
                </w:p>
              </w:tc>
              <w:tc>
                <w:tcPr>
                  <w:tcW w:w="232" w:type="pct"/>
                  <w:vAlign w:val="center"/>
                </w:tcPr>
                <w:p>
                  <w:pPr>
                    <w:pStyle w:val="22"/>
                    <w:bidi w:val="0"/>
                    <w:ind w:firstLine="0" w:firstLineChars="0"/>
                    <w:jc w:val="center"/>
                    <w:rPr>
                      <w:lang w:val="en-US" w:eastAsia="zh-CN"/>
                    </w:rPr>
                  </w:pPr>
                  <w:r>
                    <w:rPr>
                      <w:rFonts w:hint="eastAsia"/>
                      <w:lang w:val="en-US" w:eastAsia="zh-CN"/>
                    </w:rPr>
                    <w:t>万能摇臂 铣床</w:t>
                  </w:r>
                </w:p>
              </w:tc>
              <w:tc>
                <w:tcPr>
                  <w:tcW w:w="155" w:type="pct"/>
                  <w:vAlign w:val="center"/>
                </w:tcPr>
                <w:p>
                  <w:pPr>
                    <w:pStyle w:val="22"/>
                    <w:bidi w:val="0"/>
                    <w:ind w:firstLine="0" w:firstLineChars="0"/>
                    <w:jc w:val="center"/>
                    <w:rPr>
                      <w:rFonts w:hint="eastAsia"/>
                      <w:lang w:val="en-US" w:eastAsia="zh-CN"/>
                    </w:rPr>
                  </w:pPr>
                  <w:r>
                    <w:rPr>
                      <w:rFonts w:hint="eastAsia"/>
                      <w:lang w:val="en-US" w:eastAsia="zh-CN"/>
                    </w:rPr>
                    <w:t>1</w:t>
                  </w:r>
                </w:p>
              </w:tc>
              <w:tc>
                <w:tcPr>
                  <w:tcW w:w="287" w:type="pct"/>
                  <w:vAlign w:val="center"/>
                </w:tcPr>
                <w:p>
                  <w:pPr>
                    <w:pStyle w:val="22"/>
                    <w:bidi w:val="0"/>
                    <w:ind w:firstLine="0" w:firstLineChars="0"/>
                    <w:rPr>
                      <w:rFonts w:hint="eastAsia" w:ascii="Times New Roman" w:hAnsi="Times New Roman" w:eastAsia="宋体" w:cs="Times New Roman"/>
                      <w:kern w:val="2"/>
                      <w:sz w:val="21"/>
                      <w:szCs w:val="24"/>
                      <w:lang w:val="en-US" w:eastAsia="zh-CN" w:bidi="ar-SA"/>
                    </w:rPr>
                  </w:pPr>
                  <w:r>
                    <w:rPr>
                      <w:rFonts w:hint="default"/>
                      <w:lang w:val="en-US" w:eastAsia="zh-CN"/>
                    </w:rPr>
                    <w:t>75</w:t>
                  </w:r>
                  <w:r>
                    <w:rPr>
                      <w:rFonts w:hint="eastAsia"/>
                      <w:lang w:val="en-US" w:eastAsia="zh-CN"/>
                    </w:rPr>
                    <w:t>/1</w:t>
                  </w:r>
                </w:p>
              </w:tc>
              <w:tc>
                <w:tcPr>
                  <w:tcW w:w="232" w:type="pct"/>
                  <w:vMerge w:val="continue"/>
                  <w:vAlign w:val="center"/>
                </w:tcPr>
                <w:p>
                  <w:pPr>
                    <w:pStyle w:val="22"/>
                    <w:ind w:firstLine="0" w:firstLineChars="0"/>
                    <w:jc w:val="center"/>
                    <w:rPr>
                      <w:rFonts w:hint="eastAsia"/>
                      <w:lang w:val="en-US" w:eastAsia="zh-CN"/>
                    </w:rPr>
                  </w:pPr>
                </w:p>
              </w:tc>
              <w:tc>
                <w:tcPr>
                  <w:tcW w:w="193" w:type="pct"/>
                  <w:vAlign w:val="center"/>
                </w:tcPr>
                <w:p>
                  <w:pPr>
                    <w:pStyle w:val="22"/>
                    <w:ind w:firstLine="0" w:firstLineChars="0"/>
                    <w:jc w:val="center"/>
                    <w:rPr>
                      <w:rFonts w:hint="default"/>
                      <w:lang w:val="en-US" w:eastAsia="zh-CN"/>
                    </w:rPr>
                  </w:pPr>
                  <w:r>
                    <w:rPr>
                      <w:rFonts w:hint="eastAsia"/>
                      <w:lang w:val="en-US" w:eastAsia="zh-CN"/>
                    </w:rPr>
                    <w:t>26</w:t>
                  </w:r>
                </w:p>
              </w:tc>
              <w:tc>
                <w:tcPr>
                  <w:tcW w:w="193" w:type="pct"/>
                  <w:vAlign w:val="center"/>
                </w:tcPr>
                <w:p>
                  <w:pPr>
                    <w:pStyle w:val="22"/>
                    <w:ind w:firstLine="0" w:firstLineChars="0"/>
                    <w:jc w:val="center"/>
                    <w:rPr>
                      <w:rFonts w:hint="default"/>
                      <w:lang w:val="en-US" w:eastAsia="zh-CN"/>
                    </w:rPr>
                  </w:pPr>
                  <w:r>
                    <w:rPr>
                      <w:rFonts w:hint="eastAsia"/>
                      <w:lang w:val="en-US" w:eastAsia="zh-CN"/>
                    </w:rPr>
                    <w:t>101</w:t>
                  </w:r>
                </w:p>
              </w:tc>
              <w:tc>
                <w:tcPr>
                  <w:tcW w:w="125" w:type="pct"/>
                  <w:vAlign w:val="center"/>
                </w:tcPr>
                <w:p>
                  <w:pPr>
                    <w:pStyle w:val="22"/>
                    <w:bidi w:val="0"/>
                    <w:rPr>
                      <w:rFonts w:hint="eastAsia"/>
                      <w:lang w:val="en-US" w:eastAsia="zh-CN"/>
                    </w:rPr>
                  </w:pPr>
                  <w:r>
                    <w:rPr>
                      <w:rFonts w:hint="eastAsia"/>
                      <w:lang w:val="en-US" w:eastAsia="zh-CN"/>
                    </w:rPr>
                    <w:t>0</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76</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75</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30</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85</w:t>
                  </w:r>
                </w:p>
              </w:tc>
              <w:tc>
                <w:tcPr>
                  <w:tcW w:w="213" w:type="pct"/>
                  <w:vAlign w:val="center"/>
                </w:tcPr>
                <w:p>
                  <w:pPr>
                    <w:pStyle w:val="22"/>
                    <w:bidi w:val="0"/>
                    <w:jc w:val="center"/>
                    <w:rPr>
                      <w:rFonts w:hint="eastAsia"/>
                      <w:lang w:val="en-US" w:eastAsia="zh-CN"/>
                    </w:rPr>
                  </w:pPr>
                  <w:r>
                    <w:rPr>
                      <w:rFonts w:hint="default"/>
                      <w:lang w:val="en-US" w:eastAsia="zh-CN"/>
                    </w:rPr>
                    <w:t>37.4</w:t>
                  </w:r>
                </w:p>
              </w:tc>
              <w:tc>
                <w:tcPr>
                  <w:tcW w:w="213" w:type="pct"/>
                  <w:vAlign w:val="center"/>
                </w:tcPr>
                <w:p>
                  <w:pPr>
                    <w:pStyle w:val="22"/>
                    <w:bidi w:val="0"/>
                    <w:jc w:val="center"/>
                    <w:rPr>
                      <w:rFonts w:hint="default"/>
                      <w:lang w:val="en-US" w:eastAsia="zh-CN"/>
                    </w:rPr>
                  </w:pPr>
                  <w:r>
                    <w:rPr>
                      <w:rFonts w:hint="default"/>
                      <w:lang w:val="en-US" w:eastAsia="zh-CN"/>
                    </w:rPr>
                    <w:t>37.5</w:t>
                  </w:r>
                </w:p>
              </w:tc>
              <w:tc>
                <w:tcPr>
                  <w:tcW w:w="213" w:type="pct"/>
                  <w:vAlign w:val="center"/>
                </w:tcPr>
                <w:p>
                  <w:pPr>
                    <w:pStyle w:val="22"/>
                    <w:bidi w:val="0"/>
                    <w:jc w:val="center"/>
                    <w:rPr>
                      <w:rFonts w:hint="eastAsia"/>
                      <w:lang w:val="en-US" w:eastAsia="zh-CN"/>
                    </w:rPr>
                  </w:pPr>
                  <w:r>
                    <w:rPr>
                      <w:rFonts w:hint="default"/>
                      <w:lang w:val="en-US" w:eastAsia="zh-CN"/>
                    </w:rPr>
                    <w:t>45.5</w:t>
                  </w:r>
                </w:p>
              </w:tc>
              <w:tc>
                <w:tcPr>
                  <w:tcW w:w="213" w:type="pct"/>
                  <w:vAlign w:val="center"/>
                </w:tcPr>
                <w:p>
                  <w:pPr>
                    <w:pStyle w:val="22"/>
                    <w:bidi w:val="0"/>
                    <w:jc w:val="center"/>
                    <w:rPr>
                      <w:rFonts w:hint="default"/>
                      <w:lang w:val="en-US" w:eastAsia="zh-CN"/>
                    </w:rPr>
                  </w:pPr>
                  <w:r>
                    <w:rPr>
                      <w:rFonts w:hint="default"/>
                      <w:lang w:val="en-US" w:eastAsia="zh-CN"/>
                    </w:rPr>
                    <w:t>36.4</w:t>
                  </w:r>
                </w:p>
              </w:tc>
              <w:tc>
                <w:tcPr>
                  <w:tcW w:w="546" w:type="pct"/>
                  <w:vMerge w:val="continue"/>
                  <w:vAlign w:val="center"/>
                </w:tcPr>
                <w:p>
                  <w:pPr>
                    <w:pStyle w:val="22"/>
                    <w:bidi w:val="0"/>
                    <w:rPr>
                      <w:rFonts w:hint="default"/>
                      <w:lang w:val="en-US" w:eastAsia="zh-CN"/>
                    </w:rPr>
                  </w:pPr>
                </w:p>
              </w:tc>
              <w:tc>
                <w:tcPr>
                  <w:tcW w:w="155" w:type="pct"/>
                  <w:vAlign w:val="center"/>
                </w:tcPr>
                <w:p>
                  <w:pPr>
                    <w:pStyle w:val="22"/>
                    <w:bidi w:val="0"/>
                    <w:rPr>
                      <w:rFonts w:hint="default"/>
                      <w:lang w:val="en-US" w:eastAsia="zh-CN"/>
                    </w:rPr>
                  </w:pPr>
                  <w:r>
                    <w:rPr>
                      <w:rFonts w:hint="eastAsia"/>
                      <w:lang w:val="en-US" w:eastAsia="zh-CN"/>
                    </w:rPr>
                    <w:t>20</w:t>
                  </w: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159" w:type="pct"/>
                  <w:vMerge w:val="continue"/>
                  <w:vAlign w:val="center"/>
                </w:tcPr>
                <w:p>
                  <w:pPr>
                    <w:pStyle w:val="22"/>
                    <w:bidi w:val="0"/>
                    <w:rPr>
                      <w:rFonts w:hint="default"/>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5" w:type="pct"/>
                  <w:vAlign w:val="center"/>
                </w:tcPr>
                <w:p>
                  <w:pPr>
                    <w:pStyle w:val="22"/>
                    <w:bidi w:val="0"/>
                    <w:ind w:firstLine="0" w:firstLineChars="0"/>
                    <w:jc w:val="center"/>
                    <w:rPr>
                      <w:rFonts w:hint="default"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15</w:t>
                  </w:r>
                </w:p>
              </w:tc>
              <w:tc>
                <w:tcPr>
                  <w:tcW w:w="155" w:type="pct"/>
                  <w:vMerge w:val="continue"/>
                  <w:vAlign w:val="center"/>
                </w:tcPr>
                <w:p>
                  <w:pPr>
                    <w:pStyle w:val="22"/>
                    <w:bidi w:val="0"/>
                    <w:ind w:firstLine="0" w:firstLineChars="0"/>
                    <w:jc w:val="center"/>
                    <w:rPr>
                      <w:rFonts w:hint="eastAsia"/>
                      <w:lang w:val="en-US" w:eastAsia="zh-CN"/>
                    </w:rPr>
                  </w:pPr>
                </w:p>
              </w:tc>
              <w:tc>
                <w:tcPr>
                  <w:tcW w:w="232" w:type="pct"/>
                  <w:vAlign w:val="center"/>
                </w:tcPr>
                <w:p>
                  <w:pPr>
                    <w:pStyle w:val="22"/>
                    <w:bidi w:val="0"/>
                    <w:ind w:firstLine="0" w:firstLineChars="0"/>
                    <w:jc w:val="center"/>
                    <w:rPr>
                      <w:rFonts w:hint="eastAsia"/>
                      <w:lang w:val="en-US" w:eastAsia="zh-CN"/>
                    </w:rPr>
                  </w:pPr>
                  <w:r>
                    <w:rPr>
                      <w:rFonts w:hint="eastAsia"/>
                      <w:lang w:val="en-US" w:eastAsia="zh-CN"/>
                    </w:rPr>
                    <w:t>普通卧轴矩台平面磨床</w:t>
                  </w:r>
                </w:p>
              </w:tc>
              <w:tc>
                <w:tcPr>
                  <w:tcW w:w="155" w:type="pct"/>
                  <w:vAlign w:val="center"/>
                </w:tcPr>
                <w:p>
                  <w:pPr>
                    <w:pStyle w:val="22"/>
                    <w:bidi w:val="0"/>
                    <w:ind w:firstLine="0" w:firstLineChars="0"/>
                    <w:jc w:val="center"/>
                    <w:rPr>
                      <w:rFonts w:hint="eastAsia"/>
                      <w:lang w:val="en-US" w:eastAsia="zh-CN"/>
                    </w:rPr>
                  </w:pPr>
                  <w:r>
                    <w:rPr>
                      <w:rFonts w:hint="eastAsia"/>
                      <w:lang w:val="en-US" w:eastAsia="zh-CN"/>
                    </w:rPr>
                    <w:t>1</w:t>
                  </w:r>
                </w:p>
              </w:tc>
              <w:tc>
                <w:tcPr>
                  <w:tcW w:w="287" w:type="pct"/>
                  <w:vAlign w:val="center"/>
                </w:tcPr>
                <w:p>
                  <w:pPr>
                    <w:pStyle w:val="22"/>
                    <w:bidi w:val="0"/>
                    <w:ind w:firstLine="0" w:firstLineChars="0"/>
                    <w:rPr>
                      <w:rFonts w:hint="eastAsia" w:ascii="Times New Roman" w:hAnsi="Times New Roman" w:eastAsia="宋体" w:cs="Times New Roman"/>
                      <w:kern w:val="2"/>
                      <w:sz w:val="21"/>
                      <w:szCs w:val="24"/>
                      <w:lang w:val="en-US" w:eastAsia="zh-CN" w:bidi="ar-SA"/>
                    </w:rPr>
                  </w:pPr>
                  <w:r>
                    <w:rPr>
                      <w:rFonts w:hint="default"/>
                      <w:lang w:val="en-US" w:eastAsia="zh-CN"/>
                    </w:rPr>
                    <w:t>80</w:t>
                  </w:r>
                  <w:r>
                    <w:rPr>
                      <w:rFonts w:hint="eastAsia"/>
                      <w:lang w:val="en-US" w:eastAsia="zh-CN"/>
                    </w:rPr>
                    <w:t>/1</w:t>
                  </w:r>
                </w:p>
              </w:tc>
              <w:tc>
                <w:tcPr>
                  <w:tcW w:w="232" w:type="pct"/>
                  <w:vMerge w:val="continue"/>
                  <w:vAlign w:val="center"/>
                </w:tcPr>
                <w:p>
                  <w:pPr>
                    <w:pStyle w:val="22"/>
                    <w:jc w:val="center"/>
                    <w:rPr>
                      <w:rFonts w:hint="eastAsia"/>
                      <w:lang w:val="en-US" w:eastAsia="zh-CN"/>
                    </w:rPr>
                  </w:pPr>
                </w:p>
              </w:tc>
              <w:tc>
                <w:tcPr>
                  <w:tcW w:w="193" w:type="pct"/>
                  <w:vAlign w:val="center"/>
                </w:tcPr>
                <w:p>
                  <w:pPr>
                    <w:pStyle w:val="22"/>
                    <w:jc w:val="center"/>
                    <w:rPr>
                      <w:rFonts w:hint="default"/>
                      <w:lang w:val="en-US" w:eastAsia="zh-CN"/>
                    </w:rPr>
                  </w:pPr>
                  <w:r>
                    <w:rPr>
                      <w:rFonts w:hint="eastAsia"/>
                      <w:lang w:val="en-US" w:eastAsia="zh-CN"/>
                    </w:rPr>
                    <w:t>23</w:t>
                  </w:r>
                </w:p>
              </w:tc>
              <w:tc>
                <w:tcPr>
                  <w:tcW w:w="193" w:type="pct"/>
                  <w:vAlign w:val="center"/>
                </w:tcPr>
                <w:p>
                  <w:pPr>
                    <w:pStyle w:val="22"/>
                    <w:jc w:val="center"/>
                    <w:rPr>
                      <w:rFonts w:hint="default"/>
                      <w:lang w:val="en-US" w:eastAsia="zh-CN"/>
                    </w:rPr>
                  </w:pPr>
                  <w:r>
                    <w:rPr>
                      <w:rFonts w:hint="eastAsia"/>
                      <w:lang w:val="en-US" w:eastAsia="zh-CN"/>
                    </w:rPr>
                    <w:t>88</w:t>
                  </w:r>
                </w:p>
              </w:tc>
              <w:tc>
                <w:tcPr>
                  <w:tcW w:w="125" w:type="pct"/>
                  <w:vAlign w:val="center"/>
                </w:tcPr>
                <w:p>
                  <w:pPr>
                    <w:pStyle w:val="22"/>
                    <w:bidi w:val="0"/>
                    <w:rPr>
                      <w:rFonts w:hint="eastAsia"/>
                      <w:lang w:val="en-US" w:eastAsia="zh-CN"/>
                    </w:rPr>
                  </w:pPr>
                  <w:r>
                    <w:rPr>
                      <w:rFonts w:hint="eastAsia"/>
                      <w:lang w:val="en-US" w:eastAsia="zh-CN"/>
                    </w:rPr>
                    <w:t>0</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81</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50</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25</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110</w:t>
                  </w:r>
                </w:p>
              </w:tc>
              <w:tc>
                <w:tcPr>
                  <w:tcW w:w="213" w:type="pct"/>
                  <w:vAlign w:val="center"/>
                </w:tcPr>
                <w:p>
                  <w:pPr>
                    <w:pStyle w:val="22"/>
                    <w:bidi w:val="0"/>
                    <w:jc w:val="center"/>
                    <w:rPr>
                      <w:rFonts w:hint="eastAsia"/>
                    </w:rPr>
                  </w:pPr>
                  <w:r>
                    <w:rPr>
                      <w:rFonts w:hint="default"/>
                      <w:lang w:val="en-US" w:eastAsia="zh-CN"/>
                    </w:rPr>
                    <w:t>41.8</w:t>
                  </w:r>
                </w:p>
              </w:tc>
              <w:tc>
                <w:tcPr>
                  <w:tcW w:w="213" w:type="pct"/>
                  <w:vAlign w:val="center"/>
                </w:tcPr>
                <w:p>
                  <w:pPr>
                    <w:pStyle w:val="22"/>
                    <w:bidi w:val="0"/>
                    <w:jc w:val="center"/>
                    <w:rPr>
                      <w:rFonts w:hint="default"/>
                      <w:lang w:val="en-US" w:eastAsia="zh-CN"/>
                    </w:rPr>
                  </w:pPr>
                  <w:r>
                    <w:rPr>
                      <w:rFonts w:hint="default"/>
                      <w:lang w:val="en-US" w:eastAsia="zh-CN"/>
                    </w:rPr>
                    <w:t>46.0</w:t>
                  </w:r>
                </w:p>
              </w:tc>
              <w:tc>
                <w:tcPr>
                  <w:tcW w:w="213" w:type="pct"/>
                  <w:vAlign w:val="center"/>
                </w:tcPr>
                <w:p>
                  <w:pPr>
                    <w:pStyle w:val="22"/>
                    <w:bidi w:val="0"/>
                    <w:jc w:val="center"/>
                    <w:rPr>
                      <w:rFonts w:hint="default"/>
                      <w:lang w:val="en-US" w:eastAsia="zh-CN"/>
                    </w:rPr>
                  </w:pPr>
                  <w:r>
                    <w:rPr>
                      <w:rFonts w:hint="default"/>
                      <w:lang w:val="en-US" w:eastAsia="zh-CN"/>
                    </w:rPr>
                    <w:t>52.0</w:t>
                  </w:r>
                </w:p>
              </w:tc>
              <w:tc>
                <w:tcPr>
                  <w:tcW w:w="213" w:type="pct"/>
                  <w:vAlign w:val="center"/>
                </w:tcPr>
                <w:p>
                  <w:pPr>
                    <w:pStyle w:val="22"/>
                    <w:bidi w:val="0"/>
                    <w:jc w:val="center"/>
                    <w:rPr>
                      <w:rFonts w:hint="default"/>
                      <w:lang w:val="en-US" w:eastAsia="zh-CN"/>
                    </w:rPr>
                  </w:pPr>
                  <w:r>
                    <w:rPr>
                      <w:rFonts w:hint="default"/>
                      <w:lang w:val="en-US" w:eastAsia="zh-CN"/>
                    </w:rPr>
                    <w:t>39.2</w:t>
                  </w:r>
                </w:p>
              </w:tc>
              <w:tc>
                <w:tcPr>
                  <w:tcW w:w="546" w:type="pct"/>
                  <w:vMerge w:val="continue"/>
                  <w:vAlign w:val="center"/>
                </w:tcPr>
                <w:p>
                  <w:pPr>
                    <w:pStyle w:val="22"/>
                    <w:bidi w:val="0"/>
                    <w:rPr>
                      <w:rFonts w:hint="default"/>
                      <w:lang w:val="en-US" w:eastAsia="zh-CN"/>
                    </w:rPr>
                  </w:pPr>
                </w:p>
              </w:tc>
              <w:tc>
                <w:tcPr>
                  <w:tcW w:w="155" w:type="pct"/>
                  <w:vAlign w:val="center"/>
                </w:tcPr>
                <w:p>
                  <w:pPr>
                    <w:pStyle w:val="22"/>
                    <w:bidi w:val="0"/>
                    <w:rPr>
                      <w:rFonts w:hint="default"/>
                      <w:lang w:val="en-US" w:eastAsia="zh-CN"/>
                    </w:rPr>
                  </w:pPr>
                  <w:r>
                    <w:rPr>
                      <w:rFonts w:hint="eastAsia"/>
                      <w:lang w:val="en-US" w:eastAsia="zh-CN"/>
                    </w:rPr>
                    <w:t>20</w:t>
                  </w: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159" w:type="pct"/>
                  <w:vMerge w:val="continue"/>
                  <w:vAlign w:val="center"/>
                </w:tcPr>
                <w:p>
                  <w:pPr>
                    <w:pStyle w:val="22"/>
                    <w:bidi w:val="0"/>
                    <w:rPr>
                      <w:rFonts w:hint="default"/>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5" w:type="pct"/>
                  <w:vAlign w:val="center"/>
                </w:tcPr>
                <w:p>
                  <w:pPr>
                    <w:pStyle w:val="22"/>
                    <w:bidi w:val="0"/>
                    <w:ind w:firstLine="0" w:firstLineChars="0"/>
                    <w:jc w:val="center"/>
                    <w:rPr>
                      <w:rFonts w:hint="default"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16</w:t>
                  </w:r>
                </w:p>
              </w:tc>
              <w:tc>
                <w:tcPr>
                  <w:tcW w:w="155" w:type="pct"/>
                  <w:vMerge w:val="continue"/>
                  <w:vAlign w:val="center"/>
                </w:tcPr>
                <w:p>
                  <w:pPr>
                    <w:pStyle w:val="22"/>
                    <w:bidi w:val="0"/>
                    <w:ind w:firstLine="0" w:firstLineChars="0"/>
                    <w:jc w:val="center"/>
                    <w:rPr>
                      <w:rFonts w:hint="eastAsia"/>
                      <w:lang w:val="en-US" w:eastAsia="zh-CN"/>
                    </w:rPr>
                  </w:pPr>
                </w:p>
              </w:tc>
              <w:tc>
                <w:tcPr>
                  <w:tcW w:w="232" w:type="pct"/>
                  <w:vAlign w:val="center"/>
                </w:tcPr>
                <w:p>
                  <w:pPr>
                    <w:pStyle w:val="22"/>
                    <w:bidi w:val="0"/>
                    <w:ind w:firstLine="0" w:firstLineChars="0"/>
                    <w:jc w:val="center"/>
                    <w:rPr>
                      <w:lang w:val="en-US" w:eastAsia="zh-CN"/>
                    </w:rPr>
                  </w:pPr>
                  <w:r>
                    <w:rPr>
                      <w:rFonts w:hint="eastAsia"/>
                      <w:lang w:val="en-US" w:eastAsia="zh-CN"/>
                    </w:rPr>
                    <w:t>精密车床</w:t>
                  </w:r>
                </w:p>
              </w:tc>
              <w:tc>
                <w:tcPr>
                  <w:tcW w:w="155" w:type="pct"/>
                  <w:vAlign w:val="center"/>
                </w:tcPr>
                <w:p>
                  <w:pPr>
                    <w:pStyle w:val="22"/>
                    <w:bidi w:val="0"/>
                    <w:ind w:firstLine="0" w:firstLineChars="0"/>
                    <w:jc w:val="center"/>
                    <w:rPr>
                      <w:rFonts w:hint="eastAsia"/>
                      <w:lang w:val="en-US" w:eastAsia="zh-CN"/>
                    </w:rPr>
                  </w:pPr>
                  <w:r>
                    <w:rPr>
                      <w:rFonts w:hint="eastAsia"/>
                      <w:lang w:val="en-US" w:eastAsia="zh-CN"/>
                    </w:rPr>
                    <w:t>1</w:t>
                  </w:r>
                </w:p>
              </w:tc>
              <w:tc>
                <w:tcPr>
                  <w:tcW w:w="287" w:type="pct"/>
                  <w:vAlign w:val="center"/>
                </w:tcPr>
                <w:p>
                  <w:pPr>
                    <w:pStyle w:val="22"/>
                    <w:bidi w:val="0"/>
                    <w:ind w:firstLine="0" w:firstLineChars="0"/>
                    <w:rPr>
                      <w:rFonts w:hint="eastAsia" w:ascii="Times New Roman" w:hAnsi="Times New Roman" w:eastAsia="宋体" w:cs="Times New Roman"/>
                      <w:kern w:val="2"/>
                      <w:sz w:val="21"/>
                      <w:szCs w:val="24"/>
                      <w:lang w:val="en-US" w:eastAsia="zh-CN" w:bidi="ar-SA"/>
                    </w:rPr>
                  </w:pPr>
                  <w:r>
                    <w:rPr>
                      <w:rFonts w:hint="default"/>
                      <w:lang w:val="en-US" w:eastAsia="zh-CN"/>
                    </w:rPr>
                    <w:t>75</w:t>
                  </w:r>
                  <w:r>
                    <w:rPr>
                      <w:rFonts w:hint="eastAsia"/>
                      <w:lang w:val="en-US" w:eastAsia="zh-CN"/>
                    </w:rPr>
                    <w:t>/1</w:t>
                  </w:r>
                </w:p>
              </w:tc>
              <w:tc>
                <w:tcPr>
                  <w:tcW w:w="232" w:type="pct"/>
                  <w:vMerge w:val="continue"/>
                  <w:vAlign w:val="center"/>
                </w:tcPr>
                <w:p>
                  <w:pPr>
                    <w:pStyle w:val="22"/>
                    <w:ind w:firstLine="0" w:firstLineChars="0"/>
                    <w:jc w:val="center"/>
                    <w:rPr>
                      <w:rFonts w:hint="eastAsia"/>
                      <w:lang w:val="en-US" w:eastAsia="zh-CN"/>
                    </w:rPr>
                  </w:pPr>
                </w:p>
              </w:tc>
              <w:tc>
                <w:tcPr>
                  <w:tcW w:w="193" w:type="pct"/>
                  <w:vAlign w:val="center"/>
                </w:tcPr>
                <w:p>
                  <w:pPr>
                    <w:pStyle w:val="22"/>
                    <w:ind w:firstLine="0" w:firstLineChars="0"/>
                    <w:jc w:val="center"/>
                    <w:rPr>
                      <w:rFonts w:hint="default"/>
                      <w:lang w:val="en-US" w:eastAsia="zh-CN"/>
                    </w:rPr>
                  </w:pPr>
                  <w:r>
                    <w:rPr>
                      <w:rFonts w:hint="eastAsia"/>
                      <w:lang w:val="en-US" w:eastAsia="zh-CN"/>
                    </w:rPr>
                    <w:t>21</w:t>
                  </w:r>
                </w:p>
              </w:tc>
              <w:tc>
                <w:tcPr>
                  <w:tcW w:w="193" w:type="pct"/>
                  <w:vAlign w:val="center"/>
                </w:tcPr>
                <w:p>
                  <w:pPr>
                    <w:pStyle w:val="22"/>
                    <w:ind w:firstLine="0" w:firstLineChars="0"/>
                    <w:jc w:val="center"/>
                    <w:rPr>
                      <w:rFonts w:hint="default"/>
                      <w:lang w:val="en-US" w:eastAsia="zh-CN"/>
                    </w:rPr>
                  </w:pPr>
                  <w:r>
                    <w:rPr>
                      <w:rFonts w:hint="eastAsia"/>
                      <w:lang w:val="en-US" w:eastAsia="zh-CN"/>
                    </w:rPr>
                    <w:t>99</w:t>
                  </w:r>
                </w:p>
              </w:tc>
              <w:tc>
                <w:tcPr>
                  <w:tcW w:w="125" w:type="pct"/>
                  <w:vAlign w:val="center"/>
                </w:tcPr>
                <w:p>
                  <w:pPr>
                    <w:pStyle w:val="22"/>
                    <w:bidi w:val="0"/>
                    <w:rPr>
                      <w:rFonts w:hint="eastAsia"/>
                      <w:lang w:val="en-US" w:eastAsia="zh-CN"/>
                    </w:rPr>
                  </w:pPr>
                  <w:r>
                    <w:rPr>
                      <w:rFonts w:hint="eastAsia"/>
                      <w:lang w:val="en-US" w:eastAsia="zh-CN"/>
                    </w:rPr>
                    <w:t>0</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78</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52</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22</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108</w:t>
                  </w:r>
                </w:p>
              </w:tc>
              <w:tc>
                <w:tcPr>
                  <w:tcW w:w="213" w:type="pct"/>
                  <w:vAlign w:val="center"/>
                </w:tcPr>
                <w:p>
                  <w:pPr>
                    <w:pStyle w:val="22"/>
                    <w:bidi w:val="0"/>
                    <w:jc w:val="center"/>
                    <w:rPr>
                      <w:rFonts w:hint="eastAsia"/>
                      <w:lang w:val="en-US" w:eastAsia="zh-CN"/>
                    </w:rPr>
                  </w:pPr>
                  <w:r>
                    <w:rPr>
                      <w:rFonts w:hint="default"/>
                      <w:lang w:val="en-US" w:eastAsia="zh-CN"/>
                    </w:rPr>
                    <w:t>37.2</w:t>
                  </w:r>
                </w:p>
              </w:tc>
              <w:tc>
                <w:tcPr>
                  <w:tcW w:w="213" w:type="pct"/>
                  <w:vAlign w:val="center"/>
                </w:tcPr>
                <w:p>
                  <w:pPr>
                    <w:pStyle w:val="22"/>
                    <w:bidi w:val="0"/>
                    <w:jc w:val="center"/>
                    <w:rPr>
                      <w:rFonts w:hint="eastAsia"/>
                      <w:lang w:val="en-US" w:eastAsia="zh-CN"/>
                    </w:rPr>
                  </w:pPr>
                  <w:r>
                    <w:rPr>
                      <w:rFonts w:hint="default"/>
                      <w:lang w:val="en-US" w:eastAsia="zh-CN"/>
                    </w:rPr>
                    <w:t>40.7</w:t>
                  </w:r>
                </w:p>
              </w:tc>
              <w:tc>
                <w:tcPr>
                  <w:tcW w:w="213" w:type="pct"/>
                  <w:vAlign w:val="center"/>
                </w:tcPr>
                <w:p>
                  <w:pPr>
                    <w:pStyle w:val="22"/>
                    <w:bidi w:val="0"/>
                    <w:jc w:val="center"/>
                    <w:rPr>
                      <w:rFonts w:hint="eastAsia"/>
                      <w:lang w:val="en-US" w:eastAsia="zh-CN"/>
                    </w:rPr>
                  </w:pPr>
                  <w:r>
                    <w:rPr>
                      <w:rFonts w:hint="default"/>
                      <w:lang w:val="en-US" w:eastAsia="zh-CN"/>
                    </w:rPr>
                    <w:t>48.2</w:t>
                  </w:r>
                </w:p>
              </w:tc>
              <w:tc>
                <w:tcPr>
                  <w:tcW w:w="213" w:type="pct"/>
                  <w:vAlign w:val="center"/>
                </w:tcPr>
                <w:p>
                  <w:pPr>
                    <w:pStyle w:val="22"/>
                    <w:bidi w:val="0"/>
                    <w:jc w:val="center"/>
                    <w:rPr>
                      <w:rFonts w:hint="eastAsia"/>
                      <w:lang w:val="en-US" w:eastAsia="zh-CN"/>
                    </w:rPr>
                  </w:pPr>
                  <w:r>
                    <w:rPr>
                      <w:rFonts w:hint="default"/>
                      <w:lang w:val="en-US" w:eastAsia="zh-CN"/>
                    </w:rPr>
                    <w:t>34.3</w:t>
                  </w:r>
                </w:p>
              </w:tc>
              <w:tc>
                <w:tcPr>
                  <w:tcW w:w="546" w:type="pct"/>
                  <w:vMerge w:val="continue"/>
                  <w:vAlign w:val="center"/>
                </w:tcPr>
                <w:p>
                  <w:pPr>
                    <w:pStyle w:val="22"/>
                    <w:bidi w:val="0"/>
                    <w:rPr>
                      <w:rFonts w:hint="default"/>
                      <w:lang w:val="en-US" w:eastAsia="zh-CN"/>
                    </w:rPr>
                  </w:pPr>
                </w:p>
              </w:tc>
              <w:tc>
                <w:tcPr>
                  <w:tcW w:w="155" w:type="pct"/>
                  <w:vAlign w:val="center"/>
                </w:tcPr>
                <w:p>
                  <w:pPr>
                    <w:pStyle w:val="22"/>
                    <w:bidi w:val="0"/>
                    <w:rPr>
                      <w:rFonts w:hint="default"/>
                      <w:lang w:val="en-US" w:eastAsia="zh-CN"/>
                    </w:rPr>
                  </w:pPr>
                  <w:r>
                    <w:rPr>
                      <w:rFonts w:hint="eastAsia"/>
                      <w:lang w:val="en-US" w:eastAsia="zh-CN"/>
                    </w:rPr>
                    <w:t>20</w:t>
                  </w: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159" w:type="pct"/>
                  <w:vMerge w:val="continue"/>
                  <w:vAlign w:val="center"/>
                </w:tcPr>
                <w:p>
                  <w:pPr>
                    <w:pStyle w:val="22"/>
                    <w:bidi w:val="0"/>
                    <w:rPr>
                      <w:rFonts w:hint="default"/>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5" w:type="pct"/>
                  <w:vAlign w:val="center"/>
                </w:tcPr>
                <w:p>
                  <w:pPr>
                    <w:pStyle w:val="22"/>
                    <w:bidi w:val="0"/>
                    <w:ind w:firstLine="0" w:firstLineChars="0"/>
                    <w:jc w:val="center"/>
                    <w:rPr>
                      <w:rFonts w:hint="default"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17</w:t>
                  </w:r>
                </w:p>
              </w:tc>
              <w:tc>
                <w:tcPr>
                  <w:tcW w:w="155" w:type="pct"/>
                  <w:vMerge w:val="continue"/>
                  <w:vAlign w:val="center"/>
                </w:tcPr>
                <w:p>
                  <w:pPr>
                    <w:pStyle w:val="22"/>
                    <w:bidi w:val="0"/>
                    <w:ind w:firstLine="0" w:firstLineChars="0"/>
                    <w:jc w:val="center"/>
                    <w:rPr>
                      <w:rFonts w:hint="eastAsia"/>
                      <w:lang w:val="en-US" w:eastAsia="zh-CN"/>
                    </w:rPr>
                  </w:pPr>
                </w:p>
              </w:tc>
              <w:tc>
                <w:tcPr>
                  <w:tcW w:w="232" w:type="pct"/>
                  <w:vAlign w:val="center"/>
                </w:tcPr>
                <w:p>
                  <w:pPr>
                    <w:pStyle w:val="22"/>
                    <w:bidi w:val="0"/>
                    <w:ind w:firstLine="0" w:firstLineChars="0"/>
                    <w:jc w:val="center"/>
                    <w:rPr>
                      <w:lang w:val="en-US" w:eastAsia="zh-CN"/>
                    </w:rPr>
                  </w:pPr>
                  <w:r>
                    <w:rPr>
                      <w:rFonts w:hint="eastAsia"/>
                      <w:lang w:val="en-US" w:eastAsia="zh-CN"/>
                    </w:rPr>
                    <w:t>摇臂钻床</w:t>
                  </w:r>
                </w:p>
              </w:tc>
              <w:tc>
                <w:tcPr>
                  <w:tcW w:w="155" w:type="pct"/>
                  <w:vAlign w:val="center"/>
                </w:tcPr>
                <w:p>
                  <w:pPr>
                    <w:pStyle w:val="22"/>
                    <w:bidi w:val="0"/>
                    <w:ind w:firstLine="0" w:firstLineChars="0"/>
                    <w:jc w:val="center"/>
                    <w:rPr>
                      <w:rFonts w:hint="eastAsia"/>
                      <w:lang w:val="en-US" w:eastAsia="zh-CN"/>
                    </w:rPr>
                  </w:pPr>
                  <w:r>
                    <w:rPr>
                      <w:rFonts w:hint="eastAsia"/>
                      <w:lang w:val="en-US" w:eastAsia="zh-CN"/>
                    </w:rPr>
                    <w:t>1</w:t>
                  </w:r>
                </w:p>
              </w:tc>
              <w:tc>
                <w:tcPr>
                  <w:tcW w:w="287" w:type="pct"/>
                  <w:vAlign w:val="center"/>
                </w:tcPr>
                <w:p>
                  <w:pPr>
                    <w:pStyle w:val="22"/>
                    <w:bidi w:val="0"/>
                    <w:ind w:firstLine="0" w:firstLineChars="0"/>
                    <w:rPr>
                      <w:rFonts w:hint="eastAsia" w:ascii="Times New Roman" w:hAnsi="Times New Roman" w:eastAsia="宋体" w:cs="Times New Roman"/>
                      <w:kern w:val="2"/>
                      <w:sz w:val="21"/>
                      <w:szCs w:val="24"/>
                      <w:lang w:val="en-US" w:eastAsia="zh-CN" w:bidi="ar-SA"/>
                    </w:rPr>
                  </w:pPr>
                  <w:r>
                    <w:rPr>
                      <w:rFonts w:hint="default"/>
                      <w:lang w:val="en-US" w:eastAsia="zh-CN"/>
                    </w:rPr>
                    <w:t>78</w:t>
                  </w:r>
                  <w:r>
                    <w:rPr>
                      <w:rFonts w:hint="eastAsia"/>
                      <w:lang w:val="en-US" w:eastAsia="zh-CN"/>
                    </w:rPr>
                    <w:t>/1</w:t>
                  </w:r>
                </w:p>
              </w:tc>
              <w:tc>
                <w:tcPr>
                  <w:tcW w:w="232" w:type="pct"/>
                  <w:vMerge w:val="continue"/>
                  <w:vAlign w:val="center"/>
                </w:tcPr>
                <w:p>
                  <w:pPr>
                    <w:pStyle w:val="22"/>
                    <w:ind w:firstLine="0" w:firstLineChars="0"/>
                    <w:jc w:val="center"/>
                    <w:rPr>
                      <w:rFonts w:hint="eastAsia"/>
                      <w:lang w:val="en-US" w:eastAsia="zh-CN"/>
                    </w:rPr>
                  </w:pPr>
                </w:p>
              </w:tc>
              <w:tc>
                <w:tcPr>
                  <w:tcW w:w="193" w:type="pct"/>
                  <w:vAlign w:val="center"/>
                </w:tcPr>
                <w:p>
                  <w:pPr>
                    <w:pStyle w:val="22"/>
                    <w:ind w:firstLine="0" w:firstLineChars="0"/>
                    <w:jc w:val="center"/>
                    <w:rPr>
                      <w:rFonts w:hint="default"/>
                      <w:lang w:val="en-US" w:eastAsia="zh-CN"/>
                    </w:rPr>
                  </w:pPr>
                  <w:r>
                    <w:rPr>
                      <w:rFonts w:hint="eastAsia"/>
                      <w:lang w:val="en-US" w:eastAsia="zh-CN"/>
                    </w:rPr>
                    <w:t>18</w:t>
                  </w:r>
                </w:p>
              </w:tc>
              <w:tc>
                <w:tcPr>
                  <w:tcW w:w="193" w:type="pct"/>
                  <w:vAlign w:val="center"/>
                </w:tcPr>
                <w:p>
                  <w:pPr>
                    <w:pStyle w:val="22"/>
                    <w:ind w:firstLine="0" w:firstLineChars="0"/>
                    <w:jc w:val="center"/>
                    <w:rPr>
                      <w:rFonts w:hint="default"/>
                      <w:lang w:val="en-US" w:eastAsia="zh-CN"/>
                    </w:rPr>
                  </w:pPr>
                  <w:r>
                    <w:rPr>
                      <w:rFonts w:hint="eastAsia"/>
                      <w:lang w:val="en-US" w:eastAsia="zh-CN"/>
                    </w:rPr>
                    <w:t>95</w:t>
                  </w:r>
                </w:p>
              </w:tc>
              <w:tc>
                <w:tcPr>
                  <w:tcW w:w="125" w:type="pct"/>
                  <w:vAlign w:val="center"/>
                </w:tcPr>
                <w:p>
                  <w:pPr>
                    <w:pStyle w:val="22"/>
                    <w:bidi w:val="0"/>
                    <w:rPr>
                      <w:rFonts w:hint="eastAsia"/>
                      <w:lang w:val="en-US" w:eastAsia="zh-CN"/>
                    </w:rPr>
                  </w:pPr>
                  <w:r>
                    <w:rPr>
                      <w:rFonts w:hint="eastAsia"/>
                      <w:lang w:val="en-US" w:eastAsia="zh-CN"/>
                    </w:rPr>
                    <w:t>0</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91</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77</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15</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83</w:t>
                  </w:r>
                </w:p>
              </w:tc>
              <w:tc>
                <w:tcPr>
                  <w:tcW w:w="213" w:type="pct"/>
                  <w:vAlign w:val="center"/>
                </w:tcPr>
                <w:p>
                  <w:pPr>
                    <w:pStyle w:val="22"/>
                    <w:bidi w:val="0"/>
                    <w:jc w:val="center"/>
                    <w:rPr>
                      <w:rFonts w:hint="eastAsia"/>
                      <w:lang w:val="en-US" w:eastAsia="zh-CN"/>
                    </w:rPr>
                  </w:pPr>
                  <w:r>
                    <w:rPr>
                      <w:rFonts w:hint="default"/>
                      <w:lang w:val="en-US" w:eastAsia="zh-CN"/>
                    </w:rPr>
                    <w:t>38.8</w:t>
                  </w:r>
                </w:p>
              </w:tc>
              <w:tc>
                <w:tcPr>
                  <w:tcW w:w="213" w:type="pct"/>
                  <w:vAlign w:val="center"/>
                </w:tcPr>
                <w:p>
                  <w:pPr>
                    <w:pStyle w:val="22"/>
                    <w:bidi w:val="0"/>
                    <w:jc w:val="center"/>
                    <w:rPr>
                      <w:rFonts w:hint="eastAsia"/>
                      <w:lang w:val="en-US" w:eastAsia="zh-CN"/>
                    </w:rPr>
                  </w:pPr>
                  <w:r>
                    <w:rPr>
                      <w:rFonts w:hint="default"/>
                      <w:lang w:val="en-US" w:eastAsia="zh-CN"/>
                    </w:rPr>
                    <w:t>40.3</w:t>
                  </w:r>
                </w:p>
              </w:tc>
              <w:tc>
                <w:tcPr>
                  <w:tcW w:w="213" w:type="pct"/>
                  <w:vAlign w:val="center"/>
                </w:tcPr>
                <w:p>
                  <w:pPr>
                    <w:pStyle w:val="22"/>
                    <w:bidi w:val="0"/>
                    <w:jc w:val="center"/>
                    <w:rPr>
                      <w:rFonts w:hint="eastAsia"/>
                      <w:lang w:val="en-US" w:eastAsia="zh-CN"/>
                    </w:rPr>
                  </w:pPr>
                  <w:r>
                    <w:rPr>
                      <w:rFonts w:hint="default"/>
                      <w:lang w:val="en-US" w:eastAsia="zh-CN"/>
                    </w:rPr>
                    <w:t>54.5</w:t>
                  </w:r>
                </w:p>
              </w:tc>
              <w:tc>
                <w:tcPr>
                  <w:tcW w:w="213" w:type="pct"/>
                  <w:vAlign w:val="center"/>
                </w:tcPr>
                <w:p>
                  <w:pPr>
                    <w:pStyle w:val="22"/>
                    <w:bidi w:val="0"/>
                    <w:jc w:val="center"/>
                    <w:rPr>
                      <w:rFonts w:hint="eastAsia"/>
                      <w:lang w:val="en-US" w:eastAsia="zh-CN"/>
                    </w:rPr>
                  </w:pPr>
                  <w:r>
                    <w:rPr>
                      <w:rFonts w:hint="default"/>
                      <w:lang w:val="en-US" w:eastAsia="zh-CN"/>
                    </w:rPr>
                    <w:t>39.6</w:t>
                  </w:r>
                </w:p>
              </w:tc>
              <w:tc>
                <w:tcPr>
                  <w:tcW w:w="546" w:type="pct"/>
                  <w:vMerge w:val="continue"/>
                  <w:vAlign w:val="center"/>
                </w:tcPr>
                <w:p>
                  <w:pPr>
                    <w:pStyle w:val="22"/>
                    <w:bidi w:val="0"/>
                    <w:rPr>
                      <w:rFonts w:hint="default"/>
                      <w:lang w:val="en-US" w:eastAsia="zh-CN"/>
                    </w:rPr>
                  </w:pPr>
                </w:p>
              </w:tc>
              <w:tc>
                <w:tcPr>
                  <w:tcW w:w="155" w:type="pct"/>
                  <w:vAlign w:val="center"/>
                </w:tcPr>
                <w:p>
                  <w:pPr>
                    <w:pStyle w:val="22"/>
                    <w:bidi w:val="0"/>
                    <w:rPr>
                      <w:rFonts w:hint="default"/>
                      <w:lang w:val="en-US" w:eastAsia="zh-CN"/>
                    </w:rPr>
                  </w:pPr>
                  <w:r>
                    <w:rPr>
                      <w:rFonts w:hint="eastAsia"/>
                      <w:lang w:val="en-US" w:eastAsia="zh-CN"/>
                    </w:rPr>
                    <w:t>20</w:t>
                  </w: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159" w:type="pct"/>
                  <w:vMerge w:val="continue"/>
                  <w:vAlign w:val="center"/>
                </w:tcPr>
                <w:p>
                  <w:pPr>
                    <w:pStyle w:val="22"/>
                    <w:bidi w:val="0"/>
                    <w:rPr>
                      <w:rFonts w:hint="default"/>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5" w:type="pct"/>
                  <w:vAlign w:val="center"/>
                </w:tcPr>
                <w:p>
                  <w:pPr>
                    <w:pStyle w:val="22"/>
                    <w:bidi w:val="0"/>
                    <w:ind w:firstLine="0" w:firstLineChars="0"/>
                    <w:jc w:val="center"/>
                    <w:rPr>
                      <w:rFonts w:hint="default"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18</w:t>
                  </w:r>
                </w:p>
              </w:tc>
              <w:tc>
                <w:tcPr>
                  <w:tcW w:w="155" w:type="pct"/>
                  <w:vMerge w:val="continue"/>
                  <w:vAlign w:val="center"/>
                </w:tcPr>
                <w:p>
                  <w:pPr>
                    <w:pStyle w:val="22"/>
                    <w:bidi w:val="0"/>
                    <w:ind w:firstLine="0" w:firstLineChars="0"/>
                    <w:jc w:val="center"/>
                    <w:rPr>
                      <w:rFonts w:hint="eastAsia"/>
                      <w:lang w:val="en-US" w:eastAsia="zh-CN"/>
                    </w:rPr>
                  </w:pPr>
                </w:p>
              </w:tc>
              <w:tc>
                <w:tcPr>
                  <w:tcW w:w="232" w:type="pct"/>
                  <w:vAlign w:val="center"/>
                </w:tcPr>
                <w:p>
                  <w:pPr>
                    <w:pStyle w:val="22"/>
                    <w:bidi w:val="0"/>
                    <w:ind w:firstLine="0" w:firstLineChars="0"/>
                    <w:jc w:val="center"/>
                    <w:rPr>
                      <w:lang w:val="en-US" w:eastAsia="zh-CN"/>
                    </w:rPr>
                  </w:pPr>
                  <w:r>
                    <w:rPr>
                      <w:rFonts w:hint="eastAsia"/>
                      <w:lang w:val="en-US" w:eastAsia="zh-CN"/>
                    </w:rPr>
                    <w:t>万能升降台铣床</w:t>
                  </w:r>
                </w:p>
              </w:tc>
              <w:tc>
                <w:tcPr>
                  <w:tcW w:w="155" w:type="pct"/>
                  <w:vAlign w:val="center"/>
                </w:tcPr>
                <w:p>
                  <w:pPr>
                    <w:pStyle w:val="22"/>
                    <w:bidi w:val="0"/>
                    <w:ind w:firstLine="0" w:firstLineChars="0"/>
                    <w:jc w:val="center"/>
                    <w:rPr>
                      <w:rFonts w:hint="eastAsia"/>
                      <w:lang w:val="en-US" w:eastAsia="zh-CN"/>
                    </w:rPr>
                  </w:pPr>
                  <w:r>
                    <w:rPr>
                      <w:rFonts w:hint="eastAsia"/>
                      <w:lang w:val="en-US" w:eastAsia="zh-CN"/>
                    </w:rPr>
                    <w:t>1</w:t>
                  </w:r>
                </w:p>
              </w:tc>
              <w:tc>
                <w:tcPr>
                  <w:tcW w:w="287" w:type="pct"/>
                  <w:vAlign w:val="center"/>
                </w:tcPr>
                <w:p>
                  <w:pPr>
                    <w:pStyle w:val="22"/>
                    <w:bidi w:val="0"/>
                    <w:ind w:firstLine="0" w:firstLineChars="0"/>
                    <w:rPr>
                      <w:rFonts w:hint="eastAsia" w:ascii="Times New Roman" w:hAnsi="Times New Roman" w:eastAsia="宋体" w:cs="Times New Roman"/>
                      <w:kern w:val="2"/>
                      <w:sz w:val="21"/>
                      <w:szCs w:val="24"/>
                      <w:lang w:val="en-US" w:eastAsia="zh-CN" w:bidi="ar-SA"/>
                    </w:rPr>
                  </w:pPr>
                  <w:r>
                    <w:rPr>
                      <w:rFonts w:hint="default"/>
                      <w:lang w:val="en-US" w:eastAsia="zh-CN"/>
                    </w:rPr>
                    <w:t>85</w:t>
                  </w:r>
                  <w:r>
                    <w:rPr>
                      <w:rFonts w:hint="eastAsia"/>
                      <w:lang w:val="en-US" w:eastAsia="zh-CN"/>
                    </w:rPr>
                    <w:t>/1</w:t>
                  </w:r>
                </w:p>
              </w:tc>
              <w:tc>
                <w:tcPr>
                  <w:tcW w:w="232" w:type="pct"/>
                  <w:vMerge w:val="continue"/>
                  <w:vAlign w:val="center"/>
                </w:tcPr>
                <w:p>
                  <w:pPr>
                    <w:pStyle w:val="22"/>
                    <w:ind w:firstLine="0" w:firstLineChars="0"/>
                    <w:jc w:val="center"/>
                    <w:rPr>
                      <w:rFonts w:hint="eastAsia"/>
                      <w:lang w:val="en-US" w:eastAsia="zh-CN"/>
                    </w:rPr>
                  </w:pPr>
                </w:p>
              </w:tc>
              <w:tc>
                <w:tcPr>
                  <w:tcW w:w="193" w:type="pct"/>
                  <w:vAlign w:val="center"/>
                </w:tcPr>
                <w:p>
                  <w:pPr>
                    <w:pStyle w:val="22"/>
                    <w:ind w:firstLine="0" w:firstLineChars="0"/>
                    <w:jc w:val="center"/>
                    <w:rPr>
                      <w:rFonts w:hint="default"/>
                      <w:lang w:val="en-US" w:eastAsia="zh-CN"/>
                    </w:rPr>
                  </w:pPr>
                  <w:r>
                    <w:rPr>
                      <w:rFonts w:hint="eastAsia"/>
                      <w:lang w:val="en-US" w:eastAsia="zh-CN"/>
                    </w:rPr>
                    <w:t>22</w:t>
                  </w:r>
                </w:p>
              </w:tc>
              <w:tc>
                <w:tcPr>
                  <w:tcW w:w="193" w:type="pct"/>
                  <w:vAlign w:val="center"/>
                </w:tcPr>
                <w:p>
                  <w:pPr>
                    <w:pStyle w:val="22"/>
                    <w:ind w:firstLine="0" w:firstLineChars="0"/>
                    <w:jc w:val="center"/>
                    <w:rPr>
                      <w:rFonts w:hint="default"/>
                      <w:lang w:val="en-US" w:eastAsia="zh-CN"/>
                    </w:rPr>
                  </w:pPr>
                  <w:r>
                    <w:rPr>
                      <w:rFonts w:hint="eastAsia"/>
                      <w:lang w:val="en-US" w:eastAsia="zh-CN"/>
                    </w:rPr>
                    <w:t>96</w:t>
                  </w:r>
                </w:p>
              </w:tc>
              <w:tc>
                <w:tcPr>
                  <w:tcW w:w="125" w:type="pct"/>
                  <w:vAlign w:val="center"/>
                </w:tcPr>
                <w:p>
                  <w:pPr>
                    <w:pStyle w:val="22"/>
                    <w:bidi w:val="0"/>
                    <w:rPr>
                      <w:rFonts w:hint="eastAsia"/>
                      <w:lang w:val="en-US" w:eastAsia="zh-CN"/>
                    </w:rPr>
                  </w:pPr>
                  <w:r>
                    <w:rPr>
                      <w:rFonts w:hint="eastAsia"/>
                      <w:lang w:val="en-US" w:eastAsia="zh-CN"/>
                    </w:rPr>
                    <w:t>0</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76</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123</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30</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37</w:t>
                  </w:r>
                </w:p>
              </w:tc>
              <w:tc>
                <w:tcPr>
                  <w:tcW w:w="213" w:type="pct"/>
                  <w:vAlign w:val="center"/>
                </w:tcPr>
                <w:p>
                  <w:pPr>
                    <w:pStyle w:val="22"/>
                    <w:bidi w:val="0"/>
                    <w:jc w:val="center"/>
                    <w:rPr>
                      <w:rFonts w:hint="eastAsia"/>
                      <w:lang w:val="en-US" w:eastAsia="zh-CN"/>
                    </w:rPr>
                  </w:pPr>
                  <w:r>
                    <w:rPr>
                      <w:rFonts w:hint="default"/>
                      <w:lang w:val="en-US" w:eastAsia="zh-CN"/>
                    </w:rPr>
                    <w:t>47.4</w:t>
                  </w:r>
                </w:p>
              </w:tc>
              <w:tc>
                <w:tcPr>
                  <w:tcW w:w="213" w:type="pct"/>
                  <w:vAlign w:val="center"/>
                </w:tcPr>
                <w:p>
                  <w:pPr>
                    <w:pStyle w:val="22"/>
                    <w:bidi w:val="0"/>
                    <w:jc w:val="center"/>
                    <w:rPr>
                      <w:rFonts w:hint="eastAsia"/>
                      <w:lang w:val="en-US" w:eastAsia="zh-CN"/>
                    </w:rPr>
                  </w:pPr>
                  <w:r>
                    <w:rPr>
                      <w:rFonts w:hint="default"/>
                      <w:lang w:val="en-US" w:eastAsia="zh-CN"/>
                    </w:rPr>
                    <w:t>43.2</w:t>
                  </w:r>
                </w:p>
              </w:tc>
              <w:tc>
                <w:tcPr>
                  <w:tcW w:w="213" w:type="pct"/>
                  <w:vAlign w:val="center"/>
                </w:tcPr>
                <w:p>
                  <w:pPr>
                    <w:pStyle w:val="22"/>
                    <w:bidi w:val="0"/>
                    <w:jc w:val="center"/>
                    <w:rPr>
                      <w:rFonts w:hint="eastAsia"/>
                      <w:lang w:val="en-US" w:eastAsia="zh-CN"/>
                    </w:rPr>
                  </w:pPr>
                  <w:r>
                    <w:rPr>
                      <w:rFonts w:hint="default"/>
                      <w:lang w:val="en-US" w:eastAsia="zh-CN"/>
                    </w:rPr>
                    <w:t>55.5</w:t>
                  </w:r>
                </w:p>
              </w:tc>
              <w:tc>
                <w:tcPr>
                  <w:tcW w:w="213" w:type="pct"/>
                  <w:vAlign w:val="center"/>
                </w:tcPr>
                <w:p>
                  <w:pPr>
                    <w:pStyle w:val="22"/>
                    <w:bidi w:val="0"/>
                    <w:jc w:val="center"/>
                    <w:rPr>
                      <w:rFonts w:hint="default"/>
                      <w:lang w:val="en-US" w:eastAsia="zh-CN"/>
                    </w:rPr>
                  </w:pPr>
                  <w:r>
                    <w:rPr>
                      <w:rFonts w:hint="default"/>
                      <w:lang w:val="en-US" w:eastAsia="zh-CN"/>
                    </w:rPr>
                    <w:t>53.6</w:t>
                  </w:r>
                </w:p>
              </w:tc>
              <w:tc>
                <w:tcPr>
                  <w:tcW w:w="546" w:type="pct"/>
                  <w:vMerge w:val="continue"/>
                  <w:vAlign w:val="center"/>
                </w:tcPr>
                <w:p>
                  <w:pPr>
                    <w:pStyle w:val="22"/>
                    <w:bidi w:val="0"/>
                    <w:rPr>
                      <w:rFonts w:hint="default"/>
                      <w:lang w:val="en-US" w:eastAsia="zh-CN"/>
                    </w:rPr>
                  </w:pPr>
                </w:p>
              </w:tc>
              <w:tc>
                <w:tcPr>
                  <w:tcW w:w="155" w:type="pct"/>
                  <w:vAlign w:val="center"/>
                </w:tcPr>
                <w:p>
                  <w:pPr>
                    <w:pStyle w:val="22"/>
                    <w:bidi w:val="0"/>
                    <w:rPr>
                      <w:rFonts w:hint="default"/>
                      <w:lang w:val="en-US" w:eastAsia="zh-CN"/>
                    </w:rPr>
                  </w:pPr>
                  <w:r>
                    <w:rPr>
                      <w:rFonts w:hint="eastAsia"/>
                      <w:lang w:val="en-US" w:eastAsia="zh-CN"/>
                    </w:rPr>
                    <w:t>20</w:t>
                  </w: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159" w:type="pct"/>
                  <w:vMerge w:val="continue"/>
                  <w:vAlign w:val="center"/>
                </w:tcPr>
                <w:p>
                  <w:pPr>
                    <w:pStyle w:val="22"/>
                    <w:bidi w:val="0"/>
                    <w:rPr>
                      <w:rFonts w:hint="eastAsia"/>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5" w:type="pct"/>
                  <w:vAlign w:val="center"/>
                </w:tcPr>
                <w:p>
                  <w:pPr>
                    <w:pStyle w:val="22"/>
                    <w:bidi w:val="0"/>
                    <w:ind w:firstLine="0" w:firstLineChars="0"/>
                    <w:jc w:val="center"/>
                    <w:rPr>
                      <w:rFonts w:hint="default"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19</w:t>
                  </w:r>
                </w:p>
              </w:tc>
              <w:tc>
                <w:tcPr>
                  <w:tcW w:w="155" w:type="pct"/>
                  <w:vMerge w:val="continue"/>
                  <w:vAlign w:val="center"/>
                </w:tcPr>
                <w:p>
                  <w:pPr>
                    <w:pStyle w:val="22"/>
                    <w:bidi w:val="0"/>
                    <w:ind w:firstLine="0" w:firstLineChars="0"/>
                    <w:jc w:val="center"/>
                    <w:rPr>
                      <w:rFonts w:hint="eastAsia"/>
                      <w:lang w:val="en-US" w:eastAsia="zh-CN"/>
                    </w:rPr>
                  </w:pPr>
                </w:p>
              </w:tc>
              <w:tc>
                <w:tcPr>
                  <w:tcW w:w="232" w:type="pct"/>
                  <w:vAlign w:val="center"/>
                </w:tcPr>
                <w:p>
                  <w:pPr>
                    <w:pStyle w:val="22"/>
                    <w:bidi w:val="0"/>
                    <w:ind w:firstLine="0" w:firstLineChars="0"/>
                    <w:jc w:val="center"/>
                    <w:rPr>
                      <w:lang w:val="en-US" w:eastAsia="zh-CN"/>
                    </w:rPr>
                  </w:pPr>
                  <w:r>
                    <w:rPr>
                      <w:rFonts w:hint="eastAsia"/>
                      <w:lang w:val="en-US" w:eastAsia="zh-CN"/>
                    </w:rPr>
                    <w:t>GB系列金属带锯床</w:t>
                  </w:r>
                </w:p>
              </w:tc>
              <w:tc>
                <w:tcPr>
                  <w:tcW w:w="155" w:type="pct"/>
                  <w:vAlign w:val="center"/>
                </w:tcPr>
                <w:p>
                  <w:pPr>
                    <w:pStyle w:val="22"/>
                    <w:bidi w:val="0"/>
                    <w:ind w:firstLine="0" w:firstLineChars="0"/>
                    <w:jc w:val="center"/>
                    <w:rPr>
                      <w:rFonts w:hint="eastAsia"/>
                      <w:lang w:val="en-US" w:eastAsia="zh-CN"/>
                    </w:rPr>
                  </w:pPr>
                  <w:r>
                    <w:rPr>
                      <w:rFonts w:hint="eastAsia"/>
                      <w:lang w:val="en-US" w:eastAsia="zh-CN"/>
                    </w:rPr>
                    <w:t>1</w:t>
                  </w:r>
                </w:p>
              </w:tc>
              <w:tc>
                <w:tcPr>
                  <w:tcW w:w="287" w:type="pct"/>
                  <w:vAlign w:val="center"/>
                </w:tcPr>
                <w:p>
                  <w:pPr>
                    <w:pStyle w:val="22"/>
                    <w:bidi w:val="0"/>
                    <w:ind w:firstLine="0" w:firstLineChars="0"/>
                    <w:rPr>
                      <w:rFonts w:hint="eastAsia" w:ascii="Times New Roman" w:hAnsi="Times New Roman" w:eastAsia="宋体" w:cs="Times New Roman"/>
                      <w:kern w:val="2"/>
                      <w:sz w:val="21"/>
                      <w:szCs w:val="24"/>
                      <w:lang w:val="en-US" w:eastAsia="zh-CN" w:bidi="ar-SA"/>
                    </w:rPr>
                  </w:pPr>
                  <w:r>
                    <w:rPr>
                      <w:rFonts w:hint="default"/>
                      <w:lang w:val="en-US" w:eastAsia="zh-CN"/>
                    </w:rPr>
                    <w:t>85</w:t>
                  </w:r>
                  <w:r>
                    <w:rPr>
                      <w:rFonts w:hint="eastAsia"/>
                      <w:lang w:val="en-US" w:eastAsia="zh-CN"/>
                    </w:rPr>
                    <w:t>/1</w:t>
                  </w:r>
                </w:p>
              </w:tc>
              <w:tc>
                <w:tcPr>
                  <w:tcW w:w="232" w:type="pct"/>
                  <w:vMerge w:val="continue"/>
                  <w:vAlign w:val="center"/>
                </w:tcPr>
                <w:p>
                  <w:pPr>
                    <w:pStyle w:val="22"/>
                    <w:ind w:firstLine="0" w:firstLineChars="0"/>
                    <w:jc w:val="center"/>
                    <w:rPr>
                      <w:rFonts w:hint="eastAsia"/>
                      <w:lang w:val="en-US" w:eastAsia="zh-CN"/>
                    </w:rPr>
                  </w:pPr>
                </w:p>
              </w:tc>
              <w:tc>
                <w:tcPr>
                  <w:tcW w:w="193" w:type="pct"/>
                  <w:vAlign w:val="center"/>
                </w:tcPr>
                <w:p>
                  <w:pPr>
                    <w:pStyle w:val="22"/>
                    <w:ind w:firstLine="0" w:firstLineChars="0"/>
                    <w:jc w:val="center"/>
                    <w:rPr>
                      <w:rFonts w:hint="default"/>
                      <w:lang w:val="en-US" w:eastAsia="zh-CN"/>
                    </w:rPr>
                  </w:pPr>
                  <w:r>
                    <w:rPr>
                      <w:rFonts w:hint="eastAsia"/>
                      <w:lang w:val="en-US" w:eastAsia="zh-CN"/>
                    </w:rPr>
                    <w:t>23</w:t>
                  </w:r>
                </w:p>
              </w:tc>
              <w:tc>
                <w:tcPr>
                  <w:tcW w:w="193" w:type="pct"/>
                  <w:vAlign w:val="center"/>
                </w:tcPr>
                <w:p>
                  <w:pPr>
                    <w:pStyle w:val="22"/>
                    <w:ind w:firstLine="0" w:firstLineChars="0"/>
                    <w:jc w:val="center"/>
                    <w:rPr>
                      <w:rFonts w:hint="default"/>
                      <w:lang w:val="en-US" w:eastAsia="zh-CN"/>
                    </w:rPr>
                  </w:pPr>
                  <w:r>
                    <w:rPr>
                      <w:rFonts w:hint="eastAsia"/>
                      <w:lang w:val="en-US" w:eastAsia="zh-CN"/>
                    </w:rPr>
                    <w:t>82</w:t>
                  </w:r>
                </w:p>
              </w:tc>
              <w:tc>
                <w:tcPr>
                  <w:tcW w:w="125" w:type="pct"/>
                  <w:vAlign w:val="center"/>
                </w:tcPr>
                <w:p>
                  <w:pPr>
                    <w:pStyle w:val="22"/>
                    <w:bidi w:val="0"/>
                    <w:rPr>
                      <w:rFonts w:hint="eastAsia"/>
                      <w:lang w:val="en-US" w:eastAsia="zh-CN"/>
                    </w:rPr>
                  </w:pPr>
                  <w:r>
                    <w:rPr>
                      <w:rFonts w:hint="eastAsia"/>
                      <w:lang w:val="en-US" w:eastAsia="zh-CN"/>
                    </w:rPr>
                    <w:t>0</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78</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50</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28</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110</w:t>
                  </w:r>
                </w:p>
              </w:tc>
              <w:tc>
                <w:tcPr>
                  <w:tcW w:w="213" w:type="pct"/>
                  <w:vAlign w:val="center"/>
                </w:tcPr>
                <w:p>
                  <w:pPr>
                    <w:pStyle w:val="22"/>
                    <w:bidi w:val="0"/>
                    <w:jc w:val="center"/>
                    <w:rPr>
                      <w:rFonts w:hint="default"/>
                      <w:lang w:val="en-US" w:eastAsia="zh-CN"/>
                    </w:rPr>
                  </w:pPr>
                  <w:r>
                    <w:rPr>
                      <w:rFonts w:hint="default"/>
                      <w:lang w:val="en-US" w:eastAsia="zh-CN"/>
                    </w:rPr>
                    <w:t>47.2</w:t>
                  </w:r>
                </w:p>
              </w:tc>
              <w:tc>
                <w:tcPr>
                  <w:tcW w:w="213" w:type="pct"/>
                  <w:vAlign w:val="center"/>
                </w:tcPr>
                <w:p>
                  <w:pPr>
                    <w:pStyle w:val="22"/>
                    <w:bidi w:val="0"/>
                    <w:jc w:val="center"/>
                    <w:rPr>
                      <w:rFonts w:hint="eastAsia"/>
                      <w:lang w:val="en-US" w:eastAsia="zh-CN"/>
                    </w:rPr>
                  </w:pPr>
                  <w:r>
                    <w:rPr>
                      <w:rFonts w:hint="default"/>
                      <w:lang w:val="en-US" w:eastAsia="zh-CN"/>
                    </w:rPr>
                    <w:t>51.0</w:t>
                  </w:r>
                </w:p>
              </w:tc>
              <w:tc>
                <w:tcPr>
                  <w:tcW w:w="213" w:type="pct"/>
                  <w:vAlign w:val="center"/>
                </w:tcPr>
                <w:p>
                  <w:pPr>
                    <w:pStyle w:val="22"/>
                    <w:bidi w:val="0"/>
                    <w:jc w:val="center"/>
                    <w:rPr>
                      <w:rFonts w:hint="eastAsia"/>
                      <w:lang w:val="en-US" w:eastAsia="zh-CN"/>
                    </w:rPr>
                  </w:pPr>
                  <w:r>
                    <w:rPr>
                      <w:rFonts w:hint="default"/>
                      <w:lang w:val="en-US" w:eastAsia="zh-CN"/>
                    </w:rPr>
                    <w:t>56.1</w:t>
                  </w:r>
                </w:p>
              </w:tc>
              <w:tc>
                <w:tcPr>
                  <w:tcW w:w="213" w:type="pct"/>
                  <w:vAlign w:val="center"/>
                </w:tcPr>
                <w:p>
                  <w:pPr>
                    <w:pStyle w:val="22"/>
                    <w:bidi w:val="0"/>
                    <w:jc w:val="center"/>
                    <w:rPr>
                      <w:rFonts w:hint="eastAsia"/>
                      <w:lang w:val="en-US" w:eastAsia="zh-CN"/>
                    </w:rPr>
                  </w:pPr>
                  <w:r>
                    <w:rPr>
                      <w:rFonts w:hint="default"/>
                      <w:lang w:val="en-US" w:eastAsia="zh-CN"/>
                    </w:rPr>
                    <w:t>44.2</w:t>
                  </w:r>
                </w:p>
              </w:tc>
              <w:tc>
                <w:tcPr>
                  <w:tcW w:w="546" w:type="pct"/>
                  <w:vMerge w:val="continue"/>
                  <w:vAlign w:val="center"/>
                </w:tcPr>
                <w:p>
                  <w:pPr>
                    <w:pStyle w:val="22"/>
                    <w:bidi w:val="0"/>
                    <w:rPr>
                      <w:rFonts w:hint="default"/>
                      <w:lang w:val="en-US" w:eastAsia="zh-CN"/>
                    </w:rPr>
                  </w:pPr>
                </w:p>
              </w:tc>
              <w:tc>
                <w:tcPr>
                  <w:tcW w:w="155" w:type="pct"/>
                  <w:vAlign w:val="center"/>
                </w:tcPr>
                <w:p>
                  <w:pPr>
                    <w:pStyle w:val="22"/>
                    <w:bidi w:val="0"/>
                    <w:rPr>
                      <w:rFonts w:hint="default"/>
                      <w:lang w:val="en-US" w:eastAsia="zh-CN"/>
                    </w:rPr>
                  </w:pPr>
                  <w:r>
                    <w:rPr>
                      <w:rFonts w:hint="eastAsia"/>
                      <w:lang w:val="en-US" w:eastAsia="zh-CN"/>
                    </w:rPr>
                    <w:t>20</w:t>
                  </w: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159" w:type="pct"/>
                  <w:vMerge w:val="continue"/>
                  <w:vAlign w:val="center"/>
                </w:tcPr>
                <w:p>
                  <w:pPr>
                    <w:pStyle w:val="22"/>
                    <w:bidi w:val="0"/>
                    <w:rPr>
                      <w:rFonts w:hint="default"/>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5" w:type="pct"/>
                  <w:vAlign w:val="center"/>
                </w:tcPr>
                <w:p>
                  <w:pPr>
                    <w:pStyle w:val="22"/>
                    <w:bidi w:val="0"/>
                    <w:ind w:firstLine="0" w:firstLineChars="0"/>
                    <w:jc w:val="center"/>
                    <w:rPr>
                      <w:rFonts w:hint="default"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20</w:t>
                  </w:r>
                </w:p>
              </w:tc>
              <w:tc>
                <w:tcPr>
                  <w:tcW w:w="155" w:type="pct"/>
                  <w:vMerge w:val="continue"/>
                  <w:vAlign w:val="center"/>
                </w:tcPr>
                <w:p>
                  <w:pPr>
                    <w:pStyle w:val="22"/>
                    <w:bidi w:val="0"/>
                    <w:ind w:firstLine="0" w:firstLineChars="0"/>
                    <w:jc w:val="center"/>
                    <w:rPr>
                      <w:rFonts w:hint="eastAsia"/>
                      <w:lang w:val="en-US" w:eastAsia="zh-CN"/>
                    </w:rPr>
                  </w:pPr>
                </w:p>
              </w:tc>
              <w:tc>
                <w:tcPr>
                  <w:tcW w:w="232" w:type="pct"/>
                  <w:vAlign w:val="center"/>
                </w:tcPr>
                <w:p>
                  <w:pPr>
                    <w:pStyle w:val="22"/>
                    <w:bidi w:val="0"/>
                    <w:ind w:firstLine="0" w:firstLineChars="0"/>
                    <w:jc w:val="center"/>
                    <w:rPr>
                      <w:rFonts w:hint="eastAsia"/>
                      <w:lang w:val="en-US" w:eastAsia="zh-CN"/>
                    </w:rPr>
                  </w:pPr>
                  <w:r>
                    <w:rPr>
                      <w:rFonts w:hint="eastAsia"/>
                      <w:lang w:val="en-US" w:eastAsia="zh-CN"/>
                    </w:rPr>
                    <w:t>电火花高速小孔加工机</w:t>
                  </w:r>
                </w:p>
              </w:tc>
              <w:tc>
                <w:tcPr>
                  <w:tcW w:w="155" w:type="pct"/>
                  <w:vAlign w:val="center"/>
                </w:tcPr>
                <w:p>
                  <w:pPr>
                    <w:pStyle w:val="22"/>
                    <w:bidi w:val="0"/>
                    <w:ind w:firstLine="0" w:firstLineChars="0"/>
                    <w:jc w:val="center"/>
                    <w:rPr>
                      <w:rFonts w:hint="eastAsia"/>
                      <w:lang w:val="en-US" w:eastAsia="zh-CN"/>
                    </w:rPr>
                  </w:pPr>
                  <w:r>
                    <w:rPr>
                      <w:rFonts w:hint="eastAsia"/>
                      <w:lang w:val="en-US" w:eastAsia="zh-CN"/>
                    </w:rPr>
                    <w:t>1</w:t>
                  </w:r>
                </w:p>
              </w:tc>
              <w:tc>
                <w:tcPr>
                  <w:tcW w:w="287" w:type="pct"/>
                  <w:vAlign w:val="center"/>
                </w:tcPr>
                <w:p>
                  <w:pPr>
                    <w:pStyle w:val="22"/>
                    <w:bidi w:val="0"/>
                    <w:ind w:firstLine="0" w:firstLineChars="0"/>
                    <w:rPr>
                      <w:rFonts w:hint="eastAsia" w:ascii="Times New Roman" w:hAnsi="Times New Roman" w:eastAsia="宋体" w:cs="Times New Roman"/>
                      <w:kern w:val="2"/>
                      <w:sz w:val="21"/>
                      <w:szCs w:val="24"/>
                      <w:lang w:val="en-US" w:eastAsia="zh-CN" w:bidi="ar-SA"/>
                    </w:rPr>
                  </w:pPr>
                  <w:r>
                    <w:rPr>
                      <w:rFonts w:hint="default"/>
                      <w:lang w:val="en-US" w:eastAsia="zh-CN"/>
                    </w:rPr>
                    <w:t>75</w:t>
                  </w:r>
                  <w:r>
                    <w:rPr>
                      <w:rFonts w:hint="eastAsia"/>
                      <w:lang w:val="en-US" w:eastAsia="zh-CN"/>
                    </w:rPr>
                    <w:t>/1</w:t>
                  </w:r>
                </w:p>
              </w:tc>
              <w:tc>
                <w:tcPr>
                  <w:tcW w:w="232" w:type="pct"/>
                  <w:vMerge w:val="continue"/>
                  <w:vAlign w:val="center"/>
                </w:tcPr>
                <w:p>
                  <w:pPr>
                    <w:pStyle w:val="22"/>
                    <w:ind w:firstLine="0" w:firstLineChars="0"/>
                    <w:jc w:val="center"/>
                    <w:rPr>
                      <w:rFonts w:hint="eastAsia"/>
                      <w:lang w:val="en-US" w:eastAsia="zh-CN"/>
                    </w:rPr>
                  </w:pPr>
                </w:p>
              </w:tc>
              <w:tc>
                <w:tcPr>
                  <w:tcW w:w="193" w:type="pct"/>
                  <w:vAlign w:val="center"/>
                </w:tcPr>
                <w:p>
                  <w:pPr>
                    <w:pStyle w:val="22"/>
                    <w:ind w:firstLine="0" w:firstLineChars="0"/>
                    <w:jc w:val="center"/>
                    <w:rPr>
                      <w:rFonts w:hint="default"/>
                      <w:lang w:val="en-US" w:eastAsia="zh-CN"/>
                    </w:rPr>
                  </w:pPr>
                  <w:r>
                    <w:rPr>
                      <w:rFonts w:hint="eastAsia"/>
                      <w:lang w:val="en-US" w:eastAsia="zh-CN"/>
                    </w:rPr>
                    <w:t>37</w:t>
                  </w:r>
                </w:p>
              </w:tc>
              <w:tc>
                <w:tcPr>
                  <w:tcW w:w="193" w:type="pct"/>
                  <w:vAlign w:val="center"/>
                </w:tcPr>
                <w:p>
                  <w:pPr>
                    <w:pStyle w:val="22"/>
                    <w:ind w:firstLine="0" w:firstLineChars="0"/>
                    <w:jc w:val="center"/>
                    <w:rPr>
                      <w:rFonts w:hint="default"/>
                      <w:lang w:val="en-US" w:eastAsia="zh-CN"/>
                    </w:rPr>
                  </w:pPr>
                  <w:r>
                    <w:rPr>
                      <w:rFonts w:hint="eastAsia"/>
                      <w:lang w:val="en-US" w:eastAsia="zh-CN"/>
                    </w:rPr>
                    <w:t>99</w:t>
                  </w:r>
                </w:p>
              </w:tc>
              <w:tc>
                <w:tcPr>
                  <w:tcW w:w="125" w:type="pct"/>
                  <w:vAlign w:val="center"/>
                </w:tcPr>
                <w:p>
                  <w:pPr>
                    <w:pStyle w:val="22"/>
                    <w:bidi w:val="0"/>
                    <w:rPr>
                      <w:rFonts w:hint="eastAsia"/>
                      <w:lang w:val="en-US" w:eastAsia="zh-CN"/>
                    </w:rPr>
                  </w:pPr>
                  <w:r>
                    <w:rPr>
                      <w:rFonts w:hint="eastAsia"/>
                      <w:lang w:val="en-US" w:eastAsia="zh-CN"/>
                    </w:rPr>
                    <w:t>0</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76</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123</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30</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37</w:t>
                  </w:r>
                </w:p>
              </w:tc>
              <w:tc>
                <w:tcPr>
                  <w:tcW w:w="213" w:type="pct"/>
                  <w:vAlign w:val="center"/>
                </w:tcPr>
                <w:p>
                  <w:pPr>
                    <w:pStyle w:val="22"/>
                    <w:bidi w:val="0"/>
                    <w:jc w:val="center"/>
                    <w:rPr>
                      <w:rFonts w:hint="eastAsia"/>
                      <w:lang w:val="en-US" w:eastAsia="zh-CN"/>
                    </w:rPr>
                  </w:pPr>
                  <w:r>
                    <w:rPr>
                      <w:rFonts w:hint="default"/>
                      <w:lang w:val="en-US" w:eastAsia="zh-CN"/>
                    </w:rPr>
                    <w:t>37.4</w:t>
                  </w:r>
                </w:p>
              </w:tc>
              <w:tc>
                <w:tcPr>
                  <w:tcW w:w="213" w:type="pct"/>
                  <w:vAlign w:val="center"/>
                </w:tcPr>
                <w:p>
                  <w:pPr>
                    <w:pStyle w:val="22"/>
                    <w:bidi w:val="0"/>
                    <w:jc w:val="center"/>
                    <w:rPr>
                      <w:rFonts w:hint="eastAsia"/>
                      <w:lang w:val="en-US" w:eastAsia="zh-CN"/>
                    </w:rPr>
                  </w:pPr>
                  <w:r>
                    <w:rPr>
                      <w:rFonts w:hint="default"/>
                      <w:lang w:val="en-US" w:eastAsia="zh-CN"/>
                    </w:rPr>
                    <w:t>33.2</w:t>
                  </w:r>
                </w:p>
              </w:tc>
              <w:tc>
                <w:tcPr>
                  <w:tcW w:w="213" w:type="pct"/>
                  <w:vAlign w:val="center"/>
                </w:tcPr>
                <w:p>
                  <w:pPr>
                    <w:pStyle w:val="22"/>
                    <w:bidi w:val="0"/>
                    <w:jc w:val="center"/>
                    <w:rPr>
                      <w:rFonts w:hint="eastAsia"/>
                      <w:lang w:val="en-US" w:eastAsia="zh-CN"/>
                    </w:rPr>
                  </w:pPr>
                  <w:r>
                    <w:rPr>
                      <w:rFonts w:hint="default"/>
                      <w:lang w:val="en-US" w:eastAsia="zh-CN"/>
                    </w:rPr>
                    <w:t>45.5</w:t>
                  </w:r>
                </w:p>
              </w:tc>
              <w:tc>
                <w:tcPr>
                  <w:tcW w:w="213" w:type="pct"/>
                  <w:vAlign w:val="center"/>
                </w:tcPr>
                <w:p>
                  <w:pPr>
                    <w:pStyle w:val="22"/>
                    <w:bidi w:val="0"/>
                    <w:jc w:val="center"/>
                    <w:rPr>
                      <w:rFonts w:hint="default"/>
                      <w:lang w:val="en-US" w:eastAsia="zh-CN"/>
                    </w:rPr>
                  </w:pPr>
                  <w:r>
                    <w:rPr>
                      <w:rFonts w:hint="default"/>
                      <w:lang w:val="en-US" w:eastAsia="zh-CN"/>
                    </w:rPr>
                    <w:t>43.6</w:t>
                  </w:r>
                </w:p>
              </w:tc>
              <w:tc>
                <w:tcPr>
                  <w:tcW w:w="546" w:type="pct"/>
                  <w:vMerge w:val="continue"/>
                  <w:vAlign w:val="center"/>
                </w:tcPr>
                <w:p>
                  <w:pPr>
                    <w:pStyle w:val="22"/>
                    <w:bidi w:val="0"/>
                    <w:rPr>
                      <w:rFonts w:hint="default"/>
                      <w:lang w:val="en-US" w:eastAsia="zh-CN"/>
                    </w:rPr>
                  </w:pPr>
                </w:p>
              </w:tc>
              <w:tc>
                <w:tcPr>
                  <w:tcW w:w="155" w:type="pct"/>
                  <w:vAlign w:val="center"/>
                </w:tcPr>
                <w:p>
                  <w:pPr>
                    <w:pStyle w:val="22"/>
                    <w:bidi w:val="0"/>
                    <w:rPr>
                      <w:rFonts w:hint="default"/>
                      <w:lang w:val="en-US" w:eastAsia="zh-CN"/>
                    </w:rPr>
                  </w:pPr>
                  <w:r>
                    <w:rPr>
                      <w:rFonts w:hint="eastAsia"/>
                      <w:lang w:val="en-US" w:eastAsia="zh-CN"/>
                    </w:rPr>
                    <w:t>20</w:t>
                  </w: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159" w:type="pct"/>
                  <w:vMerge w:val="continue"/>
                  <w:vAlign w:val="center"/>
                </w:tcPr>
                <w:p>
                  <w:pPr>
                    <w:pStyle w:val="22"/>
                    <w:bidi w:val="0"/>
                    <w:rPr>
                      <w:rFonts w:hint="default"/>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5" w:type="pct"/>
                  <w:vAlign w:val="center"/>
                </w:tcPr>
                <w:p>
                  <w:pPr>
                    <w:pStyle w:val="22"/>
                    <w:bidi w:val="0"/>
                    <w:ind w:firstLine="0" w:firstLineChars="0"/>
                    <w:jc w:val="center"/>
                    <w:rPr>
                      <w:rFonts w:hint="default"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21</w:t>
                  </w:r>
                </w:p>
              </w:tc>
              <w:tc>
                <w:tcPr>
                  <w:tcW w:w="155" w:type="pct"/>
                  <w:vMerge w:val="continue"/>
                  <w:vAlign w:val="center"/>
                </w:tcPr>
                <w:p>
                  <w:pPr>
                    <w:pStyle w:val="22"/>
                    <w:bidi w:val="0"/>
                    <w:ind w:firstLine="0" w:firstLineChars="0"/>
                    <w:jc w:val="center"/>
                    <w:rPr>
                      <w:rFonts w:hint="eastAsia"/>
                      <w:lang w:val="en-US" w:eastAsia="zh-CN"/>
                    </w:rPr>
                  </w:pPr>
                </w:p>
              </w:tc>
              <w:tc>
                <w:tcPr>
                  <w:tcW w:w="232" w:type="pct"/>
                  <w:vAlign w:val="center"/>
                </w:tcPr>
                <w:p>
                  <w:pPr>
                    <w:pStyle w:val="22"/>
                    <w:bidi w:val="0"/>
                    <w:ind w:firstLine="0" w:firstLineChars="0"/>
                    <w:jc w:val="center"/>
                    <w:rPr>
                      <w:rFonts w:hint="eastAsia"/>
                      <w:lang w:val="en-US" w:eastAsia="zh-CN"/>
                    </w:rPr>
                  </w:pPr>
                  <w:r>
                    <w:rPr>
                      <w:rFonts w:hint="eastAsia"/>
                      <w:lang w:val="en-US" w:eastAsia="zh-CN"/>
                    </w:rPr>
                    <w:t>立式加工中心</w:t>
                  </w:r>
                </w:p>
              </w:tc>
              <w:tc>
                <w:tcPr>
                  <w:tcW w:w="155" w:type="pct"/>
                  <w:vAlign w:val="center"/>
                </w:tcPr>
                <w:p>
                  <w:pPr>
                    <w:pStyle w:val="22"/>
                    <w:bidi w:val="0"/>
                    <w:ind w:firstLine="0" w:firstLineChars="0"/>
                    <w:jc w:val="center"/>
                    <w:rPr>
                      <w:rFonts w:hint="eastAsia"/>
                      <w:lang w:val="en-US" w:eastAsia="zh-CN"/>
                    </w:rPr>
                  </w:pPr>
                  <w:r>
                    <w:rPr>
                      <w:rFonts w:hint="eastAsia"/>
                      <w:lang w:val="en-US" w:eastAsia="zh-CN"/>
                    </w:rPr>
                    <w:t>1</w:t>
                  </w:r>
                </w:p>
              </w:tc>
              <w:tc>
                <w:tcPr>
                  <w:tcW w:w="287" w:type="pct"/>
                  <w:vAlign w:val="center"/>
                </w:tcPr>
                <w:p>
                  <w:pPr>
                    <w:pStyle w:val="22"/>
                    <w:bidi w:val="0"/>
                    <w:ind w:firstLine="0" w:firstLineChars="0"/>
                    <w:rPr>
                      <w:rFonts w:hint="eastAsia" w:ascii="Times New Roman" w:hAnsi="Times New Roman" w:eastAsia="宋体" w:cs="Times New Roman"/>
                      <w:kern w:val="2"/>
                      <w:sz w:val="21"/>
                      <w:szCs w:val="24"/>
                      <w:lang w:val="en-US" w:eastAsia="zh-CN" w:bidi="ar-SA"/>
                    </w:rPr>
                  </w:pPr>
                  <w:r>
                    <w:rPr>
                      <w:rFonts w:hint="default"/>
                      <w:lang w:val="en-US" w:eastAsia="zh-CN"/>
                    </w:rPr>
                    <w:t>75</w:t>
                  </w:r>
                  <w:r>
                    <w:rPr>
                      <w:rFonts w:hint="eastAsia"/>
                      <w:lang w:val="en-US" w:eastAsia="zh-CN"/>
                    </w:rPr>
                    <w:t>/1</w:t>
                  </w:r>
                </w:p>
              </w:tc>
              <w:tc>
                <w:tcPr>
                  <w:tcW w:w="232" w:type="pct"/>
                  <w:vMerge w:val="continue"/>
                  <w:vAlign w:val="center"/>
                </w:tcPr>
                <w:p>
                  <w:pPr>
                    <w:pStyle w:val="22"/>
                    <w:ind w:firstLine="0" w:firstLineChars="0"/>
                    <w:jc w:val="center"/>
                    <w:rPr>
                      <w:rFonts w:hint="eastAsia"/>
                      <w:lang w:val="en-US" w:eastAsia="zh-CN"/>
                    </w:rPr>
                  </w:pPr>
                </w:p>
              </w:tc>
              <w:tc>
                <w:tcPr>
                  <w:tcW w:w="193" w:type="pct"/>
                  <w:vAlign w:val="center"/>
                </w:tcPr>
                <w:p>
                  <w:pPr>
                    <w:pStyle w:val="22"/>
                    <w:ind w:firstLine="0" w:firstLineChars="0"/>
                    <w:jc w:val="center"/>
                    <w:rPr>
                      <w:rFonts w:hint="default"/>
                      <w:lang w:val="en-US" w:eastAsia="zh-CN"/>
                    </w:rPr>
                  </w:pPr>
                  <w:r>
                    <w:rPr>
                      <w:rFonts w:hint="eastAsia"/>
                      <w:lang w:val="en-US" w:eastAsia="zh-CN"/>
                    </w:rPr>
                    <w:t>41</w:t>
                  </w:r>
                </w:p>
              </w:tc>
              <w:tc>
                <w:tcPr>
                  <w:tcW w:w="193" w:type="pct"/>
                  <w:vAlign w:val="center"/>
                </w:tcPr>
                <w:p>
                  <w:pPr>
                    <w:pStyle w:val="22"/>
                    <w:ind w:firstLine="0" w:firstLineChars="0"/>
                    <w:jc w:val="center"/>
                    <w:rPr>
                      <w:rFonts w:hint="default"/>
                      <w:lang w:val="en-US" w:eastAsia="zh-CN"/>
                    </w:rPr>
                  </w:pPr>
                  <w:r>
                    <w:rPr>
                      <w:rFonts w:hint="eastAsia"/>
                      <w:lang w:val="en-US" w:eastAsia="zh-CN"/>
                    </w:rPr>
                    <w:t>88</w:t>
                  </w:r>
                </w:p>
              </w:tc>
              <w:tc>
                <w:tcPr>
                  <w:tcW w:w="125" w:type="pct"/>
                  <w:vAlign w:val="center"/>
                </w:tcPr>
                <w:p>
                  <w:pPr>
                    <w:pStyle w:val="22"/>
                    <w:bidi w:val="0"/>
                    <w:rPr>
                      <w:rFonts w:hint="eastAsia"/>
                      <w:lang w:val="en-US" w:eastAsia="zh-CN"/>
                    </w:rPr>
                  </w:pPr>
                  <w:r>
                    <w:rPr>
                      <w:rFonts w:hint="eastAsia"/>
                      <w:lang w:val="en-US" w:eastAsia="zh-CN"/>
                    </w:rPr>
                    <w:t>0</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76</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70</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30</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90</w:t>
                  </w:r>
                </w:p>
              </w:tc>
              <w:tc>
                <w:tcPr>
                  <w:tcW w:w="213" w:type="pct"/>
                  <w:vAlign w:val="center"/>
                </w:tcPr>
                <w:p>
                  <w:pPr>
                    <w:pStyle w:val="22"/>
                    <w:bidi w:val="0"/>
                    <w:jc w:val="center"/>
                    <w:rPr>
                      <w:rFonts w:hint="eastAsia"/>
                      <w:lang w:val="en-US" w:eastAsia="zh-CN"/>
                    </w:rPr>
                  </w:pPr>
                  <w:r>
                    <w:rPr>
                      <w:rFonts w:hint="default"/>
                      <w:lang w:val="en-US" w:eastAsia="zh-CN"/>
                    </w:rPr>
                    <w:t>37.4</w:t>
                  </w:r>
                </w:p>
              </w:tc>
              <w:tc>
                <w:tcPr>
                  <w:tcW w:w="213" w:type="pct"/>
                  <w:vAlign w:val="center"/>
                </w:tcPr>
                <w:p>
                  <w:pPr>
                    <w:pStyle w:val="22"/>
                    <w:bidi w:val="0"/>
                    <w:jc w:val="center"/>
                    <w:rPr>
                      <w:rFonts w:hint="eastAsia"/>
                      <w:lang w:val="en-US" w:eastAsia="zh-CN"/>
                    </w:rPr>
                  </w:pPr>
                  <w:r>
                    <w:rPr>
                      <w:rFonts w:hint="default"/>
                      <w:lang w:val="en-US" w:eastAsia="zh-CN"/>
                    </w:rPr>
                    <w:t>38.1</w:t>
                  </w:r>
                </w:p>
              </w:tc>
              <w:tc>
                <w:tcPr>
                  <w:tcW w:w="213" w:type="pct"/>
                  <w:vAlign w:val="center"/>
                </w:tcPr>
                <w:p>
                  <w:pPr>
                    <w:pStyle w:val="22"/>
                    <w:bidi w:val="0"/>
                    <w:jc w:val="center"/>
                    <w:rPr>
                      <w:rFonts w:hint="eastAsia"/>
                      <w:lang w:val="en-US" w:eastAsia="zh-CN"/>
                    </w:rPr>
                  </w:pPr>
                  <w:r>
                    <w:rPr>
                      <w:rFonts w:hint="default"/>
                      <w:lang w:val="en-US" w:eastAsia="zh-CN"/>
                    </w:rPr>
                    <w:t>45.5</w:t>
                  </w:r>
                </w:p>
              </w:tc>
              <w:tc>
                <w:tcPr>
                  <w:tcW w:w="213" w:type="pct"/>
                  <w:vAlign w:val="center"/>
                </w:tcPr>
                <w:p>
                  <w:pPr>
                    <w:pStyle w:val="22"/>
                    <w:bidi w:val="0"/>
                    <w:jc w:val="center"/>
                    <w:rPr>
                      <w:rFonts w:hint="eastAsia"/>
                      <w:lang w:val="en-US" w:eastAsia="zh-CN"/>
                    </w:rPr>
                  </w:pPr>
                  <w:r>
                    <w:rPr>
                      <w:rFonts w:hint="default"/>
                      <w:lang w:val="en-US" w:eastAsia="zh-CN"/>
                    </w:rPr>
                    <w:t>35.9</w:t>
                  </w:r>
                </w:p>
              </w:tc>
              <w:tc>
                <w:tcPr>
                  <w:tcW w:w="546" w:type="pct"/>
                  <w:vMerge w:val="continue"/>
                  <w:vAlign w:val="center"/>
                </w:tcPr>
                <w:p>
                  <w:pPr>
                    <w:pStyle w:val="22"/>
                    <w:bidi w:val="0"/>
                    <w:rPr>
                      <w:rFonts w:hint="default"/>
                      <w:lang w:val="en-US" w:eastAsia="zh-CN"/>
                    </w:rPr>
                  </w:pPr>
                </w:p>
              </w:tc>
              <w:tc>
                <w:tcPr>
                  <w:tcW w:w="155" w:type="pct"/>
                  <w:vAlign w:val="center"/>
                </w:tcPr>
                <w:p>
                  <w:pPr>
                    <w:pStyle w:val="22"/>
                    <w:bidi w:val="0"/>
                    <w:rPr>
                      <w:rFonts w:hint="default"/>
                      <w:lang w:val="en-US" w:eastAsia="zh-CN"/>
                    </w:rPr>
                  </w:pPr>
                  <w:r>
                    <w:rPr>
                      <w:rFonts w:hint="eastAsia"/>
                      <w:lang w:val="en-US" w:eastAsia="zh-CN"/>
                    </w:rPr>
                    <w:t>20</w:t>
                  </w: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159" w:type="pct"/>
                  <w:vMerge w:val="continue"/>
                  <w:vAlign w:val="center"/>
                </w:tcPr>
                <w:p>
                  <w:pPr>
                    <w:pStyle w:val="22"/>
                    <w:bidi w:val="0"/>
                    <w:rPr>
                      <w:rFonts w:hint="eastAsia"/>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5" w:type="pct"/>
                  <w:vAlign w:val="center"/>
                </w:tcPr>
                <w:p>
                  <w:pPr>
                    <w:pStyle w:val="22"/>
                    <w:bidi w:val="0"/>
                    <w:ind w:firstLine="0" w:firstLineChars="0"/>
                    <w:jc w:val="center"/>
                    <w:rPr>
                      <w:rFonts w:hint="default"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22</w:t>
                  </w:r>
                </w:p>
              </w:tc>
              <w:tc>
                <w:tcPr>
                  <w:tcW w:w="155" w:type="pct"/>
                  <w:vMerge w:val="continue"/>
                  <w:vAlign w:val="center"/>
                </w:tcPr>
                <w:p>
                  <w:pPr>
                    <w:pStyle w:val="22"/>
                    <w:bidi w:val="0"/>
                    <w:ind w:firstLine="0" w:firstLineChars="0"/>
                    <w:jc w:val="center"/>
                    <w:rPr>
                      <w:rFonts w:hint="eastAsia"/>
                      <w:lang w:val="en-US" w:eastAsia="zh-CN"/>
                    </w:rPr>
                  </w:pPr>
                </w:p>
              </w:tc>
              <w:tc>
                <w:tcPr>
                  <w:tcW w:w="232" w:type="pct"/>
                  <w:vAlign w:val="center"/>
                </w:tcPr>
                <w:p>
                  <w:pPr>
                    <w:pStyle w:val="22"/>
                    <w:bidi w:val="0"/>
                    <w:ind w:firstLine="0" w:firstLineChars="0"/>
                    <w:jc w:val="center"/>
                    <w:rPr>
                      <w:lang w:val="en-US" w:eastAsia="zh-CN"/>
                    </w:rPr>
                  </w:pPr>
                  <w:r>
                    <w:rPr>
                      <w:rFonts w:hint="eastAsia"/>
                      <w:lang w:val="en-US" w:eastAsia="zh-CN"/>
                    </w:rPr>
                    <w:t>立式升降台铣床</w:t>
                  </w:r>
                </w:p>
              </w:tc>
              <w:tc>
                <w:tcPr>
                  <w:tcW w:w="155" w:type="pct"/>
                  <w:vAlign w:val="center"/>
                </w:tcPr>
                <w:p>
                  <w:pPr>
                    <w:pStyle w:val="22"/>
                    <w:bidi w:val="0"/>
                    <w:ind w:firstLine="0" w:firstLineChars="0"/>
                    <w:jc w:val="center"/>
                    <w:rPr>
                      <w:rFonts w:hint="eastAsia"/>
                      <w:lang w:val="en-US" w:eastAsia="zh-CN"/>
                    </w:rPr>
                  </w:pPr>
                  <w:r>
                    <w:rPr>
                      <w:rFonts w:hint="eastAsia"/>
                      <w:lang w:val="en-US" w:eastAsia="zh-CN"/>
                    </w:rPr>
                    <w:t>1</w:t>
                  </w:r>
                </w:p>
              </w:tc>
              <w:tc>
                <w:tcPr>
                  <w:tcW w:w="287" w:type="pct"/>
                  <w:vAlign w:val="center"/>
                </w:tcPr>
                <w:p>
                  <w:pPr>
                    <w:pStyle w:val="22"/>
                    <w:bidi w:val="0"/>
                    <w:ind w:firstLine="0" w:firstLineChars="0"/>
                    <w:rPr>
                      <w:rFonts w:hint="eastAsia" w:ascii="Times New Roman" w:hAnsi="Times New Roman" w:eastAsia="宋体" w:cs="Times New Roman"/>
                      <w:kern w:val="2"/>
                      <w:sz w:val="21"/>
                      <w:szCs w:val="24"/>
                      <w:lang w:val="en-US" w:eastAsia="zh-CN" w:bidi="ar-SA"/>
                    </w:rPr>
                  </w:pPr>
                  <w:r>
                    <w:rPr>
                      <w:rFonts w:hint="default"/>
                      <w:lang w:val="en-US" w:eastAsia="zh-CN"/>
                    </w:rPr>
                    <w:t>85</w:t>
                  </w:r>
                  <w:r>
                    <w:rPr>
                      <w:rFonts w:hint="eastAsia"/>
                      <w:lang w:val="en-US" w:eastAsia="zh-CN"/>
                    </w:rPr>
                    <w:t>/1</w:t>
                  </w:r>
                </w:p>
              </w:tc>
              <w:tc>
                <w:tcPr>
                  <w:tcW w:w="232" w:type="pct"/>
                  <w:vMerge w:val="continue"/>
                  <w:vAlign w:val="center"/>
                </w:tcPr>
                <w:p>
                  <w:pPr>
                    <w:pStyle w:val="22"/>
                    <w:jc w:val="center"/>
                    <w:rPr>
                      <w:rFonts w:hint="eastAsia"/>
                      <w:lang w:val="en-US" w:eastAsia="zh-CN"/>
                    </w:rPr>
                  </w:pPr>
                </w:p>
              </w:tc>
              <w:tc>
                <w:tcPr>
                  <w:tcW w:w="193" w:type="pct"/>
                  <w:vAlign w:val="center"/>
                </w:tcPr>
                <w:p>
                  <w:pPr>
                    <w:pStyle w:val="22"/>
                    <w:jc w:val="center"/>
                    <w:rPr>
                      <w:rFonts w:hint="default"/>
                      <w:lang w:val="en-US" w:eastAsia="zh-CN"/>
                    </w:rPr>
                  </w:pPr>
                  <w:r>
                    <w:rPr>
                      <w:rFonts w:hint="eastAsia"/>
                      <w:lang w:val="en-US" w:eastAsia="zh-CN"/>
                    </w:rPr>
                    <w:t>34</w:t>
                  </w:r>
                </w:p>
              </w:tc>
              <w:tc>
                <w:tcPr>
                  <w:tcW w:w="193" w:type="pct"/>
                  <w:vAlign w:val="center"/>
                </w:tcPr>
                <w:p>
                  <w:pPr>
                    <w:pStyle w:val="22"/>
                    <w:jc w:val="center"/>
                    <w:rPr>
                      <w:rFonts w:hint="default"/>
                      <w:lang w:val="en-US" w:eastAsia="zh-CN"/>
                    </w:rPr>
                  </w:pPr>
                  <w:r>
                    <w:rPr>
                      <w:rFonts w:hint="eastAsia"/>
                      <w:lang w:val="en-US" w:eastAsia="zh-CN"/>
                    </w:rPr>
                    <w:t>85</w:t>
                  </w:r>
                </w:p>
              </w:tc>
              <w:tc>
                <w:tcPr>
                  <w:tcW w:w="125" w:type="pct"/>
                  <w:vAlign w:val="center"/>
                </w:tcPr>
                <w:p>
                  <w:pPr>
                    <w:pStyle w:val="22"/>
                    <w:bidi w:val="0"/>
                    <w:rPr>
                      <w:rFonts w:hint="eastAsia"/>
                      <w:lang w:val="en-US" w:eastAsia="zh-CN"/>
                    </w:rPr>
                  </w:pPr>
                  <w:r>
                    <w:rPr>
                      <w:rFonts w:hint="eastAsia"/>
                      <w:lang w:val="en-US" w:eastAsia="zh-CN"/>
                    </w:rPr>
                    <w:t>0</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76</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123</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30</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37</w:t>
                  </w:r>
                </w:p>
              </w:tc>
              <w:tc>
                <w:tcPr>
                  <w:tcW w:w="213" w:type="pct"/>
                  <w:vAlign w:val="center"/>
                </w:tcPr>
                <w:p>
                  <w:pPr>
                    <w:pStyle w:val="22"/>
                    <w:bidi w:val="0"/>
                    <w:jc w:val="center"/>
                    <w:rPr>
                      <w:rFonts w:hint="eastAsia"/>
                    </w:rPr>
                  </w:pPr>
                  <w:r>
                    <w:rPr>
                      <w:rFonts w:hint="default"/>
                      <w:lang w:val="en-US" w:eastAsia="zh-CN"/>
                    </w:rPr>
                    <w:t>47.4</w:t>
                  </w:r>
                </w:p>
              </w:tc>
              <w:tc>
                <w:tcPr>
                  <w:tcW w:w="213" w:type="pct"/>
                  <w:vAlign w:val="center"/>
                </w:tcPr>
                <w:p>
                  <w:pPr>
                    <w:pStyle w:val="22"/>
                    <w:bidi w:val="0"/>
                    <w:jc w:val="center"/>
                    <w:rPr>
                      <w:rFonts w:hint="default"/>
                      <w:lang w:val="en-US" w:eastAsia="zh-CN"/>
                    </w:rPr>
                  </w:pPr>
                  <w:r>
                    <w:rPr>
                      <w:rFonts w:hint="default"/>
                      <w:lang w:val="en-US" w:eastAsia="zh-CN"/>
                    </w:rPr>
                    <w:t>43.2</w:t>
                  </w:r>
                </w:p>
              </w:tc>
              <w:tc>
                <w:tcPr>
                  <w:tcW w:w="213" w:type="pct"/>
                  <w:vAlign w:val="center"/>
                </w:tcPr>
                <w:p>
                  <w:pPr>
                    <w:pStyle w:val="22"/>
                    <w:bidi w:val="0"/>
                    <w:jc w:val="center"/>
                    <w:rPr>
                      <w:rFonts w:hint="default"/>
                      <w:lang w:val="en-US" w:eastAsia="zh-CN"/>
                    </w:rPr>
                  </w:pPr>
                  <w:r>
                    <w:rPr>
                      <w:rFonts w:hint="default"/>
                      <w:lang w:val="en-US" w:eastAsia="zh-CN"/>
                    </w:rPr>
                    <w:t>55.5</w:t>
                  </w:r>
                </w:p>
              </w:tc>
              <w:tc>
                <w:tcPr>
                  <w:tcW w:w="213" w:type="pct"/>
                  <w:vAlign w:val="center"/>
                </w:tcPr>
                <w:p>
                  <w:pPr>
                    <w:pStyle w:val="22"/>
                    <w:bidi w:val="0"/>
                    <w:jc w:val="center"/>
                    <w:rPr>
                      <w:rFonts w:hint="default"/>
                      <w:lang w:val="en-US" w:eastAsia="zh-CN"/>
                    </w:rPr>
                  </w:pPr>
                  <w:r>
                    <w:rPr>
                      <w:rFonts w:hint="default"/>
                      <w:lang w:val="en-US" w:eastAsia="zh-CN"/>
                    </w:rPr>
                    <w:t>53.6</w:t>
                  </w:r>
                </w:p>
              </w:tc>
              <w:tc>
                <w:tcPr>
                  <w:tcW w:w="546" w:type="pct"/>
                  <w:vMerge w:val="continue"/>
                  <w:vAlign w:val="center"/>
                </w:tcPr>
                <w:p>
                  <w:pPr>
                    <w:pStyle w:val="22"/>
                    <w:bidi w:val="0"/>
                    <w:rPr>
                      <w:rFonts w:hint="default"/>
                      <w:lang w:val="en-US" w:eastAsia="zh-CN"/>
                    </w:rPr>
                  </w:pPr>
                </w:p>
              </w:tc>
              <w:tc>
                <w:tcPr>
                  <w:tcW w:w="155" w:type="pct"/>
                  <w:vAlign w:val="center"/>
                </w:tcPr>
                <w:p>
                  <w:pPr>
                    <w:pStyle w:val="22"/>
                    <w:bidi w:val="0"/>
                    <w:rPr>
                      <w:rFonts w:hint="default"/>
                      <w:lang w:val="en-US" w:eastAsia="zh-CN"/>
                    </w:rPr>
                  </w:pPr>
                  <w:r>
                    <w:rPr>
                      <w:rFonts w:hint="eastAsia"/>
                      <w:lang w:val="en-US" w:eastAsia="zh-CN"/>
                    </w:rPr>
                    <w:t>20</w:t>
                  </w: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159" w:type="pct"/>
                  <w:vMerge w:val="continue"/>
                  <w:vAlign w:val="center"/>
                </w:tcPr>
                <w:p>
                  <w:pPr>
                    <w:pStyle w:val="22"/>
                    <w:bidi w:val="0"/>
                    <w:rPr>
                      <w:rFonts w:hint="eastAsia"/>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5" w:type="pct"/>
                  <w:vAlign w:val="center"/>
                </w:tcPr>
                <w:p>
                  <w:pPr>
                    <w:pStyle w:val="22"/>
                    <w:bidi w:val="0"/>
                    <w:ind w:firstLine="0" w:firstLineChars="0"/>
                    <w:jc w:val="center"/>
                    <w:rPr>
                      <w:rFonts w:hint="default"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23</w:t>
                  </w:r>
                </w:p>
              </w:tc>
              <w:tc>
                <w:tcPr>
                  <w:tcW w:w="155" w:type="pct"/>
                  <w:vMerge w:val="continue"/>
                  <w:vAlign w:val="center"/>
                </w:tcPr>
                <w:p>
                  <w:pPr>
                    <w:pStyle w:val="22"/>
                    <w:bidi w:val="0"/>
                    <w:ind w:firstLine="0" w:firstLineChars="0"/>
                    <w:jc w:val="center"/>
                    <w:rPr>
                      <w:rFonts w:hint="eastAsia"/>
                      <w:lang w:val="en-US" w:eastAsia="zh-CN"/>
                    </w:rPr>
                  </w:pPr>
                </w:p>
              </w:tc>
              <w:tc>
                <w:tcPr>
                  <w:tcW w:w="232" w:type="pct"/>
                  <w:vAlign w:val="center"/>
                </w:tcPr>
                <w:p>
                  <w:pPr>
                    <w:pStyle w:val="22"/>
                    <w:bidi w:val="0"/>
                    <w:ind w:firstLine="0" w:firstLineChars="0"/>
                    <w:jc w:val="center"/>
                    <w:rPr>
                      <w:lang w:val="en-US" w:eastAsia="zh-CN"/>
                    </w:rPr>
                  </w:pPr>
                  <w:r>
                    <w:rPr>
                      <w:rFonts w:hint="eastAsia"/>
                      <w:lang w:val="en-US" w:eastAsia="zh-CN"/>
                    </w:rPr>
                    <w:t>315油压机</w:t>
                  </w:r>
                </w:p>
              </w:tc>
              <w:tc>
                <w:tcPr>
                  <w:tcW w:w="155" w:type="pct"/>
                  <w:vAlign w:val="center"/>
                </w:tcPr>
                <w:p>
                  <w:pPr>
                    <w:pStyle w:val="22"/>
                    <w:bidi w:val="0"/>
                    <w:ind w:firstLine="0" w:firstLineChars="0"/>
                    <w:jc w:val="center"/>
                    <w:rPr>
                      <w:rFonts w:hint="eastAsia"/>
                      <w:lang w:val="en-US" w:eastAsia="zh-CN"/>
                    </w:rPr>
                  </w:pPr>
                  <w:r>
                    <w:rPr>
                      <w:rFonts w:hint="eastAsia"/>
                      <w:lang w:val="en-US" w:eastAsia="zh-CN"/>
                    </w:rPr>
                    <w:t>1</w:t>
                  </w:r>
                </w:p>
              </w:tc>
              <w:tc>
                <w:tcPr>
                  <w:tcW w:w="287" w:type="pct"/>
                  <w:vAlign w:val="center"/>
                </w:tcPr>
                <w:p>
                  <w:pPr>
                    <w:pStyle w:val="22"/>
                    <w:bidi w:val="0"/>
                    <w:ind w:firstLine="0" w:firstLineChars="0"/>
                    <w:rPr>
                      <w:rFonts w:hint="eastAsia" w:ascii="Times New Roman" w:hAnsi="Times New Roman" w:eastAsia="宋体" w:cs="Times New Roman"/>
                      <w:kern w:val="2"/>
                      <w:sz w:val="21"/>
                      <w:szCs w:val="24"/>
                      <w:lang w:val="en-US" w:eastAsia="zh-CN" w:bidi="ar-SA"/>
                    </w:rPr>
                  </w:pPr>
                  <w:r>
                    <w:rPr>
                      <w:rFonts w:hint="default"/>
                      <w:lang w:val="en-US" w:eastAsia="zh-CN"/>
                    </w:rPr>
                    <w:t>85</w:t>
                  </w:r>
                  <w:r>
                    <w:rPr>
                      <w:rFonts w:hint="eastAsia"/>
                      <w:lang w:val="en-US" w:eastAsia="zh-CN"/>
                    </w:rPr>
                    <w:t>/1</w:t>
                  </w:r>
                </w:p>
              </w:tc>
              <w:tc>
                <w:tcPr>
                  <w:tcW w:w="232" w:type="pct"/>
                  <w:vMerge w:val="continue"/>
                  <w:vAlign w:val="center"/>
                </w:tcPr>
                <w:p>
                  <w:pPr>
                    <w:pStyle w:val="22"/>
                    <w:ind w:firstLine="0" w:firstLineChars="0"/>
                    <w:jc w:val="center"/>
                    <w:rPr>
                      <w:rFonts w:hint="eastAsia"/>
                      <w:lang w:val="en-US" w:eastAsia="zh-CN"/>
                    </w:rPr>
                  </w:pPr>
                </w:p>
              </w:tc>
              <w:tc>
                <w:tcPr>
                  <w:tcW w:w="193" w:type="pct"/>
                  <w:vAlign w:val="center"/>
                </w:tcPr>
                <w:p>
                  <w:pPr>
                    <w:pStyle w:val="22"/>
                    <w:ind w:firstLine="0" w:firstLineChars="0"/>
                    <w:jc w:val="center"/>
                    <w:rPr>
                      <w:rFonts w:hint="default"/>
                      <w:lang w:val="en-US" w:eastAsia="zh-CN"/>
                    </w:rPr>
                  </w:pPr>
                  <w:r>
                    <w:rPr>
                      <w:rFonts w:hint="eastAsia"/>
                      <w:lang w:val="en-US" w:eastAsia="zh-CN"/>
                    </w:rPr>
                    <w:t>28</w:t>
                  </w:r>
                </w:p>
              </w:tc>
              <w:tc>
                <w:tcPr>
                  <w:tcW w:w="193" w:type="pct"/>
                  <w:vAlign w:val="center"/>
                </w:tcPr>
                <w:p>
                  <w:pPr>
                    <w:pStyle w:val="22"/>
                    <w:ind w:firstLine="0" w:firstLineChars="0"/>
                    <w:jc w:val="center"/>
                    <w:rPr>
                      <w:rFonts w:hint="default"/>
                      <w:lang w:val="en-US" w:eastAsia="zh-CN"/>
                    </w:rPr>
                  </w:pPr>
                  <w:r>
                    <w:rPr>
                      <w:rFonts w:hint="eastAsia"/>
                      <w:lang w:val="en-US" w:eastAsia="zh-CN"/>
                    </w:rPr>
                    <w:t>73</w:t>
                  </w:r>
                </w:p>
              </w:tc>
              <w:tc>
                <w:tcPr>
                  <w:tcW w:w="125" w:type="pct"/>
                  <w:vAlign w:val="center"/>
                </w:tcPr>
                <w:p>
                  <w:pPr>
                    <w:pStyle w:val="22"/>
                    <w:bidi w:val="0"/>
                    <w:rPr>
                      <w:rFonts w:hint="eastAsia"/>
                      <w:lang w:val="en-US" w:eastAsia="zh-CN"/>
                    </w:rPr>
                  </w:pPr>
                  <w:r>
                    <w:rPr>
                      <w:rFonts w:hint="eastAsia"/>
                      <w:lang w:val="en-US" w:eastAsia="zh-CN"/>
                    </w:rPr>
                    <w:t>0</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35</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62</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71</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98</w:t>
                  </w:r>
                </w:p>
              </w:tc>
              <w:tc>
                <w:tcPr>
                  <w:tcW w:w="213" w:type="pct"/>
                  <w:vAlign w:val="center"/>
                </w:tcPr>
                <w:p>
                  <w:pPr>
                    <w:pStyle w:val="22"/>
                    <w:bidi w:val="0"/>
                    <w:jc w:val="center"/>
                    <w:rPr>
                      <w:rFonts w:hint="eastAsia"/>
                      <w:lang w:val="en-US" w:eastAsia="zh-CN"/>
                    </w:rPr>
                  </w:pPr>
                  <w:r>
                    <w:rPr>
                      <w:rFonts w:hint="default"/>
                      <w:lang w:val="en-US" w:eastAsia="zh-CN"/>
                    </w:rPr>
                    <w:t>54.1</w:t>
                  </w:r>
                </w:p>
              </w:tc>
              <w:tc>
                <w:tcPr>
                  <w:tcW w:w="213" w:type="pct"/>
                  <w:vAlign w:val="center"/>
                </w:tcPr>
                <w:p>
                  <w:pPr>
                    <w:pStyle w:val="22"/>
                    <w:bidi w:val="0"/>
                    <w:jc w:val="center"/>
                    <w:rPr>
                      <w:rFonts w:hint="eastAsia"/>
                      <w:lang w:val="en-US" w:eastAsia="zh-CN"/>
                    </w:rPr>
                  </w:pPr>
                  <w:r>
                    <w:rPr>
                      <w:rFonts w:hint="default"/>
                      <w:lang w:val="en-US" w:eastAsia="zh-CN"/>
                    </w:rPr>
                    <w:t>49.2</w:t>
                  </w:r>
                </w:p>
              </w:tc>
              <w:tc>
                <w:tcPr>
                  <w:tcW w:w="213" w:type="pct"/>
                  <w:vAlign w:val="center"/>
                </w:tcPr>
                <w:p>
                  <w:pPr>
                    <w:pStyle w:val="22"/>
                    <w:bidi w:val="0"/>
                    <w:jc w:val="center"/>
                    <w:rPr>
                      <w:rFonts w:hint="eastAsia"/>
                      <w:lang w:val="en-US" w:eastAsia="zh-CN"/>
                    </w:rPr>
                  </w:pPr>
                  <w:r>
                    <w:rPr>
                      <w:rFonts w:hint="default"/>
                      <w:lang w:val="en-US" w:eastAsia="zh-CN"/>
                    </w:rPr>
                    <w:t>48.0</w:t>
                  </w:r>
                </w:p>
              </w:tc>
              <w:tc>
                <w:tcPr>
                  <w:tcW w:w="213" w:type="pct"/>
                  <w:vAlign w:val="center"/>
                </w:tcPr>
                <w:p>
                  <w:pPr>
                    <w:pStyle w:val="22"/>
                    <w:bidi w:val="0"/>
                    <w:jc w:val="center"/>
                    <w:rPr>
                      <w:rFonts w:hint="eastAsia"/>
                      <w:lang w:val="en-US" w:eastAsia="zh-CN"/>
                    </w:rPr>
                  </w:pPr>
                  <w:r>
                    <w:rPr>
                      <w:rFonts w:hint="default"/>
                      <w:lang w:val="en-US" w:eastAsia="zh-CN"/>
                    </w:rPr>
                    <w:t>45.2</w:t>
                  </w:r>
                </w:p>
              </w:tc>
              <w:tc>
                <w:tcPr>
                  <w:tcW w:w="546" w:type="pct"/>
                  <w:vMerge w:val="continue"/>
                  <w:vAlign w:val="center"/>
                </w:tcPr>
                <w:p>
                  <w:pPr>
                    <w:pStyle w:val="22"/>
                    <w:bidi w:val="0"/>
                    <w:rPr>
                      <w:rFonts w:hint="default"/>
                      <w:lang w:val="en-US" w:eastAsia="zh-CN"/>
                    </w:rPr>
                  </w:pPr>
                </w:p>
              </w:tc>
              <w:tc>
                <w:tcPr>
                  <w:tcW w:w="155" w:type="pct"/>
                  <w:vAlign w:val="center"/>
                </w:tcPr>
                <w:p>
                  <w:pPr>
                    <w:pStyle w:val="22"/>
                    <w:bidi w:val="0"/>
                    <w:rPr>
                      <w:rFonts w:hint="default"/>
                      <w:lang w:val="en-US" w:eastAsia="zh-CN"/>
                    </w:rPr>
                  </w:pPr>
                  <w:r>
                    <w:rPr>
                      <w:rFonts w:hint="eastAsia"/>
                      <w:lang w:val="en-US" w:eastAsia="zh-CN"/>
                    </w:rPr>
                    <w:t>20</w:t>
                  </w: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159" w:type="pct"/>
                  <w:vMerge w:val="continue"/>
                  <w:vAlign w:val="center"/>
                </w:tcPr>
                <w:p>
                  <w:pPr>
                    <w:pStyle w:val="22"/>
                    <w:bidi w:val="0"/>
                    <w:rPr>
                      <w:rFonts w:hint="default"/>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5" w:type="pct"/>
                  <w:vAlign w:val="center"/>
                </w:tcPr>
                <w:p>
                  <w:pPr>
                    <w:pStyle w:val="22"/>
                    <w:bidi w:val="0"/>
                    <w:ind w:firstLine="0" w:firstLineChars="0"/>
                    <w:jc w:val="center"/>
                    <w:rPr>
                      <w:rFonts w:hint="default"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24</w:t>
                  </w:r>
                </w:p>
              </w:tc>
              <w:tc>
                <w:tcPr>
                  <w:tcW w:w="155" w:type="pct"/>
                  <w:vMerge w:val="continue"/>
                  <w:vAlign w:val="center"/>
                </w:tcPr>
                <w:p>
                  <w:pPr>
                    <w:pStyle w:val="22"/>
                    <w:bidi w:val="0"/>
                    <w:ind w:firstLine="0" w:firstLineChars="0"/>
                    <w:jc w:val="center"/>
                    <w:rPr>
                      <w:rFonts w:hint="eastAsia"/>
                      <w:lang w:val="en-US" w:eastAsia="zh-CN"/>
                    </w:rPr>
                  </w:pPr>
                </w:p>
              </w:tc>
              <w:tc>
                <w:tcPr>
                  <w:tcW w:w="232" w:type="pct"/>
                  <w:vAlign w:val="center"/>
                </w:tcPr>
                <w:p>
                  <w:pPr>
                    <w:pStyle w:val="22"/>
                    <w:bidi w:val="0"/>
                    <w:ind w:firstLine="0" w:firstLineChars="0"/>
                    <w:jc w:val="center"/>
                    <w:rPr>
                      <w:rFonts w:hint="eastAsia"/>
                      <w:lang w:val="en-US" w:eastAsia="zh-CN"/>
                    </w:rPr>
                  </w:pPr>
                  <w:r>
                    <w:rPr>
                      <w:rFonts w:hint="eastAsia"/>
                      <w:lang w:val="en-US" w:eastAsia="zh-CN"/>
                    </w:rPr>
                    <w:t>中丝线切割设备</w:t>
                  </w:r>
                </w:p>
              </w:tc>
              <w:tc>
                <w:tcPr>
                  <w:tcW w:w="155" w:type="pct"/>
                  <w:vAlign w:val="center"/>
                </w:tcPr>
                <w:p>
                  <w:pPr>
                    <w:pStyle w:val="22"/>
                    <w:bidi w:val="0"/>
                    <w:ind w:firstLine="0" w:firstLineChars="0"/>
                    <w:jc w:val="center"/>
                    <w:rPr>
                      <w:rFonts w:hint="default"/>
                      <w:lang w:val="en-US" w:eastAsia="zh-CN"/>
                    </w:rPr>
                  </w:pPr>
                  <w:r>
                    <w:rPr>
                      <w:rFonts w:hint="eastAsia"/>
                      <w:lang w:val="en-US" w:eastAsia="zh-CN"/>
                    </w:rPr>
                    <w:t>4</w:t>
                  </w:r>
                </w:p>
              </w:tc>
              <w:tc>
                <w:tcPr>
                  <w:tcW w:w="287" w:type="pct"/>
                  <w:vAlign w:val="center"/>
                </w:tcPr>
                <w:p>
                  <w:pPr>
                    <w:pStyle w:val="22"/>
                    <w:bidi w:val="0"/>
                    <w:ind w:firstLine="0" w:firstLineChars="0"/>
                    <w:rPr>
                      <w:rFonts w:hint="eastAsia" w:ascii="Times New Roman" w:hAnsi="Times New Roman" w:eastAsia="宋体" w:cs="Times New Roman"/>
                      <w:kern w:val="2"/>
                      <w:sz w:val="21"/>
                      <w:szCs w:val="24"/>
                      <w:lang w:val="en-US" w:eastAsia="zh-CN" w:bidi="ar-SA"/>
                    </w:rPr>
                  </w:pPr>
                  <w:r>
                    <w:rPr>
                      <w:rFonts w:hint="default"/>
                      <w:lang w:val="en-US" w:eastAsia="zh-CN"/>
                    </w:rPr>
                    <w:t>80</w:t>
                  </w:r>
                  <w:r>
                    <w:rPr>
                      <w:rFonts w:hint="eastAsia"/>
                      <w:lang w:val="en-US" w:eastAsia="zh-CN"/>
                    </w:rPr>
                    <w:t>/1</w:t>
                  </w:r>
                </w:p>
              </w:tc>
              <w:tc>
                <w:tcPr>
                  <w:tcW w:w="232" w:type="pct"/>
                  <w:vMerge w:val="continue"/>
                  <w:vAlign w:val="center"/>
                </w:tcPr>
                <w:p>
                  <w:pPr>
                    <w:pStyle w:val="22"/>
                    <w:jc w:val="center"/>
                    <w:rPr>
                      <w:rFonts w:hint="eastAsia"/>
                      <w:lang w:val="en-US" w:eastAsia="zh-CN"/>
                    </w:rPr>
                  </w:pPr>
                </w:p>
              </w:tc>
              <w:tc>
                <w:tcPr>
                  <w:tcW w:w="193" w:type="pct"/>
                  <w:vAlign w:val="center"/>
                </w:tcPr>
                <w:p>
                  <w:pPr>
                    <w:pStyle w:val="22"/>
                    <w:jc w:val="center"/>
                    <w:rPr>
                      <w:rFonts w:hint="default"/>
                      <w:lang w:val="en-US" w:eastAsia="zh-CN"/>
                    </w:rPr>
                  </w:pPr>
                  <w:r>
                    <w:rPr>
                      <w:rFonts w:hint="eastAsia"/>
                      <w:lang w:val="en-US" w:eastAsia="zh-CN"/>
                    </w:rPr>
                    <w:t>35</w:t>
                  </w:r>
                </w:p>
              </w:tc>
              <w:tc>
                <w:tcPr>
                  <w:tcW w:w="193" w:type="pct"/>
                  <w:vAlign w:val="center"/>
                </w:tcPr>
                <w:p>
                  <w:pPr>
                    <w:pStyle w:val="22"/>
                    <w:jc w:val="center"/>
                    <w:rPr>
                      <w:rFonts w:hint="default"/>
                      <w:lang w:val="en-US" w:eastAsia="zh-CN"/>
                    </w:rPr>
                  </w:pPr>
                  <w:r>
                    <w:rPr>
                      <w:rFonts w:hint="eastAsia"/>
                      <w:lang w:val="en-US" w:eastAsia="zh-CN"/>
                    </w:rPr>
                    <w:t>102</w:t>
                  </w:r>
                </w:p>
              </w:tc>
              <w:tc>
                <w:tcPr>
                  <w:tcW w:w="125" w:type="pct"/>
                  <w:vAlign w:val="center"/>
                </w:tcPr>
                <w:p>
                  <w:pPr>
                    <w:pStyle w:val="22"/>
                    <w:bidi w:val="0"/>
                    <w:rPr>
                      <w:rFonts w:hint="eastAsia"/>
                      <w:lang w:val="en-US" w:eastAsia="zh-CN"/>
                    </w:rPr>
                  </w:pPr>
                  <w:r>
                    <w:rPr>
                      <w:rFonts w:hint="eastAsia"/>
                      <w:lang w:val="en-US" w:eastAsia="zh-CN"/>
                    </w:rPr>
                    <w:t>0</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91</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62</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15</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88</w:t>
                  </w:r>
                </w:p>
              </w:tc>
              <w:tc>
                <w:tcPr>
                  <w:tcW w:w="213" w:type="pct"/>
                  <w:vAlign w:val="center"/>
                </w:tcPr>
                <w:p>
                  <w:pPr>
                    <w:pStyle w:val="22"/>
                    <w:bidi w:val="0"/>
                    <w:jc w:val="center"/>
                    <w:rPr>
                      <w:rFonts w:hint="default"/>
                      <w:lang w:val="en-US" w:eastAsia="zh-CN"/>
                    </w:rPr>
                  </w:pPr>
                  <w:r>
                    <w:rPr>
                      <w:rFonts w:hint="default"/>
                      <w:lang w:val="en-US" w:eastAsia="zh-CN"/>
                    </w:rPr>
                    <w:t>40.8</w:t>
                  </w:r>
                </w:p>
              </w:tc>
              <w:tc>
                <w:tcPr>
                  <w:tcW w:w="213" w:type="pct"/>
                  <w:vAlign w:val="center"/>
                </w:tcPr>
                <w:p>
                  <w:pPr>
                    <w:pStyle w:val="22"/>
                    <w:bidi w:val="0"/>
                    <w:jc w:val="center"/>
                    <w:rPr>
                      <w:rFonts w:hint="default"/>
                      <w:lang w:val="en-US" w:eastAsia="zh-CN"/>
                    </w:rPr>
                  </w:pPr>
                  <w:r>
                    <w:rPr>
                      <w:rFonts w:hint="default"/>
                      <w:lang w:val="en-US" w:eastAsia="zh-CN"/>
                    </w:rPr>
                    <w:t>44.2</w:t>
                  </w:r>
                </w:p>
              </w:tc>
              <w:tc>
                <w:tcPr>
                  <w:tcW w:w="213" w:type="pct"/>
                  <w:vAlign w:val="center"/>
                </w:tcPr>
                <w:p>
                  <w:pPr>
                    <w:pStyle w:val="22"/>
                    <w:bidi w:val="0"/>
                    <w:jc w:val="center"/>
                    <w:rPr>
                      <w:rFonts w:hint="eastAsia"/>
                    </w:rPr>
                  </w:pPr>
                  <w:r>
                    <w:rPr>
                      <w:rFonts w:hint="default"/>
                      <w:lang w:val="en-US" w:eastAsia="zh-CN"/>
                    </w:rPr>
                    <w:t>56.5</w:t>
                  </w:r>
                </w:p>
              </w:tc>
              <w:tc>
                <w:tcPr>
                  <w:tcW w:w="213" w:type="pct"/>
                  <w:vAlign w:val="center"/>
                </w:tcPr>
                <w:p>
                  <w:pPr>
                    <w:pStyle w:val="22"/>
                    <w:bidi w:val="0"/>
                    <w:jc w:val="center"/>
                    <w:rPr>
                      <w:rFonts w:hint="default"/>
                      <w:lang w:val="en-US" w:eastAsia="zh-CN"/>
                    </w:rPr>
                  </w:pPr>
                  <w:r>
                    <w:rPr>
                      <w:rFonts w:hint="default"/>
                      <w:lang w:val="en-US" w:eastAsia="zh-CN"/>
                    </w:rPr>
                    <w:t>41.1</w:t>
                  </w:r>
                </w:p>
              </w:tc>
              <w:tc>
                <w:tcPr>
                  <w:tcW w:w="546" w:type="pct"/>
                  <w:vMerge w:val="continue"/>
                  <w:vAlign w:val="center"/>
                </w:tcPr>
                <w:p>
                  <w:pPr>
                    <w:pStyle w:val="22"/>
                    <w:bidi w:val="0"/>
                    <w:rPr>
                      <w:rFonts w:hint="default"/>
                      <w:lang w:val="en-US" w:eastAsia="zh-CN"/>
                    </w:rPr>
                  </w:pPr>
                </w:p>
              </w:tc>
              <w:tc>
                <w:tcPr>
                  <w:tcW w:w="155" w:type="pct"/>
                  <w:vAlign w:val="center"/>
                </w:tcPr>
                <w:p>
                  <w:pPr>
                    <w:pStyle w:val="22"/>
                    <w:bidi w:val="0"/>
                    <w:rPr>
                      <w:rFonts w:hint="default"/>
                      <w:lang w:val="en-US" w:eastAsia="zh-CN"/>
                    </w:rPr>
                  </w:pPr>
                  <w:r>
                    <w:rPr>
                      <w:rFonts w:hint="eastAsia"/>
                      <w:lang w:val="en-US" w:eastAsia="zh-CN"/>
                    </w:rPr>
                    <w:t>20</w:t>
                  </w: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159" w:type="pct"/>
                  <w:vMerge w:val="continue"/>
                  <w:vAlign w:val="center"/>
                </w:tcPr>
                <w:p>
                  <w:pPr>
                    <w:pStyle w:val="22"/>
                    <w:bidi w:val="0"/>
                    <w:rPr>
                      <w:rFonts w:hint="eastAsia"/>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5" w:type="pct"/>
                  <w:vAlign w:val="center"/>
                </w:tcPr>
                <w:p>
                  <w:pPr>
                    <w:pStyle w:val="22"/>
                    <w:bidi w:val="0"/>
                    <w:ind w:firstLine="0" w:firstLineChars="0"/>
                    <w:jc w:val="center"/>
                    <w:rPr>
                      <w:rFonts w:hint="default"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25</w:t>
                  </w:r>
                </w:p>
              </w:tc>
              <w:tc>
                <w:tcPr>
                  <w:tcW w:w="155" w:type="pct"/>
                  <w:vMerge w:val="continue"/>
                  <w:vAlign w:val="center"/>
                </w:tcPr>
                <w:p>
                  <w:pPr>
                    <w:pStyle w:val="22"/>
                    <w:bidi w:val="0"/>
                    <w:ind w:firstLine="0" w:firstLineChars="0"/>
                    <w:jc w:val="center"/>
                    <w:rPr>
                      <w:rFonts w:hint="eastAsia"/>
                      <w:lang w:val="en-US" w:eastAsia="zh-CN"/>
                    </w:rPr>
                  </w:pPr>
                </w:p>
              </w:tc>
              <w:tc>
                <w:tcPr>
                  <w:tcW w:w="232" w:type="pct"/>
                  <w:vAlign w:val="center"/>
                </w:tcPr>
                <w:p>
                  <w:pPr>
                    <w:pStyle w:val="22"/>
                    <w:bidi w:val="0"/>
                    <w:ind w:firstLine="0" w:firstLineChars="0"/>
                    <w:jc w:val="center"/>
                    <w:rPr>
                      <w:lang w:val="en-US" w:eastAsia="zh-CN"/>
                    </w:rPr>
                  </w:pPr>
                  <w:r>
                    <w:rPr>
                      <w:rFonts w:hint="eastAsia"/>
                      <w:lang w:val="en-US" w:eastAsia="zh-CN"/>
                    </w:rPr>
                    <w:t>快丝线切割设备</w:t>
                  </w:r>
                </w:p>
              </w:tc>
              <w:tc>
                <w:tcPr>
                  <w:tcW w:w="155" w:type="pct"/>
                  <w:vAlign w:val="center"/>
                </w:tcPr>
                <w:p>
                  <w:pPr>
                    <w:pStyle w:val="22"/>
                    <w:bidi w:val="0"/>
                    <w:ind w:firstLine="0" w:firstLineChars="0"/>
                    <w:jc w:val="center"/>
                    <w:rPr>
                      <w:lang w:val="en-US" w:eastAsia="zh-CN"/>
                    </w:rPr>
                  </w:pPr>
                  <w:r>
                    <w:rPr>
                      <w:rFonts w:hint="eastAsia"/>
                      <w:lang w:val="en-US" w:eastAsia="zh-CN"/>
                    </w:rPr>
                    <w:t>2</w:t>
                  </w:r>
                </w:p>
              </w:tc>
              <w:tc>
                <w:tcPr>
                  <w:tcW w:w="287" w:type="pct"/>
                  <w:vAlign w:val="center"/>
                </w:tcPr>
                <w:p>
                  <w:pPr>
                    <w:pStyle w:val="22"/>
                    <w:bidi w:val="0"/>
                    <w:ind w:firstLine="0" w:firstLineChars="0"/>
                    <w:rPr>
                      <w:rFonts w:hint="eastAsia" w:ascii="Times New Roman" w:hAnsi="Times New Roman" w:eastAsia="宋体" w:cs="Times New Roman"/>
                      <w:kern w:val="2"/>
                      <w:sz w:val="21"/>
                      <w:szCs w:val="24"/>
                      <w:lang w:val="en-US" w:eastAsia="zh-CN" w:bidi="ar-SA"/>
                    </w:rPr>
                  </w:pPr>
                  <w:r>
                    <w:rPr>
                      <w:rFonts w:hint="default"/>
                      <w:lang w:val="en-US" w:eastAsia="zh-CN"/>
                    </w:rPr>
                    <w:t>80</w:t>
                  </w:r>
                  <w:r>
                    <w:rPr>
                      <w:rFonts w:hint="eastAsia"/>
                      <w:lang w:val="en-US" w:eastAsia="zh-CN"/>
                    </w:rPr>
                    <w:t>/1</w:t>
                  </w:r>
                </w:p>
              </w:tc>
              <w:tc>
                <w:tcPr>
                  <w:tcW w:w="232" w:type="pct"/>
                  <w:vMerge w:val="continue"/>
                  <w:vAlign w:val="center"/>
                </w:tcPr>
                <w:p>
                  <w:pPr>
                    <w:pStyle w:val="22"/>
                    <w:jc w:val="center"/>
                    <w:rPr>
                      <w:rFonts w:hint="eastAsia"/>
                      <w:lang w:val="en-US" w:eastAsia="zh-CN"/>
                    </w:rPr>
                  </w:pPr>
                </w:p>
              </w:tc>
              <w:tc>
                <w:tcPr>
                  <w:tcW w:w="193" w:type="pct"/>
                  <w:vAlign w:val="center"/>
                </w:tcPr>
                <w:p>
                  <w:pPr>
                    <w:pStyle w:val="22"/>
                    <w:jc w:val="center"/>
                    <w:rPr>
                      <w:rFonts w:hint="default"/>
                      <w:lang w:val="en-US" w:eastAsia="zh-CN"/>
                    </w:rPr>
                  </w:pPr>
                  <w:r>
                    <w:rPr>
                      <w:rFonts w:hint="eastAsia"/>
                      <w:lang w:val="en-US" w:eastAsia="zh-CN"/>
                    </w:rPr>
                    <w:t>42</w:t>
                  </w:r>
                </w:p>
              </w:tc>
              <w:tc>
                <w:tcPr>
                  <w:tcW w:w="193" w:type="pct"/>
                  <w:vAlign w:val="center"/>
                </w:tcPr>
                <w:p>
                  <w:pPr>
                    <w:pStyle w:val="22"/>
                    <w:jc w:val="center"/>
                    <w:rPr>
                      <w:rFonts w:hint="default"/>
                      <w:lang w:val="en-US" w:eastAsia="zh-CN"/>
                    </w:rPr>
                  </w:pPr>
                  <w:r>
                    <w:rPr>
                      <w:rFonts w:hint="eastAsia"/>
                      <w:lang w:val="en-US" w:eastAsia="zh-CN"/>
                    </w:rPr>
                    <w:t>104</w:t>
                  </w:r>
                </w:p>
              </w:tc>
              <w:tc>
                <w:tcPr>
                  <w:tcW w:w="125" w:type="pct"/>
                  <w:vAlign w:val="center"/>
                </w:tcPr>
                <w:p>
                  <w:pPr>
                    <w:pStyle w:val="22"/>
                    <w:bidi w:val="0"/>
                    <w:rPr>
                      <w:rFonts w:hint="eastAsia"/>
                      <w:lang w:val="en-US" w:eastAsia="zh-CN"/>
                    </w:rPr>
                  </w:pPr>
                  <w:r>
                    <w:rPr>
                      <w:rFonts w:hint="eastAsia"/>
                      <w:lang w:val="en-US" w:eastAsia="zh-CN"/>
                    </w:rPr>
                    <w:t>0</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91</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70</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15</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90</w:t>
                  </w:r>
                </w:p>
              </w:tc>
              <w:tc>
                <w:tcPr>
                  <w:tcW w:w="213" w:type="pct"/>
                  <w:vAlign w:val="center"/>
                </w:tcPr>
                <w:p>
                  <w:pPr>
                    <w:pStyle w:val="22"/>
                    <w:bidi w:val="0"/>
                    <w:jc w:val="center"/>
                    <w:rPr>
                      <w:rFonts w:hint="default"/>
                      <w:lang w:val="en-US" w:eastAsia="zh-CN"/>
                    </w:rPr>
                  </w:pPr>
                  <w:r>
                    <w:rPr>
                      <w:rFonts w:hint="default"/>
                      <w:lang w:val="en-US" w:eastAsia="zh-CN"/>
                    </w:rPr>
                    <w:t>40.8</w:t>
                  </w:r>
                </w:p>
              </w:tc>
              <w:tc>
                <w:tcPr>
                  <w:tcW w:w="213" w:type="pct"/>
                  <w:vAlign w:val="center"/>
                </w:tcPr>
                <w:p>
                  <w:pPr>
                    <w:pStyle w:val="22"/>
                    <w:bidi w:val="0"/>
                    <w:jc w:val="center"/>
                    <w:rPr>
                      <w:rFonts w:hint="default"/>
                      <w:lang w:val="en-US" w:eastAsia="zh-CN"/>
                    </w:rPr>
                  </w:pPr>
                  <w:r>
                    <w:rPr>
                      <w:rFonts w:hint="default"/>
                      <w:lang w:val="en-US" w:eastAsia="zh-CN"/>
                    </w:rPr>
                    <w:t>43.1</w:t>
                  </w:r>
                </w:p>
              </w:tc>
              <w:tc>
                <w:tcPr>
                  <w:tcW w:w="213" w:type="pct"/>
                  <w:vAlign w:val="center"/>
                </w:tcPr>
                <w:p>
                  <w:pPr>
                    <w:pStyle w:val="22"/>
                    <w:bidi w:val="0"/>
                    <w:jc w:val="center"/>
                    <w:rPr>
                      <w:rFonts w:hint="default"/>
                      <w:lang w:val="en-US" w:eastAsia="zh-CN"/>
                    </w:rPr>
                  </w:pPr>
                  <w:r>
                    <w:rPr>
                      <w:rFonts w:hint="default"/>
                      <w:lang w:val="en-US" w:eastAsia="zh-CN"/>
                    </w:rPr>
                    <w:t>56.5</w:t>
                  </w:r>
                </w:p>
              </w:tc>
              <w:tc>
                <w:tcPr>
                  <w:tcW w:w="213" w:type="pct"/>
                  <w:vAlign w:val="center"/>
                </w:tcPr>
                <w:p>
                  <w:pPr>
                    <w:pStyle w:val="22"/>
                    <w:bidi w:val="0"/>
                    <w:jc w:val="center"/>
                    <w:rPr>
                      <w:rFonts w:hint="default"/>
                      <w:lang w:val="en-US" w:eastAsia="zh-CN"/>
                    </w:rPr>
                  </w:pPr>
                  <w:r>
                    <w:rPr>
                      <w:rFonts w:hint="default"/>
                      <w:lang w:val="en-US" w:eastAsia="zh-CN"/>
                    </w:rPr>
                    <w:t>40.9</w:t>
                  </w:r>
                </w:p>
              </w:tc>
              <w:tc>
                <w:tcPr>
                  <w:tcW w:w="546" w:type="pct"/>
                  <w:vMerge w:val="continue"/>
                  <w:vAlign w:val="center"/>
                </w:tcPr>
                <w:p>
                  <w:pPr>
                    <w:pStyle w:val="22"/>
                    <w:bidi w:val="0"/>
                    <w:rPr>
                      <w:rFonts w:hint="default"/>
                      <w:lang w:val="en-US" w:eastAsia="zh-CN"/>
                    </w:rPr>
                  </w:pPr>
                </w:p>
              </w:tc>
              <w:tc>
                <w:tcPr>
                  <w:tcW w:w="155" w:type="pct"/>
                  <w:vAlign w:val="center"/>
                </w:tcPr>
                <w:p>
                  <w:pPr>
                    <w:pStyle w:val="22"/>
                    <w:bidi w:val="0"/>
                    <w:rPr>
                      <w:rFonts w:hint="default"/>
                      <w:lang w:val="en-US" w:eastAsia="zh-CN"/>
                    </w:rPr>
                  </w:pPr>
                  <w:r>
                    <w:rPr>
                      <w:rFonts w:hint="eastAsia"/>
                      <w:lang w:val="en-US" w:eastAsia="zh-CN"/>
                    </w:rPr>
                    <w:t>20</w:t>
                  </w: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159" w:type="pct"/>
                  <w:vMerge w:val="continue"/>
                  <w:vAlign w:val="center"/>
                </w:tcPr>
                <w:p>
                  <w:pPr>
                    <w:pStyle w:val="22"/>
                    <w:bidi w:val="0"/>
                    <w:rPr>
                      <w:rFonts w:hint="eastAsia"/>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5" w:type="pct"/>
                  <w:vAlign w:val="center"/>
                </w:tcPr>
                <w:p>
                  <w:pPr>
                    <w:pStyle w:val="22"/>
                    <w:bidi w:val="0"/>
                    <w:ind w:firstLine="0" w:firstLineChars="0"/>
                    <w:jc w:val="center"/>
                    <w:rPr>
                      <w:rFonts w:hint="default"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26</w:t>
                  </w:r>
                </w:p>
              </w:tc>
              <w:tc>
                <w:tcPr>
                  <w:tcW w:w="155" w:type="pct"/>
                  <w:vMerge w:val="continue"/>
                  <w:vAlign w:val="center"/>
                </w:tcPr>
                <w:p>
                  <w:pPr>
                    <w:pStyle w:val="22"/>
                    <w:bidi w:val="0"/>
                    <w:ind w:firstLine="0" w:firstLineChars="0"/>
                    <w:jc w:val="center"/>
                    <w:rPr>
                      <w:rFonts w:hint="eastAsia"/>
                      <w:lang w:val="en-US" w:eastAsia="zh-CN"/>
                    </w:rPr>
                  </w:pPr>
                </w:p>
              </w:tc>
              <w:tc>
                <w:tcPr>
                  <w:tcW w:w="232" w:type="pct"/>
                  <w:vAlign w:val="center"/>
                </w:tcPr>
                <w:p>
                  <w:pPr>
                    <w:pStyle w:val="22"/>
                    <w:bidi w:val="0"/>
                    <w:ind w:firstLine="0" w:firstLineChars="0"/>
                    <w:jc w:val="center"/>
                    <w:rPr>
                      <w:lang w:val="en-US" w:eastAsia="zh-CN"/>
                    </w:rPr>
                  </w:pPr>
                  <w:r>
                    <w:rPr>
                      <w:rFonts w:hint="eastAsia"/>
                      <w:lang w:val="en-US" w:eastAsia="zh-CN"/>
                    </w:rPr>
                    <w:t>开式固定台压力机</w:t>
                  </w:r>
                </w:p>
              </w:tc>
              <w:tc>
                <w:tcPr>
                  <w:tcW w:w="155" w:type="pct"/>
                  <w:vAlign w:val="center"/>
                </w:tcPr>
                <w:p>
                  <w:pPr>
                    <w:pStyle w:val="22"/>
                    <w:bidi w:val="0"/>
                    <w:ind w:firstLine="0" w:firstLineChars="0"/>
                    <w:jc w:val="center"/>
                    <w:rPr>
                      <w:rFonts w:hint="default"/>
                      <w:lang w:val="en-US" w:eastAsia="zh-CN"/>
                    </w:rPr>
                  </w:pPr>
                  <w:r>
                    <w:rPr>
                      <w:rFonts w:hint="eastAsia"/>
                      <w:lang w:val="en-US" w:eastAsia="zh-CN"/>
                    </w:rPr>
                    <w:t>24</w:t>
                  </w:r>
                </w:p>
              </w:tc>
              <w:tc>
                <w:tcPr>
                  <w:tcW w:w="287" w:type="pct"/>
                  <w:vAlign w:val="center"/>
                </w:tcPr>
                <w:p>
                  <w:pPr>
                    <w:pStyle w:val="22"/>
                    <w:bidi w:val="0"/>
                    <w:ind w:firstLine="0" w:firstLineChars="0"/>
                    <w:rPr>
                      <w:rFonts w:hint="eastAsia" w:ascii="Times New Roman" w:hAnsi="Times New Roman" w:eastAsia="宋体" w:cs="Times New Roman"/>
                      <w:kern w:val="2"/>
                      <w:sz w:val="21"/>
                      <w:szCs w:val="24"/>
                      <w:lang w:val="en-US" w:eastAsia="zh-CN" w:bidi="ar-SA"/>
                    </w:rPr>
                  </w:pPr>
                  <w:r>
                    <w:rPr>
                      <w:rFonts w:hint="default"/>
                      <w:lang w:val="en-US" w:eastAsia="zh-CN"/>
                    </w:rPr>
                    <w:t>80</w:t>
                  </w:r>
                  <w:r>
                    <w:rPr>
                      <w:rFonts w:hint="eastAsia" w:ascii="Times New Roman" w:eastAsia="宋体"/>
                      <w:lang w:val="en-US" w:eastAsia="zh-CN"/>
                    </w:rPr>
                    <w:t>/1</w:t>
                  </w:r>
                </w:p>
              </w:tc>
              <w:tc>
                <w:tcPr>
                  <w:tcW w:w="232" w:type="pct"/>
                  <w:vMerge w:val="continue"/>
                  <w:vAlign w:val="center"/>
                </w:tcPr>
                <w:p>
                  <w:pPr>
                    <w:pStyle w:val="22"/>
                    <w:jc w:val="center"/>
                    <w:rPr>
                      <w:rFonts w:hint="eastAsia"/>
                      <w:lang w:val="en-US" w:eastAsia="zh-CN"/>
                    </w:rPr>
                  </w:pPr>
                </w:p>
              </w:tc>
              <w:tc>
                <w:tcPr>
                  <w:tcW w:w="193" w:type="pct"/>
                  <w:vAlign w:val="center"/>
                </w:tcPr>
                <w:p>
                  <w:pPr>
                    <w:pStyle w:val="22"/>
                    <w:jc w:val="center"/>
                    <w:rPr>
                      <w:rFonts w:hint="default"/>
                      <w:lang w:val="en-US" w:eastAsia="zh-CN"/>
                    </w:rPr>
                  </w:pPr>
                  <w:r>
                    <w:rPr>
                      <w:rFonts w:hint="eastAsia"/>
                      <w:lang w:val="en-US" w:eastAsia="zh-CN"/>
                    </w:rPr>
                    <w:t>68</w:t>
                  </w:r>
                </w:p>
              </w:tc>
              <w:tc>
                <w:tcPr>
                  <w:tcW w:w="193" w:type="pct"/>
                  <w:vAlign w:val="center"/>
                </w:tcPr>
                <w:p>
                  <w:pPr>
                    <w:pStyle w:val="22"/>
                    <w:jc w:val="center"/>
                    <w:rPr>
                      <w:rFonts w:hint="default"/>
                      <w:lang w:val="en-US" w:eastAsia="zh-CN"/>
                    </w:rPr>
                  </w:pPr>
                  <w:r>
                    <w:rPr>
                      <w:rFonts w:hint="eastAsia"/>
                      <w:lang w:val="en-US" w:eastAsia="zh-CN"/>
                    </w:rPr>
                    <w:t>79</w:t>
                  </w:r>
                </w:p>
              </w:tc>
              <w:tc>
                <w:tcPr>
                  <w:tcW w:w="125" w:type="pct"/>
                  <w:vAlign w:val="center"/>
                </w:tcPr>
                <w:p>
                  <w:pPr>
                    <w:pStyle w:val="22"/>
                    <w:bidi w:val="0"/>
                    <w:rPr>
                      <w:rFonts w:hint="eastAsia"/>
                      <w:lang w:val="en-US" w:eastAsia="zh-CN"/>
                    </w:rPr>
                  </w:pPr>
                  <w:r>
                    <w:rPr>
                      <w:rFonts w:hint="eastAsia"/>
                      <w:lang w:val="en-US" w:eastAsia="zh-CN"/>
                    </w:rPr>
                    <w:t>0</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59</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89</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47</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71</w:t>
                  </w:r>
                </w:p>
              </w:tc>
              <w:tc>
                <w:tcPr>
                  <w:tcW w:w="213" w:type="pct"/>
                  <w:vAlign w:val="center"/>
                </w:tcPr>
                <w:p>
                  <w:pPr>
                    <w:pStyle w:val="22"/>
                    <w:bidi w:val="0"/>
                    <w:jc w:val="center"/>
                    <w:rPr>
                      <w:rFonts w:hint="default"/>
                      <w:lang w:val="en-US" w:eastAsia="zh-CN"/>
                    </w:rPr>
                  </w:pPr>
                  <w:r>
                    <w:rPr>
                      <w:rFonts w:hint="default"/>
                      <w:lang w:val="en-US" w:eastAsia="zh-CN"/>
                    </w:rPr>
                    <w:t>44.6</w:t>
                  </w:r>
                </w:p>
              </w:tc>
              <w:tc>
                <w:tcPr>
                  <w:tcW w:w="213" w:type="pct"/>
                  <w:vAlign w:val="center"/>
                </w:tcPr>
                <w:p>
                  <w:pPr>
                    <w:pStyle w:val="22"/>
                    <w:bidi w:val="0"/>
                    <w:jc w:val="center"/>
                    <w:rPr>
                      <w:rFonts w:hint="default"/>
                      <w:lang w:val="en-US" w:eastAsia="zh-CN"/>
                    </w:rPr>
                  </w:pPr>
                  <w:r>
                    <w:rPr>
                      <w:rFonts w:hint="default"/>
                      <w:lang w:val="en-US" w:eastAsia="zh-CN"/>
                    </w:rPr>
                    <w:t>41.0</w:t>
                  </w:r>
                </w:p>
              </w:tc>
              <w:tc>
                <w:tcPr>
                  <w:tcW w:w="213" w:type="pct"/>
                  <w:vAlign w:val="center"/>
                </w:tcPr>
                <w:p>
                  <w:pPr>
                    <w:pStyle w:val="22"/>
                    <w:bidi w:val="0"/>
                    <w:jc w:val="center"/>
                    <w:rPr>
                      <w:rFonts w:hint="default"/>
                      <w:lang w:val="en-US" w:eastAsia="zh-CN"/>
                    </w:rPr>
                  </w:pPr>
                  <w:r>
                    <w:rPr>
                      <w:rFonts w:hint="default"/>
                      <w:lang w:val="en-US" w:eastAsia="zh-CN"/>
                    </w:rPr>
                    <w:t>46.6</w:t>
                  </w:r>
                </w:p>
              </w:tc>
              <w:tc>
                <w:tcPr>
                  <w:tcW w:w="213" w:type="pct"/>
                  <w:vAlign w:val="center"/>
                </w:tcPr>
                <w:p>
                  <w:pPr>
                    <w:pStyle w:val="22"/>
                    <w:bidi w:val="0"/>
                    <w:jc w:val="center"/>
                    <w:rPr>
                      <w:rFonts w:hint="default"/>
                      <w:lang w:val="en-US" w:eastAsia="zh-CN"/>
                    </w:rPr>
                  </w:pPr>
                  <w:r>
                    <w:rPr>
                      <w:rFonts w:hint="default"/>
                      <w:lang w:val="en-US" w:eastAsia="zh-CN"/>
                    </w:rPr>
                    <w:t>43.0</w:t>
                  </w:r>
                </w:p>
              </w:tc>
              <w:tc>
                <w:tcPr>
                  <w:tcW w:w="546" w:type="pct"/>
                  <w:vMerge w:val="continue"/>
                  <w:vAlign w:val="center"/>
                </w:tcPr>
                <w:p>
                  <w:pPr>
                    <w:pStyle w:val="22"/>
                    <w:bidi w:val="0"/>
                    <w:rPr>
                      <w:rFonts w:hint="default"/>
                      <w:lang w:val="en-US" w:eastAsia="zh-CN"/>
                    </w:rPr>
                  </w:pPr>
                </w:p>
              </w:tc>
              <w:tc>
                <w:tcPr>
                  <w:tcW w:w="155" w:type="pct"/>
                  <w:vAlign w:val="center"/>
                </w:tcPr>
                <w:p>
                  <w:pPr>
                    <w:pStyle w:val="22"/>
                    <w:bidi w:val="0"/>
                    <w:rPr>
                      <w:rFonts w:hint="default"/>
                      <w:lang w:val="en-US" w:eastAsia="zh-CN"/>
                    </w:rPr>
                  </w:pPr>
                  <w:r>
                    <w:rPr>
                      <w:rFonts w:hint="eastAsia"/>
                      <w:lang w:val="en-US" w:eastAsia="zh-CN"/>
                    </w:rPr>
                    <w:t>20</w:t>
                  </w: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159" w:type="pct"/>
                  <w:vMerge w:val="continue"/>
                  <w:vAlign w:val="center"/>
                </w:tcPr>
                <w:p>
                  <w:pPr>
                    <w:pStyle w:val="22"/>
                    <w:bidi w:val="0"/>
                    <w:rPr>
                      <w:rFonts w:hint="eastAsia"/>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5" w:type="pct"/>
                  <w:vAlign w:val="center"/>
                </w:tcPr>
                <w:p>
                  <w:pPr>
                    <w:pStyle w:val="22"/>
                    <w:bidi w:val="0"/>
                    <w:ind w:firstLine="0" w:firstLineChars="0"/>
                    <w:jc w:val="center"/>
                    <w:rPr>
                      <w:rFonts w:hint="default"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27</w:t>
                  </w:r>
                </w:p>
              </w:tc>
              <w:tc>
                <w:tcPr>
                  <w:tcW w:w="155" w:type="pct"/>
                  <w:vMerge w:val="continue"/>
                  <w:vAlign w:val="center"/>
                </w:tcPr>
                <w:p>
                  <w:pPr>
                    <w:pStyle w:val="22"/>
                    <w:bidi w:val="0"/>
                    <w:ind w:firstLine="0" w:firstLineChars="0"/>
                    <w:jc w:val="center"/>
                    <w:rPr>
                      <w:rFonts w:hint="eastAsia"/>
                      <w:lang w:val="en-US" w:eastAsia="zh-CN"/>
                    </w:rPr>
                  </w:pPr>
                </w:p>
              </w:tc>
              <w:tc>
                <w:tcPr>
                  <w:tcW w:w="232" w:type="pct"/>
                  <w:vAlign w:val="center"/>
                </w:tcPr>
                <w:p>
                  <w:pPr>
                    <w:pStyle w:val="22"/>
                    <w:bidi w:val="0"/>
                    <w:ind w:firstLine="0" w:firstLineChars="0"/>
                    <w:jc w:val="center"/>
                    <w:rPr>
                      <w:lang w:val="en-US" w:eastAsia="zh-CN"/>
                    </w:rPr>
                  </w:pPr>
                  <w:r>
                    <w:rPr>
                      <w:rFonts w:hint="eastAsia"/>
                      <w:lang w:val="en-US" w:eastAsia="zh-CN"/>
                    </w:rPr>
                    <w:t>闭式双点压力机</w:t>
                  </w:r>
                </w:p>
              </w:tc>
              <w:tc>
                <w:tcPr>
                  <w:tcW w:w="155" w:type="pct"/>
                  <w:vAlign w:val="center"/>
                </w:tcPr>
                <w:p>
                  <w:pPr>
                    <w:pStyle w:val="22"/>
                    <w:bidi w:val="0"/>
                    <w:ind w:firstLine="0" w:firstLineChars="0"/>
                    <w:jc w:val="center"/>
                    <w:rPr>
                      <w:rFonts w:hint="default"/>
                      <w:lang w:val="en-US" w:eastAsia="zh-CN"/>
                    </w:rPr>
                  </w:pPr>
                  <w:r>
                    <w:rPr>
                      <w:rFonts w:hint="eastAsia"/>
                      <w:lang w:val="en-US" w:eastAsia="zh-CN"/>
                    </w:rPr>
                    <w:t>7</w:t>
                  </w:r>
                </w:p>
              </w:tc>
              <w:tc>
                <w:tcPr>
                  <w:tcW w:w="287" w:type="pct"/>
                  <w:vAlign w:val="center"/>
                </w:tcPr>
                <w:p>
                  <w:pPr>
                    <w:pStyle w:val="22"/>
                    <w:bidi w:val="0"/>
                    <w:ind w:firstLine="0" w:firstLineChars="0"/>
                    <w:rPr>
                      <w:rFonts w:hint="eastAsia" w:ascii="Times New Roman" w:hAnsi="Times New Roman" w:eastAsia="宋体" w:cs="Times New Roman"/>
                      <w:kern w:val="2"/>
                      <w:sz w:val="21"/>
                      <w:szCs w:val="24"/>
                      <w:lang w:val="en-US" w:eastAsia="zh-CN" w:bidi="ar-SA"/>
                    </w:rPr>
                  </w:pPr>
                  <w:r>
                    <w:rPr>
                      <w:rFonts w:hint="default"/>
                      <w:lang w:val="en-US" w:eastAsia="zh-CN"/>
                    </w:rPr>
                    <w:t>80</w:t>
                  </w:r>
                  <w:r>
                    <w:rPr>
                      <w:rFonts w:hint="eastAsia"/>
                      <w:lang w:val="en-US" w:eastAsia="zh-CN"/>
                    </w:rPr>
                    <w:t>/1</w:t>
                  </w:r>
                </w:p>
              </w:tc>
              <w:tc>
                <w:tcPr>
                  <w:tcW w:w="232" w:type="pct"/>
                  <w:vMerge w:val="continue"/>
                  <w:vAlign w:val="center"/>
                </w:tcPr>
                <w:p>
                  <w:pPr>
                    <w:pStyle w:val="22"/>
                    <w:jc w:val="center"/>
                    <w:rPr>
                      <w:rFonts w:hint="eastAsia"/>
                      <w:lang w:val="en-US" w:eastAsia="zh-CN"/>
                    </w:rPr>
                  </w:pPr>
                </w:p>
              </w:tc>
              <w:tc>
                <w:tcPr>
                  <w:tcW w:w="193" w:type="pct"/>
                  <w:vAlign w:val="center"/>
                </w:tcPr>
                <w:p>
                  <w:pPr>
                    <w:pStyle w:val="22"/>
                    <w:jc w:val="center"/>
                    <w:rPr>
                      <w:rFonts w:hint="default"/>
                      <w:lang w:val="en-US" w:eastAsia="zh-CN"/>
                    </w:rPr>
                  </w:pPr>
                  <w:r>
                    <w:rPr>
                      <w:rFonts w:hint="eastAsia"/>
                      <w:lang w:val="en-US" w:eastAsia="zh-CN"/>
                    </w:rPr>
                    <w:t>58</w:t>
                  </w:r>
                </w:p>
              </w:tc>
              <w:tc>
                <w:tcPr>
                  <w:tcW w:w="193" w:type="pct"/>
                  <w:vAlign w:val="center"/>
                </w:tcPr>
                <w:p>
                  <w:pPr>
                    <w:pStyle w:val="22"/>
                    <w:jc w:val="center"/>
                    <w:rPr>
                      <w:rFonts w:hint="default"/>
                      <w:lang w:val="en-US" w:eastAsia="zh-CN"/>
                    </w:rPr>
                  </w:pPr>
                  <w:r>
                    <w:rPr>
                      <w:rFonts w:hint="eastAsia"/>
                      <w:lang w:val="en-US" w:eastAsia="zh-CN"/>
                    </w:rPr>
                    <w:t>52</w:t>
                  </w:r>
                </w:p>
              </w:tc>
              <w:tc>
                <w:tcPr>
                  <w:tcW w:w="125" w:type="pct"/>
                  <w:vAlign w:val="center"/>
                </w:tcPr>
                <w:p>
                  <w:pPr>
                    <w:pStyle w:val="22"/>
                    <w:bidi w:val="0"/>
                    <w:rPr>
                      <w:rFonts w:hint="eastAsia"/>
                      <w:lang w:val="en-US" w:eastAsia="zh-CN"/>
                    </w:rPr>
                  </w:pPr>
                  <w:r>
                    <w:rPr>
                      <w:rFonts w:hint="eastAsia"/>
                      <w:lang w:val="en-US" w:eastAsia="zh-CN"/>
                    </w:rPr>
                    <w:t>0</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35</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62</w:t>
                  </w:r>
                </w:p>
              </w:tc>
              <w:tc>
                <w:tcPr>
                  <w:tcW w:w="155"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71</w:t>
                  </w:r>
                </w:p>
              </w:tc>
              <w:tc>
                <w:tcPr>
                  <w:tcW w:w="193" w:type="pct"/>
                  <w:vAlign w:val="center"/>
                </w:tcPr>
                <w:p>
                  <w:pPr>
                    <w:pStyle w:val="22"/>
                    <w:ind w:firstLine="0" w:firstLineChars="0"/>
                    <w:jc w:val="center"/>
                    <w:rPr>
                      <w:rFonts w:hint="eastAsia" w:ascii="Times New Roman" w:hAnsi="Times New Roman" w:eastAsia="宋体" w:cs="Times New Roman"/>
                      <w:kern w:val="2"/>
                      <w:sz w:val="21"/>
                      <w:szCs w:val="24"/>
                      <w:lang w:val="en-US" w:eastAsia="zh-CN" w:bidi="ar-SA"/>
                    </w:rPr>
                  </w:pPr>
                  <w:r>
                    <w:rPr>
                      <w:rFonts w:hint="eastAsia"/>
                      <w:lang w:val="en-US" w:eastAsia="zh-CN"/>
                    </w:rPr>
                    <w:t>98</w:t>
                  </w:r>
                </w:p>
              </w:tc>
              <w:tc>
                <w:tcPr>
                  <w:tcW w:w="213" w:type="pct"/>
                  <w:vAlign w:val="center"/>
                </w:tcPr>
                <w:p>
                  <w:pPr>
                    <w:pStyle w:val="22"/>
                    <w:bidi w:val="0"/>
                    <w:jc w:val="center"/>
                    <w:rPr>
                      <w:rFonts w:hint="default"/>
                      <w:lang w:val="en-US" w:eastAsia="zh-CN"/>
                    </w:rPr>
                  </w:pPr>
                  <w:r>
                    <w:rPr>
                      <w:rFonts w:hint="default"/>
                      <w:lang w:val="en-US" w:eastAsia="zh-CN"/>
                    </w:rPr>
                    <w:t>49.1</w:t>
                  </w:r>
                </w:p>
              </w:tc>
              <w:tc>
                <w:tcPr>
                  <w:tcW w:w="213" w:type="pct"/>
                  <w:vAlign w:val="center"/>
                </w:tcPr>
                <w:p>
                  <w:pPr>
                    <w:pStyle w:val="22"/>
                    <w:bidi w:val="0"/>
                    <w:jc w:val="center"/>
                    <w:rPr>
                      <w:rFonts w:hint="default"/>
                      <w:lang w:val="en-US" w:eastAsia="zh-CN"/>
                    </w:rPr>
                  </w:pPr>
                  <w:r>
                    <w:rPr>
                      <w:rFonts w:hint="default"/>
                      <w:lang w:val="en-US" w:eastAsia="zh-CN"/>
                    </w:rPr>
                    <w:t>44.2</w:t>
                  </w:r>
                </w:p>
              </w:tc>
              <w:tc>
                <w:tcPr>
                  <w:tcW w:w="213" w:type="pct"/>
                  <w:vAlign w:val="center"/>
                </w:tcPr>
                <w:p>
                  <w:pPr>
                    <w:pStyle w:val="22"/>
                    <w:bidi w:val="0"/>
                    <w:jc w:val="center"/>
                    <w:rPr>
                      <w:rFonts w:hint="default"/>
                      <w:lang w:val="en-US" w:eastAsia="zh-CN"/>
                    </w:rPr>
                  </w:pPr>
                  <w:r>
                    <w:rPr>
                      <w:rFonts w:hint="default"/>
                      <w:lang w:val="en-US" w:eastAsia="zh-CN"/>
                    </w:rPr>
                    <w:t>43.0</w:t>
                  </w:r>
                </w:p>
              </w:tc>
              <w:tc>
                <w:tcPr>
                  <w:tcW w:w="213" w:type="pct"/>
                  <w:vAlign w:val="center"/>
                </w:tcPr>
                <w:p>
                  <w:pPr>
                    <w:pStyle w:val="22"/>
                    <w:bidi w:val="0"/>
                    <w:jc w:val="center"/>
                    <w:rPr>
                      <w:rFonts w:hint="default"/>
                      <w:lang w:val="en-US" w:eastAsia="zh-CN"/>
                    </w:rPr>
                  </w:pPr>
                  <w:r>
                    <w:rPr>
                      <w:rFonts w:hint="default"/>
                      <w:lang w:val="en-US" w:eastAsia="zh-CN"/>
                    </w:rPr>
                    <w:t>40.2</w:t>
                  </w:r>
                </w:p>
              </w:tc>
              <w:tc>
                <w:tcPr>
                  <w:tcW w:w="546" w:type="pct"/>
                  <w:vMerge w:val="continue"/>
                  <w:vAlign w:val="center"/>
                </w:tcPr>
                <w:p>
                  <w:pPr>
                    <w:pStyle w:val="22"/>
                    <w:bidi w:val="0"/>
                    <w:rPr>
                      <w:rFonts w:hint="default"/>
                      <w:lang w:val="en-US" w:eastAsia="zh-CN"/>
                    </w:rPr>
                  </w:pPr>
                </w:p>
              </w:tc>
              <w:tc>
                <w:tcPr>
                  <w:tcW w:w="155" w:type="pct"/>
                  <w:vAlign w:val="center"/>
                </w:tcPr>
                <w:p>
                  <w:pPr>
                    <w:pStyle w:val="22"/>
                    <w:bidi w:val="0"/>
                    <w:rPr>
                      <w:rFonts w:hint="default"/>
                      <w:lang w:val="en-US" w:eastAsia="zh-CN"/>
                    </w:rPr>
                  </w:pPr>
                  <w:r>
                    <w:rPr>
                      <w:rFonts w:hint="eastAsia"/>
                      <w:lang w:val="en-US" w:eastAsia="zh-CN"/>
                    </w:rPr>
                    <w:t>20</w:t>
                  </w: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213" w:type="pct"/>
                  <w:vMerge w:val="continue"/>
                  <w:vAlign w:val="center"/>
                </w:tcPr>
                <w:p>
                  <w:pPr>
                    <w:pStyle w:val="22"/>
                    <w:bidi w:val="0"/>
                    <w:rPr>
                      <w:rFonts w:hint="default"/>
                      <w:lang w:val="en-US" w:eastAsia="zh-CN"/>
                    </w:rPr>
                  </w:pPr>
                </w:p>
              </w:tc>
              <w:tc>
                <w:tcPr>
                  <w:tcW w:w="159" w:type="pct"/>
                  <w:vMerge w:val="continue"/>
                  <w:vAlign w:val="center"/>
                </w:tcPr>
                <w:p>
                  <w:pPr>
                    <w:pStyle w:val="22"/>
                    <w:bidi w:val="0"/>
                    <w:rPr>
                      <w:rFonts w:hint="eastAsia"/>
                    </w:rPr>
                  </w:pPr>
                </w:p>
              </w:tc>
            </w:tr>
            <w:bookmarkEnd w:id="2"/>
          </w:tbl>
          <w:p>
            <w:pPr>
              <w:bidi w:val="0"/>
            </w:pPr>
            <w:r>
              <w:rPr>
                <w:rFonts w:hint="eastAsia"/>
              </w:rPr>
              <w:t>注：以项目区</w:t>
            </w:r>
            <w:r>
              <w:rPr>
                <w:rFonts w:hint="eastAsia"/>
                <w:lang w:val="en-US" w:eastAsia="zh-CN"/>
              </w:rPr>
              <w:t>西南</w:t>
            </w:r>
            <w:r>
              <w:rPr>
                <w:rFonts w:hint="eastAsia"/>
              </w:rPr>
              <w:t>角为坐标原点（0</w:t>
            </w:r>
            <w:r>
              <w:rPr>
                <w:rFonts w:hint="eastAsia"/>
                <w:lang w:eastAsia="zh-CN"/>
              </w:rPr>
              <w:t>，</w:t>
            </w:r>
            <w:r>
              <w:rPr>
                <w:rFonts w:hint="eastAsia"/>
              </w:rPr>
              <w:t>0</w:t>
            </w:r>
            <w:r>
              <w:rPr>
                <w:rFonts w:hint="eastAsia"/>
                <w:lang w:eastAsia="zh-CN"/>
              </w:rPr>
              <w:t>，</w:t>
            </w:r>
            <w:r>
              <w:rPr>
                <w:rFonts w:hint="eastAsia"/>
              </w:rPr>
              <w:t>0）。</w:t>
            </w:r>
          </w:p>
          <w:p>
            <w:pPr>
              <w:bidi w:val="0"/>
            </w:pPr>
          </w:p>
        </w:tc>
      </w:tr>
    </w:tbl>
    <w:p>
      <w:pPr>
        <w:bidi w:val="0"/>
        <w:ind w:left="0" w:leftChars="0" w:firstLine="0" w:firstLineChars="0"/>
        <w:sectPr>
          <w:pgSz w:w="16838" w:h="11906" w:orient="landscape"/>
          <w:pgMar w:top="1531" w:right="1440" w:bottom="1531" w:left="1440" w:header="851" w:footer="992" w:gutter="0"/>
          <w:pgBorders>
            <w:top w:val="none" w:sz="0" w:space="0"/>
            <w:left w:val="none" w:sz="0" w:space="0"/>
            <w:bottom w:val="none" w:sz="0" w:space="0"/>
            <w:right w:val="none" w:sz="0" w:space="0"/>
          </w:pgBorders>
          <w:cols w:space="0" w:num="1"/>
          <w:rtlGutter w:val="0"/>
          <w:docGrid w:linePitch="312" w:charSpace="0"/>
        </w:sectPr>
      </w:pPr>
    </w:p>
    <w:tbl>
      <w:tblPr>
        <w:tblStyle w:val="15"/>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87"/>
        <w:gridCol w:w="857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00" w:hRule="atLeast"/>
          <w:jc w:val="center"/>
        </w:trPr>
        <w:tc>
          <w:tcPr>
            <w:tcW w:w="487"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pPr>
          </w:p>
        </w:tc>
        <w:tc>
          <w:tcPr>
            <w:tcW w:w="8573" w:type="dxa"/>
            <w:tcBorders>
              <w:tl2br w:val="nil"/>
              <w:tr2bl w:val="nil"/>
            </w:tcBorders>
            <w:shd w:val="clear" w:color="auto" w:fill="auto"/>
          </w:tcPr>
          <w:p>
            <w:pPr>
              <w:spacing w:before="156" w:beforeLines="50"/>
              <w:ind w:firstLine="482"/>
              <w:rPr>
                <w:b/>
                <w:bCs/>
              </w:rPr>
            </w:pPr>
            <w:r>
              <w:rPr>
                <w:rFonts w:hint="eastAsia"/>
                <w:b/>
                <w:bCs/>
              </w:rPr>
              <w:t>2、预测模式</w:t>
            </w:r>
          </w:p>
          <w:p>
            <w:pPr>
              <w:pStyle w:val="33"/>
              <w:spacing w:line="360" w:lineRule="auto"/>
              <w:ind w:firstLine="480"/>
              <w:rPr>
                <w:sz w:val="24"/>
              </w:rPr>
            </w:pPr>
            <w:r>
              <w:rPr>
                <w:rFonts w:hint="eastAsia"/>
                <w:sz w:val="24"/>
              </w:rPr>
              <w:t>（1）</w:t>
            </w:r>
            <w:r>
              <w:rPr>
                <w:sz w:val="24"/>
              </w:rPr>
              <w:t>预测模型</w:t>
            </w:r>
          </w:p>
          <w:p>
            <w:pPr>
              <w:pStyle w:val="33"/>
              <w:spacing w:line="360" w:lineRule="auto"/>
              <w:ind w:firstLine="480"/>
              <w:rPr>
                <w:sz w:val="24"/>
              </w:rPr>
            </w:pPr>
            <w:r>
              <w:rPr>
                <w:sz w:val="24"/>
              </w:rPr>
              <w:t>采用《环境影响评价技术导则 声环境》（HJ2.4－20</w:t>
            </w:r>
            <w:r>
              <w:rPr>
                <w:rFonts w:hint="eastAsia"/>
                <w:sz w:val="24"/>
              </w:rPr>
              <w:t>21</w:t>
            </w:r>
            <w:r>
              <w:rPr>
                <w:sz w:val="24"/>
              </w:rPr>
              <w:t>）中推荐的噪声预测模式。根据拟建项目对声环境产生影响的主要设备噪声源、噪声辐射和结构特点，安装位置的环境条件以及噪声源至预测点的距离等因素进行预测。</w:t>
            </w:r>
          </w:p>
          <w:p>
            <w:pPr>
              <w:pStyle w:val="33"/>
              <w:spacing w:line="360" w:lineRule="auto"/>
              <w:ind w:firstLine="480"/>
              <w:rPr>
                <w:sz w:val="24"/>
              </w:rPr>
            </w:pPr>
            <w:r>
              <w:rPr>
                <w:rFonts w:hint="eastAsia"/>
                <w:sz w:val="24"/>
              </w:rPr>
              <w:t>A.室外点声源</w:t>
            </w:r>
          </w:p>
          <w:p>
            <w:pPr>
              <w:pStyle w:val="33"/>
              <w:spacing w:line="360" w:lineRule="auto"/>
              <w:ind w:firstLine="480"/>
              <w:rPr>
                <w:rFonts w:hint="eastAsia"/>
                <w:sz w:val="24"/>
              </w:rPr>
            </w:pPr>
            <w:r>
              <w:rPr>
                <w:rFonts w:hint="eastAsia"/>
                <w:sz w:val="24"/>
              </w:rPr>
              <w:t>本评价只考虑几何发散衰减时，预测的基本公式如下：</w:t>
            </w:r>
          </w:p>
          <w:p>
            <w:pPr>
              <w:pStyle w:val="33"/>
              <w:spacing w:line="360" w:lineRule="auto"/>
              <w:ind w:firstLine="0" w:firstLineChars="0"/>
              <w:jc w:val="center"/>
              <w:rPr>
                <w:rFonts w:hint="eastAsia"/>
                <w:sz w:val="24"/>
              </w:rPr>
            </w:pPr>
            <w:r>
              <w:drawing>
                <wp:inline distT="0" distB="0" distL="114300" distR="114300">
                  <wp:extent cx="2109470" cy="271145"/>
                  <wp:effectExtent l="0" t="0" r="5080" b="14605"/>
                  <wp:docPr id="1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pic:cNvPicPr>
                            <a:picLocks noChangeAspect="1"/>
                          </pic:cNvPicPr>
                        </pic:nvPicPr>
                        <pic:blipFill>
                          <a:blip r:embed="rId15"/>
                          <a:stretch>
                            <a:fillRect/>
                          </a:stretch>
                        </pic:blipFill>
                        <pic:spPr>
                          <a:xfrm>
                            <a:off x="0" y="0"/>
                            <a:ext cx="2109470" cy="271145"/>
                          </a:xfrm>
                          <a:prstGeom prst="rect">
                            <a:avLst/>
                          </a:prstGeom>
                          <a:noFill/>
                          <a:ln>
                            <a:noFill/>
                          </a:ln>
                        </pic:spPr>
                      </pic:pic>
                    </a:graphicData>
                  </a:graphic>
                </wp:inline>
              </w:drawing>
            </w:r>
          </w:p>
          <w:p>
            <w:pPr>
              <w:pStyle w:val="33"/>
              <w:spacing w:line="360" w:lineRule="auto"/>
              <w:ind w:firstLine="480"/>
              <w:rPr>
                <w:rFonts w:hint="eastAsia"/>
                <w:sz w:val="24"/>
              </w:rPr>
            </w:pPr>
            <w:r>
              <w:rPr>
                <w:rFonts w:hint="eastAsia"/>
                <w:sz w:val="24"/>
              </w:rPr>
              <w:t>式中：L</w:t>
            </w:r>
            <w:r>
              <w:rPr>
                <w:rFonts w:hint="eastAsia"/>
                <w:sz w:val="24"/>
                <w:vertAlign w:val="subscript"/>
              </w:rPr>
              <w:t>p</w:t>
            </w:r>
            <w:r>
              <w:rPr>
                <w:rFonts w:hint="eastAsia"/>
                <w:sz w:val="24"/>
              </w:rPr>
              <w:t>(r)—预测点处声压级，dB；</w:t>
            </w:r>
          </w:p>
          <w:p>
            <w:pPr>
              <w:pStyle w:val="33"/>
              <w:spacing w:line="360" w:lineRule="auto"/>
              <w:ind w:firstLine="1200" w:firstLineChars="500"/>
              <w:rPr>
                <w:rFonts w:hint="eastAsia"/>
                <w:sz w:val="24"/>
              </w:rPr>
            </w:pPr>
            <w:r>
              <w:rPr>
                <w:rFonts w:hint="eastAsia"/>
                <w:sz w:val="24"/>
              </w:rPr>
              <w:t>L</w:t>
            </w:r>
            <w:r>
              <w:rPr>
                <w:rFonts w:hint="eastAsia"/>
                <w:sz w:val="24"/>
                <w:vertAlign w:val="subscript"/>
              </w:rPr>
              <w:t>p</w:t>
            </w:r>
            <w:r>
              <w:rPr>
                <w:rFonts w:hint="eastAsia"/>
                <w:sz w:val="24"/>
              </w:rPr>
              <w:t>(r</w:t>
            </w:r>
            <w:r>
              <w:rPr>
                <w:rFonts w:hint="eastAsia"/>
                <w:sz w:val="24"/>
                <w:vertAlign w:val="subscript"/>
              </w:rPr>
              <w:t>0</w:t>
            </w:r>
            <w:r>
              <w:rPr>
                <w:rFonts w:hint="eastAsia"/>
                <w:sz w:val="24"/>
              </w:rPr>
              <w:t>)—参考位置r0处的声压级，dB；</w:t>
            </w:r>
          </w:p>
          <w:p>
            <w:pPr>
              <w:pStyle w:val="33"/>
              <w:spacing w:line="360" w:lineRule="auto"/>
              <w:ind w:firstLine="1200" w:firstLineChars="500"/>
              <w:rPr>
                <w:rFonts w:hint="eastAsia"/>
                <w:sz w:val="24"/>
              </w:rPr>
            </w:pPr>
            <w:r>
              <w:rPr>
                <w:rFonts w:hint="eastAsia"/>
                <w:sz w:val="24"/>
              </w:rPr>
              <w:t>r—预测点距声源的距离；</w:t>
            </w:r>
          </w:p>
          <w:p>
            <w:pPr>
              <w:pStyle w:val="33"/>
              <w:spacing w:line="360" w:lineRule="auto"/>
              <w:ind w:firstLine="1200" w:firstLineChars="500"/>
              <w:rPr>
                <w:rFonts w:hint="eastAsia"/>
                <w:sz w:val="24"/>
              </w:rPr>
            </w:pPr>
            <w:r>
              <w:rPr>
                <w:rFonts w:hint="eastAsia"/>
                <w:sz w:val="24"/>
              </w:rPr>
              <w:t>r</w:t>
            </w:r>
            <w:r>
              <w:rPr>
                <w:rFonts w:hint="eastAsia"/>
                <w:sz w:val="24"/>
                <w:vertAlign w:val="subscript"/>
              </w:rPr>
              <w:t>0</w:t>
            </w:r>
            <w:r>
              <w:rPr>
                <w:rFonts w:hint="eastAsia"/>
                <w:sz w:val="24"/>
              </w:rPr>
              <w:t>—参考位置距声源的距离。</w:t>
            </w:r>
          </w:p>
          <w:p>
            <w:pPr>
              <w:pStyle w:val="33"/>
              <w:spacing w:line="360" w:lineRule="auto"/>
              <w:ind w:firstLine="480"/>
              <w:rPr>
                <w:sz w:val="24"/>
              </w:rPr>
            </w:pPr>
            <w:r>
              <w:rPr>
                <w:rFonts w:hint="eastAsia"/>
                <w:sz w:val="24"/>
              </w:rPr>
              <w:t>B.</w:t>
            </w:r>
            <w:r>
              <w:rPr>
                <w:sz w:val="24"/>
              </w:rPr>
              <w:t>室内点声源：</w:t>
            </w:r>
          </w:p>
          <w:p>
            <w:pPr>
              <w:pStyle w:val="33"/>
              <w:spacing w:line="360" w:lineRule="auto"/>
              <w:ind w:firstLine="480"/>
              <w:rPr>
                <w:sz w:val="24"/>
              </w:rPr>
            </w:pPr>
            <w:r>
              <w:rPr>
                <w:sz w:val="24"/>
              </w:rPr>
              <w:t>声</w:t>
            </w:r>
            <w:r>
              <w:rPr>
                <w:rFonts w:hint="eastAsia"/>
                <w:sz w:val="24"/>
                <w:lang w:eastAsia="zh-CN"/>
              </w:rPr>
              <w:t>源</w:t>
            </w:r>
            <w:r>
              <w:rPr>
                <w:sz w:val="24"/>
              </w:rPr>
              <w:t>位于室内，室内声源可采用等效室外声源声功率级法进行计算。设靠近开口处（或窗户）室内、室外某倍频带的声压级或A声级分别为Lp</w:t>
            </w:r>
            <w:r>
              <w:rPr>
                <w:sz w:val="24"/>
                <w:vertAlign w:val="subscript"/>
              </w:rPr>
              <w:t>1</w:t>
            </w:r>
            <w:r>
              <w:rPr>
                <w:sz w:val="24"/>
              </w:rPr>
              <w:t>和Lp</w:t>
            </w:r>
            <w:r>
              <w:rPr>
                <w:sz w:val="24"/>
                <w:vertAlign w:val="subscript"/>
              </w:rPr>
              <w:t>2</w:t>
            </w:r>
            <w:r>
              <w:rPr>
                <w:sz w:val="24"/>
              </w:rPr>
              <w:t>；</w:t>
            </w:r>
          </w:p>
          <w:p>
            <w:pPr>
              <w:spacing w:line="360" w:lineRule="auto"/>
              <w:jc w:val="center"/>
            </w:pPr>
            <w:r>
              <w:drawing>
                <wp:inline distT="0" distB="0" distL="114300" distR="114300">
                  <wp:extent cx="2533650" cy="1230630"/>
                  <wp:effectExtent l="0" t="0" r="0" b="7620"/>
                  <wp:docPr id="1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3"/>
                          <pic:cNvPicPr>
                            <a:picLocks noChangeAspect="1"/>
                          </pic:cNvPicPr>
                        </pic:nvPicPr>
                        <pic:blipFill>
                          <a:blip r:embed="rId16"/>
                          <a:stretch>
                            <a:fillRect/>
                          </a:stretch>
                        </pic:blipFill>
                        <pic:spPr>
                          <a:xfrm>
                            <a:off x="0" y="0"/>
                            <a:ext cx="2533650" cy="1230630"/>
                          </a:xfrm>
                          <a:prstGeom prst="rect">
                            <a:avLst/>
                          </a:prstGeom>
                          <a:noFill/>
                          <a:ln>
                            <a:noFill/>
                          </a:ln>
                        </pic:spPr>
                      </pic:pic>
                    </a:graphicData>
                  </a:graphic>
                </wp:inline>
              </w:drawing>
            </w:r>
          </w:p>
          <w:p>
            <w:pPr>
              <w:jc w:val="center"/>
              <w:rPr>
                <w:b/>
                <w:bCs/>
                <w:szCs w:val="21"/>
              </w:rPr>
            </w:pPr>
            <w:r>
              <w:rPr>
                <w:rFonts w:hint="eastAsia"/>
                <w:b/>
                <w:bCs/>
                <w:szCs w:val="21"/>
              </w:rPr>
              <w:t>室内声源等效为室外声源图例</w:t>
            </w:r>
          </w:p>
          <w:p>
            <w:pPr>
              <w:spacing w:line="360" w:lineRule="auto"/>
              <w:ind w:firstLine="480" w:firstLineChars="200"/>
              <w:rPr>
                <w:sz w:val="24"/>
              </w:rPr>
            </w:pPr>
            <w:r>
              <w:rPr>
                <w:sz w:val="24"/>
              </w:rPr>
              <w:t>B.1计算出某一室内声源靠近围护结构处产生的倍频带声压级或 A 声级：</w:t>
            </w:r>
          </w:p>
          <w:p>
            <w:pPr>
              <w:spacing w:line="360" w:lineRule="auto"/>
              <w:jc w:val="center"/>
              <w:rPr>
                <w:sz w:val="24"/>
              </w:rPr>
            </w:pPr>
            <w:r>
              <w:drawing>
                <wp:inline distT="0" distB="0" distL="114300" distR="114300">
                  <wp:extent cx="1809750" cy="428625"/>
                  <wp:effectExtent l="0" t="0" r="0" b="9525"/>
                  <wp:docPr id="1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4"/>
                          <pic:cNvPicPr>
                            <a:picLocks noChangeAspect="1"/>
                          </pic:cNvPicPr>
                        </pic:nvPicPr>
                        <pic:blipFill>
                          <a:blip r:embed="rId17"/>
                          <a:stretch>
                            <a:fillRect/>
                          </a:stretch>
                        </pic:blipFill>
                        <pic:spPr>
                          <a:xfrm>
                            <a:off x="0" y="0"/>
                            <a:ext cx="1809750" cy="428625"/>
                          </a:xfrm>
                          <a:prstGeom prst="rect">
                            <a:avLst/>
                          </a:prstGeom>
                          <a:noFill/>
                          <a:ln>
                            <a:noFill/>
                          </a:ln>
                        </pic:spPr>
                      </pic:pic>
                    </a:graphicData>
                  </a:graphic>
                </wp:inline>
              </w:drawing>
            </w:r>
          </w:p>
          <w:p>
            <w:pPr>
              <w:spacing w:line="360" w:lineRule="auto"/>
              <w:ind w:firstLine="480" w:firstLineChars="200"/>
              <w:rPr>
                <w:sz w:val="24"/>
              </w:rPr>
            </w:pPr>
            <w:r>
              <w:rPr>
                <w:sz w:val="24"/>
              </w:rPr>
              <w:t>式中：L</w:t>
            </w:r>
            <w:r>
              <w:rPr>
                <w:sz w:val="24"/>
                <w:vertAlign w:val="subscript"/>
              </w:rPr>
              <w:t>p1</w:t>
            </w:r>
            <w:r>
              <w:rPr>
                <w:sz w:val="24"/>
              </w:rPr>
              <w:t>—靠近开口处（或窗户）室内某倍频带的声压级或A声级，dB；</w:t>
            </w:r>
          </w:p>
          <w:p>
            <w:pPr>
              <w:spacing w:line="360" w:lineRule="auto"/>
              <w:ind w:firstLine="1200" w:firstLineChars="500"/>
              <w:rPr>
                <w:sz w:val="24"/>
              </w:rPr>
            </w:pPr>
            <w:r>
              <w:rPr>
                <w:sz w:val="24"/>
              </w:rPr>
              <w:t>L</w:t>
            </w:r>
            <w:r>
              <w:rPr>
                <w:sz w:val="24"/>
                <w:vertAlign w:val="subscript"/>
              </w:rPr>
              <w:t>w</w:t>
            </w:r>
            <w:r>
              <w:rPr>
                <w:sz w:val="24"/>
              </w:rPr>
              <w:t xml:space="preserve"> —点声源声功率级（A计权或倍频带），dB；</w:t>
            </w:r>
          </w:p>
          <w:p>
            <w:pPr>
              <w:spacing w:line="360" w:lineRule="auto"/>
              <w:ind w:firstLine="1200" w:firstLineChars="500"/>
              <w:rPr>
                <w:sz w:val="24"/>
              </w:rPr>
            </w:pPr>
            <w:r>
              <w:rPr>
                <w:sz w:val="24"/>
              </w:rPr>
              <w:t>Q—指向性因数，通常对无指向性声源，当声源放在房间中心时，Q=1，当放在一面墙的中心时，Q=2；当放在两面墙夹角处时，Q=4；当放在三面墙夹角处时，Q=8；</w:t>
            </w:r>
          </w:p>
          <w:p>
            <w:pPr>
              <w:spacing w:line="360" w:lineRule="auto"/>
              <w:ind w:firstLine="1200" w:firstLineChars="500"/>
              <w:rPr>
                <w:sz w:val="24"/>
              </w:rPr>
            </w:pPr>
            <w:r>
              <w:rPr>
                <w:sz w:val="24"/>
              </w:rPr>
              <w:t>R—房间常数，R=Sα/（1-α），S为房间内表面面积，m</w:t>
            </w:r>
            <w:r>
              <w:rPr>
                <w:sz w:val="24"/>
                <w:vertAlign w:val="superscript"/>
              </w:rPr>
              <w:t>2</w:t>
            </w:r>
            <w:r>
              <w:rPr>
                <w:sz w:val="24"/>
              </w:rPr>
              <w:t>；α为平均吸声系数；</w:t>
            </w:r>
          </w:p>
          <w:p>
            <w:pPr>
              <w:spacing w:line="360" w:lineRule="auto"/>
              <w:ind w:firstLine="1200" w:firstLineChars="500"/>
              <w:rPr>
                <w:sz w:val="24"/>
              </w:rPr>
            </w:pPr>
            <w:r>
              <w:rPr>
                <w:sz w:val="24"/>
              </w:rPr>
              <w:t>r—声源到靠近围护结构某点处的距离，m。</w:t>
            </w:r>
          </w:p>
          <w:p>
            <w:pPr>
              <w:spacing w:line="360" w:lineRule="auto"/>
              <w:ind w:firstLine="480" w:firstLineChars="200"/>
              <w:rPr>
                <w:sz w:val="24"/>
              </w:rPr>
            </w:pPr>
            <w:r>
              <w:rPr>
                <w:sz w:val="24"/>
              </w:rPr>
              <w:t>B.2计算出所有室内声源在围护结构处产生的 i 倍频带叠加声压级：</w:t>
            </w:r>
          </w:p>
          <w:p>
            <w:pPr>
              <w:spacing w:line="360" w:lineRule="auto"/>
              <w:jc w:val="center"/>
              <w:rPr>
                <w:sz w:val="24"/>
              </w:rPr>
            </w:pPr>
            <w:r>
              <w:drawing>
                <wp:inline distT="0" distB="0" distL="114300" distR="114300">
                  <wp:extent cx="1864995" cy="471805"/>
                  <wp:effectExtent l="0" t="0" r="1905" b="4445"/>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pic:cNvPicPr>
                            <a:picLocks noChangeAspect="1"/>
                          </pic:cNvPicPr>
                        </pic:nvPicPr>
                        <pic:blipFill>
                          <a:blip r:embed="rId18"/>
                          <a:stretch>
                            <a:fillRect/>
                          </a:stretch>
                        </pic:blipFill>
                        <pic:spPr>
                          <a:xfrm>
                            <a:off x="0" y="0"/>
                            <a:ext cx="1864995" cy="471805"/>
                          </a:xfrm>
                          <a:prstGeom prst="rect">
                            <a:avLst/>
                          </a:prstGeom>
                          <a:noFill/>
                          <a:ln>
                            <a:noFill/>
                          </a:ln>
                        </pic:spPr>
                      </pic:pic>
                    </a:graphicData>
                  </a:graphic>
                </wp:inline>
              </w:drawing>
            </w:r>
          </w:p>
          <w:p>
            <w:pPr>
              <w:spacing w:line="360" w:lineRule="auto"/>
              <w:ind w:firstLine="480" w:firstLineChars="200"/>
              <w:rPr>
                <w:sz w:val="24"/>
              </w:rPr>
            </w:pPr>
            <w:r>
              <w:rPr>
                <w:sz w:val="24"/>
              </w:rPr>
              <w:t>式中：L</w:t>
            </w:r>
            <w:r>
              <w:rPr>
                <w:sz w:val="24"/>
                <w:vertAlign w:val="subscript"/>
              </w:rPr>
              <w:t>p1i</w:t>
            </w:r>
            <w:r>
              <w:rPr>
                <w:sz w:val="24"/>
              </w:rPr>
              <w:t>(T)—靠近围护结构处室内N个声源i倍频带的叠加声压级，dB；</w:t>
            </w:r>
          </w:p>
          <w:p>
            <w:pPr>
              <w:spacing w:line="360" w:lineRule="auto"/>
              <w:ind w:firstLine="1200" w:firstLineChars="500"/>
              <w:rPr>
                <w:sz w:val="24"/>
              </w:rPr>
            </w:pPr>
            <w:r>
              <w:rPr>
                <w:sz w:val="24"/>
              </w:rPr>
              <w:t>L</w:t>
            </w:r>
            <w:r>
              <w:rPr>
                <w:sz w:val="24"/>
                <w:vertAlign w:val="subscript"/>
              </w:rPr>
              <w:t>p1ij</w:t>
            </w:r>
            <w:r>
              <w:rPr>
                <w:sz w:val="24"/>
              </w:rPr>
              <w:t>—室内j声源i倍频带的声压级，dB（A）；</w:t>
            </w:r>
          </w:p>
          <w:p>
            <w:pPr>
              <w:spacing w:line="360" w:lineRule="auto"/>
              <w:ind w:firstLine="1200" w:firstLineChars="500"/>
              <w:rPr>
                <w:sz w:val="24"/>
              </w:rPr>
            </w:pPr>
            <w:r>
              <w:rPr>
                <w:sz w:val="24"/>
              </w:rPr>
              <w:t>N—室内声源总数。</w:t>
            </w:r>
          </w:p>
          <w:p>
            <w:pPr>
              <w:spacing w:line="360" w:lineRule="auto"/>
              <w:ind w:firstLine="480" w:firstLineChars="200"/>
              <w:rPr>
                <w:sz w:val="24"/>
              </w:rPr>
            </w:pPr>
            <w:r>
              <w:rPr>
                <w:sz w:val="24"/>
              </w:rPr>
              <w:t>B.3计算出靠近室外围护结构处的声压级：</w:t>
            </w:r>
          </w:p>
          <w:p>
            <w:pPr>
              <w:spacing w:line="360" w:lineRule="auto"/>
              <w:jc w:val="center"/>
              <w:rPr>
                <w:sz w:val="24"/>
              </w:rPr>
            </w:pPr>
            <w:r>
              <w:drawing>
                <wp:inline distT="0" distB="0" distL="114300" distR="114300">
                  <wp:extent cx="2019935" cy="315595"/>
                  <wp:effectExtent l="0" t="0" r="18415" b="8255"/>
                  <wp:docPr id="1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6"/>
                          <pic:cNvPicPr>
                            <a:picLocks noChangeAspect="1"/>
                          </pic:cNvPicPr>
                        </pic:nvPicPr>
                        <pic:blipFill>
                          <a:blip r:embed="rId19"/>
                          <a:stretch>
                            <a:fillRect/>
                          </a:stretch>
                        </pic:blipFill>
                        <pic:spPr>
                          <a:xfrm>
                            <a:off x="0" y="0"/>
                            <a:ext cx="2019935" cy="315595"/>
                          </a:xfrm>
                          <a:prstGeom prst="rect">
                            <a:avLst/>
                          </a:prstGeom>
                          <a:noFill/>
                          <a:ln>
                            <a:noFill/>
                          </a:ln>
                        </pic:spPr>
                      </pic:pic>
                    </a:graphicData>
                  </a:graphic>
                </wp:inline>
              </w:drawing>
            </w:r>
          </w:p>
          <w:p>
            <w:pPr>
              <w:spacing w:line="360" w:lineRule="auto"/>
              <w:ind w:firstLine="480" w:firstLineChars="200"/>
              <w:rPr>
                <w:sz w:val="24"/>
              </w:rPr>
            </w:pPr>
            <w:r>
              <w:rPr>
                <w:sz w:val="24"/>
              </w:rPr>
              <w:t>式中：L</w:t>
            </w:r>
            <w:r>
              <w:rPr>
                <w:sz w:val="24"/>
                <w:vertAlign w:val="subscript"/>
              </w:rPr>
              <w:t xml:space="preserve">p2i </w:t>
            </w:r>
            <w:r>
              <w:rPr>
                <w:sz w:val="24"/>
              </w:rPr>
              <w:t>(T)—靠近围护结构处室外N个声源i倍频带的叠加声压级，dB；</w:t>
            </w:r>
          </w:p>
          <w:p>
            <w:pPr>
              <w:spacing w:line="360" w:lineRule="auto"/>
              <w:ind w:firstLine="1200" w:firstLineChars="500"/>
              <w:rPr>
                <w:sz w:val="24"/>
              </w:rPr>
            </w:pPr>
            <w:r>
              <w:rPr>
                <w:sz w:val="24"/>
              </w:rPr>
              <w:t>TL</w:t>
            </w:r>
            <w:r>
              <w:rPr>
                <w:sz w:val="24"/>
                <w:vertAlign w:val="subscript"/>
              </w:rPr>
              <w:t>i</w:t>
            </w:r>
            <w:r>
              <w:rPr>
                <w:sz w:val="24"/>
              </w:rPr>
              <w:t>—围护结构i倍频带的隔声量，dB。</w:t>
            </w:r>
          </w:p>
          <w:p>
            <w:pPr>
              <w:spacing w:line="360" w:lineRule="auto"/>
              <w:ind w:firstLine="480" w:firstLineChars="200"/>
              <w:rPr>
                <w:sz w:val="24"/>
              </w:rPr>
            </w:pPr>
            <w:r>
              <w:rPr>
                <w:sz w:val="24"/>
              </w:rPr>
              <w:t>B.4将室外声源的声压级和透过面积换算成等效的室外声源，计算出中心位置位于透声面积处的等效声源的倍频带声功率级：</w:t>
            </w:r>
          </w:p>
          <w:p>
            <w:pPr>
              <w:spacing w:line="360" w:lineRule="auto"/>
              <w:jc w:val="center"/>
              <w:rPr>
                <w:sz w:val="24"/>
              </w:rPr>
            </w:pPr>
            <w:r>
              <w:drawing>
                <wp:inline distT="0" distB="0" distL="114300" distR="114300">
                  <wp:extent cx="1600200" cy="281940"/>
                  <wp:effectExtent l="0" t="0" r="0" b="3810"/>
                  <wp:docPr id="1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7"/>
                          <pic:cNvPicPr>
                            <a:picLocks noChangeAspect="1"/>
                          </pic:cNvPicPr>
                        </pic:nvPicPr>
                        <pic:blipFill>
                          <a:blip r:embed="rId20"/>
                          <a:stretch>
                            <a:fillRect/>
                          </a:stretch>
                        </pic:blipFill>
                        <pic:spPr>
                          <a:xfrm>
                            <a:off x="0" y="0"/>
                            <a:ext cx="1600200" cy="281940"/>
                          </a:xfrm>
                          <a:prstGeom prst="rect">
                            <a:avLst/>
                          </a:prstGeom>
                          <a:noFill/>
                          <a:ln>
                            <a:noFill/>
                          </a:ln>
                        </pic:spPr>
                      </pic:pic>
                    </a:graphicData>
                  </a:graphic>
                </wp:inline>
              </w:drawing>
            </w:r>
          </w:p>
          <w:p>
            <w:pPr>
              <w:spacing w:line="360" w:lineRule="auto"/>
              <w:ind w:firstLine="480" w:firstLineChars="200"/>
              <w:rPr>
                <w:sz w:val="24"/>
              </w:rPr>
            </w:pPr>
            <w:r>
              <w:rPr>
                <w:sz w:val="24"/>
              </w:rPr>
              <w:t>式中：L</w:t>
            </w:r>
            <w:r>
              <w:rPr>
                <w:sz w:val="24"/>
                <w:vertAlign w:val="subscript"/>
              </w:rPr>
              <w:t>w</w:t>
            </w:r>
            <w:r>
              <w:rPr>
                <w:sz w:val="24"/>
              </w:rPr>
              <w:t>—中心位置位于透声面积（S）处的等效声源的倍频带声功率级，dB；</w:t>
            </w:r>
          </w:p>
          <w:p>
            <w:pPr>
              <w:spacing w:line="360" w:lineRule="auto"/>
              <w:ind w:firstLine="1200" w:firstLineChars="500"/>
              <w:rPr>
                <w:sz w:val="24"/>
              </w:rPr>
            </w:pPr>
            <w:r>
              <w:rPr>
                <w:sz w:val="24"/>
              </w:rPr>
              <w:t>L</w:t>
            </w:r>
            <w:r>
              <w:rPr>
                <w:sz w:val="24"/>
                <w:vertAlign w:val="subscript"/>
              </w:rPr>
              <w:t>p2</w:t>
            </w:r>
            <w:r>
              <w:rPr>
                <w:sz w:val="24"/>
              </w:rPr>
              <w:t>(T)—靠近围护结构处室外声源的声压级，dB；</w:t>
            </w:r>
          </w:p>
          <w:p>
            <w:pPr>
              <w:spacing w:line="360" w:lineRule="auto"/>
              <w:ind w:firstLine="1200" w:firstLineChars="500"/>
              <w:rPr>
                <w:sz w:val="24"/>
              </w:rPr>
            </w:pPr>
            <w:r>
              <w:rPr>
                <w:sz w:val="24"/>
              </w:rPr>
              <w:t>S—透声面积，m</w:t>
            </w:r>
            <w:r>
              <w:rPr>
                <w:sz w:val="24"/>
                <w:vertAlign w:val="superscript"/>
              </w:rPr>
              <w:t>2</w:t>
            </w:r>
            <w:r>
              <w:rPr>
                <w:sz w:val="24"/>
              </w:rPr>
              <w:t>。</w:t>
            </w:r>
          </w:p>
          <w:p>
            <w:pPr>
              <w:spacing w:line="360" w:lineRule="auto"/>
              <w:ind w:firstLine="480" w:firstLineChars="200"/>
              <w:rPr>
                <w:sz w:val="24"/>
              </w:rPr>
            </w:pPr>
            <w:r>
              <w:rPr>
                <w:sz w:val="24"/>
              </w:rPr>
              <w:t>然后按室外声源预测方法计算预测点处的A声级。</w:t>
            </w:r>
          </w:p>
          <w:p>
            <w:pPr>
              <w:spacing w:line="360" w:lineRule="auto"/>
              <w:ind w:firstLine="480" w:firstLineChars="200"/>
              <w:rPr>
                <w:rFonts w:hint="eastAsia"/>
                <w:sz w:val="24"/>
              </w:rPr>
            </w:pPr>
            <w:r>
              <w:rPr>
                <w:sz w:val="24"/>
              </w:rPr>
              <w:t>本项目评价时，采用类比法，按车间等效噪声值（类比值）做点源处理</w:t>
            </w:r>
            <w:r>
              <w:rPr>
                <w:rFonts w:hint="eastAsia"/>
                <w:sz w:val="24"/>
              </w:rPr>
              <w:t>。</w:t>
            </w:r>
          </w:p>
          <w:p>
            <w:pPr>
              <w:spacing w:line="360" w:lineRule="auto"/>
              <w:ind w:firstLine="480" w:firstLineChars="200"/>
              <w:rPr>
                <w:sz w:val="24"/>
              </w:rPr>
            </w:pPr>
            <w:r>
              <w:rPr>
                <w:sz w:val="24"/>
              </w:rPr>
              <w:t>设第i个室外声源在预测点产生的A声级为L</w:t>
            </w:r>
            <w:r>
              <w:rPr>
                <w:sz w:val="24"/>
                <w:vertAlign w:val="subscript"/>
              </w:rPr>
              <w:t>Ai</w:t>
            </w:r>
            <w:r>
              <w:rPr>
                <w:sz w:val="24"/>
              </w:rPr>
              <w:t>，在T时间内该声源工作时间为t</w:t>
            </w:r>
            <w:r>
              <w:rPr>
                <w:sz w:val="24"/>
                <w:vertAlign w:val="subscript"/>
              </w:rPr>
              <w:t>i</w:t>
            </w:r>
            <w:r>
              <w:rPr>
                <w:sz w:val="24"/>
              </w:rPr>
              <w:t>；第j个室外声源在预测点产生的A声级为L</w:t>
            </w:r>
            <w:r>
              <w:rPr>
                <w:sz w:val="24"/>
                <w:vertAlign w:val="subscript"/>
              </w:rPr>
              <w:t>Aj</w:t>
            </w:r>
            <w:r>
              <w:rPr>
                <w:sz w:val="24"/>
              </w:rPr>
              <w:t>，在T时间内该声源工作时间为t</w:t>
            </w:r>
            <w:r>
              <w:rPr>
                <w:sz w:val="24"/>
                <w:vertAlign w:val="subscript"/>
              </w:rPr>
              <w:t>j</w:t>
            </w:r>
            <w:r>
              <w:rPr>
                <w:sz w:val="24"/>
              </w:rPr>
              <w:t>，则项目声源对预测点的贡献值为：</w:t>
            </w:r>
          </w:p>
          <w:p>
            <w:pPr>
              <w:spacing w:line="360" w:lineRule="auto"/>
              <w:jc w:val="center"/>
              <w:rPr>
                <w:rFonts w:hint="eastAsia"/>
                <w:sz w:val="24"/>
              </w:rPr>
            </w:pPr>
            <w:r>
              <w:drawing>
                <wp:inline distT="0" distB="0" distL="114300" distR="114300">
                  <wp:extent cx="2603500" cy="507365"/>
                  <wp:effectExtent l="0" t="0" r="6350" b="6985"/>
                  <wp:docPr id="1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8"/>
                          <pic:cNvPicPr>
                            <a:picLocks noChangeAspect="1"/>
                          </pic:cNvPicPr>
                        </pic:nvPicPr>
                        <pic:blipFill>
                          <a:blip r:embed="rId21"/>
                          <a:stretch>
                            <a:fillRect/>
                          </a:stretch>
                        </pic:blipFill>
                        <pic:spPr>
                          <a:xfrm>
                            <a:off x="0" y="0"/>
                            <a:ext cx="2603500" cy="507365"/>
                          </a:xfrm>
                          <a:prstGeom prst="rect">
                            <a:avLst/>
                          </a:prstGeom>
                          <a:noFill/>
                          <a:ln>
                            <a:noFill/>
                          </a:ln>
                        </pic:spPr>
                      </pic:pic>
                    </a:graphicData>
                  </a:graphic>
                </wp:inline>
              </w:drawing>
            </w:r>
          </w:p>
          <w:p>
            <w:pPr>
              <w:spacing w:line="360" w:lineRule="auto"/>
              <w:ind w:firstLine="480" w:firstLineChars="200"/>
              <w:rPr>
                <w:sz w:val="24"/>
              </w:rPr>
            </w:pPr>
            <w:r>
              <w:rPr>
                <w:sz w:val="24"/>
              </w:rPr>
              <w:t>式中：L</w:t>
            </w:r>
            <w:r>
              <w:rPr>
                <w:sz w:val="24"/>
                <w:vertAlign w:val="subscript"/>
              </w:rPr>
              <w:t>eqg</w:t>
            </w:r>
            <w:r>
              <w:rPr>
                <w:sz w:val="24"/>
              </w:rPr>
              <w:t>—建设项目声源在预测点产生的噪声贡献值，dB；</w:t>
            </w:r>
          </w:p>
          <w:p>
            <w:pPr>
              <w:spacing w:line="360" w:lineRule="auto"/>
              <w:ind w:firstLine="1200" w:firstLineChars="500"/>
              <w:rPr>
                <w:sz w:val="24"/>
              </w:rPr>
            </w:pPr>
            <w:r>
              <w:rPr>
                <w:sz w:val="24"/>
              </w:rPr>
              <w:t>T—用于计算等效声级的时间，s；</w:t>
            </w:r>
          </w:p>
          <w:p>
            <w:pPr>
              <w:spacing w:line="360" w:lineRule="auto"/>
              <w:ind w:firstLine="1200" w:firstLineChars="500"/>
              <w:rPr>
                <w:sz w:val="24"/>
              </w:rPr>
            </w:pPr>
            <w:r>
              <w:rPr>
                <w:sz w:val="24"/>
              </w:rPr>
              <w:t>N—室外声源个数；</w:t>
            </w:r>
          </w:p>
          <w:p>
            <w:pPr>
              <w:spacing w:line="360" w:lineRule="auto"/>
              <w:ind w:firstLine="1200" w:firstLineChars="500"/>
              <w:rPr>
                <w:sz w:val="24"/>
              </w:rPr>
            </w:pPr>
            <w:r>
              <w:rPr>
                <w:sz w:val="24"/>
              </w:rPr>
              <w:t>t</w:t>
            </w:r>
            <w:r>
              <w:rPr>
                <w:sz w:val="24"/>
                <w:vertAlign w:val="subscript"/>
              </w:rPr>
              <w:t>i</w:t>
            </w:r>
            <w:r>
              <w:rPr>
                <w:sz w:val="24"/>
              </w:rPr>
              <w:t>—在T时间内i声源工作时间，s；</w:t>
            </w:r>
          </w:p>
          <w:p>
            <w:pPr>
              <w:spacing w:line="360" w:lineRule="auto"/>
              <w:ind w:firstLine="1200" w:firstLineChars="500"/>
              <w:rPr>
                <w:sz w:val="24"/>
              </w:rPr>
            </w:pPr>
            <w:r>
              <w:rPr>
                <w:sz w:val="24"/>
              </w:rPr>
              <w:t>M—等效室外声源个数；</w:t>
            </w:r>
          </w:p>
          <w:p>
            <w:pPr>
              <w:spacing w:line="360" w:lineRule="auto"/>
              <w:ind w:firstLine="1200" w:firstLineChars="500"/>
            </w:pPr>
            <w:r>
              <w:rPr>
                <w:sz w:val="24"/>
              </w:rPr>
              <w:t>t</w:t>
            </w:r>
            <w:r>
              <w:rPr>
                <w:sz w:val="24"/>
                <w:vertAlign w:val="subscript"/>
              </w:rPr>
              <w:t>j</w:t>
            </w:r>
            <w:r>
              <w:rPr>
                <w:sz w:val="24"/>
              </w:rPr>
              <w:t>—在T时间内j声源工作时间，s。</w:t>
            </w:r>
          </w:p>
          <w:p>
            <w:pPr>
              <w:keepNext/>
              <w:keepLines/>
              <w:ind w:firstLine="472" w:firstLineChars="196"/>
              <w:outlineLvl w:val="2"/>
              <w:rPr>
                <w:b/>
                <w:bCs/>
              </w:rPr>
            </w:pPr>
            <w:r>
              <w:rPr>
                <w:rFonts w:hint="eastAsia"/>
                <w:b/>
                <w:bCs/>
              </w:rPr>
              <w:t>3、</w:t>
            </w:r>
            <w:r>
              <w:rPr>
                <w:b/>
                <w:bCs/>
              </w:rPr>
              <w:t>预测结果评价</w:t>
            </w:r>
          </w:p>
          <w:p>
            <w:pPr>
              <w:widowControl/>
              <w:ind w:firstLine="480"/>
              <w:jc w:val="left"/>
            </w:pPr>
            <w:r>
              <w:rPr>
                <w:rFonts w:hint="eastAsia"/>
              </w:rPr>
              <w:t>经厂房隔声、距离衰减后，各厂界噪声影响预测结果见下表。</w:t>
            </w:r>
          </w:p>
          <w:p>
            <w:pPr>
              <w:pStyle w:val="23"/>
            </w:pPr>
            <w:r>
              <w:t>表</w:t>
            </w:r>
            <w:r>
              <w:rPr>
                <w:rFonts w:hint="eastAsia"/>
              </w:rPr>
              <w:t>4-</w:t>
            </w:r>
            <w:r>
              <w:rPr>
                <w:rFonts w:hint="eastAsia"/>
                <w:lang w:val="en-US" w:eastAsia="zh-CN"/>
              </w:rPr>
              <w:t>9</w:t>
            </w:r>
            <w:r>
              <w:t xml:space="preserve"> </w:t>
            </w:r>
            <w:r>
              <w:rPr>
                <w:rFonts w:hint="eastAsia"/>
              </w:rPr>
              <w:t xml:space="preserve"> 拟建项目设备产生的噪声对</w:t>
            </w:r>
            <w:r>
              <w:t>各预测点的影响值</w:t>
            </w:r>
            <w:r>
              <w:rPr>
                <w:rFonts w:hint="eastAsia"/>
              </w:rPr>
              <w:t>一览</w:t>
            </w:r>
            <w:r>
              <w:t>表</w:t>
            </w:r>
          </w:p>
          <w:tbl>
            <w:tblPr>
              <w:tblStyle w:val="15"/>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678"/>
              <w:gridCol w:w="1536"/>
              <w:gridCol w:w="414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718" w:hRule="atLeast"/>
                <w:jc w:val="center"/>
              </w:trPr>
              <w:tc>
                <w:tcPr>
                  <w:tcW w:w="1602" w:type="pct"/>
                  <w:tcBorders>
                    <w:tl2br w:val="nil"/>
                    <w:tr2bl w:val="nil"/>
                  </w:tcBorders>
                  <w:vAlign w:val="center"/>
                </w:tcPr>
                <w:p>
                  <w:pPr>
                    <w:pStyle w:val="22"/>
                  </w:pPr>
                  <w:r>
                    <w:rPr>
                      <w:rFonts w:hint="eastAsia"/>
                    </w:rPr>
                    <w:t>预测</w:t>
                  </w:r>
                  <w:r>
                    <w:t>点位</w:t>
                  </w:r>
                </w:p>
              </w:tc>
              <w:tc>
                <w:tcPr>
                  <w:tcW w:w="919" w:type="pct"/>
                  <w:tcBorders>
                    <w:tl2br w:val="nil"/>
                    <w:tr2bl w:val="nil"/>
                  </w:tcBorders>
                  <w:vAlign w:val="center"/>
                </w:tcPr>
                <w:p>
                  <w:pPr>
                    <w:pStyle w:val="22"/>
                    <w:rPr>
                      <w:rFonts w:hint="eastAsia"/>
                    </w:rPr>
                  </w:pPr>
                  <w:r>
                    <w:rPr>
                      <w:rFonts w:hint="eastAsia"/>
                      <w:lang w:val="en-US" w:eastAsia="zh-CN"/>
                    </w:rPr>
                    <w:t>贡献</w:t>
                  </w:r>
                  <w:r>
                    <w:rPr>
                      <w:rFonts w:hint="eastAsia"/>
                    </w:rPr>
                    <w:t>值</w:t>
                  </w:r>
                </w:p>
              </w:tc>
              <w:tc>
                <w:tcPr>
                  <w:tcW w:w="2477" w:type="pct"/>
                  <w:tcBorders>
                    <w:tl2br w:val="nil"/>
                    <w:tr2bl w:val="nil"/>
                  </w:tcBorders>
                  <w:vAlign w:val="center"/>
                </w:tcPr>
                <w:p>
                  <w:pPr>
                    <w:pStyle w:val="22"/>
                  </w:pPr>
                  <w:r>
                    <w:t>标准值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1602" w:type="pct"/>
                  <w:tcBorders>
                    <w:tl2br w:val="nil"/>
                    <w:tr2bl w:val="nil"/>
                  </w:tcBorders>
                  <w:vAlign w:val="center"/>
                </w:tcPr>
                <w:p>
                  <w:pPr>
                    <w:pStyle w:val="22"/>
                  </w:pPr>
                  <w:r>
                    <w:t>厂界东1m处</w:t>
                  </w:r>
                </w:p>
              </w:tc>
              <w:tc>
                <w:tcPr>
                  <w:tcW w:w="919" w:type="pct"/>
                  <w:tcBorders>
                    <w:tl2br w:val="nil"/>
                    <w:tr2bl w:val="nil"/>
                  </w:tcBorders>
                  <w:vAlign w:val="center"/>
                </w:tcPr>
                <w:p>
                  <w:pPr>
                    <w:pStyle w:val="22"/>
                    <w:bidi w:val="0"/>
                    <w:rPr>
                      <w:rFonts w:hint="default"/>
                      <w:color w:val="FF0000"/>
                      <w:highlight w:val="none"/>
                      <w:lang w:val="en-US" w:eastAsia="zh-CN"/>
                    </w:rPr>
                  </w:pPr>
                  <w:r>
                    <w:rPr>
                      <w:rFonts w:hint="eastAsia"/>
                      <w:color w:val="FF0000"/>
                      <w:highlight w:val="none"/>
                      <w:lang w:val="en-US" w:eastAsia="zh-CN"/>
                    </w:rPr>
                    <w:t>13.5</w:t>
                  </w:r>
                </w:p>
              </w:tc>
              <w:tc>
                <w:tcPr>
                  <w:tcW w:w="2477" w:type="pct"/>
                  <w:vMerge w:val="restart"/>
                  <w:tcBorders>
                    <w:tl2br w:val="nil"/>
                    <w:tr2bl w:val="nil"/>
                  </w:tcBorders>
                  <w:vAlign w:val="center"/>
                </w:tcPr>
                <w:p>
                  <w:pPr>
                    <w:pStyle w:val="22"/>
                    <w:rPr>
                      <w:rFonts w:hint="default"/>
                      <w:lang w:val="en-US" w:eastAsia="zh-CN"/>
                    </w:rPr>
                  </w:pPr>
                  <w:r>
                    <w:rPr>
                      <w:rFonts w:hint="default"/>
                      <w:lang w:val="en-US" w:eastAsia="zh-CN"/>
                    </w:rPr>
                    <w:t>昼间≤65dB(A)，夜间≤55dB(A)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1602" w:type="pct"/>
                  <w:tcBorders>
                    <w:tl2br w:val="nil"/>
                    <w:tr2bl w:val="nil"/>
                  </w:tcBorders>
                  <w:vAlign w:val="center"/>
                </w:tcPr>
                <w:p>
                  <w:pPr>
                    <w:pStyle w:val="22"/>
                  </w:pPr>
                  <w:r>
                    <w:t>厂界南1m处</w:t>
                  </w:r>
                </w:p>
              </w:tc>
              <w:tc>
                <w:tcPr>
                  <w:tcW w:w="919" w:type="pct"/>
                  <w:tcBorders>
                    <w:tl2br w:val="nil"/>
                    <w:tr2bl w:val="nil"/>
                  </w:tcBorders>
                  <w:vAlign w:val="center"/>
                </w:tcPr>
                <w:p>
                  <w:pPr>
                    <w:pStyle w:val="22"/>
                    <w:rPr>
                      <w:rFonts w:hint="default"/>
                      <w:color w:val="FF0000"/>
                      <w:highlight w:val="none"/>
                      <w:lang w:val="en-US" w:eastAsia="zh-CN"/>
                    </w:rPr>
                  </w:pPr>
                  <w:r>
                    <w:rPr>
                      <w:rFonts w:hint="eastAsia"/>
                      <w:color w:val="FF0000"/>
                      <w:highlight w:val="none"/>
                      <w:lang w:val="en-US" w:eastAsia="zh-CN"/>
                    </w:rPr>
                    <w:t>11.9</w:t>
                  </w:r>
                </w:p>
              </w:tc>
              <w:tc>
                <w:tcPr>
                  <w:tcW w:w="2477" w:type="pct"/>
                  <w:vMerge w:val="continue"/>
                  <w:tcBorders>
                    <w:tl2br w:val="nil"/>
                    <w:tr2bl w:val="nil"/>
                  </w:tcBorders>
                  <w:vAlign w:val="center"/>
                </w:tcPr>
                <w:p>
                  <w:pPr>
                    <w:pStyle w:val="22"/>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1602" w:type="pct"/>
                  <w:tcBorders>
                    <w:tl2br w:val="nil"/>
                    <w:tr2bl w:val="nil"/>
                  </w:tcBorders>
                  <w:vAlign w:val="center"/>
                </w:tcPr>
                <w:p>
                  <w:pPr>
                    <w:pStyle w:val="22"/>
                  </w:pPr>
                  <w:r>
                    <w:t>厂界西1m处</w:t>
                  </w:r>
                </w:p>
              </w:tc>
              <w:tc>
                <w:tcPr>
                  <w:tcW w:w="919" w:type="pct"/>
                  <w:tcBorders>
                    <w:tl2br w:val="nil"/>
                    <w:tr2bl w:val="nil"/>
                  </w:tcBorders>
                  <w:vAlign w:val="center"/>
                </w:tcPr>
                <w:p>
                  <w:pPr>
                    <w:pStyle w:val="22"/>
                    <w:rPr>
                      <w:rFonts w:hint="default"/>
                      <w:color w:val="FF0000"/>
                      <w:highlight w:val="none"/>
                      <w:lang w:val="en-US" w:eastAsia="zh-CN"/>
                    </w:rPr>
                  </w:pPr>
                  <w:r>
                    <w:rPr>
                      <w:rFonts w:hint="eastAsia"/>
                      <w:color w:val="FF0000"/>
                      <w:highlight w:val="none"/>
                      <w:lang w:val="en-US" w:eastAsia="zh-CN"/>
                    </w:rPr>
                    <w:t>15.1</w:t>
                  </w:r>
                </w:p>
              </w:tc>
              <w:tc>
                <w:tcPr>
                  <w:tcW w:w="2477" w:type="pct"/>
                  <w:vMerge w:val="continue"/>
                  <w:tcBorders>
                    <w:tl2br w:val="nil"/>
                    <w:tr2bl w:val="nil"/>
                  </w:tcBorders>
                  <w:vAlign w:val="center"/>
                </w:tcPr>
                <w:p>
                  <w:pPr>
                    <w:pStyle w:val="22"/>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1602" w:type="pct"/>
                  <w:tcBorders>
                    <w:tl2br w:val="nil"/>
                    <w:tr2bl w:val="nil"/>
                  </w:tcBorders>
                  <w:vAlign w:val="center"/>
                </w:tcPr>
                <w:p>
                  <w:pPr>
                    <w:pStyle w:val="22"/>
                  </w:pPr>
                  <w:r>
                    <w:t>厂界北1m处</w:t>
                  </w:r>
                </w:p>
              </w:tc>
              <w:tc>
                <w:tcPr>
                  <w:tcW w:w="919" w:type="pct"/>
                  <w:tcBorders>
                    <w:tl2br w:val="nil"/>
                    <w:tr2bl w:val="nil"/>
                  </w:tcBorders>
                  <w:vAlign w:val="center"/>
                </w:tcPr>
                <w:p>
                  <w:pPr>
                    <w:pStyle w:val="22"/>
                    <w:rPr>
                      <w:rFonts w:hint="default"/>
                      <w:color w:val="FF0000"/>
                      <w:highlight w:val="none"/>
                      <w:lang w:val="en-US" w:eastAsia="zh-CN"/>
                    </w:rPr>
                  </w:pPr>
                  <w:r>
                    <w:rPr>
                      <w:rFonts w:hint="eastAsia"/>
                      <w:color w:val="FF0000"/>
                      <w:highlight w:val="none"/>
                      <w:lang w:val="en-US" w:eastAsia="zh-CN"/>
                    </w:rPr>
                    <w:t>15.6</w:t>
                  </w:r>
                </w:p>
              </w:tc>
              <w:tc>
                <w:tcPr>
                  <w:tcW w:w="2477" w:type="pct"/>
                  <w:vMerge w:val="continue"/>
                  <w:tcBorders>
                    <w:tl2br w:val="nil"/>
                    <w:tr2bl w:val="nil"/>
                  </w:tcBorders>
                  <w:vAlign w:val="center"/>
                </w:tcPr>
                <w:p>
                  <w:pPr>
                    <w:pStyle w:val="22"/>
                  </w:pPr>
                </w:p>
              </w:tc>
            </w:tr>
          </w:tbl>
          <w:p>
            <w:pPr>
              <w:ind w:firstLine="480"/>
            </w:pPr>
            <w:r>
              <w:rPr>
                <w:rFonts w:hint="eastAsia"/>
                <w:lang w:val="en-GB"/>
              </w:rPr>
              <w:t>项目为</w:t>
            </w:r>
            <w:r>
              <w:rPr>
                <w:rFonts w:hint="eastAsia"/>
              </w:rPr>
              <w:t>实行双班制，</w:t>
            </w:r>
            <w:r>
              <w:rPr>
                <w:rFonts w:hint="eastAsia"/>
                <w:lang w:val="en-US" w:eastAsia="zh-CN"/>
              </w:rPr>
              <w:t>每班</w:t>
            </w:r>
            <w:r>
              <w:rPr>
                <w:rFonts w:hint="eastAsia"/>
              </w:rPr>
              <w:t>工作时间为8小时。</w:t>
            </w:r>
            <w:r>
              <w:t>从预测结果可以看出，项目投产后噪声在厂界预测点的贡献值较小，可满足《工业企业厂界环境噪声排放标准》（GB12348-2008）3类标准值要求。经</w:t>
            </w:r>
            <w:r>
              <w:rPr>
                <w:rFonts w:hint="eastAsia"/>
              </w:rPr>
              <w:t>设备基础减振、</w:t>
            </w:r>
            <w:r>
              <w:t>厂房隔声、距离衰减后，评价认为项目投产后噪声对其影响不大。因此，评价认为项目投产后，噪声对周边声环境影响较小。</w:t>
            </w:r>
          </w:p>
          <w:p>
            <w:pPr>
              <w:autoSpaceDE w:val="0"/>
              <w:autoSpaceDN w:val="0"/>
              <w:adjustRightInd w:val="0"/>
              <w:ind w:firstLine="482"/>
              <w:jc w:val="left"/>
              <w:rPr>
                <w:b/>
                <w:bCs/>
              </w:rPr>
            </w:pPr>
            <w:r>
              <w:rPr>
                <w:rFonts w:hint="eastAsia"/>
                <w:b/>
                <w:bCs/>
              </w:rPr>
              <w:t>4、噪声污染防治措施</w:t>
            </w:r>
          </w:p>
          <w:p>
            <w:pPr>
              <w:ind w:firstLine="480"/>
            </w:pPr>
            <w:r>
              <w:t>本项目噪声源经相应的降噪措施处理后通过建筑物门窗、墙壁的吸收、屏蔽及阻挡作用，将会大幅度地衰减。具体可采取的治理措施如下：</w:t>
            </w:r>
          </w:p>
          <w:p>
            <w:pPr>
              <w:ind w:firstLine="480"/>
            </w:pPr>
            <w:r>
              <w:t>（1）合理布局：项目将高噪声设备尽量布置在厂区中部，通过距离衰减减轻噪声对外环境的影响。</w:t>
            </w:r>
          </w:p>
          <w:p>
            <w:pPr>
              <w:ind w:firstLine="480"/>
            </w:pPr>
            <w:r>
              <w:t>（2）选择低噪声设备：项目在满足工艺设计的前提下，尽量选用满足国际标准的低噪声、低振动型号的设备，降低噪声源强。</w:t>
            </w:r>
          </w:p>
          <w:p>
            <w:pPr>
              <w:ind w:firstLine="480"/>
            </w:pPr>
            <w:r>
              <w:t>（3）隔声、减震或加消声器：建设单位根据噪声产生的性质可分为机械运动噪声，根据其产生的性质和机理不同分别采用了隔声、减振等方式进行了降噪处理。通过安装减震垫或者隔声门窗来达到降低噪声的目的。</w:t>
            </w:r>
          </w:p>
          <w:p>
            <w:pPr>
              <w:ind w:firstLine="480"/>
            </w:pPr>
            <w:r>
              <w:t>（4）强化生产管理：确保降噪设施的有效运行，并加强对生产设备的保养、检修与润滑，保证设备处于良好的运转状态。</w:t>
            </w:r>
          </w:p>
          <w:p>
            <w:pPr>
              <w:ind w:firstLine="480"/>
            </w:pPr>
            <w:r>
              <w:t>经上述治理措施后，可满足保护操作工人的身心健康需要，加上围墙隔音及距离衰减，能够做到厂界达标。</w:t>
            </w:r>
          </w:p>
          <w:p>
            <w:pPr>
              <w:widowControl/>
              <w:spacing w:line="360" w:lineRule="auto"/>
              <w:ind w:firstLine="482" w:firstLineChars="200"/>
              <w:jc w:val="left"/>
              <w:rPr>
                <w:b/>
                <w:bCs/>
              </w:rPr>
            </w:pPr>
            <w:r>
              <w:rPr>
                <w:rFonts w:hint="eastAsia"/>
                <w:b/>
                <w:bCs/>
                <w:lang w:val="en-US" w:eastAsia="zh-CN"/>
              </w:rPr>
              <w:t>5、</w:t>
            </w:r>
            <w:r>
              <w:rPr>
                <w:b/>
                <w:bCs/>
              </w:rPr>
              <w:t>运营期噪声监控计划</w:t>
            </w:r>
          </w:p>
          <w:p>
            <w:pPr>
              <w:widowControl/>
              <w:spacing w:line="360" w:lineRule="auto"/>
              <w:ind w:firstLine="480" w:firstLineChars="200"/>
              <w:jc w:val="left"/>
            </w:pPr>
            <w:r>
              <w:t>根据《</w:t>
            </w:r>
            <w:r>
              <w:rPr>
                <w:rFonts w:hint="eastAsia"/>
              </w:rPr>
              <w:t>排污单位自行监测技术指南 总则</w:t>
            </w:r>
            <w:r>
              <w:t>》（</w:t>
            </w:r>
            <w:r>
              <w:rPr>
                <w:rFonts w:hint="eastAsia"/>
              </w:rPr>
              <w:t>HJ 819-2017</w:t>
            </w:r>
            <w:r>
              <w:t>）的相关要求，项目噪声监测计划见下表。</w:t>
            </w:r>
          </w:p>
          <w:p>
            <w:pPr>
              <w:pStyle w:val="23"/>
              <w:bidi w:val="0"/>
            </w:pPr>
            <w:r>
              <w:t>表4-</w:t>
            </w:r>
            <w:r>
              <w:rPr>
                <w:rFonts w:hint="eastAsia"/>
                <w:lang w:val="en-US" w:eastAsia="zh-CN"/>
              </w:rPr>
              <w:t>10</w:t>
            </w:r>
            <w:r>
              <w:t xml:space="preserve">  项目运营期噪声监控计划一览表</w:t>
            </w:r>
          </w:p>
          <w:tbl>
            <w:tblPr>
              <w:tblStyle w:val="1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37"/>
              <w:gridCol w:w="3246"/>
              <w:gridCol w:w="1820"/>
              <w:gridCol w:w="245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1" w:type="pct"/>
                  <w:tcBorders>
                    <w:tl2br w:val="nil"/>
                    <w:tr2bl w:val="nil"/>
                  </w:tcBorders>
                  <w:shd w:val="clear" w:color="auto" w:fill="auto"/>
                  <w:vAlign w:val="center"/>
                </w:tcPr>
                <w:p>
                  <w:pPr>
                    <w:pStyle w:val="22"/>
                    <w:bidi w:val="0"/>
                  </w:pPr>
                  <w:r>
                    <w:t>类别</w:t>
                  </w:r>
                </w:p>
              </w:tc>
              <w:tc>
                <w:tcPr>
                  <w:tcW w:w="1942" w:type="pct"/>
                  <w:tcBorders>
                    <w:tl2br w:val="nil"/>
                    <w:tr2bl w:val="nil"/>
                  </w:tcBorders>
                  <w:shd w:val="clear" w:color="auto" w:fill="auto"/>
                  <w:vAlign w:val="center"/>
                </w:tcPr>
                <w:p>
                  <w:pPr>
                    <w:pStyle w:val="22"/>
                    <w:bidi w:val="0"/>
                  </w:pPr>
                  <w:r>
                    <w:t>监测点位</w:t>
                  </w:r>
                </w:p>
              </w:tc>
              <w:tc>
                <w:tcPr>
                  <w:tcW w:w="1089" w:type="pct"/>
                  <w:tcBorders>
                    <w:tl2br w:val="nil"/>
                    <w:tr2bl w:val="nil"/>
                  </w:tcBorders>
                  <w:shd w:val="clear" w:color="auto" w:fill="auto"/>
                  <w:vAlign w:val="center"/>
                </w:tcPr>
                <w:p>
                  <w:pPr>
                    <w:pStyle w:val="22"/>
                    <w:bidi w:val="0"/>
                  </w:pPr>
                  <w:r>
                    <w:t>监测项目</w:t>
                  </w:r>
                </w:p>
              </w:tc>
              <w:tc>
                <w:tcPr>
                  <w:tcW w:w="1468" w:type="pct"/>
                  <w:tcBorders>
                    <w:tl2br w:val="nil"/>
                    <w:tr2bl w:val="nil"/>
                  </w:tcBorders>
                  <w:shd w:val="clear" w:color="auto" w:fill="auto"/>
                  <w:vAlign w:val="center"/>
                </w:tcPr>
                <w:p>
                  <w:pPr>
                    <w:pStyle w:val="22"/>
                    <w:bidi w:val="0"/>
                  </w:pPr>
                  <w:r>
                    <w:t>最低监测频次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1" w:type="pct"/>
                  <w:tcBorders>
                    <w:tl2br w:val="nil"/>
                    <w:tr2bl w:val="nil"/>
                  </w:tcBorders>
                  <w:shd w:val="clear" w:color="auto" w:fill="auto"/>
                  <w:vAlign w:val="center"/>
                </w:tcPr>
                <w:p>
                  <w:pPr>
                    <w:pStyle w:val="22"/>
                    <w:bidi w:val="0"/>
                  </w:pPr>
                  <w:r>
                    <w:t>噪声</w:t>
                  </w:r>
                </w:p>
              </w:tc>
              <w:tc>
                <w:tcPr>
                  <w:tcW w:w="1942" w:type="pct"/>
                  <w:tcBorders>
                    <w:tl2br w:val="nil"/>
                    <w:tr2bl w:val="nil"/>
                  </w:tcBorders>
                  <w:shd w:val="clear" w:color="auto" w:fill="auto"/>
                  <w:vAlign w:val="center"/>
                </w:tcPr>
                <w:p>
                  <w:pPr>
                    <w:pStyle w:val="22"/>
                    <w:bidi w:val="0"/>
                  </w:pPr>
                  <w:r>
                    <w:t>项目四周厂界</w:t>
                  </w:r>
                </w:p>
              </w:tc>
              <w:tc>
                <w:tcPr>
                  <w:tcW w:w="1089" w:type="pct"/>
                  <w:tcBorders>
                    <w:tl2br w:val="nil"/>
                    <w:tr2bl w:val="nil"/>
                  </w:tcBorders>
                  <w:shd w:val="clear" w:color="auto" w:fill="auto"/>
                  <w:vAlign w:val="center"/>
                </w:tcPr>
                <w:p>
                  <w:pPr>
                    <w:pStyle w:val="22"/>
                    <w:bidi w:val="0"/>
                  </w:pPr>
                  <w:r>
                    <w:t>等效连续A声级</w:t>
                  </w:r>
                </w:p>
              </w:tc>
              <w:tc>
                <w:tcPr>
                  <w:tcW w:w="1468" w:type="pct"/>
                  <w:tcBorders>
                    <w:tl2br w:val="nil"/>
                    <w:tr2bl w:val="nil"/>
                  </w:tcBorders>
                  <w:shd w:val="clear" w:color="auto" w:fill="auto"/>
                  <w:vAlign w:val="center"/>
                </w:tcPr>
                <w:p>
                  <w:pPr>
                    <w:pStyle w:val="22"/>
                    <w:bidi w:val="0"/>
                  </w:pPr>
                  <w:r>
                    <w:t>每季一次</w:t>
                  </w:r>
                </w:p>
              </w:tc>
            </w:tr>
          </w:tbl>
          <w:p>
            <w:pPr>
              <w:bidi w:val="0"/>
              <w:rPr>
                <w:rFonts w:hint="eastAsia"/>
              </w:rPr>
            </w:pPr>
          </w:p>
          <w:p>
            <w:pPr>
              <w:bidi w:val="0"/>
              <w:rPr>
                <w:rFonts w:hint="eastAsia"/>
              </w:rPr>
            </w:pPr>
          </w:p>
          <w:p>
            <w:pPr>
              <w:bidi w:val="0"/>
              <w:rPr>
                <w:rFonts w:hint="eastAsia"/>
              </w:rPr>
            </w:pPr>
          </w:p>
          <w:p>
            <w:pPr>
              <w:bidi w:val="0"/>
              <w:rPr>
                <w:rFonts w:hint="eastAsia"/>
              </w:rPr>
            </w:pPr>
          </w:p>
          <w:p>
            <w:pPr>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keepNext/>
              <w:keepLines/>
              <w:spacing w:before="156" w:beforeLines="50"/>
              <w:ind w:firstLine="354" w:firstLineChars="147"/>
              <w:outlineLvl w:val="2"/>
              <w:rPr>
                <w:b/>
                <w:bCs/>
              </w:rPr>
            </w:pPr>
            <w:r>
              <w:rPr>
                <w:rFonts w:hint="eastAsia"/>
                <w:b/>
                <w:bCs/>
              </w:rPr>
              <w:t>四、固体废物环境影响和保护措施</w:t>
            </w:r>
          </w:p>
          <w:p>
            <w:pPr>
              <w:ind w:firstLine="482"/>
              <w:rPr>
                <w:b/>
                <w:bCs/>
              </w:rPr>
            </w:pPr>
            <w:r>
              <w:rPr>
                <w:rFonts w:hint="eastAsia"/>
                <w:b/>
                <w:bCs/>
              </w:rPr>
              <w:t>1、固体废物产生情况</w:t>
            </w:r>
          </w:p>
          <w:p>
            <w:pPr>
              <w:ind w:firstLine="480"/>
              <w:rPr>
                <w:rFonts w:hint="eastAsia"/>
              </w:rPr>
            </w:pPr>
            <w:r>
              <w:rPr>
                <w:rFonts w:hint="eastAsia"/>
              </w:rPr>
              <w:t>本项目产生的固体废物主要为一般工业固废、危险废物和生活垃圾。</w:t>
            </w:r>
          </w:p>
          <w:p>
            <w:pPr>
              <w:ind w:firstLine="480"/>
              <w:rPr>
                <w:rFonts w:hint="eastAsia"/>
              </w:rPr>
            </w:pPr>
            <w:r>
              <w:rPr>
                <w:rFonts w:hint="eastAsia"/>
              </w:rPr>
              <w:t>（1）一般工业固废</w:t>
            </w:r>
          </w:p>
          <w:p>
            <w:pPr>
              <w:ind w:firstLine="480"/>
              <w:rPr>
                <w:rFonts w:hint="eastAsia"/>
              </w:rPr>
            </w:pPr>
            <w:r>
              <w:rPr>
                <w:rFonts w:hint="eastAsia"/>
              </w:rPr>
              <w:t>①边角料及不合格产品：本项目原材料年用量为</w:t>
            </w:r>
            <w:r>
              <w:rPr>
                <w:rFonts w:hint="eastAsia"/>
                <w:lang w:val="en-US" w:eastAsia="zh-CN"/>
              </w:rPr>
              <w:t>1</w:t>
            </w:r>
            <w:r>
              <w:rPr>
                <w:rFonts w:hint="eastAsia"/>
              </w:rPr>
              <w:t>1</w:t>
            </w:r>
            <w:r>
              <w:rPr>
                <w:rFonts w:hint="eastAsia"/>
                <w:lang w:val="en-US" w:eastAsia="zh-CN"/>
              </w:rPr>
              <w:t>26</w:t>
            </w:r>
            <w:r>
              <w:rPr>
                <w:rFonts w:hint="eastAsia"/>
              </w:rPr>
              <w:t>0t/a，废边角料及不合格产品产生量约为原材料总用量的1%，即</w:t>
            </w:r>
            <w:r>
              <w:rPr>
                <w:rFonts w:hint="eastAsia"/>
                <w:lang w:val="en-US" w:eastAsia="zh-CN"/>
              </w:rPr>
              <w:t>112.60</w:t>
            </w:r>
            <w:r>
              <w:rPr>
                <w:rFonts w:hint="eastAsia"/>
              </w:rPr>
              <w:t>t/a。产生的废边角料及不合格产品集中收集后外售。</w:t>
            </w:r>
          </w:p>
          <w:p>
            <w:pPr>
              <w:ind w:firstLine="480"/>
              <w:rPr>
                <w:rFonts w:hint="eastAsia"/>
              </w:rPr>
            </w:pPr>
            <w:r>
              <w:rPr>
                <w:rFonts w:hint="eastAsia"/>
              </w:rPr>
              <w:t>②除尘器收集的粉尘</w:t>
            </w:r>
          </w:p>
          <w:p>
            <w:pPr>
              <w:ind w:firstLine="480"/>
              <w:rPr>
                <w:rFonts w:hint="eastAsia"/>
              </w:rPr>
            </w:pPr>
            <w:r>
              <w:rPr>
                <w:rFonts w:hint="eastAsia"/>
              </w:rPr>
              <w:t>根据前述工程分析，本项目除尘器收的粉尘量为</w:t>
            </w:r>
            <w:r>
              <w:rPr>
                <w:rFonts w:hint="eastAsia"/>
                <w:lang w:val="en-US" w:eastAsia="zh-CN"/>
              </w:rPr>
              <w:t>0.180</w:t>
            </w:r>
            <w:r>
              <w:rPr>
                <w:rFonts w:hint="eastAsia"/>
              </w:rPr>
              <w:t>t/a。收集后外售。</w:t>
            </w:r>
          </w:p>
          <w:p>
            <w:pPr>
              <w:ind w:firstLine="480"/>
              <w:rPr>
                <w:rFonts w:hint="eastAsia"/>
              </w:rPr>
            </w:pPr>
            <w:r>
              <w:rPr>
                <w:rFonts w:hint="eastAsia"/>
              </w:rPr>
              <w:t>（2）危险废物</w:t>
            </w:r>
          </w:p>
          <w:p>
            <w:pPr>
              <w:ind w:firstLine="480"/>
              <w:rPr>
                <w:rFonts w:hint="eastAsia"/>
              </w:rPr>
            </w:pPr>
            <w:r>
              <w:rPr>
                <w:rFonts w:hint="eastAsia"/>
              </w:rPr>
              <w:t>①废切削液</w:t>
            </w:r>
          </w:p>
          <w:p>
            <w:pPr>
              <w:ind w:firstLine="480"/>
              <w:rPr>
                <w:rFonts w:hint="eastAsia"/>
              </w:rPr>
            </w:pPr>
            <w:r>
              <w:rPr>
                <w:rFonts w:hint="eastAsia"/>
              </w:rPr>
              <w:t>本项目线切割为湿式切割，需要使用切削液对刀头进行降温和润滑处理，切削液在使用过程中会受工件污染而丧失功能，根据企业提供资料可知，废切削液年产生量为0.48t（危废代码为HW09 900-006-09），收集后暂存于厂区危废仓库，定期交由有资质的单位接收处理。</w:t>
            </w:r>
          </w:p>
          <w:p>
            <w:pPr>
              <w:ind w:firstLine="480"/>
              <w:rPr>
                <w:rFonts w:hint="eastAsia"/>
              </w:rPr>
            </w:pPr>
            <w:r>
              <w:rPr>
                <w:rFonts w:hint="eastAsia"/>
              </w:rPr>
              <w:t>②废包装桶</w:t>
            </w:r>
          </w:p>
          <w:p>
            <w:pPr>
              <w:ind w:firstLine="480"/>
              <w:rPr>
                <w:rFonts w:hint="eastAsia"/>
              </w:rPr>
            </w:pPr>
            <w:r>
              <w:rPr>
                <w:rFonts w:hint="eastAsia"/>
              </w:rPr>
              <w:t>本项目在润滑油、液压油以及切削液使用过程中会产生废包装桶（编号：HW49 900-041-49），产生量约为0.5t/a，产生的废包装桶储存于危废暂存间，交由有资质的单位处理。</w:t>
            </w:r>
          </w:p>
          <w:p>
            <w:pPr>
              <w:ind w:firstLine="480"/>
              <w:rPr>
                <w:rFonts w:hint="eastAsia"/>
              </w:rPr>
            </w:pPr>
            <w:r>
              <w:rPr>
                <w:rFonts w:hint="eastAsia"/>
              </w:rPr>
              <w:t>③废润滑油</w:t>
            </w:r>
          </w:p>
          <w:p>
            <w:pPr>
              <w:ind w:firstLine="480"/>
              <w:rPr>
                <w:rFonts w:hint="eastAsia"/>
              </w:rPr>
            </w:pPr>
            <w:r>
              <w:rPr>
                <w:rFonts w:hint="eastAsia"/>
              </w:rPr>
              <w:t>项目运行期间，为维持数控机床等设备的良好运行，需每2个月添加1次润滑油，项目年使用润滑油约2</w:t>
            </w:r>
            <w:r>
              <w:rPr>
                <w:rFonts w:hint="eastAsia"/>
                <w:lang w:val="en-US" w:eastAsia="zh-CN"/>
              </w:rPr>
              <w:t>.96</w:t>
            </w:r>
            <w:r>
              <w:rPr>
                <w:rFonts w:hint="eastAsia"/>
              </w:rPr>
              <w:t>t。定期添加的过程中产生少量废机械润滑油，其产生量一般为年用量的5-10%，本环评以最大量10%计，则废润滑油产生量为0.</w:t>
            </w:r>
            <w:r>
              <w:rPr>
                <w:rFonts w:hint="eastAsia"/>
                <w:lang w:val="en-US" w:eastAsia="zh-CN"/>
              </w:rPr>
              <w:t>3</w:t>
            </w:r>
            <w:r>
              <w:rPr>
                <w:rFonts w:hint="eastAsia"/>
              </w:rPr>
              <w:t>t/a。该过程中产生的废润滑油（编号：HW08 900-214-08），收集后放置于危废暂存间，再交由有资质单位进行处理。</w:t>
            </w:r>
          </w:p>
          <w:p>
            <w:pPr>
              <w:ind w:firstLine="480"/>
              <w:rPr>
                <w:rFonts w:hint="eastAsia"/>
              </w:rPr>
            </w:pPr>
            <w:r>
              <w:rPr>
                <w:rFonts w:hint="eastAsia"/>
              </w:rPr>
              <w:t>④废液压油</w:t>
            </w:r>
          </w:p>
          <w:p>
            <w:pPr>
              <w:ind w:firstLine="480"/>
              <w:rPr>
                <w:rFonts w:hint="eastAsia"/>
              </w:rPr>
            </w:pPr>
            <w:r>
              <w:rPr>
                <w:rFonts w:hint="eastAsia"/>
              </w:rPr>
              <w:t>本项目会产生少量的废液压油，其产生量一般为年用量的5-10%，本环评以最大量10%计，项目年使用润滑油约2t，则废润滑油产生量为0.2t/a。该过程中产生的废润滑油（编号：HW08 900-218-08），收集后放置于危废暂存间，再交由有资质单位进行处理。</w:t>
            </w:r>
          </w:p>
          <w:p>
            <w:pPr>
              <w:ind w:firstLine="480"/>
              <w:rPr>
                <w:rFonts w:hint="eastAsia"/>
              </w:rPr>
            </w:pPr>
            <w:r>
              <w:rPr>
                <w:rFonts w:hint="eastAsia"/>
              </w:rPr>
              <w:t>⑤废含油抹布手套</w:t>
            </w:r>
          </w:p>
          <w:p>
            <w:pPr>
              <w:ind w:firstLine="480"/>
              <w:rPr>
                <w:rFonts w:hint="eastAsia"/>
              </w:rPr>
            </w:pPr>
            <w:r>
              <w:rPr>
                <w:rFonts w:hint="eastAsia"/>
              </w:rPr>
              <w:t>根据建设单位提供资料，保养工序产生的废含油抹布手套（编号：HW49 900-041-49）产生量约为0.1</w:t>
            </w:r>
            <w:r>
              <w:rPr>
                <w:rFonts w:hint="eastAsia"/>
                <w:lang w:val="en-US" w:eastAsia="zh-CN"/>
              </w:rPr>
              <w:t>2</w:t>
            </w:r>
            <w:r>
              <w:rPr>
                <w:rFonts w:hint="eastAsia"/>
              </w:rPr>
              <w:t>t/a，收集后交由有资质单位处理。</w:t>
            </w:r>
          </w:p>
          <w:p>
            <w:pPr>
              <w:ind w:firstLine="480"/>
              <w:rPr>
                <w:rFonts w:hint="eastAsia"/>
              </w:rPr>
            </w:pPr>
            <w:r>
              <w:rPr>
                <w:rFonts w:hint="eastAsia"/>
              </w:rPr>
              <w:t>（3）生活垃圾</w:t>
            </w:r>
          </w:p>
          <w:p>
            <w:pPr>
              <w:ind w:firstLine="480"/>
              <w:rPr>
                <w:rFonts w:hint="eastAsia"/>
              </w:rPr>
            </w:pPr>
            <w:r>
              <w:rPr>
                <w:rFonts w:hint="eastAsia"/>
              </w:rPr>
              <w:t>项目劳动定员1</w:t>
            </w:r>
            <w:r>
              <w:rPr>
                <w:rFonts w:hint="eastAsia"/>
                <w:lang w:val="en-US" w:eastAsia="zh-CN"/>
              </w:rPr>
              <w:t>2</w:t>
            </w:r>
            <w:r>
              <w:rPr>
                <w:rFonts w:hint="eastAsia"/>
              </w:rPr>
              <w:t>0人，生活垃圾产生系数按0.5kg/（人·d）计，则项目生活垃圾产生量约为</w:t>
            </w:r>
            <w:r>
              <w:rPr>
                <w:rFonts w:hint="eastAsia"/>
                <w:lang w:val="en-US" w:eastAsia="zh-CN"/>
              </w:rPr>
              <w:t>19.2</w:t>
            </w:r>
            <w:r>
              <w:rPr>
                <w:rFonts w:hint="eastAsia"/>
              </w:rPr>
              <w:t>t/a。生活垃圾利用垃圾桶收集后，由环卫部门定期清运处理。</w:t>
            </w:r>
          </w:p>
          <w:p>
            <w:pPr>
              <w:ind w:firstLine="480"/>
            </w:pPr>
            <w:r>
              <w:rPr>
                <w:rFonts w:hint="eastAsia"/>
              </w:rPr>
              <w:t>本项目固体废弃物处理措施见表4-</w:t>
            </w:r>
            <w:r>
              <w:rPr>
                <w:rFonts w:hint="eastAsia"/>
                <w:lang w:val="en-US" w:eastAsia="zh-CN"/>
              </w:rPr>
              <w:t>11</w:t>
            </w:r>
            <w:r>
              <w:rPr>
                <w:rFonts w:hint="eastAsia"/>
              </w:rPr>
              <w:t>。</w:t>
            </w:r>
          </w:p>
          <w:p>
            <w:pPr>
              <w:pStyle w:val="23"/>
            </w:pPr>
            <w:r>
              <w:t>表</w:t>
            </w:r>
            <w:r>
              <w:rPr>
                <w:rFonts w:hint="eastAsia"/>
              </w:rPr>
              <w:t>4</w:t>
            </w:r>
            <w:r>
              <w:t>-</w:t>
            </w:r>
            <w:r>
              <w:rPr>
                <w:rFonts w:hint="eastAsia"/>
                <w:lang w:val="en-US" w:eastAsia="zh-CN"/>
              </w:rPr>
              <w:t>11</w:t>
            </w:r>
            <w:r>
              <w:t xml:space="preserve"> </w:t>
            </w:r>
            <w:r>
              <w:rPr>
                <w:rFonts w:hint="eastAsia"/>
              </w:rPr>
              <w:t xml:space="preserve"> </w:t>
            </w:r>
            <w:r>
              <w:t>本项目</w:t>
            </w:r>
            <w:r>
              <w:rPr>
                <w:rFonts w:hint="eastAsia"/>
              </w:rPr>
              <w:t>固体</w:t>
            </w:r>
            <w:r>
              <w:t>废物特性、产生量情况、污染防治措施情况一览表</w:t>
            </w:r>
          </w:p>
          <w:tbl>
            <w:tblPr>
              <w:tblStyle w:val="1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2066"/>
              <w:gridCol w:w="1757"/>
              <w:gridCol w:w="962"/>
              <w:gridCol w:w="1112"/>
              <w:gridCol w:w="175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67" w:hRule="atLeast"/>
                <w:jc w:val="center"/>
              </w:trPr>
              <w:tc>
                <w:tcPr>
                  <w:tcW w:w="710" w:type="dxa"/>
                  <w:tcBorders>
                    <w:tl2br w:val="nil"/>
                    <w:tr2bl w:val="nil"/>
                  </w:tcBorders>
                  <w:vAlign w:val="center"/>
                </w:tcPr>
                <w:p>
                  <w:pPr>
                    <w:pStyle w:val="22"/>
                    <w:bidi w:val="0"/>
                  </w:pPr>
                  <w:r>
                    <w:t>固废种类</w:t>
                  </w:r>
                </w:p>
              </w:tc>
              <w:tc>
                <w:tcPr>
                  <w:tcW w:w="2066" w:type="dxa"/>
                  <w:tcBorders>
                    <w:tl2br w:val="nil"/>
                    <w:tr2bl w:val="nil"/>
                  </w:tcBorders>
                  <w:vAlign w:val="center"/>
                </w:tcPr>
                <w:p>
                  <w:pPr>
                    <w:pStyle w:val="22"/>
                    <w:bidi w:val="0"/>
                  </w:pPr>
                  <w:r>
                    <w:t>固废名称</w:t>
                  </w:r>
                </w:p>
              </w:tc>
              <w:tc>
                <w:tcPr>
                  <w:tcW w:w="1757" w:type="dxa"/>
                  <w:tcBorders>
                    <w:tl2br w:val="nil"/>
                    <w:tr2bl w:val="nil"/>
                  </w:tcBorders>
                  <w:vAlign w:val="center"/>
                </w:tcPr>
                <w:p>
                  <w:pPr>
                    <w:pStyle w:val="22"/>
                    <w:bidi w:val="0"/>
                  </w:pPr>
                  <w:r>
                    <w:t>分类编号</w:t>
                  </w:r>
                </w:p>
              </w:tc>
              <w:tc>
                <w:tcPr>
                  <w:tcW w:w="962" w:type="dxa"/>
                  <w:tcBorders>
                    <w:tl2br w:val="nil"/>
                    <w:tr2bl w:val="nil"/>
                  </w:tcBorders>
                  <w:vAlign w:val="center"/>
                </w:tcPr>
                <w:p>
                  <w:pPr>
                    <w:pStyle w:val="22"/>
                    <w:bidi w:val="0"/>
                  </w:pPr>
                  <w:r>
                    <w:t>产生量（t/a）</w:t>
                  </w:r>
                </w:p>
              </w:tc>
              <w:tc>
                <w:tcPr>
                  <w:tcW w:w="1112" w:type="dxa"/>
                  <w:tcBorders>
                    <w:tl2br w:val="nil"/>
                    <w:tr2bl w:val="nil"/>
                  </w:tcBorders>
                  <w:vAlign w:val="center"/>
                </w:tcPr>
                <w:p>
                  <w:pPr>
                    <w:pStyle w:val="22"/>
                    <w:bidi w:val="0"/>
                  </w:pPr>
                  <w:r>
                    <w:t>排放量（t/a）</w:t>
                  </w:r>
                </w:p>
              </w:tc>
              <w:tc>
                <w:tcPr>
                  <w:tcW w:w="1750" w:type="dxa"/>
                  <w:tcBorders>
                    <w:tl2br w:val="nil"/>
                    <w:tr2bl w:val="nil"/>
                  </w:tcBorders>
                  <w:vAlign w:val="center"/>
                </w:tcPr>
                <w:p>
                  <w:pPr>
                    <w:pStyle w:val="22"/>
                    <w:bidi w:val="0"/>
                  </w:pPr>
                  <w:r>
                    <w:t>处置途径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710" w:type="dxa"/>
                  <w:vMerge w:val="restart"/>
                  <w:tcBorders>
                    <w:tl2br w:val="nil"/>
                    <w:tr2bl w:val="nil"/>
                  </w:tcBorders>
                  <w:vAlign w:val="center"/>
                </w:tcPr>
                <w:p>
                  <w:pPr>
                    <w:pStyle w:val="22"/>
                    <w:bidi w:val="0"/>
                  </w:pPr>
                  <w:r>
                    <w:t>一般固废</w:t>
                  </w:r>
                </w:p>
              </w:tc>
              <w:tc>
                <w:tcPr>
                  <w:tcW w:w="2066" w:type="dxa"/>
                  <w:tcBorders>
                    <w:tl2br w:val="nil"/>
                    <w:tr2bl w:val="nil"/>
                  </w:tcBorders>
                  <w:vAlign w:val="center"/>
                </w:tcPr>
                <w:p>
                  <w:pPr>
                    <w:pStyle w:val="22"/>
                    <w:bidi w:val="0"/>
                  </w:pPr>
                  <w:r>
                    <w:t>边角料及不合格品</w:t>
                  </w:r>
                </w:p>
              </w:tc>
              <w:tc>
                <w:tcPr>
                  <w:tcW w:w="1757" w:type="dxa"/>
                  <w:tcBorders>
                    <w:tl2br w:val="nil"/>
                    <w:tr2bl w:val="nil"/>
                  </w:tcBorders>
                  <w:vAlign w:val="center"/>
                </w:tcPr>
                <w:p>
                  <w:pPr>
                    <w:pStyle w:val="22"/>
                    <w:bidi w:val="0"/>
                  </w:pPr>
                  <w:r>
                    <w:t>3</w:t>
                  </w:r>
                  <w:r>
                    <w:rPr>
                      <w:rFonts w:hint="eastAsia"/>
                    </w:rPr>
                    <w:t>67</w:t>
                  </w:r>
                  <w:r>
                    <w:t>-00</w:t>
                  </w:r>
                  <w:r>
                    <w:rPr>
                      <w:rFonts w:hint="eastAsia"/>
                    </w:rPr>
                    <w:t>1</w:t>
                  </w:r>
                  <w:r>
                    <w:t>-99</w:t>
                  </w:r>
                </w:p>
              </w:tc>
              <w:tc>
                <w:tcPr>
                  <w:tcW w:w="962" w:type="dxa"/>
                  <w:tcBorders>
                    <w:tl2br w:val="nil"/>
                    <w:tr2bl w:val="nil"/>
                  </w:tcBorders>
                  <w:vAlign w:val="center"/>
                </w:tcPr>
                <w:p>
                  <w:pPr>
                    <w:pStyle w:val="22"/>
                    <w:bidi w:val="0"/>
                    <w:rPr>
                      <w:rFonts w:hint="default"/>
                      <w:lang w:val="en-US" w:eastAsia="zh-CN"/>
                    </w:rPr>
                  </w:pPr>
                  <w:r>
                    <w:rPr>
                      <w:rFonts w:hint="eastAsia"/>
                      <w:lang w:val="en-US" w:eastAsia="zh-CN"/>
                    </w:rPr>
                    <w:t>112.6</w:t>
                  </w:r>
                </w:p>
              </w:tc>
              <w:tc>
                <w:tcPr>
                  <w:tcW w:w="1112" w:type="dxa"/>
                  <w:tcBorders>
                    <w:tl2br w:val="nil"/>
                    <w:tr2bl w:val="nil"/>
                  </w:tcBorders>
                  <w:vAlign w:val="center"/>
                </w:tcPr>
                <w:p>
                  <w:pPr>
                    <w:pStyle w:val="22"/>
                    <w:bidi w:val="0"/>
                  </w:pPr>
                  <w:r>
                    <w:t>0</w:t>
                  </w:r>
                </w:p>
              </w:tc>
              <w:tc>
                <w:tcPr>
                  <w:tcW w:w="1750" w:type="dxa"/>
                  <w:vMerge w:val="restart"/>
                  <w:tcBorders>
                    <w:tl2br w:val="nil"/>
                    <w:tr2bl w:val="nil"/>
                  </w:tcBorders>
                  <w:vAlign w:val="center"/>
                </w:tcPr>
                <w:p>
                  <w:pPr>
                    <w:pStyle w:val="22"/>
                    <w:bidi w:val="0"/>
                  </w:pPr>
                  <w:r>
                    <w:t>收集后外售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710" w:type="dxa"/>
                  <w:vMerge w:val="continue"/>
                  <w:tcBorders>
                    <w:tl2br w:val="nil"/>
                    <w:tr2bl w:val="nil"/>
                  </w:tcBorders>
                  <w:vAlign w:val="center"/>
                </w:tcPr>
                <w:p>
                  <w:pPr>
                    <w:pStyle w:val="22"/>
                    <w:bidi w:val="0"/>
                  </w:pPr>
                </w:p>
              </w:tc>
              <w:tc>
                <w:tcPr>
                  <w:tcW w:w="2066" w:type="dxa"/>
                  <w:tcBorders>
                    <w:tl2br w:val="nil"/>
                    <w:tr2bl w:val="nil"/>
                  </w:tcBorders>
                  <w:vAlign w:val="center"/>
                </w:tcPr>
                <w:p>
                  <w:pPr>
                    <w:pStyle w:val="22"/>
                    <w:bidi w:val="0"/>
                    <w:rPr>
                      <w:rFonts w:hint="eastAsia"/>
                      <w:lang w:eastAsia="zh-CN"/>
                    </w:rPr>
                  </w:pPr>
                  <w:r>
                    <w:rPr>
                      <w:rFonts w:hint="eastAsia"/>
                      <w:lang w:eastAsia="zh-CN"/>
                    </w:rPr>
                    <w:t>除尘器收集的粉尘</w:t>
                  </w:r>
                </w:p>
              </w:tc>
              <w:tc>
                <w:tcPr>
                  <w:tcW w:w="1757" w:type="dxa"/>
                  <w:tcBorders>
                    <w:tl2br w:val="nil"/>
                    <w:tr2bl w:val="nil"/>
                  </w:tcBorders>
                  <w:vAlign w:val="center"/>
                </w:tcPr>
                <w:p>
                  <w:pPr>
                    <w:pStyle w:val="22"/>
                    <w:bidi w:val="0"/>
                    <w:rPr>
                      <w:rFonts w:hint="default"/>
                      <w:lang w:val="en-US" w:eastAsia="zh-CN"/>
                    </w:rPr>
                  </w:pPr>
                  <w:r>
                    <w:t>3</w:t>
                  </w:r>
                  <w:r>
                    <w:rPr>
                      <w:rFonts w:hint="eastAsia"/>
                    </w:rPr>
                    <w:t>67</w:t>
                  </w:r>
                  <w:r>
                    <w:t>-00</w:t>
                  </w:r>
                  <w:r>
                    <w:rPr>
                      <w:rFonts w:hint="eastAsia"/>
                    </w:rPr>
                    <w:t>1</w:t>
                  </w:r>
                  <w:r>
                    <w:t>-</w:t>
                  </w:r>
                  <w:r>
                    <w:rPr>
                      <w:rFonts w:hint="eastAsia"/>
                      <w:lang w:val="en-US" w:eastAsia="zh-CN"/>
                    </w:rPr>
                    <w:t>66</w:t>
                  </w:r>
                </w:p>
              </w:tc>
              <w:tc>
                <w:tcPr>
                  <w:tcW w:w="962" w:type="dxa"/>
                  <w:tcBorders>
                    <w:tl2br w:val="nil"/>
                    <w:tr2bl w:val="nil"/>
                  </w:tcBorders>
                  <w:vAlign w:val="center"/>
                </w:tcPr>
                <w:p>
                  <w:pPr>
                    <w:pStyle w:val="22"/>
                    <w:bidi w:val="0"/>
                    <w:rPr>
                      <w:rFonts w:hint="default"/>
                      <w:lang w:val="en-US" w:eastAsia="zh-CN"/>
                    </w:rPr>
                  </w:pPr>
                  <w:r>
                    <w:rPr>
                      <w:rFonts w:hint="eastAsia"/>
                      <w:lang w:val="en-US" w:eastAsia="zh-CN"/>
                    </w:rPr>
                    <w:t>0.180</w:t>
                  </w:r>
                </w:p>
              </w:tc>
              <w:tc>
                <w:tcPr>
                  <w:tcW w:w="1112" w:type="dxa"/>
                  <w:tcBorders>
                    <w:tl2br w:val="nil"/>
                    <w:tr2bl w:val="nil"/>
                  </w:tcBorders>
                  <w:vAlign w:val="center"/>
                </w:tcPr>
                <w:p>
                  <w:pPr>
                    <w:pStyle w:val="22"/>
                    <w:bidi w:val="0"/>
                    <w:rPr>
                      <w:rFonts w:hint="eastAsia"/>
                      <w:lang w:val="en-US" w:eastAsia="zh-CN"/>
                    </w:rPr>
                  </w:pPr>
                  <w:r>
                    <w:rPr>
                      <w:rFonts w:hint="eastAsia"/>
                      <w:lang w:val="en-US" w:eastAsia="zh-CN"/>
                    </w:rPr>
                    <w:t>0</w:t>
                  </w:r>
                </w:p>
              </w:tc>
              <w:tc>
                <w:tcPr>
                  <w:tcW w:w="1750" w:type="dxa"/>
                  <w:vMerge w:val="continue"/>
                  <w:tcBorders>
                    <w:tl2br w:val="nil"/>
                    <w:tr2bl w:val="nil"/>
                  </w:tcBorders>
                  <w:vAlign w:val="center"/>
                </w:tcPr>
                <w:p>
                  <w:pPr>
                    <w:pStyle w:val="22"/>
                    <w:bidi w:val="0"/>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710" w:type="dxa"/>
                  <w:vMerge w:val="restart"/>
                  <w:tcBorders>
                    <w:tl2br w:val="nil"/>
                    <w:tr2bl w:val="nil"/>
                  </w:tcBorders>
                  <w:vAlign w:val="center"/>
                </w:tcPr>
                <w:p>
                  <w:pPr>
                    <w:pStyle w:val="22"/>
                    <w:bidi w:val="0"/>
                  </w:pPr>
                  <w:r>
                    <w:t>危险废物</w:t>
                  </w:r>
                </w:p>
              </w:tc>
              <w:tc>
                <w:tcPr>
                  <w:tcW w:w="2066" w:type="dxa"/>
                  <w:tcBorders>
                    <w:tl2br w:val="nil"/>
                    <w:tr2bl w:val="nil"/>
                  </w:tcBorders>
                  <w:vAlign w:val="center"/>
                </w:tcPr>
                <w:p>
                  <w:pPr>
                    <w:pStyle w:val="22"/>
                    <w:bidi w:val="0"/>
                  </w:pPr>
                  <w:r>
                    <w:rPr>
                      <w:rFonts w:hint="eastAsia"/>
                    </w:rPr>
                    <w:t>废切削液</w:t>
                  </w:r>
                </w:p>
              </w:tc>
              <w:tc>
                <w:tcPr>
                  <w:tcW w:w="1757" w:type="dxa"/>
                  <w:tcBorders>
                    <w:tl2br w:val="nil"/>
                    <w:tr2bl w:val="nil"/>
                  </w:tcBorders>
                  <w:vAlign w:val="center"/>
                </w:tcPr>
                <w:p>
                  <w:pPr>
                    <w:pStyle w:val="22"/>
                    <w:bidi w:val="0"/>
                  </w:pPr>
                  <w:r>
                    <w:rPr>
                      <w:rFonts w:hint="eastAsia"/>
                    </w:rPr>
                    <w:t>HW09900-006-09</w:t>
                  </w:r>
                </w:p>
              </w:tc>
              <w:tc>
                <w:tcPr>
                  <w:tcW w:w="962" w:type="dxa"/>
                  <w:tcBorders>
                    <w:tl2br w:val="nil"/>
                    <w:tr2bl w:val="nil"/>
                  </w:tcBorders>
                  <w:vAlign w:val="center"/>
                </w:tcPr>
                <w:p>
                  <w:pPr>
                    <w:pStyle w:val="22"/>
                    <w:bidi w:val="0"/>
                    <w:rPr>
                      <w:rFonts w:hint="default"/>
                      <w:lang w:val="en-US" w:eastAsia="zh-CN"/>
                    </w:rPr>
                  </w:pPr>
                  <w:r>
                    <w:rPr>
                      <w:rFonts w:hint="eastAsia"/>
                      <w:lang w:val="en-US" w:eastAsia="zh-CN"/>
                    </w:rPr>
                    <w:t>0.48</w:t>
                  </w:r>
                </w:p>
              </w:tc>
              <w:tc>
                <w:tcPr>
                  <w:tcW w:w="1112" w:type="dxa"/>
                  <w:tcBorders>
                    <w:tl2br w:val="nil"/>
                    <w:tr2bl w:val="nil"/>
                  </w:tcBorders>
                  <w:vAlign w:val="center"/>
                </w:tcPr>
                <w:p>
                  <w:pPr>
                    <w:pStyle w:val="22"/>
                    <w:bidi w:val="0"/>
                  </w:pPr>
                  <w:r>
                    <w:rPr>
                      <w:rFonts w:hint="eastAsia"/>
                    </w:rPr>
                    <w:t>0</w:t>
                  </w:r>
                </w:p>
              </w:tc>
              <w:tc>
                <w:tcPr>
                  <w:tcW w:w="1750" w:type="dxa"/>
                  <w:vMerge w:val="restart"/>
                  <w:tcBorders>
                    <w:tl2br w:val="nil"/>
                    <w:tr2bl w:val="nil"/>
                  </w:tcBorders>
                  <w:vAlign w:val="center"/>
                </w:tcPr>
                <w:p>
                  <w:pPr>
                    <w:pStyle w:val="22"/>
                    <w:bidi w:val="0"/>
                  </w:pPr>
                  <w:r>
                    <w:t>定期委托有资质单位处理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710" w:type="dxa"/>
                  <w:vMerge w:val="continue"/>
                  <w:tcBorders>
                    <w:tl2br w:val="nil"/>
                    <w:tr2bl w:val="nil"/>
                  </w:tcBorders>
                  <w:vAlign w:val="center"/>
                </w:tcPr>
                <w:p>
                  <w:pPr>
                    <w:pStyle w:val="22"/>
                    <w:bidi w:val="0"/>
                  </w:pPr>
                </w:p>
              </w:tc>
              <w:tc>
                <w:tcPr>
                  <w:tcW w:w="2066" w:type="dxa"/>
                  <w:tcBorders>
                    <w:tl2br w:val="nil"/>
                    <w:tr2bl w:val="nil"/>
                  </w:tcBorders>
                  <w:vAlign w:val="center"/>
                </w:tcPr>
                <w:p>
                  <w:pPr>
                    <w:pStyle w:val="22"/>
                    <w:bidi w:val="0"/>
                  </w:pPr>
                  <w:r>
                    <w:rPr>
                      <w:rFonts w:hint="eastAsia"/>
                    </w:rPr>
                    <w:t>废包装桶</w:t>
                  </w:r>
                </w:p>
              </w:tc>
              <w:tc>
                <w:tcPr>
                  <w:tcW w:w="1757" w:type="dxa"/>
                  <w:tcBorders>
                    <w:tl2br w:val="nil"/>
                    <w:tr2bl w:val="nil"/>
                  </w:tcBorders>
                  <w:vAlign w:val="center"/>
                </w:tcPr>
                <w:p>
                  <w:pPr>
                    <w:pStyle w:val="22"/>
                    <w:bidi w:val="0"/>
                  </w:pPr>
                  <w:r>
                    <w:rPr>
                      <w:rFonts w:hint="eastAsia"/>
                    </w:rPr>
                    <w:t>HW49900-041-49</w:t>
                  </w:r>
                </w:p>
              </w:tc>
              <w:tc>
                <w:tcPr>
                  <w:tcW w:w="962" w:type="dxa"/>
                  <w:tcBorders>
                    <w:tl2br w:val="nil"/>
                    <w:tr2bl w:val="nil"/>
                  </w:tcBorders>
                  <w:vAlign w:val="center"/>
                </w:tcPr>
                <w:p>
                  <w:pPr>
                    <w:pStyle w:val="22"/>
                    <w:bidi w:val="0"/>
                  </w:pPr>
                  <w:r>
                    <w:rPr>
                      <w:rFonts w:hint="eastAsia"/>
                    </w:rPr>
                    <w:t>0.5</w:t>
                  </w:r>
                </w:p>
              </w:tc>
              <w:tc>
                <w:tcPr>
                  <w:tcW w:w="1112" w:type="dxa"/>
                  <w:tcBorders>
                    <w:tl2br w:val="nil"/>
                    <w:tr2bl w:val="nil"/>
                  </w:tcBorders>
                  <w:vAlign w:val="center"/>
                </w:tcPr>
                <w:p>
                  <w:pPr>
                    <w:pStyle w:val="22"/>
                    <w:bidi w:val="0"/>
                  </w:pPr>
                  <w:r>
                    <w:rPr>
                      <w:rFonts w:hint="eastAsia"/>
                    </w:rPr>
                    <w:t>0</w:t>
                  </w:r>
                </w:p>
              </w:tc>
              <w:tc>
                <w:tcPr>
                  <w:tcW w:w="1750" w:type="dxa"/>
                  <w:vMerge w:val="continue"/>
                  <w:tcBorders>
                    <w:tl2br w:val="nil"/>
                    <w:tr2bl w:val="nil"/>
                  </w:tcBorders>
                  <w:vAlign w:val="center"/>
                </w:tcPr>
                <w:p>
                  <w:pPr>
                    <w:pStyle w:val="22"/>
                    <w:bidi w:val="0"/>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710" w:type="dxa"/>
                  <w:vMerge w:val="continue"/>
                  <w:tcBorders>
                    <w:tl2br w:val="nil"/>
                    <w:tr2bl w:val="nil"/>
                  </w:tcBorders>
                  <w:vAlign w:val="center"/>
                </w:tcPr>
                <w:p>
                  <w:pPr>
                    <w:pStyle w:val="22"/>
                    <w:bidi w:val="0"/>
                  </w:pPr>
                </w:p>
              </w:tc>
              <w:tc>
                <w:tcPr>
                  <w:tcW w:w="2066" w:type="dxa"/>
                  <w:tcBorders>
                    <w:tl2br w:val="nil"/>
                    <w:tr2bl w:val="nil"/>
                  </w:tcBorders>
                  <w:vAlign w:val="center"/>
                </w:tcPr>
                <w:p>
                  <w:pPr>
                    <w:pStyle w:val="22"/>
                    <w:bidi w:val="0"/>
                  </w:pPr>
                  <w:r>
                    <w:rPr>
                      <w:rFonts w:hint="eastAsia"/>
                    </w:rPr>
                    <w:t>废润滑油</w:t>
                  </w:r>
                </w:p>
              </w:tc>
              <w:tc>
                <w:tcPr>
                  <w:tcW w:w="1757" w:type="dxa"/>
                  <w:tcBorders>
                    <w:tl2br w:val="nil"/>
                    <w:tr2bl w:val="nil"/>
                  </w:tcBorders>
                  <w:vAlign w:val="center"/>
                </w:tcPr>
                <w:p>
                  <w:pPr>
                    <w:pStyle w:val="22"/>
                    <w:bidi w:val="0"/>
                  </w:pPr>
                  <w:r>
                    <w:rPr>
                      <w:rFonts w:hint="eastAsia"/>
                    </w:rPr>
                    <w:t>HW08900-</w:t>
                  </w:r>
                  <w:r>
                    <w:rPr>
                      <w:rFonts w:hint="eastAsia"/>
                      <w:lang w:val="en-US" w:eastAsia="zh-CN"/>
                    </w:rPr>
                    <w:t>214</w:t>
                  </w:r>
                  <w:r>
                    <w:rPr>
                      <w:rFonts w:hint="eastAsia"/>
                    </w:rPr>
                    <w:t>-08</w:t>
                  </w:r>
                </w:p>
              </w:tc>
              <w:tc>
                <w:tcPr>
                  <w:tcW w:w="962" w:type="dxa"/>
                  <w:tcBorders>
                    <w:tl2br w:val="nil"/>
                    <w:tr2bl w:val="nil"/>
                  </w:tcBorders>
                  <w:vAlign w:val="center"/>
                </w:tcPr>
                <w:p>
                  <w:pPr>
                    <w:pStyle w:val="22"/>
                    <w:bidi w:val="0"/>
                    <w:rPr>
                      <w:rFonts w:hint="eastAsia"/>
                      <w:lang w:val="en-US" w:eastAsia="zh-CN"/>
                    </w:rPr>
                  </w:pPr>
                  <w:r>
                    <w:rPr>
                      <w:rFonts w:hint="eastAsia"/>
                    </w:rPr>
                    <w:t>0.</w:t>
                  </w:r>
                  <w:r>
                    <w:rPr>
                      <w:rFonts w:hint="eastAsia"/>
                      <w:lang w:val="en-US" w:eastAsia="zh-CN"/>
                    </w:rPr>
                    <w:t>3</w:t>
                  </w:r>
                </w:p>
              </w:tc>
              <w:tc>
                <w:tcPr>
                  <w:tcW w:w="1112" w:type="dxa"/>
                  <w:tcBorders>
                    <w:tl2br w:val="nil"/>
                    <w:tr2bl w:val="nil"/>
                  </w:tcBorders>
                  <w:vAlign w:val="center"/>
                </w:tcPr>
                <w:p>
                  <w:pPr>
                    <w:pStyle w:val="22"/>
                    <w:bidi w:val="0"/>
                  </w:pPr>
                  <w:r>
                    <w:rPr>
                      <w:rFonts w:hint="eastAsia"/>
                    </w:rPr>
                    <w:t>0</w:t>
                  </w:r>
                </w:p>
              </w:tc>
              <w:tc>
                <w:tcPr>
                  <w:tcW w:w="1750" w:type="dxa"/>
                  <w:vMerge w:val="continue"/>
                  <w:tcBorders>
                    <w:tl2br w:val="nil"/>
                    <w:tr2bl w:val="nil"/>
                  </w:tcBorders>
                  <w:vAlign w:val="center"/>
                </w:tcPr>
                <w:p>
                  <w:pPr>
                    <w:pStyle w:val="22"/>
                    <w:bidi w:val="0"/>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710" w:type="dxa"/>
                  <w:vMerge w:val="continue"/>
                  <w:tcBorders>
                    <w:tl2br w:val="nil"/>
                    <w:tr2bl w:val="nil"/>
                  </w:tcBorders>
                  <w:vAlign w:val="center"/>
                </w:tcPr>
                <w:p>
                  <w:pPr>
                    <w:pStyle w:val="22"/>
                    <w:bidi w:val="0"/>
                  </w:pPr>
                </w:p>
              </w:tc>
              <w:tc>
                <w:tcPr>
                  <w:tcW w:w="2066" w:type="dxa"/>
                  <w:tcBorders>
                    <w:tl2br w:val="nil"/>
                    <w:tr2bl w:val="nil"/>
                  </w:tcBorders>
                  <w:vAlign w:val="center"/>
                </w:tcPr>
                <w:p>
                  <w:pPr>
                    <w:pStyle w:val="22"/>
                    <w:bidi w:val="0"/>
                  </w:pPr>
                  <w:r>
                    <w:rPr>
                      <w:rFonts w:hint="eastAsia"/>
                    </w:rPr>
                    <w:t>废液压油</w:t>
                  </w:r>
                </w:p>
              </w:tc>
              <w:tc>
                <w:tcPr>
                  <w:tcW w:w="1757" w:type="dxa"/>
                  <w:tcBorders>
                    <w:tl2br w:val="nil"/>
                    <w:tr2bl w:val="nil"/>
                  </w:tcBorders>
                  <w:vAlign w:val="center"/>
                </w:tcPr>
                <w:p>
                  <w:pPr>
                    <w:pStyle w:val="22"/>
                    <w:bidi w:val="0"/>
                  </w:pPr>
                  <w:r>
                    <w:rPr>
                      <w:rFonts w:hint="eastAsia"/>
                    </w:rPr>
                    <w:t>HW08900-218-08</w:t>
                  </w:r>
                </w:p>
              </w:tc>
              <w:tc>
                <w:tcPr>
                  <w:tcW w:w="962" w:type="dxa"/>
                  <w:tcBorders>
                    <w:tl2br w:val="nil"/>
                    <w:tr2bl w:val="nil"/>
                  </w:tcBorders>
                  <w:vAlign w:val="center"/>
                </w:tcPr>
                <w:p>
                  <w:pPr>
                    <w:pStyle w:val="22"/>
                    <w:bidi w:val="0"/>
                  </w:pPr>
                  <w:r>
                    <w:rPr>
                      <w:rFonts w:hint="eastAsia"/>
                    </w:rPr>
                    <w:t>0.2</w:t>
                  </w:r>
                </w:p>
              </w:tc>
              <w:tc>
                <w:tcPr>
                  <w:tcW w:w="1112" w:type="dxa"/>
                  <w:tcBorders>
                    <w:tl2br w:val="nil"/>
                    <w:tr2bl w:val="nil"/>
                  </w:tcBorders>
                  <w:vAlign w:val="center"/>
                </w:tcPr>
                <w:p>
                  <w:pPr>
                    <w:pStyle w:val="22"/>
                    <w:bidi w:val="0"/>
                  </w:pPr>
                  <w:r>
                    <w:rPr>
                      <w:rFonts w:hint="eastAsia"/>
                    </w:rPr>
                    <w:t>0</w:t>
                  </w:r>
                </w:p>
              </w:tc>
              <w:tc>
                <w:tcPr>
                  <w:tcW w:w="1750" w:type="dxa"/>
                  <w:vMerge w:val="continue"/>
                  <w:tcBorders>
                    <w:tl2br w:val="nil"/>
                    <w:tr2bl w:val="nil"/>
                  </w:tcBorders>
                  <w:vAlign w:val="center"/>
                </w:tcPr>
                <w:p>
                  <w:pPr>
                    <w:pStyle w:val="22"/>
                    <w:bidi w:val="0"/>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710" w:type="dxa"/>
                  <w:vMerge w:val="continue"/>
                  <w:tcBorders>
                    <w:tl2br w:val="nil"/>
                    <w:tr2bl w:val="nil"/>
                  </w:tcBorders>
                  <w:vAlign w:val="center"/>
                </w:tcPr>
                <w:p>
                  <w:pPr>
                    <w:pStyle w:val="22"/>
                    <w:bidi w:val="0"/>
                  </w:pPr>
                </w:p>
              </w:tc>
              <w:tc>
                <w:tcPr>
                  <w:tcW w:w="2066" w:type="dxa"/>
                  <w:tcBorders>
                    <w:tl2br w:val="nil"/>
                    <w:tr2bl w:val="nil"/>
                  </w:tcBorders>
                  <w:vAlign w:val="center"/>
                </w:tcPr>
                <w:p>
                  <w:pPr>
                    <w:pStyle w:val="22"/>
                    <w:bidi w:val="0"/>
                  </w:pPr>
                  <w:r>
                    <w:rPr>
                      <w:rFonts w:hint="eastAsia"/>
                    </w:rPr>
                    <w:t>废含油抹布手套</w:t>
                  </w:r>
                </w:p>
              </w:tc>
              <w:tc>
                <w:tcPr>
                  <w:tcW w:w="1757" w:type="dxa"/>
                  <w:tcBorders>
                    <w:tl2br w:val="nil"/>
                    <w:tr2bl w:val="nil"/>
                  </w:tcBorders>
                  <w:vAlign w:val="center"/>
                </w:tcPr>
                <w:p>
                  <w:pPr>
                    <w:pStyle w:val="22"/>
                    <w:bidi w:val="0"/>
                  </w:pPr>
                  <w:r>
                    <w:rPr>
                      <w:rFonts w:hint="eastAsia"/>
                    </w:rPr>
                    <w:t>HW49900-041-49</w:t>
                  </w:r>
                </w:p>
              </w:tc>
              <w:tc>
                <w:tcPr>
                  <w:tcW w:w="962" w:type="dxa"/>
                  <w:tcBorders>
                    <w:tl2br w:val="nil"/>
                    <w:tr2bl w:val="nil"/>
                  </w:tcBorders>
                  <w:vAlign w:val="center"/>
                </w:tcPr>
                <w:p>
                  <w:pPr>
                    <w:pStyle w:val="22"/>
                    <w:bidi w:val="0"/>
                  </w:pPr>
                  <w:r>
                    <w:rPr>
                      <w:rFonts w:hint="eastAsia"/>
                    </w:rPr>
                    <w:t>0.1</w:t>
                  </w:r>
                </w:p>
              </w:tc>
              <w:tc>
                <w:tcPr>
                  <w:tcW w:w="1112" w:type="dxa"/>
                  <w:tcBorders>
                    <w:tl2br w:val="nil"/>
                    <w:tr2bl w:val="nil"/>
                  </w:tcBorders>
                  <w:vAlign w:val="center"/>
                </w:tcPr>
                <w:p>
                  <w:pPr>
                    <w:pStyle w:val="22"/>
                    <w:bidi w:val="0"/>
                  </w:pPr>
                  <w:r>
                    <w:rPr>
                      <w:rFonts w:hint="eastAsia"/>
                    </w:rPr>
                    <w:t>0</w:t>
                  </w:r>
                </w:p>
              </w:tc>
              <w:tc>
                <w:tcPr>
                  <w:tcW w:w="1750" w:type="dxa"/>
                  <w:vMerge w:val="continue"/>
                  <w:tcBorders>
                    <w:tl2br w:val="nil"/>
                    <w:tr2bl w:val="nil"/>
                  </w:tcBorders>
                  <w:vAlign w:val="center"/>
                </w:tcPr>
                <w:p>
                  <w:pPr>
                    <w:pStyle w:val="22"/>
                    <w:bidi w:val="0"/>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67" w:hRule="atLeast"/>
                <w:jc w:val="center"/>
              </w:trPr>
              <w:tc>
                <w:tcPr>
                  <w:tcW w:w="2776" w:type="dxa"/>
                  <w:gridSpan w:val="2"/>
                  <w:tcBorders>
                    <w:tl2br w:val="nil"/>
                    <w:tr2bl w:val="nil"/>
                  </w:tcBorders>
                  <w:vAlign w:val="center"/>
                </w:tcPr>
                <w:p>
                  <w:pPr>
                    <w:pStyle w:val="22"/>
                    <w:bidi w:val="0"/>
                  </w:pPr>
                  <w:r>
                    <w:t>生活垃圾</w:t>
                  </w:r>
                </w:p>
              </w:tc>
              <w:tc>
                <w:tcPr>
                  <w:tcW w:w="1757" w:type="dxa"/>
                  <w:tcBorders>
                    <w:tl2br w:val="nil"/>
                    <w:tr2bl w:val="nil"/>
                  </w:tcBorders>
                  <w:vAlign w:val="center"/>
                </w:tcPr>
                <w:p>
                  <w:pPr>
                    <w:pStyle w:val="22"/>
                    <w:bidi w:val="0"/>
                  </w:pPr>
                  <w:r>
                    <w:t>/</w:t>
                  </w:r>
                </w:p>
              </w:tc>
              <w:tc>
                <w:tcPr>
                  <w:tcW w:w="962" w:type="dxa"/>
                  <w:tcBorders>
                    <w:tl2br w:val="nil"/>
                    <w:tr2bl w:val="nil"/>
                  </w:tcBorders>
                  <w:vAlign w:val="center"/>
                </w:tcPr>
                <w:p>
                  <w:pPr>
                    <w:pStyle w:val="22"/>
                    <w:bidi w:val="0"/>
                    <w:rPr>
                      <w:rFonts w:hint="default"/>
                      <w:lang w:val="en-US" w:eastAsia="zh-CN"/>
                    </w:rPr>
                  </w:pPr>
                  <w:r>
                    <w:rPr>
                      <w:rFonts w:hint="eastAsia"/>
                      <w:lang w:val="en-US" w:eastAsia="zh-CN"/>
                    </w:rPr>
                    <w:t>19.2</w:t>
                  </w:r>
                </w:p>
              </w:tc>
              <w:tc>
                <w:tcPr>
                  <w:tcW w:w="1112" w:type="dxa"/>
                  <w:tcBorders>
                    <w:tl2br w:val="nil"/>
                    <w:tr2bl w:val="nil"/>
                  </w:tcBorders>
                  <w:vAlign w:val="center"/>
                </w:tcPr>
                <w:p>
                  <w:pPr>
                    <w:pStyle w:val="22"/>
                    <w:bidi w:val="0"/>
                  </w:pPr>
                  <w:r>
                    <w:t>0</w:t>
                  </w:r>
                </w:p>
              </w:tc>
              <w:tc>
                <w:tcPr>
                  <w:tcW w:w="1750" w:type="dxa"/>
                  <w:tcBorders>
                    <w:tl2br w:val="nil"/>
                    <w:tr2bl w:val="nil"/>
                  </w:tcBorders>
                  <w:vAlign w:val="center"/>
                </w:tcPr>
                <w:p>
                  <w:pPr>
                    <w:pStyle w:val="22"/>
                    <w:bidi w:val="0"/>
                  </w:pPr>
                  <w:r>
                    <w:t>环卫部门定期清运处理</w:t>
                  </w:r>
                </w:p>
              </w:tc>
            </w:tr>
          </w:tbl>
          <w:p>
            <w:pPr>
              <w:snapToGrid w:val="0"/>
              <w:spacing w:before="156" w:beforeLines="50"/>
              <w:ind w:firstLine="472" w:firstLineChars="196"/>
              <w:outlineLvl w:val="3"/>
              <w:rPr>
                <w:b/>
                <w:bCs/>
              </w:rPr>
            </w:pPr>
            <w:bookmarkStart w:id="3" w:name="_Toc62011226"/>
            <w:bookmarkStart w:id="4" w:name="_Toc85978818"/>
            <w:bookmarkStart w:id="5" w:name="_Toc87096201"/>
            <w:r>
              <w:rPr>
                <w:rFonts w:hint="eastAsia"/>
                <w:b/>
                <w:bCs/>
              </w:rPr>
              <w:t>2、一般固废</w:t>
            </w:r>
            <w:bookmarkEnd w:id="3"/>
            <w:bookmarkEnd w:id="4"/>
            <w:bookmarkEnd w:id="5"/>
            <w:r>
              <w:rPr>
                <w:rFonts w:hint="eastAsia"/>
                <w:b/>
                <w:bCs/>
              </w:rPr>
              <w:t>环境影响分析和保护措施</w:t>
            </w:r>
          </w:p>
          <w:p>
            <w:pPr>
              <w:autoSpaceDE w:val="0"/>
              <w:autoSpaceDN w:val="0"/>
              <w:adjustRightInd w:val="0"/>
              <w:ind w:firstLine="480"/>
              <w:jc w:val="left"/>
            </w:pPr>
            <w:r>
              <w:t>项目产生的一般工业固废为</w:t>
            </w:r>
            <w:r>
              <w:rPr>
                <w:rFonts w:hint="eastAsia"/>
              </w:rPr>
              <w:t>边角料及不合格品</w:t>
            </w:r>
            <w:r>
              <w:rPr>
                <w:rFonts w:hint="eastAsia"/>
                <w:lang w:eastAsia="zh-CN"/>
              </w:rPr>
              <w:t>、</w:t>
            </w:r>
            <w:r>
              <w:rPr>
                <w:rFonts w:hint="eastAsia"/>
              </w:rPr>
              <w:t>除尘器收集的粉尘</w:t>
            </w:r>
            <w:r>
              <w:t>等，暂存于项目一般固废仓库，</w:t>
            </w:r>
            <w:r>
              <w:rPr>
                <w:rFonts w:hint="eastAsia"/>
              </w:rPr>
              <w:t>收集后外售，</w:t>
            </w:r>
            <w:r>
              <w:t>对环境影响较小。</w:t>
            </w:r>
          </w:p>
          <w:p>
            <w:pPr>
              <w:autoSpaceDE w:val="0"/>
              <w:autoSpaceDN w:val="0"/>
              <w:adjustRightInd w:val="0"/>
              <w:ind w:firstLine="480"/>
              <w:jc w:val="left"/>
            </w:pPr>
            <w:r>
              <w:t>一般工业固废临时堆放场应根据《一般工业固体废物贮存</w:t>
            </w:r>
            <w:r>
              <w:rPr>
                <w:rFonts w:hint="eastAsia"/>
              </w:rPr>
              <w:t>和填埋</w:t>
            </w:r>
            <w:r>
              <w:t>污染控制标准》（GB18599-2020）中的要求规范化建设，固废临时贮存场应满足如下要求：</w:t>
            </w:r>
          </w:p>
          <w:p>
            <w:pPr>
              <w:autoSpaceDE w:val="0"/>
              <w:autoSpaceDN w:val="0"/>
              <w:adjustRightInd w:val="0"/>
              <w:ind w:firstLine="480"/>
              <w:jc w:val="left"/>
            </w:pPr>
            <w:r>
              <w:rPr>
                <w:rFonts w:hint="eastAsia"/>
              </w:rPr>
              <w:t>①</w:t>
            </w:r>
            <w:r>
              <w:t>临时堆放场应选在防渗性能好的地基上天然基础层地表距地下水位的距离不得小于1.5m。临时堆放场四周应建有围墙，防止固废流失以及造成粉尘污染。</w:t>
            </w:r>
          </w:p>
          <w:p>
            <w:pPr>
              <w:autoSpaceDE w:val="0"/>
              <w:autoSpaceDN w:val="0"/>
              <w:adjustRightInd w:val="0"/>
              <w:ind w:firstLine="480"/>
              <w:jc w:val="left"/>
            </w:pPr>
            <w:r>
              <w:rPr>
                <w:rFonts w:hint="eastAsia"/>
              </w:rPr>
              <w:t>②</w:t>
            </w:r>
            <w:r>
              <w:t>临时堆放场应建有防雨淋、防渗透措施。本项目储存在钢结构仓库内，地面进行硬化，可以满足防雨淋、防渗透要求。</w:t>
            </w:r>
          </w:p>
          <w:p>
            <w:pPr>
              <w:autoSpaceDE w:val="0"/>
              <w:autoSpaceDN w:val="0"/>
              <w:adjustRightInd w:val="0"/>
              <w:ind w:firstLine="480"/>
              <w:jc w:val="left"/>
            </w:pPr>
            <w:r>
              <w:rPr>
                <w:rFonts w:hint="eastAsia"/>
              </w:rPr>
              <w:t>③</w:t>
            </w:r>
            <w:r>
              <w:t>为了便于管理，临时堆放场应按GB15562.2-1995《环境保护图形标识—固体废物贮存（处置）场》设置环境保护图形标志。</w:t>
            </w:r>
          </w:p>
          <w:p>
            <w:pPr>
              <w:autoSpaceDE w:val="0"/>
              <w:autoSpaceDN w:val="0"/>
              <w:adjustRightInd w:val="0"/>
              <w:ind w:firstLine="480"/>
              <w:jc w:val="left"/>
            </w:pPr>
            <w:r>
              <w:rPr>
                <w:rFonts w:hint="eastAsia"/>
              </w:rPr>
              <w:t>企业在生产过程中，应加强现有一般固废库的管理，定点收集堆存，并及时处理，不会对环境造成不利影响。</w:t>
            </w:r>
          </w:p>
          <w:p>
            <w:pPr>
              <w:snapToGrid w:val="0"/>
              <w:ind w:firstLine="470" w:firstLineChars="196"/>
              <w:outlineLvl w:val="3"/>
            </w:pPr>
            <w:r>
              <w:rPr>
                <w:rFonts w:hint="eastAsia"/>
              </w:rPr>
              <w:t>3、危险废物环境影响分析和保护措施</w:t>
            </w:r>
          </w:p>
          <w:p>
            <w:pPr>
              <w:autoSpaceDE w:val="0"/>
              <w:autoSpaceDN w:val="0"/>
              <w:adjustRightInd w:val="0"/>
              <w:ind w:firstLine="480"/>
              <w:jc w:val="left"/>
            </w:pPr>
            <w:r>
              <w:t>本项目产生的危险废物分别按照废物特性采用专门的容器收集后暂存于项目危废仓库，定期交资质单位处理。项目</w:t>
            </w:r>
            <w:r>
              <w:rPr>
                <w:rFonts w:hint="eastAsia"/>
              </w:rPr>
              <w:t>新</w:t>
            </w:r>
            <w:r>
              <w:t>建1间危废暂存间，位于</w:t>
            </w:r>
            <w:r>
              <w:rPr>
                <w:rFonts w:hint="eastAsia"/>
              </w:rPr>
              <w:t>厂</w:t>
            </w:r>
            <w:r>
              <w:rPr>
                <w:rFonts w:hint="eastAsia"/>
                <w:lang w:val="en-US" w:eastAsia="zh-CN"/>
              </w:rPr>
              <w:t>区</w:t>
            </w:r>
            <w:r>
              <w:rPr>
                <w:rFonts w:hint="eastAsia"/>
              </w:rPr>
              <w:t>东</w:t>
            </w:r>
            <w:r>
              <w:rPr>
                <w:rFonts w:hint="eastAsia"/>
                <w:lang w:val="en-US" w:eastAsia="zh-CN"/>
              </w:rPr>
              <w:t>北紧邻厂房</w:t>
            </w:r>
            <w:r>
              <w:t>，面积约</w:t>
            </w:r>
            <w:r>
              <w:rPr>
                <w:rFonts w:hint="eastAsia"/>
                <w:lang w:val="en-US" w:eastAsia="zh-CN"/>
              </w:rPr>
              <w:t>2</w:t>
            </w:r>
            <w:r>
              <w:rPr>
                <w:rFonts w:hint="eastAsia"/>
              </w:rPr>
              <w:t>0</w:t>
            </w:r>
            <w:r>
              <w:t>m2，建设满足《危险废物贮存污染控制标准》（GB18597-2001）的要求。危险废物按照不同的类别和性质，分别存放于专门的容器中。</w:t>
            </w:r>
          </w:p>
          <w:p>
            <w:pPr>
              <w:ind w:firstLine="480"/>
              <w:jc w:val="left"/>
            </w:pPr>
            <w:r>
              <w:rPr>
                <w:rFonts w:hint="eastAsia"/>
              </w:rPr>
              <w:t>（1）危险废物贮存环境影响分析</w:t>
            </w:r>
          </w:p>
          <w:p>
            <w:pPr>
              <w:autoSpaceDE w:val="0"/>
              <w:autoSpaceDN w:val="0"/>
              <w:adjustRightInd w:val="0"/>
              <w:ind w:firstLine="480"/>
              <w:jc w:val="left"/>
            </w:pPr>
            <w:r>
              <w:t>本项目危险废物在厂内贮存时，执行《危险废物贮存污染控制标准》（GB18597-2001）及修改单中相关规定，规范建设危废</w:t>
            </w:r>
            <w:r>
              <w:rPr>
                <w:rFonts w:hint="eastAsia"/>
              </w:rPr>
              <w:t>暂存间</w:t>
            </w:r>
            <w:r>
              <w:t>，具体措施如下：</w:t>
            </w:r>
          </w:p>
          <w:p>
            <w:pPr>
              <w:autoSpaceDE w:val="0"/>
              <w:autoSpaceDN w:val="0"/>
              <w:adjustRightInd w:val="0"/>
              <w:ind w:firstLine="480"/>
              <w:jc w:val="left"/>
            </w:pPr>
            <w:r>
              <w:fldChar w:fldCharType="begin"/>
            </w:r>
            <w:r>
              <w:instrText xml:space="preserve"> = 1 \* GB3 </w:instrText>
            </w:r>
            <w:r>
              <w:fldChar w:fldCharType="separate"/>
            </w:r>
            <w:r>
              <w:rPr>
                <w:rFonts w:hint="eastAsia"/>
              </w:rPr>
              <w:t>①</w:t>
            </w:r>
            <w:r>
              <w:fldChar w:fldCharType="end"/>
            </w:r>
            <w:r>
              <w:t>危废</w:t>
            </w:r>
            <w:r>
              <w:rPr>
                <w:rFonts w:hint="eastAsia"/>
              </w:rPr>
              <w:t>暂存间</w:t>
            </w:r>
            <w:r>
              <w:t>应建有堵截泄漏的裙脚，地面与裙脚要用坚固、防渗材料建造，地面与裙角所围建的容积不低于总储量的1/5；应有隔离设施和防风、防晒、防雨设施；</w:t>
            </w:r>
          </w:p>
          <w:p>
            <w:pPr>
              <w:autoSpaceDE w:val="0"/>
              <w:autoSpaceDN w:val="0"/>
              <w:adjustRightInd w:val="0"/>
              <w:ind w:firstLine="480"/>
              <w:jc w:val="left"/>
            </w:pPr>
            <w:r>
              <w:fldChar w:fldCharType="begin"/>
            </w:r>
            <w:r>
              <w:instrText xml:space="preserve"> = 2 \* GB3 </w:instrText>
            </w:r>
            <w:r>
              <w:fldChar w:fldCharType="separate"/>
            </w:r>
            <w:r>
              <w:rPr>
                <w:rFonts w:hint="eastAsia"/>
              </w:rPr>
              <w:t>②</w:t>
            </w:r>
            <w:r>
              <w:fldChar w:fldCharType="end"/>
            </w:r>
            <w:r>
              <w:t>贮存设施基础必须做防渗处理，防渗层为至少1m厚粘土层（渗透系数≤10-7cm/s），或2mm厚高密度聚乙烯，或至少2mm厚的其它人工材料，渗透系数≤10-10 cm/s。</w:t>
            </w:r>
          </w:p>
          <w:p>
            <w:pPr>
              <w:autoSpaceDE w:val="0"/>
              <w:autoSpaceDN w:val="0"/>
              <w:adjustRightInd w:val="0"/>
              <w:ind w:firstLine="480"/>
              <w:jc w:val="left"/>
            </w:pPr>
            <w:r>
              <w:fldChar w:fldCharType="begin"/>
            </w:r>
            <w:r>
              <w:instrText xml:space="preserve"> = 3 \* GB3 </w:instrText>
            </w:r>
            <w:r>
              <w:fldChar w:fldCharType="separate"/>
            </w:r>
            <w:r>
              <w:rPr>
                <w:rFonts w:hint="eastAsia"/>
              </w:rPr>
              <w:t>③</w:t>
            </w:r>
            <w:r>
              <w:fldChar w:fldCharType="end"/>
            </w:r>
            <w:r>
              <w:t>盛装危险废物的容器应根据危险废物的不同特性而设计，采用不易破损、变形、老化且能有效地防止渗漏、扩散的装置，危险废物包装执行《危险货物运输包装通用技术条件》（GB12463-2009）、《危险货物运输包装标志》（GB190-2009）；</w:t>
            </w:r>
          </w:p>
          <w:p>
            <w:pPr>
              <w:autoSpaceDE w:val="0"/>
              <w:autoSpaceDN w:val="0"/>
              <w:adjustRightInd w:val="0"/>
              <w:ind w:firstLine="480"/>
              <w:jc w:val="left"/>
            </w:pPr>
            <w:r>
              <w:fldChar w:fldCharType="begin"/>
            </w:r>
            <w:r>
              <w:instrText xml:space="preserve"> = 4 \* GB3 </w:instrText>
            </w:r>
            <w:r>
              <w:fldChar w:fldCharType="separate"/>
            </w:r>
            <w:r>
              <w:rPr>
                <w:rFonts w:hint="eastAsia"/>
              </w:rPr>
              <w:t>④</w:t>
            </w:r>
            <w:r>
              <w:fldChar w:fldCharType="end"/>
            </w:r>
            <w:r>
              <w:t>存放危废为液体的仓库内必须有泄漏液体收集装置（例如托盘、导流沟、收集池，导流沟、收集池四周壁及底部同样要求防腐防渗），存放危废为具有挥发性气体的仓库内必须有导出口及气体净化装置；</w:t>
            </w:r>
          </w:p>
          <w:p>
            <w:pPr>
              <w:autoSpaceDE w:val="0"/>
              <w:autoSpaceDN w:val="0"/>
              <w:adjustRightInd w:val="0"/>
              <w:ind w:firstLine="480"/>
              <w:jc w:val="left"/>
            </w:pPr>
            <w:r>
              <w:fldChar w:fldCharType="begin"/>
            </w:r>
            <w:r>
              <w:instrText xml:space="preserve"> = 5 \* GB3 </w:instrText>
            </w:r>
            <w:r>
              <w:fldChar w:fldCharType="separate"/>
            </w:r>
            <w:r>
              <w:rPr>
                <w:rFonts w:hint="eastAsia"/>
              </w:rPr>
              <w:t>⑤</w:t>
            </w:r>
            <w:r>
              <w:fldChar w:fldCharType="end"/>
            </w:r>
            <w:r>
              <w:t>装载液体、半固体危险废物的容器内须留足够空间，容器顶部与液体表面之间保留100毫米以上的空间。用以存放装载液体、半固体危险废物容器的地方，必须有耐腐蚀的硬化地面，且表面无裂隙。</w:t>
            </w:r>
          </w:p>
          <w:p>
            <w:pPr>
              <w:autoSpaceDE w:val="0"/>
              <w:autoSpaceDN w:val="0"/>
              <w:adjustRightInd w:val="0"/>
              <w:ind w:firstLine="480"/>
              <w:jc w:val="left"/>
            </w:pPr>
            <w:r>
              <w:fldChar w:fldCharType="begin"/>
            </w:r>
            <w:r>
              <w:instrText xml:space="preserve"> = 6 \* GB3 </w:instrText>
            </w:r>
            <w:r>
              <w:fldChar w:fldCharType="separate"/>
            </w:r>
            <w:r>
              <w:rPr>
                <w:rFonts w:hint="eastAsia"/>
              </w:rPr>
              <w:t>⑥</w:t>
            </w:r>
            <w:r>
              <w:fldChar w:fldCharType="end"/>
            </w:r>
            <w:r>
              <w:t>危险废物要注重</w:t>
            </w:r>
            <w:r>
              <w:rPr>
                <w:rFonts w:hint="eastAsia"/>
              </w:rPr>
              <w:t>“</w:t>
            </w:r>
            <w:r>
              <w:t>四防</w:t>
            </w:r>
            <w:r>
              <w:rPr>
                <w:rFonts w:hint="eastAsia"/>
              </w:rPr>
              <w:t>”</w:t>
            </w:r>
            <w:r>
              <w:t>，即防风、防雨、防晒、防渗漏，危废库建设时应采用混凝土、砖或经防腐处理的钢材等作为建材材料建成的相对封闭式场所，并设通风口；外部配套建设雨水导排系统，防止雨水进入危废暂存库内。</w:t>
            </w:r>
          </w:p>
          <w:p>
            <w:pPr>
              <w:autoSpaceDE w:val="0"/>
              <w:autoSpaceDN w:val="0"/>
              <w:adjustRightInd w:val="0"/>
              <w:ind w:firstLine="480"/>
              <w:jc w:val="left"/>
            </w:pPr>
            <w:r>
              <w:fldChar w:fldCharType="begin"/>
            </w:r>
            <w:r>
              <w:instrText xml:space="preserve"> = 7 \* GB3 </w:instrText>
            </w:r>
            <w:r>
              <w:fldChar w:fldCharType="separate"/>
            </w:r>
            <w:r>
              <w:rPr>
                <w:rFonts w:hint="eastAsia"/>
              </w:rPr>
              <w:t>⑦</w:t>
            </w:r>
            <w:r>
              <w:fldChar w:fldCharType="end"/>
            </w:r>
            <w:r>
              <w:t>危废</w:t>
            </w:r>
            <w:r>
              <w:rPr>
                <w:rFonts w:hint="eastAsia"/>
              </w:rPr>
              <w:t>暂存间</w:t>
            </w:r>
            <w:r>
              <w:t>门上要张贴包含所有危废的标识、标牌，仓库内对应墙上有标志标识，无法装入常用容器的危险废物可用防漏胶袋等盛装，包装桶、袋上有标签，危废仓库管理责任制要上墙。</w:t>
            </w:r>
          </w:p>
          <w:p>
            <w:pPr>
              <w:autoSpaceDE w:val="0"/>
              <w:autoSpaceDN w:val="0"/>
              <w:adjustRightInd w:val="0"/>
              <w:ind w:firstLine="480"/>
              <w:jc w:val="left"/>
            </w:pPr>
            <w:r>
              <w:fldChar w:fldCharType="begin"/>
            </w:r>
            <w:r>
              <w:instrText xml:space="preserve"> = 8 \* GB3 </w:instrText>
            </w:r>
            <w:r>
              <w:fldChar w:fldCharType="separate"/>
            </w:r>
            <w:r>
              <w:rPr>
                <w:rFonts w:hint="eastAsia"/>
              </w:rPr>
              <w:t>⑧</w:t>
            </w:r>
            <w:r>
              <w:fldChar w:fldCharType="end"/>
            </w:r>
            <w:r>
              <w:t>危废</w:t>
            </w:r>
            <w:r>
              <w:rPr>
                <w:rFonts w:hint="eastAsia"/>
              </w:rPr>
              <w:t>暂存间</w:t>
            </w:r>
            <w:r>
              <w:t>需上锁防盗，制定严格的暂存保管措施，专人负责。</w:t>
            </w:r>
          </w:p>
          <w:p>
            <w:pPr>
              <w:autoSpaceDE w:val="0"/>
              <w:autoSpaceDN w:val="0"/>
              <w:adjustRightInd w:val="0"/>
              <w:ind w:firstLine="480"/>
              <w:jc w:val="left"/>
            </w:pPr>
            <w:r>
              <w:fldChar w:fldCharType="begin"/>
            </w:r>
            <w:r>
              <w:instrText xml:space="preserve"> = 9 \* GB3 </w:instrText>
            </w:r>
            <w:r>
              <w:fldChar w:fldCharType="separate"/>
            </w:r>
            <w:r>
              <w:rPr>
                <w:rFonts w:hint="eastAsia"/>
              </w:rPr>
              <w:t>⑨</w:t>
            </w:r>
            <w:r>
              <w:fldChar w:fldCharType="end"/>
            </w:r>
            <w:r>
              <w:t>危险废物定期交由有资质的处置单位接收处理，转运过程严格按照有关规定，实行联单制度。</w:t>
            </w:r>
          </w:p>
          <w:p>
            <w:pPr>
              <w:autoSpaceDE w:val="0"/>
              <w:autoSpaceDN w:val="0"/>
              <w:adjustRightInd w:val="0"/>
              <w:ind w:firstLine="480"/>
              <w:jc w:val="left"/>
            </w:pPr>
            <w:r>
              <w:t>采取上述措施后，能够确保本项目危险废物在厂内贮存时得到有效的处置，对环境影响较小。</w:t>
            </w:r>
          </w:p>
          <w:p>
            <w:pPr>
              <w:ind w:firstLine="480"/>
              <w:jc w:val="left"/>
            </w:pPr>
            <w:r>
              <w:rPr>
                <w:rFonts w:hint="eastAsia"/>
              </w:rPr>
              <w:t>（</w:t>
            </w:r>
            <w:r>
              <w:t>2</w:t>
            </w:r>
            <w:r>
              <w:rPr>
                <w:rFonts w:hint="eastAsia"/>
              </w:rPr>
              <w:t>）危险废物运输及转移过程环境影响分析</w:t>
            </w:r>
          </w:p>
          <w:p>
            <w:pPr>
              <w:ind w:firstLine="480"/>
              <w:jc w:val="left"/>
            </w:pPr>
            <w:r>
              <w:rPr>
                <w:rFonts w:hint="eastAsia"/>
              </w:rPr>
              <w:t>危险废物外运时严格按照国家环境保护总局令第</w:t>
            </w:r>
            <w:r>
              <w:t xml:space="preserve">5 </w:t>
            </w:r>
            <w:r>
              <w:rPr>
                <w:rFonts w:hint="eastAsia"/>
              </w:rPr>
              <w:t>号文件《危险废物转移联单管理办法》的相关规定报批危险废物转移计划，转移危险废物时按照规定填报危险废物转移联单，并向危险废物移出地和接受地的县级以上地方人民政府环境保护行政主管部门报告。运输危险废物的人员接受专业培训经考核合格后从事运输危险废物的工作；运输危险废物的资质单位应当制定在发生意外事故时采取的应急措施和防范措施方可运输；运输时，发生突发性事故必须立即采取措施消除或者减轻对环境的污染危害，及时通报给附近的单位和居民，并向事故发生地县级以上人民政府环境保护行政主管部门和有关部门报告，接受调查处理。运输过程中做到密闭，沿途不抛洒，应有明显的标志，并有防雨、防晒等设施。运输路线按照主管部门制定路线进行运输，同时应配备全球卫星定位和事故报警装置。</w:t>
            </w:r>
          </w:p>
          <w:p>
            <w:pPr>
              <w:ind w:firstLine="480"/>
              <w:jc w:val="left"/>
            </w:pPr>
            <w:r>
              <w:rPr>
                <w:rFonts w:hint="eastAsia"/>
              </w:rPr>
              <w:t>综上所述，项目运输过程做好相关工作对外环境的影响是可以控制的。</w:t>
            </w:r>
          </w:p>
          <w:p>
            <w:pPr>
              <w:ind w:firstLine="480"/>
              <w:jc w:val="left"/>
            </w:pPr>
            <w:r>
              <w:t>环评要求危险废物应及时转运，废物的转运过程中应封闭，以防散落，转运车辆应加盖蓬布，以防散入路面。危险废物的内部转运应综合考虑厂区的实际情况确定转运路线，尽量避开生活区和办公区；危险废物内部转运应采用专用的工具</w:t>
            </w:r>
            <w:r>
              <w:rPr>
                <w:rFonts w:hint="eastAsia"/>
              </w:rPr>
              <w:t>。</w:t>
            </w:r>
          </w:p>
          <w:p>
            <w:pPr>
              <w:ind w:firstLine="480"/>
              <w:jc w:val="left"/>
            </w:pPr>
            <w:r>
              <w:rPr>
                <w:rFonts w:hint="eastAsia"/>
              </w:rPr>
              <w:t>（3）委托利用或者处置的环境影响分析</w:t>
            </w:r>
          </w:p>
          <w:p>
            <w:pPr>
              <w:autoSpaceDE w:val="0"/>
              <w:autoSpaceDN w:val="0"/>
              <w:adjustRightInd w:val="0"/>
              <w:ind w:firstLine="480"/>
              <w:jc w:val="left"/>
            </w:pPr>
            <w:r>
              <w:rPr>
                <w:rFonts w:hint="eastAsia"/>
              </w:rPr>
              <w:t>根据安徽省环境保护厅公布的《安徽省危险废物经营许可证汇总统计表》，本次评价分析项目产生的危险废物有资质单位有能力接纳并利用、处置的部分单位如下：</w:t>
            </w:r>
          </w:p>
          <w:p>
            <w:pPr>
              <w:ind w:firstLine="482"/>
              <w:jc w:val="center"/>
              <w:rPr>
                <w:rFonts w:hint="eastAsia"/>
              </w:rPr>
            </w:pPr>
          </w:p>
          <w:p>
            <w:pPr>
              <w:ind w:firstLine="482"/>
              <w:jc w:val="center"/>
              <w:rPr>
                <w:rFonts w:hint="eastAsia"/>
              </w:rPr>
            </w:pPr>
          </w:p>
          <w:p>
            <w:pPr>
              <w:pStyle w:val="23"/>
              <w:bidi w:val="0"/>
            </w:pPr>
            <w:r>
              <w:rPr>
                <w:rFonts w:hint="eastAsia"/>
              </w:rPr>
              <w:t>表4-1</w:t>
            </w:r>
            <w:r>
              <w:rPr>
                <w:rFonts w:hint="eastAsia"/>
                <w:lang w:val="en-US" w:eastAsia="zh-CN"/>
              </w:rPr>
              <w:t>2</w:t>
            </w:r>
            <w:r>
              <w:rPr>
                <w:rFonts w:hint="eastAsia"/>
              </w:rPr>
              <w:t xml:space="preserve"> 危险废物处置单位一览表</w:t>
            </w:r>
          </w:p>
          <w:tbl>
            <w:tblPr>
              <w:tblStyle w:val="1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60"/>
              <w:gridCol w:w="1633"/>
              <w:gridCol w:w="1267"/>
              <w:gridCol w:w="489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69" w:hRule="atLeast"/>
                <w:jc w:val="center"/>
              </w:trPr>
              <w:tc>
                <w:tcPr>
                  <w:tcW w:w="560" w:type="dxa"/>
                  <w:shd w:val="clear" w:color="auto" w:fill="auto"/>
                  <w:vAlign w:val="center"/>
                </w:tcPr>
                <w:p>
                  <w:pPr>
                    <w:pStyle w:val="22"/>
                    <w:bidi w:val="0"/>
                    <w:rPr>
                      <w:b/>
                      <w:bCs/>
                    </w:rPr>
                  </w:pPr>
                  <w:r>
                    <w:rPr>
                      <w:rFonts w:hint="eastAsia"/>
                      <w:b/>
                      <w:bCs/>
                    </w:rPr>
                    <w:t>市县</w:t>
                  </w:r>
                </w:p>
              </w:tc>
              <w:tc>
                <w:tcPr>
                  <w:tcW w:w="1633" w:type="dxa"/>
                  <w:shd w:val="clear" w:color="auto" w:fill="auto"/>
                  <w:vAlign w:val="center"/>
                </w:tcPr>
                <w:p>
                  <w:pPr>
                    <w:pStyle w:val="22"/>
                    <w:bidi w:val="0"/>
                    <w:rPr>
                      <w:b/>
                      <w:bCs/>
                    </w:rPr>
                  </w:pPr>
                  <w:r>
                    <w:rPr>
                      <w:rFonts w:hint="eastAsia"/>
                      <w:b/>
                      <w:bCs/>
                    </w:rPr>
                    <w:t>企业名称</w:t>
                  </w:r>
                </w:p>
              </w:tc>
              <w:tc>
                <w:tcPr>
                  <w:tcW w:w="1267" w:type="dxa"/>
                  <w:shd w:val="clear" w:color="auto" w:fill="auto"/>
                  <w:vAlign w:val="center"/>
                </w:tcPr>
                <w:p>
                  <w:pPr>
                    <w:pStyle w:val="22"/>
                    <w:bidi w:val="0"/>
                    <w:rPr>
                      <w:b/>
                      <w:bCs/>
                    </w:rPr>
                  </w:pPr>
                  <w:r>
                    <w:rPr>
                      <w:rFonts w:hint="eastAsia"/>
                      <w:b/>
                      <w:bCs/>
                    </w:rPr>
                    <w:t>许可证编号</w:t>
                  </w:r>
                </w:p>
              </w:tc>
              <w:tc>
                <w:tcPr>
                  <w:tcW w:w="4897" w:type="dxa"/>
                  <w:shd w:val="clear" w:color="auto" w:fill="auto"/>
                  <w:vAlign w:val="center"/>
                </w:tcPr>
                <w:p>
                  <w:pPr>
                    <w:pStyle w:val="22"/>
                    <w:bidi w:val="0"/>
                    <w:rPr>
                      <w:b/>
                      <w:bCs/>
                    </w:rPr>
                  </w:pPr>
                  <w:r>
                    <w:rPr>
                      <w:rFonts w:hint="eastAsia"/>
                      <w:b/>
                      <w:bCs/>
                    </w:rPr>
                    <w:t>核准经营范围、类别</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60" w:type="dxa"/>
                  <w:shd w:val="clear" w:color="auto" w:fill="auto"/>
                  <w:vAlign w:val="center"/>
                </w:tcPr>
                <w:p>
                  <w:pPr>
                    <w:pStyle w:val="22"/>
                    <w:bidi w:val="0"/>
                  </w:pPr>
                  <w:r>
                    <w:rPr>
                      <w:rFonts w:hint="eastAsia"/>
                    </w:rPr>
                    <w:t>芜湖市</w:t>
                  </w:r>
                </w:p>
              </w:tc>
              <w:tc>
                <w:tcPr>
                  <w:tcW w:w="1633" w:type="dxa"/>
                  <w:shd w:val="clear" w:color="auto" w:fill="auto"/>
                  <w:vAlign w:val="center"/>
                </w:tcPr>
                <w:p>
                  <w:pPr>
                    <w:pStyle w:val="22"/>
                    <w:bidi w:val="0"/>
                  </w:pPr>
                  <w:r>
                    <w:rPr>
                      <w:rFonts w:hint="eastAsia"/>
                    </w:rPr>
                    <w:t>芜湖致源环保科技有限公司</w:t>
                  </w:r>
                </w:p>
              </w:tc>
              <w:tc>
                <w:tcPr>
                  <w:tcW w:w="1267" w:type="dxa"/>
                  <w:shd w:val="clear" w:color="auto" w:fill="auto"/>
                  <w:vAlign w:val="center"/>
                </w:tcPr>
                <w:p>
                  <w:pPr>
                    <w:pStyle w:val="22"/>
                    <w:bidi w:val="0"/>
                  </w:pPr>
                  <w:r>
                    <w:t>340203002</w:t>
                  </w:r>
                </w:p>
              </w:tc>
              <w:tc>
                <w:tcPr>
                  <w:tcW w:w="4897" w:type="dxa"/>
                  <w:shd w:val="clear" w:color="auto" w:fill="auto"/>
                  <w:vAlign w:val="center"/>
                </w:tcPr>
                <w:p>
                  <w:pPr>
                    <w:pStyle w:val="22"/>
                    <w:bidi w:val="0"/>
                  </w:pPr>
                  <w:r>
                    <w:rPr>
                      <w:rFonts w:hint="eastAsia"/>
                    </w:rPr>
                    <w:t>HW08废矿物油与含矿物油废物、HW09油水烃水混合物或乳化液，HW12染料涂料废物，HW17表面处理废物，HW49其他废物。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60" w:type="dxa"/>
                  <w:shd w:val="clear" w:color="auto" w:fill="auto"/>
                  <w:vAlign w:val="center"/>
                </w:tcPr>
                <w:p>
                  <w:pPr>
                    <w:pStyle w:val="22"/>
                    <w:bidi w:val="0"/>
                  </w:pPr>
                  <w:r>
                    <w:rPr>
                      <w:rFonts w:hint="eastAsia"/>
                    </w:rPr>
                    <w:t>芜湖市</w:t>
                  </w:r>
                </w:p>
              </w:tc>
              <w:tc>
                <w:tcPr>
                  <w:tcW w:w="1633" w:type="dxa"/>
                  <w:shd w:val="clear" w:color="auto" w:fill="auto"/>
                  <w:vAlign w:val="center"/>
                </w:tcPr>
                <w:p>
                  <w:pPr>
                    <w:pStyle w:val="22"/>
                    <w:bidi w:val="0"/>
                  </w:pPr>
                  <w:r>
                    <w:rPr>
                      <w:rFonts w:hint="eastAsia"/>
                    </w:rPr>
                    <w:t>芜湖海创环保科技有限责任公司</w:t>
                  </w:r>
                </w:p>
              </w:tc>
              <w:tc>
                <w:tcPr>
                  <w:tcW w:w="1267" w:type="dxa"/>
                  <w:shd w:val="clear" w:color="auto" w:fill="auto"/>
                  <w:vAlign w:val="center"/>
                </w:tcPr>
                <w:p>
                  <w:pPr>
                    <w:pStyle w:val="22"/>
                    <w:bidi w:val="0"/>
                  </w:pPr>
                  <w:r>
                    <w:t>340222002</w:t>
                  </w:r>
                </w:p>
              </w:tc>
              <w:tc>
                <w:tcPr>
                  <w:tcW w:w="4897" w:type="dxa"/>
                  <w:shd w:val="clear" w:color="auto" w:fill="auto"/>
                  <w:vAlign w:val="center"/>
                </w:tcPr>
                <w:p>
                  <w:pPr>
                    <w:pStyle w:val="22"/>
                    <w:bidi w:val="0"/>
                  </w:pPr>
                  <w:r>
                    <w:rPr>
                      <w:rFonts w:hint="eastAsia"/>
                    </w:rPr>
                    <w:t>HW02、HW04、HW06、HW08、HW09、HW11、HW12、HW13、HW17、HW18、HW22 、HW31、HW34、HW39、HW45、HW48、HW49等17大类，283小类。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60" w:type="dxa"/>
                  <w:shd w:val="clear" w:color="auto" w:fill="auto"/>
                  <w:vAlign w:val="center"/>
                </w:tcPr>
                <w:p>
                  <w:pPr>
                    <w:pStyle w:val="22"/>
                    <w:bidi w:val="0"/>
                  </w:pPr>
                  <w:r>
                    <w:rPr>
                      <w:rFonts w:hint="eastAsia"/>
                    </w:rPr>
                    <w:t>马鞍山市</w:t>
                  </w:r>
                </w:p>
              </w:tc>
              <w:tc>
                <w:tcPr>
                  <w:tcW w:w="1633" w:type="dxa"/>
                  <w:shd w:val="clear" w:color="auto" w:fill="auto"/>
                  <w:vAlign w:val="center"/>
                </w:tcPr>
                <w:p>
                  <w:pPr>
                    <w:pStyle w:val="22"/>
                    <w:bidi w:val="0"/>
                  </w:pPr>
                  <w:r>
                    <w:rPr>
                      <w:rFonts w:hint="eastAsia"/>
                    </w:rPr>
                    <w:t>马鞍山澳新环保科技有限公司</w:t>
                  </w:r>
                </w:p>
              </w:tc>
              <w:tc>
                <w:tcPr>
                  <w:tcW w:w="1267" w:type="dxa"/>
                  <w:shd w:val="clear" w:color="auto" w:fill="auto"/>
                  <w:vAlign w:val="center"/>
                </w:tcPr>
                <w:p>
                  <w:pPr>
                    <w:pStyle w:val="22"/>
                    <w:bidi w:val="0"/>
                  </w:pPr>
                  <w:r>
                    <w:t>340504001</w:t>
                  </w:r>
                </w:p>
              </w:tc>
              <w:tc>
                <w:tcPr>
                  <w:tcW w:w="4897" w:type="dxa"/>
                  <w:shd w:val="clear" w:color="auto" w:fill="auto"/>
                  <w:vAlign w:val="center"/>
                </w:tcPr>
                <w:p>
                  <w:pPr>
                    <w:pStyle w:val="22"/>
                    <w:bidi w:val="0"/>
                  </w:pPr>
                  <w:r>
                    <w:rPr>
                      <w:rFonts w:hint="eastAsia"/>
                    </w:rPr>
                    <w:t>HW01-HW06、HW08、HW09、HW11-HW14、HW16-HW18、HW21-HW23、HW29、 HW31-HW40、HW45、HW46、HW48-HW50焚烧10000吨/年（含医疗废物1000吨）、物化处理13000吨/年、固化、稳定化及安全填埋10100吨/年。</w:t>
                  </w:r>
                </w:p>
              </w:tc>
            </w:tr>
          </w:tbl>
          <w:p>
            <w:pPr>
              <w:autoSpaceDE w:val="0"/>
              <w:autoSpaceDN w:val="0"/>
              <w:adjustRightInd w:val="0"/>
              <w:ind w:firstLine="480"/>
              <w:jc w:val="left"/>
            </w:pPr>
            <w:r>
              <w:rPr>
                <w:rFonts w:hint="eastAsia"/>
              </w:rPr>
              <w:t>从上表可以看出，本项目产生的危险固体废物在安徽省内有多家适合的资质单位进行处理处置。</w:t>
            </w:r>
          </w:p>
          <w:p>
            <w:pPr>
              <w:autoSpaceDE w:val="0"/>
              <w:autoSpaceDN w:val="0"/>
              <w:adjustRightInd w:val="0"/>
              <w:ind w:firstLine="480"/>
              <w:jc w:val="left"/>
            </w:pPr>
            <w:r>
              <w:rPr>
                <w:rFonts w:hint="eastAsia"/>
              </w:rPr>
              <w:t>综上所述，本评价认为，在落实上述危险废物管理要求后，项目各类危废从收集、转运、运输、处理处置环节均可以得到有效的控制，能够确保妥善处置，不会对区域环境造成较大不利影响</w:t>
            </w:r>
            <w:r>
              <w:t>。</w:t>
            </w:r>
          </w:p>
          <w:p>
            <w:pPr>
              <w:bidi w:val="0"/>
              <w:rPr>
                <w:rFonts w:hint="eastAsia"/>
              </w:rPr>
            </w:pPr>
          </w:p>
          <w:p>
            <w:pPr>
              <w:bidi w:val="0"/>
            </w:pPr>
          </w:p>
          <w:p>
            <w:pPr>
              <w:bidi w:val="0"/>
              <w:rPr>
                <w:rFonts w:hint="eastAsia"/>
              </w:rPr>
            </w:pPr>
          </w:p>
          <w:p>
            <w:pPr>
              <w:bidi w:val="0"/>
            </w:pPr>
          </w:p>
          <w:p>
            <w:pPr>
              <w:bidi w:val="0"/>
              <w:rPr>
                <w:rFonts w:hint="eastAsia"/>
              </w:rPr>
            </w:pPr>
          </w:p>
          <w:p>
            <w:pPr>
              <w:bidi w:val="0"/>
            </w:pPr>
          </w:p>
          <w:p>
            <w:pPr>
              <w:bidi w:val="0"/>
            </w:pPr>
          </w:p>
          <w:p>
            <w:pPr>
              <w:bidi w:val="0"/>
            </w:pPr>
          </w:p>
          <w:p>
            <w:pPr>
              <w:bidi w:val="0"/>
            </w:pPr>
          </w:p>
          <w:p>
            <w:pPr>
              <w:bidi w:val="0"/>
            </w:pPr>
          </w:p>
          <w:p>
            <w:pPr>
              <w:bidi w:val="0"/>
            </w:pPr>
          </w:p>
          <w:p>
            <w:pPr>
              <w:bidi w:val="0"/>
            </w:pPr>
          </w:p>
          <w:p>
            <w:pPr>
              <w:bidi w:val="0"/>
            </w:pPr>
          </w:p>
          <w:p>
            <w:pPr>
              <w:bidi w:val="0"/>
              <w:rPr>
                <w:rFonts w:hint="eastAsia"/>
              </w:rPr>
            </w:pPr>
          </w:p>
          <w:p>
            <w:pPr>
              <w:bidi w:val="0"/>
            </w:pPr>
          </w:p>
          <w:p>
            <w:pPr>
              <w:bidi w:val="0"/>
              <w:rPr>
                <w:rFonts w:hint="eastAsia"/>
              </w:rPr>
            </w:pPr>
          </w:p>
          <w:p>
            <w:pPr>
              <w:autoSpaceDE w:val="0"/>
              <w:autoSpaceDN w:val="0"/>
              <w:adjustRightInd w:val="0"/>
              <w:spacing w:before="156" w:beforeLines="50"/>
              <w:ind w:firstLine="482"/>
              <w:jc w:val="left"/>
              <w:rPr>
                <w:b/>
                <w:bCs/>
              </w:rPr>
            </w:pPr>
            <w:r>
              <w:rPr>
                <w:rFonts w:hint="eastAsia"/>
                <w:b/>
                <w:bCs/>
              </w:rPr>
              <w:t>五、地下水、土壤环境影响和保护措施</w:t>
            </w:r>
          </w:p>
          <w:p>
            <w:pPr>
              <w:ind w:firstLine="482"/>
              <w:rPr>
                <w:b/>
                <w:bCs/>
              </w:rPr>
            </w:pPr>
            <w:bookmarkStart w:id="6" w:name="_Toc355948545"/>
            <w:bookmarkStart w:id="7" w:name="_Toc350338948"/>
            <w:bookmarkStart w:id="8" w:name="_Toc364165777"/>
            <w:r>
              <w:rPr>
                <w:rFonts w:hint="eastAsia"/>
                <w:b/>
                <w:bCs/>
              </w:rPr>
              <w:t>1、污染环节分析</w:t>
            </w:r>
          </w:p>
          <w:p>
            <w:pPr>
              <w:ind w:firstLine="480"/>
              <w:jc w:val="left"/>
            </w:pPr>
            <w:r>
              <w:rPr>
                <w:rFonts w:hint="eastAsia"/>
              </w:rPr>
              <w:t>本项目营运期废气主要为</w:t>
            </w:r>
            <w:r>
              <w:rPr>
                <w:rFonts w:hint="eastAsia"/>
                <w:lang w:val="en-US" w:eastAsia="zh-CN"/>
              </w:rPr>
              <w:t>打磨粉尘和焊接烟尘</w:t>
            </w:r>
            <w:r>
              <w:rPr>
                <w:rFonts w:hint="eastAsia"/>
              </w:rPr>
              <w:t>。对地下水环境影响途径主要为受大气沉降影响。本项目润滑油、液压油储放区域、铣床、加工中心区域、危废暂存场所，对地下水环境的潜在影响主要是垂直入渗透。</w:t>
            </w:r>
          </w:p>
          <w:p>
            <w:pPr>
              <w:spacing w:before="156"/>
              <w:ind w:firstLine="482"/>
              <w:rPr>
                <w:b/>
                <w:bCs/>
              </w:rPr>
            </w:pPr>
            <w:r>
              <w:rPr>
                <w:rFonts w:hint="eastAsia"/>
                <w:b/>
                <w:bCs/>
              </w:rPr>
              <w:t>2、</w:t>
            </w:r>
            <w:r>
              <w:rPr>
                <w:b/>
                <w:bCs/>
              </w:rPr>
              <w:t>污染防治措施。</w:t>
            </w:r>
          </w:p>
          <w:bookmarkEnd w:id="6"/>
          <w:bookmarkEnd w:id="7"/>
          <w:bookmarkEnd w:id="8"/>
          <w:p>
            <w:pPr>
              <w:adjustRightInd w:val="0"/>
              <w:ind w:firstLine="480"/>
            </w:pPr>
            <w:r>
              <w:rPr>
                <w:rFonts w:hint="eastAsia"/>
              </w:rPr>
              <w:t>针对可能对地下水造成影响的各环节，按照“考虑重点，辐射全面”的防腐防渗原则，一般防渗区的防渗性能要求等效黏土防渗层Mb≥1.5m，渗透系数K≤10-7cm/s；重点防腐防渗区的防渗性能要求等效黏土防渗层Mb≥6m，渗透系数K≤10-7cm/s；除重点防渗区和一般防渗区以外的区域为简单防渗区，采取一般地面硬化。项目防腐、防渗等防止地下水、土壤污染预防措施见下表。</w:t>
            </w:r>
          </w:p>
          <w:p>
            <w:pPr>
              <w:pStyle w:val="23"/>
            </w:pPr>
            <w:r>
              <w:t>表</w:t>
            </w:r>
            <w:r>
              <w:rPr>
                <w:rFonts w:hint="eastAsia"/>
              </w:rPr>
              <w:t>4-1</w:t>
            </w:r>
            <w:r>
              <w:rPr>
                <w:rFonts w:hint="eastAsia"/>
                <w:lang w:val="en-US" w:eastAsia="zh-CN"/>
              </w:rPr>
              <w:t>3</w:t>
            </w:r>
            <w:r>
              <w:t xml:space="preserve">  地下水污染防治分区</w:t>
            </w:r>
          </w:p>
          <w:tbl>
            <w:tblPr>
              <w:tblStyle w:val="1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91"/>
              <w:gridCol w:w="2095"/>
              <w:gridCol w:w="2001"/>
              <w:gridCol w:w="2304"/>
              <w:gridCol w:w="126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13" w:type="pct"/>
                  <w:vAlign w:val="center"/>
                </w:tcPr>
                <w:p>
                  <w:pPr>
                    <w:pStyle w:val="22"/>
                    <w:rPr>
                      <w:rFonts w:hint="eastAsia"/>
                      <w:lang w:eastAsia="zh-CN"/>
                    </w:rPr>
                  </w:pPr>
                  <w:r>
                    <w:rPr>
                      <w:rFonts w:hint="eastAsia"/>
                      <w:lang w:val="en-US" w:eastAsia="zh-CN"/>
                    </w:rPr>
                    <w:t>序号</w:t>
                  </w:r>
                </w:p>
              </w:tc>
              <w:tc>
                <w:tcPr>
                  <w:tcW w:w="1253" w:type="pct"/>
                  <w:vAlign w:val="center"/>
                </w:tcPr>
                <w:p>
                  <w:pPr>
                    <w:pStyle w:val="22"/>
                  </w:pPr>
                  <w:r>
                    <w:rPr>
                      <w:rFonts w:hint="eastAsia"/>
                    </w:rPr>
                    <w:t>主要环节</w:t>
                  </w:r>
                </w:p>
              </w:tc>
              <w:tc>
                <w:tcPr>
                  <w:tcW w:w="1197" w:type="pct"/>
                  <w:vAlign w:val="center"/>
                </w:tcPr>
                <w:p>
                  <w:pPr>
                    <w:pStyle w:val="22"/>
                  </w:pPr>
                  <w:r>
                    <w:rPr>
                      <w:rFonts w:hint="eastAsia"/>
                    </w:rPr>
                    <w:t>防渗处理措施</w:t>
                  </w:r>
                </w:p>
              </w:tc>
              <w:tc>
                <w:tcPr>
                  <w:tcW w:w="1378" w:type="pct"/>
                  <w:vAlign w:val="center"/>
                </w:tcPr>
                <w:p>
                  <w:pPr>
                    <w:pStyle w:val="22"/>
                  </w:pPr>
                  <w:r>
                    <w:rPr>
                      <w:rFonts w:hint="eastAsia"/>
                    </w:rPr>
                    <w:t>防渗技术要求</w:t>
                  </w:r>
                </w:p>
              </w:tc>
              <w:tc>
                <w:tcPr>
                  <w:tcW w:w="757" w:type="pct"/>
                  <w:vAlign w:val="center"/>
                </w:tcPr>
                <w:p>
                  <w:pPr>
                    <w:pStyle w:val="22"/>
                  </w:pPr>
                  <w:r>
                    <w:rPr>
                      <w:rFonts w:hint="eastAsia"/>
                    </w:rPr>
                    <w:t>防渗类型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13" w:type="pct"/>
                  <w:vAlign w:val="center"/>
                </w:tcPr>
                <w:p>
                  <w:pPr>
                    <w:pStyle w:val="22"/>
                    <w:bidi w:val="0"/>
                    <w:rPr>
                      <w:rFonts w:hint="default"/>
                      <w:lang w:val="en-US" w:eastAsia="zh-CN"/>
                    </w:rPr>
                  </w:pPr>
                  <w:r>
                    <w:rPr>
                      <w:rFonts w:hint="eastAsia"/>
                      <w:lang w:val="en-US" w:eastAsia="zh-CN"/>
                    </w:rPr>
                    <w:t>1</w:t>
                  </w:r>
                </w:p>
              </w:tc>
              <w:tc>
                <w:tcPr>
                  <w:tcW w:w="1253" w:type="pct"/>
                  <w:vAlign w:val="center"/>
                </w:tcPr>
                <w:p>
                  <w:pPr>
                    <w:pStyle w:val="22"/>
                    <w:bidi w:val="0"/>
                  </w:pPr>
                  <w:r>
                    <w:rPr>
                      <w:rFonts w:hint="eastAsia"/>
                    </w:rPr>
                    <w:t>危废间、油类等液体原料存放区、铣床加工中心生产区域</w:t>
                  </w:r>
                </w:p>
              </w:tc>
              <w:tc>
                <w:tcPr>
                  <w:tcW w:w="1197" w:type="pct"/>
                  <w:vAlign w:val="center"/>
                </w:tcPr>
                <w:p>
                  <w:pPr>
                    <w:pStyle w:val="22"/>
                    <w:bidi w:val="0"/>
                  </w:pPr>
                  <w:r>
                    <w:rPr>
                      <w:rFonts w:hint="eastAsia"/>
                    </w:rPr>
                    <w:t>采用混凝土基础，上层铺防腐防渗环氧树脂地坪</w:t>
                  </w:r>
                </w:p>
              </w:tc>
              <w:tc>
                <w:tcPr>
                  <w:tcW w:w="1378" w:type="pct"/>
                  <w:vAlign w:val="center"/>
                </w:tcPr>
                <w:p>
                  <w:pPr>
                    <w:pStyle w:val="22"/>
                    <w:bidi w:val="0"/>
                  </w:pPr>
                  <w:r>
                    <w:rPr>
                      <w:rFonts w:hint="eastAsia"/>
                    </w:rPr>
                    <w:t>等效黏土防渗层Mb≥6.0m，K≤10-7cm/s；或参照GB18598执行</w:t>
                  </w:r>
                </w:p>
              </w:tc>
              <w:tc>
                <w:tcPr>
                  <w:tcW w:w="757" w:type="pct"/>
                  <w:vAlign w:val="center"/>
                </w:tcPr>
                <w:p>
                  <w:pPr>
                    <w:pStyle w:val="22"/>
                    <w:bidi w:val="0"/>
                  </w:pPr>
                  <w:r>
                    <w:rPr>
                      <w:rFonts w:hint="eastAsia"/>
                    </w:rPr>
                    <w:t>重点防渗区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13" w:type="pct"/>
                  <w:vAlign w:val="center"/>
                </w:tcPr>
                <w:p>
                  <w:pPr>
                    <w:pStyle w:val="22"/>
                    <w:bidi w:val="0"/>
                    <w:rPr>
                      <w:rFonts w:hint="eastAsia"/>
                      <w:lang w:val="en-US" w:eastAsia="zh-CN"/>
                    </w:rPr>
                  </w:pPr>
                  <w:r>
                    <w:rPr>
                      <w:rFonts w:hint="eastAsia"/>
                      <w:lang w:val="en-US" w:eastAsia="zh-CN"/>
                    </w:rPr>
                    <w:t>2</w:t>
                  </w:r>
                </w:p>
              </w:tc>
              <w:tc>
                <w:tcPr>
                  <w:tcW w:w="1253" w:type="pct"/>
                  <w:vAlign w:val="center"/>
                </w:tcPr>
                <w:p>
                  <w:pPr>
                    <w:pStyle w:val="22"/>
                    <w:bidi w:val="0"/>
                    <w:rPr>
                      <w:rFonts w:hint="default"/>
                      <w:lang w:val="en-US" w:eastAsia="zh-CN"/>
                    </w:rPr>
                  </w:pPr>
                  <w:r>
                    <w:rPr>
                      <w:rFonts w:hint="eastAsia"/>
                    </w:rPr>
                    <w:t>一般固废暂存区、生产车间</w:t>
                  </w:r>
                </w:p>
              </w:tc>
              <w:tc>
                <w:tcPr>
                  <w:tcW w:w="1197" w:type="pct"/>
                  <w:vAlign w:val="center"/>
                </w:tcPr>
                <w:p>
                  <w:pPr>
                    <w:pStyle w:val="22"/>
                    <w:bidi w:val="0"/>
                  </w:pPr>
                  <w:r>
                    <w:rPr>
                      <w:rFonts w:hint="eastAsia"/>
                    </w:rPr>
                    <w:t>采用混凝土硬化</w:t>
                  </w:r>
                </w:p>
              </w:tc>
              <w:tc>
                <w:tcPr>
                  <w:tcW w:w="1378" w:type="pct"/>
                  <w:vAlign w:val="center"/>
                </w:tcPr>
                <w:p>
                  <w:pPr>
                    <w:pStyle w:val="22"/>
                    <w:bidi w:val="0"/>
                  </w:pPr>
                  <w:r>
                    <w:rPr>
                      <w:rFonts w:hint="eastAsia"/>
                    </w:rPr>
                    <w:t>等效黏土防渗层Mb≥1.5m，K≤10-7cm/s；或参照GB16889执行</w:t>
                  </w:r>
                </w:p>
              </w:tc>
              <w:tc>
                <w:tcPr>
                  <w:tcW w:w="757" w:type="pct"/>
                  <w:vAlign w:val="center"/>
                </w:tcPr>
                <w:p>
                  <w:pPr>
                    <w:pStyle w:val="22"/>
                    <w:bidi w:val="0"/>
                  </w:pPr>
                  <w:r>
                    <w:rPr>
                      <w:rFonts w:hint="eastAsia"/>
                    </w:rPr>
                    <w:t>一般防渗区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13" w:type="pct"/>
                  <w:vAlign w:val="center"/>
                </w:tcPr>
                <w:p>
                  <w:pPr>
                    <w:pStyle w:val="22"/>
                    <w:bidi w:val="0"/>
                    <w:rPr>
                      <w:rFonts w:hint="default"/>
                      <w:lang w:val="en-US" w:eastAsia="zh-CN"/>
                    </w:rPr>
                  </w:pPr>
                  <w:r>
                    <w:rPr>
                      <w:rFonts w:hint="eastAsia"/>
                      <w:lang w:val="en-US" w:eastAsia="zh-CN"/>
                    </w:rPr>
                    <w:t>3</w:t>
                  </w:r>
                </w:p>
              </w:tc>
              <w:tc>
                <w:tcPr>
                  <w:tcW w:w="1253" w:type="pct"/>
                  <w:vAlign w:val="center"/>
                </w:tcPr>
                <w:p>
                  <w:pPr>
                    <w:pStyle w:val="22"/>
                    <w:bidi w:val="0"/>
                    <w:rPr>
                      <w:rFonts w:hint="eastAsia"/>
                      <w:lang w:val="en-US" w:eastAsia="zh-CN"/>
                    </w:rPr>
                  </w:pPr>
                  <w:r>
                    <w:rPr>
                      <w:rFonts w:hint="eastAsia"/>
                      <w:lang w:val="en-US" w:eastAsia="zh-CN"/>
                    </w:rPr>
                    <w:t>重点、一般污染防治区之外的区域（包括办公区域、绿化区）</w:t>
                  </w:r>
                </w:p>
              </w:tc>
              <w:tc>
                <w:tcPr>
                  <w:tcW w:w="1197" w:type="pct"/>
                  <w:vAlign w:val="center"/>
                </w:tcPr>
                <w:p>
                  <w:pPr>
                    <w:pStyle w:val="22"/>
                    <w:bidi w:val="0"/>
                  </w:pPr>
                  <w:r>
                    <w:rPr>
                      <w:rFonts w:hint="eastAsia"/>
                    </w:rPr>
                    <w:t>天然粘土层+一般地面硬化</w:t>
                  </w:r>
                </w:p>
              </w:tc>
              <w:tc>
                <w:tcPr>
                  <w:tcW w:w="1378" w:type="pct"/>
                  <w:vAlign w:val="center"/>
                </w:tcPr>
                <w:p>
                  <w:pPr>
                    <w:pStyle w:val="22"/>
                    <w:bidi w:val="0"/>
                  </w:pPr>
                  <w:r>
                    <w:rPr>
                      <w:rFonts w:hint="eastAsia"/>
                    </w:rPr>
                    <w:t>一般地面硬化</w:t>
                  </w:r>
                </w:p>
              </w:tc>
              <w:tc>
                <w:tcPr>
                  <w:tcW w:w="757" w:type="pct"/>
                  <w:vAlign w:val="center"/>
                </w:tcPr>
                <w:p>
                  <w:pPr>
                    <w:pStyle w:val="22"/>
                    <w:bidi w:val="0"/>
                  </w:pPr>
                  <w:r>
                    <w:rPr>
                      <w:rFonts w:hint="eastAsia"/>
                    </w:rPr>
                    <w:t>简单防渗区</w:t>
                  </w:r>
                </w:p>
              </w:tc>
            </w:tr>
          </w:tbl>
          <w:p>
            <w:pPr>
              <w:ind w:firstLine="480"/>
              <w:rPr>
                <w:rFonts w:hint="eastAsia"/>
              </w:rPr>
            </w:pPr>
            <w:r>
              <w:rPr>
                <w:rFonts w:hint="eastAsia"/>
              </w:rPr>
              <w:t>经采取有效的分区防渗措施及污染防控措施，项目对区域地下水、土壤环境基本不造成影响。</w:t>
            </w:r>
          </w:p>
          <w:p>
            <w:pPr>
              <w:bidi w:val="0"/>
              <w:rPr>
                <w:rFonts w:hint="eastAsia"/>
              </w:rPr>
            </w:pPr>
          </w:p>
          <w:p>
            <w:pPr>
              <w:bidi w:val="0"/>
              <w:rPr>
                <w:rFonts w:hint="eastAsia"/>
              </w:rPr>
            </w:pPr>
          </w:p>
          <w:p>
            <w:pPr>
              <w:bidi w:val="0"/>
              <w:rPr>
                <w:rFonts w:hint="eastAsia"/>
              </w:rPr>
            </w:pPr>
          </w:p>
          <w:p>
            <w:pPr>
              <w:bidi w:val="0"/>
              <w:rPr>
                <w:rFonts w:hint="eastAsia"/>
              </w:rPr>
            </w:pPr>
          </w:p>
          <w:p>
            <w:pPr>
              <w:rPr>
                <w:rFonts w:hint="eastAsi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527" w:hRule="atLeast"/>
          <w:jc w:val="center"/>
        </w:trPr>
        <w:tc>
          <w:tcPr>
            <w:tcW w:w="487" w:type="dxa"/>
            <w:tcBorders>
              <w:tl2br w:val="nil"/>
              <w:tr2bl w:val="nil"/>
            </w:tcBorders>
            <w:shd w:val="clear" w:color="auto" w:fill="auto"/>
          </w:tcPr>
          <w:p>
            <w:pPr>
              <w:tabs>
                <w:tab w:val="left" w:pos="1077"/>
              </w:tabs>
              <w:ind w:firstLine="480"/>
              <w:rPr>
                <w:rFonts w:cs="宋体"/>
              </w:rPr>
            </w:pPr>
          </w:p>
        </w:tc>
        <w:tc>
          <w:tcPr>
            <w:tcW w:w="8573" w:type="dxa"/>
            <w:tcBorders>
              <w:tl2br w:val="nil"/>
              <w:tr2bl w:val="nil"/>
            </w:tcBorders>
            <w:shd w:val="clear" w:color="auto" w:fill="auto"/>
          </w:tcPr>
          <w:p>
            <w:pPr>
              <w:spacing w:before="156"/>
              <w:ind w:firstLine="482"/>
              <w:rPr>
                <w:b/>
                <w:bCs/>
              </w:rPr>
            </w:pPr>
            <w:r>
              <w:rPr>
                <w:rFonts w:hint="eastAsia"/>
                <w:b/>
                <w:bCs/>
              </w:rPr>
              <w:t>六、环境风险分析</w:t>
            </w:r>
          </w:p>
          <w:p>
            <w:pPr>
              <w:ind w:firstLine="480"/>
              <w:rPr>
                <w:b/>
                <w:bCs/>
              </w:rPr>
            </w:pPr>
            <w:r>
              <w:rPr>
                <w:rFonts w:hint="eastAsia"/>
                <w:b/>
                <w:bCs/>
              </w:rPr>
              <w:t>1、风险源调查</w:t>
            </w:r>
          </w:p>
          <w:p>
            <w:pPr>
              <w:ind w:firstLine="480"/>
              <w:rPr>
                <w:rFonts w:hint="eastAsia"/>
              </w:rPr>
            </w:pPr>
            <w:r>
              <w:rPr>
                <w:rFonts w:hint="eastAsia"/>
              </w:rPr>
              <w:t>本次评价将针对本项目涉及的原辅材料、三废、产品等进行物质危险性识别，根据《建设项目环境风险评价技术导则》（HJ/T169-2018）附录B，本项目存在危险性的主要物质有润滑油、废润滑油、液压油、废液压油及废切削液。</w:t>
            </w:r>
          </w:p>
          <w:p>
            <w:pPr>
              <w:ind w:firstLine="480"/>
              <w:rPr>
                <w:rFonts w:hint="eastAsia"/>
                <w:b/>
                <w:bCs/>
              </w:rPr>
            </w:pPr>
            <w:r>
              <w:rPr>
                <w:rFonts w:hint="eastAsia"/>
                <w:b/>
                <w:bCs/>
                <w:lang w:val="en-US" w:eastAsia="zh-CN"/>
              </w:rPr>
              <w:t>2、</w:t>
            </w:r>
            <w:r>
              <w:rPr>
                <w:rFonts w:hint="eastAsia"/>
                <w:b/>
                <w:bCs/>
              </w:rPr>
              <w:t>风险潜势初判</w:t>
            </w:r>
          </w:p>
          <w:p>
            <w:pPr>
              <w:ind w:firstLine="480"/>
              <w:rPr>
                <w:rFonts w:hint="eastAsia"/>
              </w:rPr>
            </w:pPr>
            <w:r>
              <w:rPr>
                <w:rFonts w:hint="eastAsia"/>
              </w:rPr>
              <w:t>（1）危险物质数量与临界量比值（Q）</w:t>
            </w:r>
          </w:p>
          <w:p>
            <w:pPr>
              <w:ind w:firstLine="480"/>
            </w:pPr>
            <w:r>
              <w:rPr>
                <w:rFonts w:hint="eastAsia"/>
              </w:rPr>
              <w:t>计算所涉及的每种危险物质在厂界内的最大存在总量与其在附录B中对应临界量的比值Q。在不同厂区的同一种物质，按其在厂界内的最大存在总量计算。对于长输管线项目，按照两个截断阀室之间管段危险物质最大存在总量计算。</w:t>
            </w:r>
          </w:p>
          <w:p>
            <w:pPr>
              <w:ind w:firstLine="480"/>
            </w:pPr>
            <w:r>
              <w:rPr>
                <w:rFonts w:hint="eastAsia"/>
              </w:rPr>
              <w:t>当只涉及一种危险物质时，计算该物质的总量与其临界量比值，即为Q；</w:t>
            </w:r>
          </w:p>
          <w:p>
            <w:pPr>
              <w:ind w:firstLine="480"/>
            </w:pPr>
            <w:r>
              <w:rPr>
                <w:rFonts w:hint="eastAsia"/>
              </w:rPr>
              <w:t>当存在多种危险物质时，则按下式计算物质总量与其临界量比值(Q)：</w:t>
            </w:r>
          </w:p>
          <w:p>
            <w:pPr>
              <w:ind w:firstLine="480"/>
              <w:jc w:val="center"/>
            </w:pPr>
            <m:oMathPara>
              <m:oMath>
                <m:r>
                  <m:rPr>
                    <m:sty m:val="p"/>
                  </m:rPr>
                  <w:rPr>
                    <w:rFonts w:ascii="Cambria Math" w:hAnsi="Cambria Math"/>
                  </w:rPr>
                  <m:t>Q=</m:t>
                </m:r>
                <m:f>
                  <m:fPr>
                    <m:ctrlPr>
                      <w:rPr>
                        <w:rFonts w:ascii="Cambria Math" w:hAnsi="Cambria Math"/>
                      </w:rPr>
                    </m:ctrlPr>
                  </m:fPr>
                  <m:num>
                    <m:sSub>
                      <m:sSubPr>
                        <m:ctrlPr>
                          <w:rPr>
                            <w:rFonts w:ascii="Cambria Math" w:hAnsi="Cambria Math"/>
                            <w:i/>
                          </w:rPr>
                        </m:ctrlPr>
                      </m:sSubPr>
                      <m:e>
                        <m:r>
                          <m:rPr/>
                          <w:rPr>
                            <w:rFonts w:ascii="Cambria Math" w:hAnsi="Cambria Math"/>
                          </w:rPr>
                          <m:t>q</m:t>
                        </m:r>
                        <m:ctrlPr>
                          <w:rPr>
                            <w:rFonts w:ascii="Cambria Math" w:hAnsi="Cambria Math"/>
                            <w:i/>
                          </w:rPr>
                        </m:ctrlPr>
                      </m:e>
                      <m:sub>
                        <m:r>
                          <m:rPr/>
                          <w:rPr>
                            <w:rFonts w:ascii="Cambria Math" w:hAnsi="Cambria Math"/>
                          </w:rPr>
                          <m:t>1</m:t>
                        </m:r>
                        <m:ctrlPr>
                          <w:rPr>
                            <w:rFonts w:ascii="Cambria Math" w:hAnsi="Cambria Math"/>
                            <w:i/>
                          </w:rPr>
                        </m:ctrlPr>
                      </m:sub>
                    </m:sSub>
                    <m:ctrlPr>
                      <w:rPr>
                        <w:rFonts w:ascii="Cambria Math" w:hAnsi="Cambria Math"/>
                      </w:rPr>
                    </m:ctrlPr>
                  </m:num>
                  <m:den>
                    <m:sSub>
                      <m:sSubPr>
                        <m:ctrlPr>
                          <w:rPr>
                            <w:rFonts w:ascii="Cambria Math" w:hAnsi="Cambria Math"/>
                            <w:i/>
                          </w:rPr>
                        </m:ctrlPr>
                      </m:sSubPr>
                      <m:e>
                        <m:r>
                          <m:rPr/>
                          <w:rPr>
                            <w:rFonts w:ascii="Cambria Math" w:hAnsi="Cambria Math"/>
                          </w:rPr>
                          <m:t>Q</m:t>
                        </m:r>
                        <m:ctrlPr>
                          <w:rPr>
                            <w:rFonts w:ascii="Cambria Math" w:hAnsi="Cambria Math"/>
                            <w:i/>
                          </w:rPr>
                        </m:ctrlPr>
                      </m:e>
                      <m:sub>
                        <m:r>
                          <m:rPr/>
                          <w:rPr>
                            <w:rFonts w:ascii="Cambria Math" w:hAnsi="Cambria Math"/>
                          </w:rPr>
                          <m:t>1</m:t>
                        </m:r>
                        <m:ctrlPr>
                          <w:rPr>
                            <w:rFonts w:ascii="Cambria Math" w:hAnsi="Cambria Math"/>
                            <w:i/>
                          </w:rPr>
                        </m:ctrlPr>
                      </m:sub>
                    </m:sSub>
                    <m:ctrlPr>
                      <w:rPr>
                        <w:rFonts w:ascii="Cambria Math" w:hAnsi="Cambria Math"/>
                      </w:rPr>
                    </m:ctrlPr>
                  </m:den>
                </m:f>
                <m:r>
                  <m:rPr/>
                  <w:rPr>
                    <w:rFonts w:ascii="Cambria Math" w:hAnsi="Cambria Math"/>
                  </w:rPr>
                  <m:t>+</m:t>
                </m:r>
                <m:f>
                  <m:fPr>
                    <m:ctrlPr>
                      <w:rPr>
                        <w:rFonts w:ascii="Cambria Math" w:hAnsi="Cambria Math"/>
                      </w:rPr>
                    </m:ctrlPr>
                  </m:fPr>
                  <m:num>
                    <m:sSub>
                      <m:sSubPr>
                        <m:ctrlPr>
                          <w:rPr>
                            <w:rFonts w:ascii="Cambria Math" w:hAnsi="Cambria Math"/>
                            <w:i/>
                          </w:rPr>
                        </m:ctrlPr>
                      </m:sSubPr>
                      <m:e>
                        <m:r>
                          <m:rPr/>
                          <w:rPr>
                            <w:rFonts w:ascii="Cambria Math" w:hAnsi="Cambria Math"/>
                          </w:rPr>
                          <m:t>q</m:t>
                        </m:r>
                        <m:ctrlPr>
                          <w:rPr>
                            <w:rFonts w:ascii="Cambria Math" w:hAnsi="Cambria Math"/>
                            <w:i/>
                          </w:rPr>
                        </m:ctrlPr>
                      </m:e>
                      <m:sub>
                        <m:r>
                          <m:rPr/>
                          <w:rPr>
                            <w:rFonts w:ascii="Cambria Math" w:hAnsi="Cambria Math"/>
                          </w:rPr>
                          <m:t>2</m:t>
                        </m:r>
                        <m:ctrlPr>
                          <w:rPr>
                            <w:rFonts w:ascii="Cambria Math" w:hAnsi="Cambria Math"/>
                            <w:i/>
                          </w:rPr>
                        </m:ctrlPr>
                      </m:sub>
                    </m:sSub>
                    <m:ctrlPr>
                      <w:rPr>
                        <w:rFonts w:ascii="Cambria Math" w:hAnsi="Cambria Math"/>
                      </w:rPr>
                    </m:ctrlPr>
                  </m:num>
                  <m:den>
                    <m:sSub>
                      <m:sSubPr>
                        <m:ctrlPr>
                          <w:rPr>
                            <w:rFonts w:ascii="Cambria Math" w:hAnsi="Cambria Math"/>
                            <w:i/>
                          </w:rPr>
                        </m:ctrlPr>
                      </m:sSubPr>
                      <m:e>
                        <m:r>
                          <m:rPr/>
                          <w:rPr>
                            <w:rFonts w:ascii="Cambria Math" w:hAnsi="Cambria Math"/>
                          </w:rPr>
                          <m:t>Q</m:t>
                        </m:r>
                        <m:ctrlPr>
                          <w:rPr>
                            <w:rFonts w:ascii="Cambria Math" w:hAnsi="Cambria Math"/>
                            <w:i/>
                          </w:rPr>
                        </m:ctrlPr>
                      </m:e>
                      <m:sub>
                        <m:r>
                          <m:rPr/>
                          <w:rPr>
                            <w:rFonts w:ascii="Cambria Math" w:hAnsi="Cambria Math"/>
                          </w:rPr>
                          <m:t>2</m:t>
                        </m:r>
                        <m:ctrlPr>
                          <w:rPr>
                            <w:rFonts w:ascii="Cambria Math" w:hAnsi="Cambria Math"/>
                            <w:i/>
                          </w:rPr>
                        </m:ctrlPr>
                      </m:sub>
                    </m:sSub>
                    <m:ctrlPr>
                      <w:rPr>
                        <w:rFonts w:ascii="Cambria Math" w:hAnsi="Cambria Math"/>
                      </w:rPr>
                    </m:ctrlPr>
                  </m:den>
                </m:f>
                <m:r>
                  <m:rPr/>
                  <w:rPr>
                    <w:rFonts w:ascii="Cambria Math" w:hAnsi="Cambria Math"/>
                  </w:rPr>
                  <m:t>+⋯+</m:t>
                </m:r>
                <m:f>
                  <m:fPr>
                    <m:ctrlPr>
                      <w:rPr>
                        <w:rFonts w:ascii="Cambria Math" w:hAnsi="Cambria Math"/>
                      </w:rPr>
                    </m:ctrlPr>
                  </m:fPr>
                  <m:num>
                    <m:sSub>
                      <m:sSubPr>
                        <m:ctrlPr>
                          <w:rPr>
                            <w:rFonts w:ascii="Cambria Math" w:hAnsi="Cambria Math"/>
                            <w:i/>
                          </w:rPr>
                        </m:ctrlPr>
                      </m:sSubPr>
                      <m:e>
                        <m:r>
                          <m:rPr/>
                          <w:rPr>
                            <w:rFonts w:ascii="Cambria Math" w:hAnsi="Cambria Math"/>
                          </w:rPr>
                          <m:t>q</m:t>
                        </m:r>
                        <m:ctrlPr>
                          <w:rPr>
                            <w:rFonts w:ascii="Cambria Math" w:hAnsi="Cambria Math"/>
                            <w:i/>
                          </w:rPr>
                        </m:ctrlPr>
                      </m:e>
                      <m:sub>
                        <m:r>
                          <m:rPr/>
                          <w:rPr>
                            <w:rFonts w:ascii="Cambria Math" w:hAnsi="Cambria Math"/>
                          </w:rPr>
                          <m:t>n</m:t>
                        </m:r>
                        <m:ctrlPr>
                          <w:rPr>
                            <w:rFonts w:ascii="Cambria Math" w:hAnsi="Cambria Math"/>
                            <w:i/>
                          </w:rPr>
                        </m:ctrlPr>
                      </m:sub>
                    </m:sSub>
                    <m:ctrlPr>
                      <w:rPr>
                        <w:rFonts w:ascii="Cambria Math" w:hAnsi="Cambria Math"/>
                      </w:rPr>
                    </m:ctrlPr>
                  </m:num>
                  <m:den>
                    <m:sSub>
                      <m:sSubPr>
                        <m:ctrlPr>
                          <w:rPr>
                            <w:rFonts w:ascii="Cambria Math" w:hAnsi="Cambria Math"/>
                            <w:i/>
                          </w:rPr>
                        </m:ctrlPr>
                      </m:sSubPr>
                      <m:e>
                        <m:r>
                          <m:rPr/>
                          <w:rPr>
                            <w:rFonts w:ascii="Cambria Math" w:hAnsi="Cambria Math"/>
                          </w:rPr>
                          <m:t>Q</m:t>
                        </m:r>
                        <m:ctrlPr>
                          <w:rPr>
                            <w:rFonts w:ascii="Cambria Math" w:hAnsi="Cambria Math"/>
                            <w:i/>
                          </w:rPr>
                        </m:ctrlPr>
                      </m:e>
                      <m:sub>
                        <m:r>
                          <m:rPr/>
                          <w:rPr>
                            <w:rFonts w:ascii="Cambria Math" w:hAnsi="Cambria Math"/>
                          </w:rPr>
                          <m:t>n</m:t>
                        </m:r>
                        <m:ctrlPr>
                          <w:rPr>
                            <w:rFonts w:ascii="Cambria Math" w:hAnsi="Cambria Math"/>
                            <w:i/>
                          </w:rPr>
                        </m:ctrlPr>
                      </m:sub>
                    </m:sSub>
                    <m:ctrlPr>
                      <w:rPr>
                        <w:rFonts w:ascii="Cambria Math" w:hAnsi="Cambria Math"/>
                      </w:rPr>
                    </m:ctrlPr>
                  </m:den>
                </m:f>
              </m:oMath>
            </m:oMathPara>
          </w:p>
          <w:p>
            <w:pPr>
              <w:ind w:firstLine="480"/>
              <w:rPr>
                <w:szCs w:val="18"/>
              </w:rPr>
            </w:pPr>
            <w:r>
              <w:rPr>
                <w:szCs w:val="18"/>
              </w:rPr>
              <w:t>式中，q</w:t>
            </w:r>
            <w:r>
              <w:rPr>
                <w:szCs w:val="18"/>
                <w:vertAlign w:val="subscript"/>
              </w:rPr>
              <w:t>1</w:t>
            </w:r>
            <w:r>
              <w:rPr>
                <w:szCs w:val="18"/>
              </w:rPr>
              <w:t>，q</w:t>
            </w:r>
            <w:r>
              <w:rPr>
                <w:szCs w:val="18"/>
                <w:vertAlign w:val="subscript"/>
              </w:rPr>
              <w:t>2</w:t>
            </w:r>
            <w:r>
              <w:rPr>
                <w:szCs w:val="18"/>
              </w:rPr>
              <w:t>…q</w:t>
            </w:r>
            <w:r>
              <w:rPr>
                <w:szCs w:val="18"/>
                <w:vertAlign w:val="subscript"/>
              </w:rPr>
              <w:t>n</w:t>
            </w:r>
            <w:r>
              <w:rPr>
                <w:szCs w:val="18"/>
              </w:rPr>
              <w:t>——每种危险物质的最大存在总量，t。</w:t>
            </w:r>
          </w:p>
          <w:p>
            <w:pPr>
              <w:ind w:firstLine="1200" w:firstLineChars="500"/>
              <w:rPr>
                <w:szCs w:val="18"/>
              </w:rPr>
            </w:pPr>
            <w:r>
              <w:rPr>
                <w:szCs w:val="18"/>
              </w:rPr>
              <w:t>Q</w:t>
            </w:r>
            <w:r>
              <w:rPr>
                <w:szCs w:val="18"/>
                <w:vertAlign w:val="subscript"/>
              </w:rPr>
              <w:t>1</w:t>
            </w:r>
            <w:r>
              <w:rPr>
                <w:szCs w:val="18"/>
              </w:rPr>
              <w:t>，Q</w:t>
            </w:r>
            <w:r>
              <w:rPr>
                <w:szCs w:val="18"/>
                <w:vertAlign w:val="subscript"/>
              </w:rPr>
              <w:t>2</w:t>
            </w:r>
            <w:r>
              <w:rPr>
                <w:szCs w:val="18"/>
              </w:rPr>
              <w:t>…Q</w:t>
            </w:r>
            <w:r>
              <w:rPr>
                <w:szCs w:val="18"/>
                <w:vertAlign w:val="subscript"/>
              </w:rPr>
              <w:t>n</w:t>
            </w:r>
            <w:r>
              <w:rPr>
                <w:szCs w:val="18"/>
              </w:rPr>
              <w:t>——每种危险物质的临界量，t。</w:t>
            </w:r>
          </w:p>
          <w:p>
            <w:pPr>
              <w:ind w:firstLine="480"/>
              <w:rPr>
                <w:szCs w:val="18"/>
              </w:rPr>
            </w:pPr>
            <w:r>
              <w:rPr>
                <w:szCs w:val="18"/>
              </w:rPr>
              <w:t>当Q＜1时，该项目环境风险潜势为</w:t>
            </w:r>
            <w:r>
              <w:rPr>
                <w:rFonts w:hint="eastAsia" w:ascii="宋体" w:hAnsi="宋体" w:cs="宋体"/>
                <w:szCs w:val="18"/>
              </w:rPr>
              <w:t>Ⅰ</w:t>
            </w:r>
            <w:r>
              <w:rPr>
                <w:szCs w:val="18"/>
              </w:rPr>
              <w:t>。</w:t>
            </w:r>
          </w:p>
          <w:p>
            <w:pPr>
              <w:ind w:firstLine="480"/>
              <w:rPr>
                <w:szCs w:val="18"/>
              </w:rPr>
            </w:pPr>
            <w:r>
              <w:rPr>
                <w:szCs w:val="18"/>
              </w:rPr>
              <w:t>当Q≥1时，将Q值划分为：（1）1≤Q＜10；（2）10≤Q＜100；（3）Q≥100。</w:t>
            </w:r>
          </w:p>
          <w:p>
            <w:pPr>
              <w:bidi w:val="0"/>
            </w:pPr>
            <w:r>
              <w:rPr>
                <w:rFonts w:hint="eastAsia"/>
              </w:rPr>
              <w:t>根据《建设项目环境风险评价技术导则》相关要求，结合本项目涉及的突发环境事件风险物质及临界量，其中Qi值取值来源《建设项目环境风险评价技术导则》（HJ/T169-2018）附录B，表B.1突发环境风险物质及临界量。拟建项目生产过程中所需各种物料的贮存量、临界量及危险识别结果见下表所示。</w:t>
            </w:r>
          </w:p>
          <w:p>
            <w:pPr>
              <w:pStyle w:val="23"/>
              <w:bidi w:val="0"/>
              <w:rPr>
                <w:rFonts w:eastAsiaTheme="minorEastAsia"/>
                <w:b/>
                <w:color w:val="auto"/>
                <w:kern w:val="0"/>
                <w:sz w:val="24"/>
              </w:rPr>
            </w:pPr>
            <w:r>
              <w:rPr>
                <w:rFonts w:hAnsiTheme="minorEastAsia" w:eastAsiaTheme="minorEastAsia"/>
                <w:b/>
                <w:color w:val="auto"/>
                <w:kern w:val="0"/>
                <w:sz w:val="24"/>
              </w:rPr>
              <w:t>表</w:t>
            </w:r>
            <w:r>
              <w:rPr>
                <w:rFonts w:eastAsiaTheme="minorEastAsia"/>
                <w:b/>
                <w:color w:val="auto"/>
                <w:kern w:val="0"/>
                <w:sz w:val="24"/>
              </w:rPr>
              <w:t>4-1</w:t>
            </w:r>
            <w:r>
              <w:rPr>
                <w:rFonts w:hint="eastAsia" w:eastAsiaTheme="minorEastAsia"/>
                <w:b/>
                <w:color w:val="auto"/>
                <w:kern w:val="0"/>
                <w:sz w:val="24"/>
                <w:lang w:val="en-US" w:eastAsia="zh-CN"/>
              </w:rPr>
              <w:t>4</w:t>
            </w:r>
            <w:r>
              <w:rPr>
                <w:rFonts w:eastAsiaTheme="minorEastAsia"/>
                <w:b/>
                <w:color w:val="auto"/>
                <w:kern w:val="0"/>
                <w:sz w:val="24"/>
              </w:rPr>
              <w:t xml:space="preserve">   </w:t>
            </w:r>
            <w:r>
              <w:rPr>
                <w:rFonts w:hAnsiTheme="minorEastAsia" w:eastAsiaTheme="minorEastAsia"/>
                <w:b/>
                <w:color w:val="auto"/>
                <w:kern w:val="0"/>
                <w:sz w:val="24"/>
              </w:rPr>
              <w:t>本项目</w:t>
            </w:r>
            <w:r>
              <w:rPr>
                <w:rFonts w:eastAsiaTheme="minorEastAsia"/>
                <w:b/>
                <w:color w:val="auto"/>
                <w:kern w:val="0"/>
                <w:sz w:val="24"/>
              </w:rPr>
              <w:t>Q</w:t>
            </w:r>
            <w:r>
              <w:rPr>
                <w:rFonts w:hAnsiTheme="minorEastAsia" w:eastAsiaTheme="minorEastAsia"/>
                <w:b/>
                <w:color w:val="auto"/>
                <w:kern w:val="0"/>
                <w:sz w:val="24"/>
              </w:rPr>
              <w:t>值确定表</w:t>
            </w:r>
          </w:p>
          <w:tbl>
            <w:tblPr>
              <w:tblStyle w:val="1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333"/>
              <w:gridCol w:w="1990"/>
              <w:gridCol w:w="1214"/>
              <w:gridCol w:w="1808"/>
              <w:gridCol w:w="116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08" w:type="pct"/>
                  <w:tcBorders>
                    <w:tl2br w:val="nil"/>
                    <w:tr2bl w:val="nil"/>
                  </w:tcBorders>
                  <w:vAlign w:val="center"/>
                </w:tcPr>
                <w:p>
                  <w:pPr>
                    <w:pStyle w:val="22"/>
                    <w:bidi w:val="0"/>
                    <w:rPr>
                      <w:b/>
                      <w:bCs/>
                    </w:rPr>
                  </w:pPr>
                  <w:r>
                    <w:rPr>
                      <w:b/>
                      <w:bCs/>
                    </w:rPr>
                    <w:t>类别</w:t>
                  </w:r>
                </w:p>
              </w:tc>
              <w:tc>
                <w:tcPr>
                  <w:tcW w:w="797" w:type="pct"/>
                  <w:tcBorders>
                    <w:tl2br w:val="nil"/>
                    <w:tr2bl w:val="nil"/>
                  </w:tcBorders>
                  <w:vAlign w:val="center"/>
                </w:tcPr>
                <w:p>
                  <w:pPr>
                    <w:pStyle w:val="22"/>
                    <w:bidi w:val="0"/>
                    <w:rPr>
                      <w:b/>
                      <w:bCs/>
                    </w:rPr>
                  </w:pPr>
                  <w:r>
                    <w:rPr>
                      <w:b/>
                      <w:bCs/>
                    </w:rPr>
                    <w:t>事故类型</w:t>
                  </w:r>
                </w:p>
              </w:tc>
              <w:tc>
                <w:tcPr>
                  <w:tcW w:w="1190" w:type="pct"/>
                  <w:tcBorders>
                    <w:tl2br w:val="nil"/>
                    <w:tr2bl w:val="nil"/>
                  </w:tcBorders>
                  <w:vAlign w:val="center"/>
                </w:tcPr>
                <w:p>
                  <w:pPr>
                    <w:pStyle w:val="22"/>
                    <w:bidi w:val="0"/>
                    <w:rPr>
                      <w:b/>
                      <w:bCs/>
                    </w:rPr>
                  </w:pPr>
                  <w:r>
                    <w:rPr>
                      <w:b/>
                      <w:bCs/>
                    </w:rPr>
                    <w:t>风险物质</w:t>
                  </w:r>
                </w:p>
              </w:tc>
              <w:tc>
                <w:tcPr>
                  <w:tcW w:w="726" w:type="pct"/>
                  <w:tcBorders>
                    <w:tl2br w:val="nil"/>
                    <w:tr2bl w:val="nil"/>
                  </w:tcBorders>
                  <w:vAlign w:val="center"/>
                </w:tcPr>
                <w:p>
                  <w:pPr>
                    <w:pStyle w:val="22"/>
                    <w:bidi w:val="0"/>
                    <w:rPr>
                      <w:b/>
                      <w:bCs/>
                    </w:rPr>
                  </w:pPr>
                  <w:r>
                    <w:rPr>
                      <w:b/>
                      <w:bCs/>
                    </w:rPr>
                    <w:t>分布</w:t>
                  </w:r>
                </w:p>
              </w:tc>
              <w:tc>
                <w:tcPr>
                  <w:tcW w:w="1081" w:type="pct"/>
                  <w:tcBorders>
                    <w:tl2br w:val="nil"/>
                    <w:tr2bl w:val="nil"/>
                  </w:tcBorders>
                </w:tcPr>
                <w:p>
                  <w:pPr>
                    <w:pStyle w:val="22"/>
                    <w:bidi w:val="0"/>
                    <w:rPr>
                      <w:b/>
                      <w:bCs/>
                    </w:rPr>
                  </w:pPr>
                  <w:r>
                    <w:rPr>
                      <w:b/>
                      <w:bCs/>
                    </w:rPr>
                    <w:t>最大储存量</w:t>
                  </w:r>
                </w:p>
              </w:tc>
              <w:tc>
                <w:tcPr>
                  <w:tcW w:w="695" w:type="pct"/>
                  <w:tcBorders>
                    <w:tl2br w:val="nil"/>
                    <w:tr2bl w:val="nil"/>
                  </w:tcBorders>
                </w:tcPr>
                <w:p>
                  <w:pPr>
                    <w:pStyle w:val="22"/>
                    <w:bidi w:val="0"/>
                    <w:rPr>
                      <w:b/>
                      <w:bCs/>
                    </w:rPr>
                  </w:pPr>
                  <w:r>
                    <w:rPr>
                      <w:b/>
                      <w:bCs/>
                    </w:rPr>
                    <w:t>临界量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508" w:type="pct"/>
                  <w:vMerge w:val="restart"/>
                  <w:tcBorders>
                    <w:tl2br w:val="nil"/>
                    <w:tr2bl w:val="nil"/>
                  </w:tcBorders>
                  <w:vAlign w:val="center"/>
                </w:tcPr>
                <w:p>
                  <w:pPr>
                    <w:pStyle w:val="22"/>
                    <w:bidi w:val="0"/>
                  </w:pPr>
                  <w:r>
                    <w:t>原辅料</w:t>
                  </w:r>
                </w:p>
              </w:tc>
              <w:tc>
                <w:tcPr>
                  <w:tcW w:w="797" w:type="pct"/>
                  <w:vMerge w:val="restart"/>
                  <w:tcBorders>
                    <w:tl2br w:val="nil"/>
                    <w:tr2bl w:val="nil"/>
                  </w:tcBorders>
                  <w:vAlign w:val="center"/>
                </w:tcPr>
                <w:p>
                  <w:pPr>
                    <w:pStyle w:val="22"/>
                    <w:bidi w:val="0"/>
                  </w:pPr>
                  <w:r>
                    <w:t>泄露、火灾</w:t>
                  </w:r>
                </w:p>
              </w:tc>
              <w:tc>
                <w:tcPr>
                  <w:tcW w:w="1190" w:type="pct"/>
                  <w:tcBorders>
                    <w:tl2br w:val="nil"/>
                    <w:tr2bl w:val="nil"/>
                  </w:tcBorders>
                  <w:vAlign w:val="center"/>
                </w:tcPr>
                <w:p>
                  <w:pPr>
                    <w:pStyle w:val="22"/>
                    <w:bidi w:val="0"/>
                  </w:pPr>
                  <w:r>
                    <w:t>润滑油</w:t>
                  </w:r>
                </w:p>
              </w:tc>
              <w:tc>
                <w:tcPr>
                  <w:tcW w:w="726" w:type="pct"/>
                  <w:vMerge w:val="restart"/>
                  <w:tcBorders>
                    <w:tl2br w:val="nil"/>
                    <w:tr2bl w:val="nil"/>
                  </w:tcBorders>
                  <w:vAlign w:val="center"/>
                </w:tcPr>
                <w:p>
                  <w:pPr>
                    <w:pStyle w:val="22"/>
                    <w:bidi w:val="0"/>
                  </w:pPr>
                  <w:r>
                    <w:t>原料仓库</w:t>
                  </w:r>
                </w:p>
              </w:tc>
              <w:tc>
                <w:tcPr>
                  <w:tcW w:w="1081" w:type="pct"/>
                  <w:tcBorders>
                    <w:tl2br w:val="nil"/>
                    <w:tr2bl w:val="nil"/>
                  </w:tcBorders>
                  <w:vAlign w:val="center"/>
                </w:tcPr>
                <w:p>
                  <w:pPr>
                    <w:pStyle w:val="22"/>
                    <w:bidi w:val="0"/>
                  </w:pPr>
                  <w:r>
                    <w:rPr>
                      <w:rFonts w:hint="eastAsia"/>
                    </w:rPr>
                    <w:t>0.6t</w:t>
                  </w:r>
                </w:p>
              </w:tc>
              <w:tc>
                <w:tcPr>
                  <w:tcW w:w="695" w:type="pct"/>
                  <w:tcBorders>
                    <w:tl2br w:val="nil"/>
                    <w:tr2bl w:val="nil"/>
                  </w:tcBorders>
                  <w:vAlign w:val="center"/>
                </w:tcPr>
                <w:p>
                  <w:pPr>
                    <w:pStyle w:val="22"/>
                    <w:bidi w:val="0"/>
                  </w:pPr>
                  <w:r>
                    <w:t>2500t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508" w:type="pct"/>
                  <w:vMerge w:val="continue"/>
                  <w:tcBorders>
                    <w:tl2br w:val="nil"/>
                    <w:tr2bl w:val="nil"/>
                  </w:tcBorders>
                  <w:vAlign w:val="center"/>
                </w:tcPr>
                <w:p>
                  <w:pPr>
                    <w:pStyle w:val="22"/>
                    <w:bidi w:val="0"/>
                  </w:pPr>
                </w:p>
              </w:tc>
              <w:tc>
                <w:tcPr>
                  <w:tcW w:w="797" w:type="pct"/>
                  <w:vMerge w:val="continue"/>
                  <w:tcBorders>
                    <w:tl2br w:val="nil"/>
                    <w:tr2bl w:val="nil"/>
                  </w:tcBorders>
                  <w:vAlign w:val="center"/>
                </w:tcPr>
                <w:p>
                  <w:pPr>
                    <w:pStyle w:val="22"/>
                    <w:bidi w:val="0"/>
                  </w:pPr>
                </w:p>
              </w:tc>
              <w:tc>
                <w:tcPr>
                  <w:tcW w:w="1190" w:type="pct"/>
                  <w:tcBorders>
                    <w:tl2br w:val="nil"/>
                    <w:tr2bl w:val="nil"/>
                  </w:tcBorders>
                  <w:vAlign w:val="center"/>
                </w:tcPr>
                <w:p>
                  <w:pPr>
                    <w:pStyle w:val="22"/>
                    <w:bidi w:val="0"/>
                  </w:pPr>
                  <w:r>
                    <w:rPr>
                      <w:rFonts w:hint="eastAsia"/>
                    </w:rPr>
                    <w:t>液压油</w:t>
                  </w:r>
                </w:p>
              </w:tc>
              <w:tc>
                <w:tcPr>
                  <w:tcW w:w="726" w:type="pct"/>
                  <w:vMerge w:val="continue"/>
                  <w:tcBorders>
                    <w:tl2br w:val="nil"/>
                    <w:tr2bl w:val="nil"/>
                  </w:tcBorders>
                  <w:vAlign w:val="center"/>
                </w:tcPr>
                <w:p>
                  <w:pPr>
                    <w:pStyle w:val="22"/>
                    <w:bidi w:val="0"/>
                  </w:pPr>
                </w:p>
              </w:tc>
              <w:tc>
                <w:tcPr>
                  <w:tcW w:w="1081" w:type="pct"/>
                  <w:tcBorders>
                    <w:tl2br w:val="nil"/>
                    <w:tr2bl w:val="nil"/>
                  </w:tcBorders>
                  <w:vAlign w:val="center"/>
                </w:tcPr>
                <w:p>
                  <w:pPr>
                    <w:pStyle w:val="22"/>
                    <w:bidi w:val="0"/>
                  </w:pPr>
                  <w:r>
                    <w:rPr>
                      <w:rFonts w:hint="eastAsia"/>
                    </w:rPr>
                    <w:t>0.6t</w:t>
                  </w:r>
                </w:p>
              </w:tc>
              <w:tc>
                <w:tcPr>
                  <w:tcW w:w="695" w:type="pct"/>
                  <w:tcBorders>
                    <w:tl2br w:val="nil"/>
                    <w:tr2bl w:val="nil"/>
                  </w:tcBorders>
                  <w:vAlign w:val="center"/>
                </w:tcPr>
                <w:p>
                  <w:pPr>
                    <w:pStyle w:val="22"/>
                    <w:bidi w:val="0"/>
                  </w:pPr>
                  <w:r>
                    <w:t>2500t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08" w:type="pct"/>
                  <w:vMerge w:val="restart"/>
                  <w:tcBorders>
                    <w:tl2br w:val="nil"/>
                    <w:tr2bl w:val="nil"/>
                  </w:tcBorders>
                  <w:vAlign w:val="center"/>
                </w:tcPr>
                <w:p>
                  <w:pPr>
                    <w:pStyle w:val="22"/>
                    <w:bidi w:val="0"/>
                  </w:pPr>
                  <w:r>
                    <w:t>危废</w:t>
                  </w:r>
                </w:p>
              </w:tc>
              <w:tc>
                <w:tcPr>
                  <w:tcW w:w="797" w:type="pct"/>
                  <w:vMerge w:val="restart"/>
                  <w:tcBorders>
                    <w:tl2br w:val="nil"/>
                    <w:tr2bl w:val="nil"/>
                  </w:tcBorders>
                  <w:vAlign w:val="center"/>
                </w:tcPr>
                <w:p>
                  <w:pPr>
                    <w:pStyle w:val="22"/>
                    <w:bidi w:val="0"/>
                  </w:pPr>
                  <w:r>
                    <w:t>泄露、火灾</w:t>
                  </w:r>
                </w:p>
              </w:tc>
              <w:tc>
                <w:tcPr>
                  <w:tcW w:w="1190" w:type="pct"/>
                  <w:tcBorders>
                    <w:tl2br w:val="nil"/>
                    <w:tr2bl w:val="nil"/>
                  </w:tcBorders>
                  <w:vAlign w:val="center"/>
                </w:tcPr>
                <w:p>
                  <w:pPr>
                    <w:pStyle w:val="22"/>
                    <w:bidi w:val="0"/>
                  </w:pPr>
                  <w:r>
                    <w:t>废润滑油</w:t>
                  </w:r>
                </w:p>
              </w:tc>
              <w:tc>
                <w:tcPr>
                  <w:tcW w:w="726" w:type="pct"/>
                  <w:vMerge w:val="restart"/>
                  <w:tcBorders>
                    <w:tl2br w:val="nil"/>
                    <w:tr2bl w:val="nil"/>
                  </w:tcBorders>
                  <w:vAlign w:val="center"/>
                </w:tcPr>
                <w:p>
                  <w:pPr>
                    <w:pStyle w:val="22"/>
                    <w:bidi w:val="0"/>
                  </w:pPr>
                  <w:r>
                    <w:t>危废仓库</w:t>
                  </w:r>
                </w:p>
              </w:tc>
              <w:tc>
                <w:tcPr>
                  <w:tcW w:w="1081" w:type="pct"/>
                  <w:tcBorders>
                    <w:tl2br w:val="nil"/>
                    <w:tr2bl w:val="nil"/>
                  </w:tcBorders>
                  <w:vAlign w:val="center"/>
                </w:tcPr>
                <w:p>
                  <w:pPr>
                    <w:pStyle w:val="22"/>
                    <w:bidi w:val="0"/>
                  </w:pPr>
                  <w:r>
                    <w:rPr>
                      <w:rFonts w:hint="eastAsia"/>
                    </w:rPr>
                    <w:t>0.2t</w:t>
                  </w:r>
                </w:p>
              </w:tc>
              <w:tc>
                <w:tcPr>
                  <w:tcW w:w="695" w:type="pct"/>
                  <w:tcBorders>
                    <w:tl2br w:val="nil"/>
                    <w:tr2bl w:val="nil"/>
                  </w:tcBorders>
                  <w:vAlign w:val="center"/>
                </w:tcPr>
                <w:p>
                  <w:pPr>
                    <w:pStyle w:val="22"/>
                    <w:bidi w:val="0"/>
                  </w:pPr>
                  <w:r>
                    <w:t>2500t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08" w:type="pct"/>
                  <w:vMerge w:val="continue"/>
                  <w:tcBorders>
                    <w:tl2br w:val="nil"/>
                    <w:tr2bl w:val="nil"/>
                  </w:tcBorders>
                  <w:vAlign w:val="center"/>
                </w:tcPr>
                <w:p>
                  <w:pPr>
                    <w:pStyle w:val="22"/>
                    <w:bidi w:val="0"/>
                  </w:pPr>
                </w:p>
              </w:tc>
              <w:tc>
                <w:tcPr>
                  <w:tcW w:w="797" w:type="pct"/>
                  <w:vMerge w:val="continue"/>
                  <w:tcBorders>
                    <w:tl2br w:val="nil"/>
                    <w:tr2bl w:val="nil"/>
                  </w:tcBorders>
                  <w:vAlign w:val="center"/>
                </w:tcPr>
                <w:p>
                  <w:pPr>
                    <w:pStyle w:val="22"/>
                    <w:bidi w:val="0"/>
                  </w:pPr>
                </w:p>
              </w:tc>
              <w:tc>
                <w:tcPr>
                  <w:tcW w:w="1190" w:type="pct"/>
                  <w:tcBorders>
                    <w:tl2br w:val="nil"/>
                    <w:tr2bl w:val="nil"/>
                  </w:tcBorders>
                  <w:vAlign w:val="center"/>
                </w:tcPr>
                <w:p>
                  <w:pPr>
                    <w:pStyle w:val="22"/>
                    <w:bidi w:val="0"/>
                  </w:pPr>
                  <w:r>
                    <w:rPr>
                      <w:rFonts w:hint="eastAsia"/>
                    </w:rPr>
                    <w:t>废液压油</w:t>
                  </w:r>
                </w:p>
              </w:tc>
              <w:tc>
                <w:tcPr>
                  <w:tcW w:w="726" w:type="pct"/>
                  <w:vMerge w:val="continue"/>
                  <w:tcBorders>
                    <w:tl2br w:val="nil"/>
                    <w:tr2bl w:val="nil"/>
                  </w:tcBorders>
                  <w:vAlign w:val="center"/>
                </w:tcPr>
                <w:p>
                  <w:pPr>
                    <w:pStyle w:val="22"/>
                    <w:bidi w:val="0"/>
                  </w:pPr>
                </w:p>
              </w:tc>
              <w:tc>
                <w:tcPr>
                  <w:tcW w:w="1081" w:type="pct"/>
                  <w:tcBorders>
                    <w:tl2br w:val="nil"/>
                    <w:tr2bl w:val="nil"/>
                  </w:tcBorders>
                  <w:vAlign w:val="center"/>
                </w:tcPr>
                <w:p>
                  <w:pPr>
                    <w:pStyle w:val="22"/>
                    <w:bidi w:val="0"/>
                  </w:pPr>
                  <w:r>
                    <w:rPr>
                      <w:rFonts w:hint="eastAsia"/>
                    </w:rPr>
                    <w:t>0.2t</w:t>
                  </w:r>
                </w:p>
              </w:tc>
              <w:tc>
                <w:tcPr>
                  <w:tcW w:w="695" w:type="pct"/>
                  <w:tcBorders>
                    <w:tl2br w:val="nil"/>
                    <w:tr2bl w:val="nil"/>
                  </w:tcBorders>
                  <w:vAlign w:val="center"/>
                </w:tcPr>
                <w:p>
                  <w:pPr>
                    <w:pStyle w:val="22"/>
                    <w:bidi w:val="0"/>
                  </w:pPr>
                  <w:r>
                    <w:t>2500t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08" w:type="pct"/>
                  <w:vMerge w:val="continue"/>
                  <w:tcBorders>
                    <w:tl2br w:val="nil"/>
                    <w:tr2bl w:val="nil"/>
                  </w:tcBorders>
                  <w:vAlign w:val="center"/>
                </w:tcPr>
                <w:p>
                  <w:pPr>
                    <w:pStyle w:val="22"/>
                    <w:bidi w:val="0"/>
                  </w:pPr>
                </w:p>
              </w:tc>
              <w:tc>
                <w:tcPr>
                  <w:tcW w:w="797" w:type="pct"/>
                  <w:vMerge w:val="continue"/>
                  <w:tcBorders>
                    <w:tl2br w:val="nil"/>
                    <w:tr2bl w:val="nil"/>
                  </w:tcBorders>
                  <w:vAlign w:val="center"/>
                </w:tcPr>
                <w:p>
                  <w:pPr>
                    <w:pStyle w:val="22"/>
                    <w:bidi w:val="0"/>
                  </w:pPr>
                </w:p>
              </w:tc>
              <w:tc>
                <w:tcPr>
                  <w:tcW w:w="1190" w:type="pct"/>
                  <w:tcBorders>
                    <w:tl2br w:val="nil"/>
                    <w:tr2bl w:val="nil"/>
                  </w:tcBorders>
                  <w:vAlign w:val="center"/>
                </w:tcPr>
                <w:p>
                  <w:pPr>
                    <w:pStyle w:val="22"/>
                    <w:bidi w:val="0"/>
                    <w:rPr>
                      <w:rFonts w:hint="eastAsia"/>
                      <w:lang w:eastAsia="zh-CN"/>
                    </w:rPr>
                  </w:pPr>
                  <w:r>
                    <w:rPr>
                      <w:rFonts w:hint="eastAsia"/>
                      <w:lang w:eastAsia="zh-CN"/>
                    </w:rPr>
                    <w:t>废切削液</w:t>
                  </w:r>
                </w:p>
              </w:tc>
              <w:tc>
                <w:tcPr>
                  <w:tcW w:w="726" w:type="pct"/>
                  <w:vMerge w:val="continue"/>
                  <w:tcBorders>
                    <w:tl2br w:val="nil"/>
                    <w:tr2bl w:val="nil"/>
                  </w:tcBorders>
                  <w:vAlign w:val="center"/>
                </w:tcPr>
                <w:p>
                  <w:pPr>
                    <w:pStyle w:val="22"/>
                    <w:bidi w:val="0"/>
                  </w:pPr>
                </w:p>
              </w:tc>
              <w:tc>
                <w:tcPr>
                  <w:tcW w:w="1081" w:type="pct"/>
                  <w:tcBorders>
                    <w:tl2br w:val="nil"/>
                    <w:tr2bl w:val="nil"/>
                  </w:tcBorders>
                  <w:vAlign w:val="center"/>
                </w:tcPr>
                <w:p>
                  <w:pPr>
                    <w:pStyle w:val="22"/>
                    <w:bidi w:val="0"/>
                    <w:rPr>
                      <w:rFonts w:hint="default"/>
                      <w:lang w:val="en-US" w:eastAsia="zh-CN"/>
                    </w:rPr>
                  </w:pPr>
                  <w:r>
                    <w:rPr>
                      <w:rFonts w:hint="eastAsia"/>
                      <w:lang w:val="en-US" w:eastAsia="zh-CN"/>
                    </w:rPr>
                    <w:t>0.2t</w:t>
                  </w:r>
                </w:p>
              </w:tc>
              <w:tc>
                <w:tcPr>
                  <w:tcW w:w="695" w:type="pct"/>
                  <w:tcBorders>
                    <w:tl2br w:val="nil"/>
                    <w:tr2bl w:val="nil"/>
                  </w:tcBorders>
                  <w:vAlign w:val="center"/>
                </w:tcPr>
                <w:p>
                  <w:pPr>
                    <w:pStyle w:val="22"/>
                    <w:bidi w:val="0"/>
                    <w:rPr>
                      <w:rFonts w:hint="default"/>
                      <w:lang w:val="en-US" w:eastAsia="zh-CN"/>
                    </w:rPr>
                  </w:pPr>
                  <w:r>
                    <w:rPr>
                      <w:rFonts w:hint="eastAsia"/>
                      <w:lang w:val="en-US" w:eastAsia="zh-CN"/>
                    </w:rPr>
                    <w:t>10t</w:t>
                  </w:r>
                </w:p>
              </w:tc>
            </w:tr>
          </w:tbl>
          <w:p>
            <w:pPr>
              <w:bidi w:val="0"/>
              <w:rPr>
                <w:rFonts w:hAnsi="宋体"/>
              </w:rPr>
            </w:pPr>
            <w:r>
              <w:rPr>
                <w:rFonts w:hAnsiTheme="minorEastAsia" w:eastAsiaTheme="minorEastAsia"/>
                <w:color w:val="auto"/>
                <w:sz w:val="24"/>
              </w:rPr>
              <w:t>根据上表内容，本项目涉及各种物料的存储量均不超过相应的临界量，对照《危险化学品重大危险源辨识》（</w:t>
            </w:r>
            <w:r>
              <w:rPr>
                <w:rFonts w:eastAsiaTheme="minorEastAsia"/>
                <w:color w:val="auto"/>
                <w:sz w:val="24"/>
              </w:rPr>
              <w:t>GB18218-2009</w:t>
            </w:r>
            <w:r>
              <w:rPr>
                <w:rFonts w:hAnsiTheme="minorEastAsia" w:eastAsiaTheme="minorEastAsia"/>
                <w:color w:val="auto"/>
                <w:sz w:val="24"/>
              </w:rPr>
              <w:t>）中相关要求，</w:t>
            </w:r>
            <w:r>
              <w:rPr>
                <w:rFonts w:eastAsiaTheme="minorEastAsia"/>
                <w:color w:val="auto"/>
                <w:sz w:val="24"/>
              </w:rPr>
              <w:t>q1/Q1+ q2/Q2……+ qn/Qn=0.</w:t>
            </w:r>
            <w:r>
              <w:rPr>
                <w:rFonts w:hint="eastAsia" w:eastAsiaTheme="minorEastAsia"/>
                <w:color w:val="auto"/>
                <w:sz w:val="24"/>
              </w:rPr>
              <w:t>0</w:t>
            </w:r>
            <w:r>
              <w:rPr>
                <w:rFonts w:hint="eastAsia" w:eastAsiaTheme="minorEastAsia"/>
                <w:color w:val="auto"/>
                <w:sz w:val="24"/>
                <w:lang w:val="en-US" w:eastAsia="zh-CN"/>
              </w:rPr>
              <w:t>2064</w:t>
            </w:r>
            <w:r>
              <w:rPr>
                <w:rFonts w:hAnsiTheme="minorEastAsia" w:eastAsiaTheme="minorEastAsia"/>
                <w:color w:val="auto"/>
                <w:sz w:val="24"/>
              </w:rPr>
              <w:t>，</w:t>
            </w:r>
            <w:r>
              <w:rPr>
                <w:rFonts w:eastAsiaTheme="minorEastAsia"/>
                <w:color w:val="auto"/>
                <w:sz w:val="24"/>
              </w:rPr>
              <w:t>Q</w:t>
            </w:r>
            <w:r>
              <w:rPr>
                <w:rFonts w:hAnsiTheme="minorEastAsia" w:eastAsiaTheme="minorEastAsia"/>
                <w:color w:val="auto"/>
                <w:sz w:val="24"/>
              </w:rPr>
              <w:t>＜</w:t>
            </w:r>
            <w:r>
              <w:rPr>
                <w:rFonts w:eastAsiaTheme="minorEastAsia"/>
                <w:color w:val="auto"/>
                <w:sz w:val="24"/>
              </w:rPr>
              <w:t>1</w:t>
            </w:r>
            <w:r>
              <w:rPr>
                <w:rFonts w:hAnsiTheme="minorEastAsia" w:eastAsiaTheme="minorEastAsia"/>
                <w:color w:val="auto"/>
                <w:sz w:val="24"/>
              </w:rPr>
              <w:t>，项目环境风险潜势为Ⅰ。</w:t>
            </w:r>
          </w:p>
          <w:p>
            <w:pPr>
              <w:keepNext/>
              <w:keepLines/>
              <w:spacing w:line="360" w:lineRule="auto"/>
              <w:ind w:firstLine="352" w:firstLineChars="147"/>
              <w:outlineLvl w:val="2"/>
              <w:rPr>
                <w:rFonts w:eastAsiaTheme="minorEastAsia"/>
                <w:bCs/>
                <w:color w:val="auto"/>
                <w:sz w:val="24"/>
                <w:szCs w:val="32"/>
              </w:rPr>
            </w:pPr>
            <w:bookmarkStart w:id="9" w:name="_Toc55981026"/>
            <w:r>
              <w:rPr>
                <w:rFonts w:hAnsiTheme="minorEastAsia" w:eastAsiaTheme="minorEastAsia"/>
                <w:bCs/>
                <w:color w:val="auto"/>
                <w:sz w:val="24"/>
                <w:szCs w:val="32"/>
              </w:rPr>
              <w:t>（</w:t>
            </w:r>
            <w:r>
              <w:rPr>
                <w:rFonts w:eastAsiaTheme="minorEastAsia"/>
                <w:bCs/>
                <w:color w:val="auto"/>
                <w:sz w:val="24"/>
                <w:szCs w:val="32"/>
              </w:rPr>
              <w:t>2</w:t>
            </w:r>
            <w:r>
              <w:rPr>
                <w:rFonts w:hAnsiTheme="minorEastAsia" w:eastAsiaTheme="minorEastAsia"/>
                <w:bCs/>
                <w:color w:val="auto"/>
                <w:sz w:val="24"/>
                <w:szCs w:val="32"/>
              </w:rPr>
              <w:t>）评价工作等级</w:t>
            </w:r>
            <w:bookmarkEnd w:id="9"/>
          </w:p>
          <w:p>
            <w:pPr>
              <w:autoSpaceDE w:val="0"/>
              <w:autoSpaceDN w:val="0"/>
              <w:spacing w:line="360" w:lineRule="auto"/>
              <w:ind w:firstLine="480" w:firstLineChars="200"/>
              <w:jc w:val="left"/>
              <w:rPr>
                <w:rFonts w:eastAsiaTheme="minorEastAsia"/>
                <w:color w:val="auto"/>
                <w:sz w:val="24"/>
              </w:rPr>
            </w:pPr>
            <w:r>
              <w:rPr>
                <w:rFonts w:hAnsiTheme="minorEastAsia" w:eastAsiaTheme="minorEastAsia"/>
                <w:color w:val="auto"/>
                <w:sz w:val="24"/>
              </w:rPr>
              <w:t>根据《建设项目环境风险评价技术导则》（</w:t>
            </w:r>
            <w:r>
              <w:rPr>
                <w:rFonts w:eastAsiaTheme="minorEastAsia"/>
                <w:color w:val="auto"/>
                <w:sz w:val="24"/>
              </w:rPr>
              <w:t>HJ/T169-2018</w:t>
            </w:r>
            <w:r>
              <w:rPr>
                <w:rFonts w:hAnsiTheme="minorEastAsia" w:eastAsiaTheme="minorEastAsia"/>
                <w:color w:val="auto"/>
                <w:sz w:val="24"/>
              </w:rPr>
              <w:t>），环境风险评价工作等级划分为一级、二级、三级。根据建设项目涉及的物质及工艺系统危险性和所在地的环境敏感性确定环境风险潜势，确定评价工作等级。风险潜势为</w:t>
            </w:r>
            <w:r>
              <w:rPr>
                <w:rFonts w:eastAsiaTheme="minorEastAsia"/>
                <w:color w:val="auto"/>
                <w:sz w:val="24"/>
              </w:rPr>
              <w:t>IV</w:t>
            </w:r>
            <w:r>
              <w:rPr>
                <w:rFonts w:hAnsiTheme="minorEastAsia" w:eastAsiaTheme="minorEastAsia"/>
                <w:color w:val="auto"/>
                <w:sz w:val="24"/>
              </w:rPr>
              <w:t>及以上，进行一级评价；风险潜势为</w:t>
            </w:r>
            <w:r>
              <w:rPr>
                <w:rFonts w:eastAsiaTheme="minorEastAsia"/>
                <w:color w:val="auto"/>
                <w:sz w:val="24"/>
              </w:rPr>
              <w:t>II</w:t>
            </w:r>
            <w:r>
              <w:rPr>
                <w:rFonts w:hAnsiTheme="minorEastAsia" w:eastAsiaTheme="minorEastAsia"/>
                <w:color w:val="auto"/>
                <w:sz w:val="24"/>
              </w:rPr>
              <w:t>，进行二级评价；风险潜势为</w:t>
            </w:r>
            <w:r>
              <w:rPr>
                <w:rFonts w:eastAsiaTheme="minorEastAsia"/>
                <w:color w:val="auto"/>
                <w:sz w:val="24"/>
              </w:rPr>
              <w:t>II</w:t>
            </w:r>
            <w:r>
              <w:rPr>
                <w:rFonts w:hAnsiTheme="minorEastAsia" w:eastAsiaTheme="minorEastAsia"/>
                <w:color w:val="auto"/>
                <w:sz w:val="24"/>
              </w:rPr>
              <w:t>，进行三级评价；风险潜势为</w:t>
            </w:r>
            <w:r>
              <w:rPr>
                <w:rFonts w:eastAsiaTheme="minorEastAsia"/>
                <w:color w:val="auto"/>
                <w:sz w:val="24"/>
              </w:rPr>
              <w:t>I</w:t>
            </w:r>
            <w:r>
              <w:rPr>
                <w:rFonts w:hAnsiTheme="minorEastAsia" w:eastAsiaTheme="minorEastAsia"/>
                <w:color w:val="auto"/>
                <w:sz w:val="24"/>
              </w:rPr>
              <w:t>，可开展简单分析。</w:t>
            </w:r>
          </w:p>
          <w:p>
            <w:pPr>
              <w:pStyle w:val="23"/>
              <w:bidi w:val="0"/>
              <w:rPr>
                <w:rFonts w:eastAsiaTheme="minorEastAsia"/>
                <w:b/>
                <w:color w:val="auto"/>
                <w:kern w:val="0"/>
                <w:sz w:val="24"/>
              </w:rPr>
            </w:pPr>
            <w:r>
              <w:rPr>
                <w:rFonts w:hAnsiTheme="minorEastAsia" w:eastAsiaTheme="minorEastAsia"/>
                <w:b/>
                <w:color w:val="auto"/>
                <w:kern w:val="0"/>
                <w:sz w:val="24"/>
              </w:rPr>
              <w:t>表</w:t>
            </w:r>
            <w:r>
              <w:rPr>
                <w:rFonts w:eastAsiaTheme="minorEastAsia"/>
                <w:b/>
                <w:color w:val="auto"/>
                <w:kern w:val="0"/>
                <w:sz w:val="24"/>
              </w:rPr>
              <w:t>4-1</w:t>
            </w:r>
            <w:r>
              <w:rPr>
                <w:rFonts w:hint="eastAsia" w:eastAsiaTheme="minorEastAsia"/>
                <w:b/>
                <w:color w:val="auto"/>
                <w:kern w:val="0"/>
                <w:sz w:val="24"/>
                <w:lang w:val="en-US" w:eastAsia="zh-CN"/>
              </w:rPr>
              <w:t>5</w:t>
            </w:r>
            <w:r>
              <w:rPr>
                <w:rFonts w:eastAsiaTheme="minorEastAsia"/>
                <w:b/>
                <w:color w:val="auto"/>
                <w:kern w:val="0"/>
                <w:sz w:val="24"/>
              </w:rPr>
              <w:t xml:space="preserve">  </w:t>
            </w:r>
            <w:r>
              <w:rPr>
                <w:rFonts w:hAnsiTheme="minorEastAsia" w:eastAsiaTheme="minorEastAsia"/>
                <w:b/>
                <w:color w:val="auto"/>
                <w:kern w:val="0"/>
                <w:sz w:val="24"/>
              </w:rPr>
              <w:t>环境风险评价工作等级</w:t>
            </w:r>
          </w:p>
          <w:tbl>
            <w:tblPr>
              <w:tblStyle w:val="1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997"/>
              <w:gridCol w:w="1590"/>
              <w:gridCol w:w="1590"/>
              <w:gridCol w:w="1590"/>
              <w:gridCol w:w="159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1195" w:type="pct"/>
                  <w:tcBorders>
                    <w:tl2br w:val="nil"/>
                    <w:tr2bl w:val="nil"/>
                  </w:tcBorders>
                  <w:vAlign w:val="center"/>
                </w:tcPr>
                <w:p>
                  <w:pPr>
                    <w:pStyle w:val="22"/>
                    <w:bidi w:val="0"/>
                  </w:pPr>
                  <w:r>
                    <w:t>环境风险潜势</w:t>
                  </w:r>
                </w:p>
              </w:tc>
              <w:tc>
                <w:tcPr>
                  <w:tcW w:w="951" w:type="pct"/>
                  <w:tcBorders>
                    <w:tl2br w:val="nil"/>
                    <w:tr2bl w:val="nil"/>
                  </w:tcBorders>
                  <w:vAlign w:val="center"/>
                </w:tcPr>
                <w:p>
                  <w:pPr>
                    <w:pStyle w:val="22"/>
                    <w:bidi w:val="0"/>
                  </w:pPr>
                  <w:r>
                    <w:fldChar w:fldCharType="begin"/>
                  </w:r>
                  <w:r>
                    <w:instrText xml:space="preserve"> = 4 \* ROMAN </w:instrText>
                  </w:r>
                  <w:r>
                    <w:fldChar w:fldCharType="separate"/>
                  </w:r>
                  <w:r>
                    <w:t>IV</w:t>
                  </w:r>
                  <w:r>
                    <w:fldChar w:fldCharType="end"/>
                  </w:r>
                  <w:r>
                    <w:t>、</w:t>
                  </w:r>
                  <w:r>
                    <w:fldChar w:fldCharType="begin"/>
                  </w:r>
                  <w:r>
                    <w:instrText xml:space="preserve"> = 4 \* ROMAN </w:instrText>
                  </w:r>
                  <w:r>
                    <w:fldChar w:fldCharType="separate"/>
                  </w:r>
                  <w:r>
                    <w:t>IV</w:t>
                  </w:r>
                  <w:r>
                    <w:fldChar w:fldCharType="end"/>
                  </w:r>
                  <w:r>
                    <w:t>+</w:t>
                  </w:r>
                </w:p>
              </w:tc>
              <w:tc>
                <w:tcPr>
                  <w:tcW w:w="951" w:type="pct"/>
                  <w:tcBorders>
                    <w:tl2br w:val="nil"/>
                    <w:tr2bl w:val="nil"/>
                  </w:tcBorders>
                  <w:vAlign w:val="center"/>
                </w:tcPr>
                <w:p>
                  <w:pPr>
                    <w:pStyle w:val="22"/>
                    <w:bidi w:val="0"/>
                  </w:pPr>
                  <w:r>
                    <w:fldChar w:fldCharType="begin"/>
                  </w:r>
                  <w:r>
                    <w:instrText xml:space="preserve"> = 3 \* ROMAN </w:instrText>
                  </w:r>
                  <w:r>
                    <w:fldChar w:fldCharType="separate"/>
                  </w:r>
                  <w:r>
                    <w:t>III</w:t>
                  </w:r>
                  <w:r>
                    <w:fldChar w:fldCharType="end"/>
                  </w:r>
                </w:p>
              </w:tc>
              <w:tc>
                <w:tcPr>
                  <w:tcW w:w="951" w:type="pct"/>
                  <w:tcBorders>
                    <w:tl2br w:val="nil"/>
                    <w:tr2bl w:val="nil"/>
                  </w:tcBorders>
                  <w:vAlign w:val="center"/>
                </w:tcPr>
                <w:p>
                  <w:pPr>
                    <w:pStyle w:val="22"/>
                    <w:bidi w:val="0"/>
                  </w:pPr>
                  <w:r>
                    <w:fldChar w:fldCharType="begin"/>
                  </w:r>
                  <w:r>
                    <w:instrText xml:space="preserve"> = 2 \* ROMAN </w:instrText>
                  </w:r>
                  <w:r>
                    <w:fldChar w:fldCharType="separate"/>
                  </w:r>
                  <w:r>
                    <w:t>II</w:t>
                  </w:r>
                  <w:r>
                    <w:fldChar w:fldCharType="end"/>
                  </w:r>
                </w:p>
              </w:tc>
              <w:tc>
                <w:tcPr>
                  <w:tcW w:w="951" w:type="pct"/>
                  <w:tcBorders>
                    <w:tl2br w:val="nil"/>
                    <w:tr2bl w:val="nil"/>
                  </w:tcBorders>
                  <w:shd w:val="clear" w:color="auto" w:fill="BFBFBF"/>
                  <w:vAlign w:val="center"/>
                </w:tcPr>
                <w:p>
                  <w:pPr>
                    <w:pStyle w:val="22"/>
                    <w:bidi w:val="0"/>
                  </w:pPr>
                  <w:r>
                    <w:fldChar w:fldCharType="begin"/>
                  </w:r>
                  <w:r>
                    <w:instrText xml:space="preserve"> = 1 \* ROMAN </w:instrText>
                  </w:r>
                  <w:r>
                    <w:fldChar w:fldCharType="separate"/>
                  </w:r>
                  <w:r>
                    <w:t>I</w:t>
                  </w:r>
                  <w:r>
                    <w:fldChar w:fldCharType="end"/>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95" w:type="pct"/>
                  <w:tcBorders>
                    <w:tl2br w:val="nil"/>
                    <w:tr2bl w:val="nil"/>
                  </w:tcBorders>
                  <w:vAlign w:val="center"/>
                </w:tcPr>
                <w:p>
                  <w:pPr>
                    <w:pStyle w:val="22"/>
                    <w:bidi w:val="0"/>
                  </w:pPr>
                  <w:r>
                    <w:t>评价工作等级</w:t>
                  </w:r>
                </w:p>
              </w:tc>
              <w:tc>
                <w:tcPr>
                  <w:tcW w:w="951" w:type="pct"/>
                  <w:tcBorders>
                    <w:tl2br w:val="nil"/>
                    <w:tr2bl w:val="nil"/>
                  </w:tcBorders>
                  <w:vAlign w:val="center"/>
                </w:tcPr>
                <w:p>
                  <w:pPr>
                    <w:pStyle w:val="22"/>
                    <w:bidi w:val="0"/>
                  </w:pPr>
                  <w:r>
                    <w:t>一</w:t>
                  </w:r>
                </w:p>
              </w:tc>
              <w:tc>
                <w:tcPr>
                  <w:tcW w:w="951" w:type="pct"/>
                  <w:tcBorders>
                    <w:tl2br w:val="nil"/>
                    <w:tr2bl w:val="nil"/>
                  </w:tcBorders>
                  <w:vAlign w:val="center"/>
                </w:tcPr>
                <w:p>
                  <w:pPr>
                    <w:pStyle w:val="22"/>
                    <w:bidi w:val="0"/>
                  </w:pPr>
                  <w:r>
                    <w:t>二</w:t>
                  </w:r>
                </w:p>
              </w:tc>
              <w:tc>
                <w:tcPr>
                  <w:tcW w:w="951" w:type="pct"/>
                  <w:tcBorders>
                    <w:tl2br w:val="nil"/>
                    <w:tr2bl w:val="nil"/>
                  </w:tcBorders>
                  <w:vAlign w:val="center"/>
                </w:tcPr>
                <w:p>
                  <w:pPr>
                    <w:pStyle w:val="22"/>
                    <w:bidi w:val="0"/>
                  </w:pPr>
                  <w:r>
                    <w:t>三</w:t>
                  </w:r>
                </w:p>
              </w:tc>
              <w:tc>
                <w:tcPr>
                  <w:tcW w:w="951" w:type="pct"/>
                  <w:tcBorders>
                    <w:tl2br w:val="nil"/>
                    <w:tr2bl w:val="nil"/>
                  </w:tcBorders>
                  <w:shd w:val="clear" w:color="auto" w:fill="BFBFBF"/>
                  <w:vAlign w:val="center"/>
                </w:tcPr>
                <w:p>
                  <w:pPr>
                    <w:pStyle w:val="22"/>
                    <w:bidi w:val="0"/>
                  </w:pPr>
                  <w:r>
                    <w:t>简单分析</w:t>
                  </w:r>
                </w:p>
              </w:tc>
            </w:tr>
          </w:tbl>
          <w:p>
            <w:pPr>
              <w:ind w:firstLine="480"/>
              <w:rPr>
                <w:rFonts w:hAnsiTheme="minorEastAsia" w:eastAsiaTheme="minorEastAsia"/>
                <w:color w:val="auto"/>
                <w:sz w:val="24"/>
              </w:rPr>
            </w:pPr>
            <w:r>
              <w:rPr>
                <w:rFonts w:hAnsiTheme="minorEastAsia" w:eastAsiaTheme="minorEastAsia"/>
                <w:color w:val="auto"/>
                <w:sz w:val="24"/>
              </w:rPr>
              <w:t>因此，项目风险评价等级定为低于三级，根据导则要求，环境风险评价作简单分析，在描述危险物质、环境影响途径、环境危害后果、风险防范措施等方面给出定性的说明。</w:t>
            </w:r>
          </w:p>
          <w:p>
            <w:pPr>
              <w:numPr>
                <w:ilvl w:val="0"/>
                <w:numId w:val="15"/>
              </w:numPr>
              <w:ind w:firstLine="480"/>
              <w:rPr>
                <w:rFonts w:hint="eastAsia"/>
                <w:b/>
                <w:bCs/>
              </w:rPr>
            </w:pPr>
            <w:r>
              <w:rPr>
                <w:rFonts w:hint="eastAsia"/>
                <w:b/>
                <w:bCs/>
              </w:rPr>
              <w:t>环境风险识别</w:t>
            </w:r>
          </w:p>
          <w:p>
            <w:pPr>
              <w:bidi w:val="0"/>
              <w:rPr>
                <w:rFonts w:hint="eastAsia"/>
              </w:rPr>
            </w:pPr>
            <w:r>
              <w:rPr>
                <w:rFonts w:hint="eastAsia"/>
              </w:rPr>
              <w:t>根据（HJ169-2018），风险识别内容主要包括物质危险性识别、生产系统危险性识别和危险物质向环境转移的途径识别。</w:t>
            </w:r>
          </w:p>
          <w:p>
            <w:pPr>
              <w:bidi w:val="0"/>
              <w:rPr>
                <w:rFonts w:hint="eastAsia"/>
              </w:rPr>
            </w:pPr>
            <w:r>
              <w:rPr>
                <w:rFonts w:hint="eastAsia"/>
              </w:rPr>
              <w:t>物质危险性识别：包括主要原辅材料、燃料、中间产品、副产品、最终产品、污染物、火灾和爆炸伴生/次生物等。</w:t>
            </w:r>
          </w:p>
          <w:p>
            <w:pPr>
              <w:bidi w:val="0"/>
              <w:rPr>
                <w:rFonts w:hint="eastAsia"/>
              </w:rPr>
            </w:pPr>
            <w:r>
              <w:rPr>
                <w:rFonts w:hint="eastAsia"/>
              </w:rPr>
              <w:t>生产系统危险性识别：包括主要生产装置、储运设施、公用工程和辅助生产设施，以及环境保护设施。</w:t>
            </w:r>
          </w:p>
          <w:p>
            <w:pPr>
              <w:bidi w:val="0"/>
              <w:rPr>
                <w:rFonts w:hint="eastAsia"/>
              </w:rPr>
            </w:pPr>
            <w:r>
              <w:rPr>
                <w:rFonts w:hint="eastAsia"/>
              </w:rPr>
              <w:t>危险物质向环境转移的途径识别：包括分析危险物质特性及可能的环境风险类型，识别危险物质影响环境的途径，分析可能影响的环境敏感目标。</w:t>
            </w:r>
          </w:p>
          <w:p>
            <w:pPr>
              <w:bidi w:val="0"/>
              <w:rPr>
                <w:rFonts w:hint="eastAsia"/>
                <w:b/>
                <w:bCs/>
              </w:rPr>
            </w:pPr>
            <w:r>
              <w:rPr>
                <w:rFonts w:hint="eastAsia"/>
                <w:b/>
                <w:bCs/>
              </w:rPr>
              <w:t>（1）物质危险性识别</w:t>
            </w:r>
          </w:p>
          <w:p>
            <w:pPr>
              <w:bidi w:val="0"/>
              <w:rPr>
                <w:rFonts w:hint="eastAsia"/>
              </w:rPr>
            </w:pPr>
            <w:r>
              <w:rPr>
                <w:rFonts w:hint="eastAsia"/>
              </w:rPr>
              <w:t>参考《建设项目环境风险评价技术导则》（HJ169-2018）、《环境风险评价实用技术和方法》（胡二邦主编）、《国家安全监管总局办公厅关于印发首批重点监管的危险化学品安全措施和应急处置原则的通知》（安监总厅管三〔2011〕142 号）、《危险化学品安全技术全书》（化学工业出版社）、《职业性接触毒物危害程度分级》（GBZ230-2010）等技术资料，对拟建项目涉及危险物质的特性进行分析。</w:t>
            </w:r>
          </w:p>
          <w:p>
            <w:pPr>
              <w:bidi w:val="0"/>
              <w:rPr>
                <w:rFonts w:hint="eastAsia"/>
              </w:rPr>
            </w:pPr>
            <w:r>
              <w:rPr>
                <w:rFonts w:hint="eastAsia"/>
              </w:rPr>
              <w:t>项目主要危险物质理化性质及毒理学特性参数见表4-14所示。</w:t>
            </w:r>
          </w:p>
          <w:p>
            <w:pPr>
              <w:pStyle w:val="23"/>
              <w:bidi w:val="0"/>
              <w:rPr>
                <w:rFonts w:hint="eastAsia"/>
              </w:rPr>
            </w:pPr>
            <w:r>
              <w:rPr>
                <w:rFonts w:hint="eastAsia"/>
              </w:rPr>
              <w:t>表4-1</w:t>
            </w:r>
            <w:r>
              <w:rPr>
                <w:rFonts w:hint="eastAsia"/>
                <w:lang w:val="en-US" w:eastAsia="zh-CN"/>
              </w:rPr>
              <w:t>6</w:t>
            </w:r>
            <w:r>
              <w:rPr>
                <w:rFonts w:hint="eastAsia"/>
              </w:rPr>
              <w:t xml:space="preserve">  物质危险性识别情况一览表</w:t>
            </w:r>
          </w:p>
          <w:tbl>
            <w:tblPr>
              <w:tblStyle w:val="1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33"/>
              <w:gridCol w:w="3252"/>
              <w:gridCol w:w="1978"/>
              <w:gridCol w:w="189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738" w:type="pct"/>
                  <w:tcBorders>
                    <w:tl2br w:val="nil"/>
                    <w:tr2bl w:val="nil"/>
                  </w:tcBorders>
                  <w:vAlign w:val="center"/>
                </w:tcPr>
                <w:p>
                  <w:pPr>
                    <w:pStyle w:val="22"/>
                    <w:bidi w:val="0"/>
                    <w:rPr>
                      <w:b/>
                      <w:bCs/>
                    </w:rPr>
                  </w:pPr>
                  <w:r>
                    <w:rPr>
                      <w:b/>
                      <w:bCs/>
                    </w:rPr>
                    <w:t>物质名称</w:t>
                  </w:r>
                </w:p>
              </w:tc>
              <w:tc>
                <w:tcPr>
                  <w:tcW w:w="1945" w:type="pct"/>
                  <w:tcBorders>
                    <w:tl2br w:val="nil"/>
                    <w:tr2bl w:val="nil"/>
                  </w:tcBorders>
                  <w:vAlign w:val="center"/>
                </w:tcPr>
                <w:p>
                  <w:pPr>
                    <w:pStyle w:val="22"/>
                    <w:bidi w:val="0"/>
                    <w:rPr>
                      <w:b/>
                      <w:bCs/>
                    </w:rPr>
                  </w:pPr>
                  <w:r>
                    <w:rPr>
                      <w:b/>
                      <w:bCs/>
                    </w:rPr>
                    <w:t>理化性质</w:t>
                  </w:r>
                </w:p>
              </w:tc>
              <w:tc>
                <w:tcPr>
                  <w:tcW w:w="1183" w:type="pct"/>
                  <w:tcBorders>
                    <w:tl2br w:val="nil"/>
                    <w:tr2bl w:val="nil"/>
                  </w:tcBorders>
                  <w:vAlign w:val="center"/>
                </w:tcPr>
                <w:p>
                  <w:pPr>
                    <w:pStyle w:val="22"/>
                    <w:bidi w:val="0"/>
                    <w:rPr>
                      <w:b/>
                      <w:bCs/>
                    </w:rPr>
                  </w:pPr>
                  <w:r>
                    <w:rPr>
                      <w:b/>
                      <w:bCs/>
                    </w:rPr>
                    <w:t>危险特性</w:t>
                  </w:r>
                </w:p>
              </w:tc>
              <w:tc>
                <w:tcPr>
                  <w:tcW w:w="1133" w:type="pct"/>
                  <w:tcBorders>
                    <w:tl2br w:val="nil"/>
                    <w:tr2bl w:val="nil"/>
                  </w:tcBorders>
                  <w:vAlign w:val="center"/>
                </w:tcPr>
                <w:p>
                  <w:pPr>
                    <w:pStyle w:val="22"/>
                    <w:bidi w:val="0"/>
                    <w:rPr>
                      <w:b/>
                      <w:bCs/>
                    </w:rPr>
                  </w:pPr>
                  <w:r>
                    <w:rPr>
                      <w:b/>
                      <w:bCs/>
                    </w:rPr>
                    <w:t>毒理学资料</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38" w:type="pct"/>
                  <w:tcBorders>
                    <w:tl2br w:val="nil"/>
                    <w:tr2bl w:val="nil"/>
                  </w:tcBorders>
                  <w:vAlign w:val="center"/>
                </w:tcPr>
                <w:p>
                  <w:pPr>
                    <w:pStyle w:val="22"/>
                    <w:bidi w:val="0"/>
                  </w:pPr>
                  <w:r>
                    <w:t>润滑油</w:t>
                  </w:r>
                </w:p>
              </w:tc>
              <w:tc>
                <w:tcPr>
                  <w:tcW w:w="1945" w:type="pct"/>
                  <w:tcBorders>
                    <w:tl2br w:val="nil"/>
                    <w:tr2bl w:val="nil"/>
                  </w:tcBorders>
                  <w:vAlign w:val="center"/>
                </w:tcPr>
                <w:p>
                  <w:pPr>
                    <w:pStyle w:val="22"/>
                    <w:bidi w:val="0"/>
                  </w:pPr>
                  <w:r>
                    <w:t>油状液体，淡黄色至褐色，无气味或略带异味。密度小于1</w:t>
                  </w:r>
                </w:p>
              </w:tc>
              <w:tc>
                <w:tcPr>
                  <w:tcW w:w="1183" w:type="pct"/>
                  <w:tcBorders>
                    <w:tl2br w:val="nil"/>
                    <w:tr2bl w:val="nil"/>
                  </w:tcBorders>
                  <w:vAlign w:val="center"/>
                </w:tcPr>
                <w:p>
                  <w:pPr>
                    <w:pStyle w:val="22"/>
                    <w:bidi w:val="0"/>
                  </w:pPr>
                  <w:r>
                    <w:tab/>
                  </w:r>
                  <w:r>
                    <w:t>遇明火、高热可燃</w:t>
                  </w:r>
                </w:p>
              </w:tc>
              <w:tc>
                <w:tcPr>
                  <w:tcW w:w="1133" w:type="pct"/>
                  <w:tcBorders>
                    <w:tl2br w:val="nil"/>
                    <w:tr2bl w:val="nil"/>
                  </w:tcBorders>
                  <w:vAlign w:val="center"/>
                </w:tcPr>
                <w:p>
                  <w:pPr>
                    <w:pStyle w:val="22"/>
                    <w:bidi w:val="0"/>
                  </w:pPr>
                  <w:r>
                    <w:t>LD50：无资料</w:t>
                  </w:r>
                </w:p>
                <w:p>
                  <w:pPr>
                    <w:pStyle w:val="22"/>
                    <w:bidi w:val="0"/>
                  </w:pPr>
                  <w:r>
                    <w:t>LC50：无资料</w:t>
                  </w:r>
                </w:p>
              </w:tc>
            </w:tr>
          </w:tbl>
          <w:p>
            <w:pPr>
              <w:bidi w:val="0"/>
              <w:rPr>
                <w:rFonts w:eastAsiaTheme="minorEastAsia"/>
                <w:b/>
                <w:bCs/>
                <w:color w:val="auto"/>
                <w:sz w:val="24"/>
                <w:szCs w:val="32"/>
              </w:rPr>
            </w:pPr>
            <w:r>
              <w:rPr>
                <w:rFonts w:hAnsiTheme="minorEastAsia" w:eastAsiaTheme="minorEastAsia"/>
                <w:b/>
                <w:bCs/>
                <w:color w:val="auto"/>
                <w:sz w:val="24"/>
                <w:szCs w:val="32"/>
              </w:rPr>
              <w:t>（</w:t>
            </w:r>
            <w:r>
              <w:rPr>
                <w:rFonts w:eastAsiaTheme="minorEastAsia"/>
                <w:b/>
                <w:bCs/>
                <w:color w:val="auto"/>
                <w:sz w:val="24"/>
                <w:szCs w:val="32"/>
              </w:rPr>
              <w:t>2</w:t>
            </w:r>
            <w:r>
              <w:rPr>
                <w:rFonts w:hAnsiTheme="minorEastAsia" w:eastAsiaTheme="minorEastAsia"/>
                <w:b/>
                <w:bCs/>
                <w:color w:val="auto"/>
                <w:sz w:val="24"/>
                <w:szCs w:val="32"/>
              </w:rPr>
              <w:t>）生产系统风险性识别</w:t>
            </w:r>
          </w:p>
          <w:p>
            <w:pPr>
              <w:bidi w:val="0"/>
            </w:pPr>
            <w:r>
              <w:t>本次评价主要针对拟建项目生产系统风险进行识别主要包括拟建项目生产装置、全厂储运系统、公用工程和环保工程。</w:t>
            </w:r>
          </w:p>
          <w:p>
            <w:pPr>
              <w:bidi w:val="0"/>
            </w:pPr>
            <w:r>
              <w:t>①储存系统危险因素识别</w:t>
            </w:r>
          </w:p>
          <w:p>
            <w:pPr>
              <w:bidi w:val="0"/>
            </w:pPr>
            <w:r>
              <w:t>根据事故类比调查和统计，结合对项目各工艺过程的分析，本项目生产系统可能存在的风险如下：</w:t>
            </w:r>
          </w:p>
          <w:p>
            <w:pPr>
              <w:pStyle w:val="23"/>
              <w:bidi w:val="0"/>
              <w:rPr>
                <w:rFonts w:eastAsiaTheme="minorEastAsia"/>
                <w:b/>
                <w:color w:val="auto"/>
                <w:kern w:val="0"/>
                <w:sz w:val="24"/>
              </w:rPr>
            </w:pPr>
            <w:r>
              <w:rPr>
                <w:rFonts w:hAnsiTheme="minorEastAsia" w:eastAsiaTheme="minorEastAsia"/>
                <w:b/>
                <w:color w:val="auto"/>
                <w:kern w:val="0"/>
                <w:sz w:val="24"/>
              </w:rPr>
              <w:t>表</w:t>
            </w:r>
            <w:r>
              <w:rPr>
                <w:rFonts w:eastAsiaTheme="minorEastAsia"/>
                <w:b/>
                <w:color w:val="auto"/>
                <w:kern w:val="0"/>
                <w:sz w:val="24"/>
              </w:rPr>
              <w:t>4-1</w:t>
            </w:r>
            <w:r>
              <w:rPr>
                <w:rFonts w:hint="eastAsia" w:eastAsiaTheme="minorEastAsia"/>
                <w:b/>
                <w:color w:val="auto"/>
                <w:kern w:val="0"/>
                <w:sz w:val="24"/>
                <w:lang w:val="en-US" w:eastAsia="zh-CN"/>
              </w:rPr>
              <w:t>7</w:t>
            </w:r>
            <w:r>
              <w:rPr>
                <w:rFonts w:eastAsiaTheme="minorEastAsia"/>
                <w:b/>
                <w:color w:val="auto"/>
                <w:kern w:val="0"/>
                <w:sz w:val="24"/>
              </w:rPr>
              <w:t xml:space="preserve">  </w:t>
            </w:r>
            <w:r>
              <w:rPr>
                <w:rFonts w:hAnsiTheme="minorEastAsia" w:eastAsiaTheme="minorEastAsia"/>
                <w:b/>
                <w:color w:val="auto"/>
                <w:kern w:val="0"/>
                <w:sz w:val="24"/>
              </w:rPr>
              <w:t>生产过程中潜在事故及其原因一览表</w:t>
            </w:r>
          </w:p>
          <w:tbl>
            <w:tblPr>
              <w:tblStyle w:val="1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67"/>
              <w:gridCol w:w="2938"/>
              <w:gridCol w:w="415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1270" w:type="dxa"/>
                  <w:tcBorders>
                    <w:tl2br w:val="nil"/>
                    <w:tr2bl w:val="nil"/>
                  </w:tcBorders>
                  <w:shd w:val="clear" w:color="auto" w:fill="auto"/>
                  <w:vAlign w:val="center"/>
                </w:tcPr>
                <w:p>
                  <w:pPr>
                    <w:pStyle w:val="22"/>
                    <w:bidi w:val="0"/>
                    <w:rPr>
                      <w:b/>
                      <w:bCs/>
                    </w:rPr>
                  </w:pPr>
                  <w:r>
                    <w:rPr>
                      <w:b/>
                      <w:bCs/>
                    </w:rPr>
                    <w:t>序号</w:t>
                  </w:r>
                </w:p>
              </w:tc>
              <w:tc>
                <w:tcPr>
                  <w:tcW w:w="2946" w:type="dxa"/>
                  <w:tcBorders>
                    <w:tl2br w:val="nil"/>
                    <w:tr2bl w:val="nil"/>
                  </w:tcBorders>
                  <w:shd w:val="clear" w:color="auto" w:fill="auto"/>
                  <w:vAlign w:val="center"/>
                </w:tcPr>
                <w:p>
                  <w:pPr>
                    <w:pStyle w:val="22"/>
                    <w:bidi w:val="0"/>
                    <w:rPr>
                      <w:b/>
                      <w:bCs/>
                    </w:rPr>
                  </w:pPr>
                  <w:r>
                    <w:rPr>
                      <w:b/>
                      <w:bCs/>
                    </w:rPr>
                    <w:t>潜在事故</w:t>
                  </w:r>
                </w:p>
              </w:tc>
              <w:tc>
                <w:tcPr>
                  <w:tcW w:w="4163" w:type="dxa"/>
                  <w:tcBorders>
                    <w:tl2br w:val="nil"/>
                    <w:tr2bl w:val="nil"/>
                  </w:tcBorders>
                  <w:shd w:val="clear" w:color="auto" w:fill="auto"/>
                  <w:vAlign w:val="center"/>
                </w:tcPr>
                <w:p>
                  <w:pPr>
                    <w:pStyle w:val="22"/>
                    <w:bidi w:val="0"/>
                    <w:rPr>
                      <w:b/>
                      <w:bCs/>
                    </w:rPr>
                  </w:pPr>
                  <w:r>
                    <w:rPr>
                      <w:b/>
                      <w:bCs/>
                    </w:rPr>
                    <w:t>主要原因</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70" w:type="dxa"/>
                  <w:tcBorders>
                    <w:tl2br w:val="nil"/>
                    <w:tr2bl w:val="nil"/>
                  </w:tcBorders>
                  <w:shd w:val="clear" w:color="auto" w:fill="auto"/>
                  <w:vAlign w:val="center"/>
                </w:tcPr>
                <w:p>
                  <w:pPr>
                    <w:pStyle w:val="22"/>
                    <w:bidi w:val="0"/>
                  </w:pPr>
                  <w:r>
                    <w:t>1</w:t>
                  </w:r>
                </w:p>
              </w:tc>
              <w:tc>
                <w:tcPr>
                  <w:tcW w:w="2946" w:type="dxa"/>
                  <w:tcBorders>
                    <w:tl2br w:val="nil"/>
                    <w:tr2bl w:val="nil"/>
                  </w:tcBorders>
                  <w:shd w:val="clear" w:color="auto" w:fill="auto"/>
                  <w:vAlign w:val="center"/>
                </w:tcPr>
                <w:p>
                  <w:pPr>
                    <w:pStyle w:val="22"/>
                    <w:bidi w:val="0"/>
                  </w:pPr>
                  <w:r>
                    <w:t>管线破裂，泄漏物料</w:t>
                  </w:r>
                </w:p>
              </w:tc>
              <w:tc>
                <w:tcPr>
                  <w:tcW w:w="4163" w:type="dxa"/>
                  <w:tcBorders>
                    <w:tl2br w:val="nil"/>
                    <w:tr2bl w:val="nil"/>
                  </w:tcBorders>
                  <w:shd w:val="clear" w:color="auto" w:fill="auto"/>
                  <w:vAlign w:val="center"/>
                </w:tcPr>
                <w:p>
                  <w:pPr>
                    <w:pStyle w:val="22"/>
                    <w:bidi w:val="0"/>
                  </w:pPr>
                  <w:r>
                    <w:t>腐蚀，材料不合格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70" w:type="dxa"/>
                  <w:tcBorders>
                    <w:tl2br w:val="nil"/>
                    <w:tr2bl w:val="nil"/>
                  </w:tcBorders>
                  <w:shd w:val="clear" w:color="auto" w:fill="auto"/>
                  <w:vAlign w:val="center"/>
                </w:tcPr>
                <w:p>
                  <w:pPr>
                    <w:pStyle w:val="22"/>
                    <w:bidi w:val="0"/>
                  </w:pPr>
                  <w:r>
                    <w:t>2</w:t>
                  </w:r>
                </w:p>
              </w:tc>
              <w:tc>
                <w:tcPr>
                  <w:tcW w:w="2946" w:type="dxa"/>
                  <w:tcBorders>
                    <w:tl2br w:val="nil"/>
                    <w:tr2bl w:val="nil"/>
                  </w:tcBorders>
                  <w:shd w:val="clear" w:color="auto" w:fill="auto"/>
                  <w:vAlign w:val="center"/>
                </w:tcPr>
                <w:p>
                  <w:pPr>
                    <w:pStyle w:val="22"/>
                    <w:bidi w:val="0"/>
                  </w:pPr>
                  <w:r>
                    <w:t>各种阀门泄漏物料</w:t>
                  </w:r>
                </w:p>
              </w:tc>
              <w:tc>
                <w:tcPr>
                  <w:tcW w:w="4163" w:type="dxa"/>
                  <w:tcBorders>
                    <w:tl2br w:val="nil"/>
                    <w:tr2bl w:val="nil"/>
                  </w:tcBorders>
                  <w:shd w:val="clear" w:color="auto" w:fill="auto"/>
                  <w:vAlign w:val="center"/>
                </w:tcPr>
                <w:p>
                  <w:pPr>
                    <w:pStyle w:val="22"/>
                    <w:bidi w:val="0"/>
                  </w:pPr>
                  <w:r>
                    <w:t>密封圈受损，阀门不合格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70" w:type="dxa"/>
                  <w:tcBorders>
                    <w:tl2br w:val="nil"/>
                    <w:tr2bl w:val="nil"/>
                  </w:tcBorders>
                  <w:shd w:val="clear" w:color="auto" w:fill="auto"/>
                  <w:vAlign w:val="center"/>
                </w:tcPr>
                <w:p>
                  <w:pPr>
                    <w:pStyle w:val="22"/>
                    <w:bidi w:val="0"/>
                  </w:pPr>
                  <w:r>
                    <w:t>3</w:t>
                  </w:r>
                </w:p>
              </w:tc>
              <w:tc>
                <w:tcPr>
                  <w:tcW w:w="2946" w:type="dxa"/>
                  <w:tcBorders>
                    <w:tl2br w:val="nil"/>
                    <w:tr2bl w:val="nil"/>
                  </w:tcBorders>
                  <w:shd w:val="clear" w:color="auto" w:fill="auto"/>
                  <w:vAlign w:val="center"/>
                </w:tcPr>
                <w:p>
                  <w:pPr>
                    <w:pStyle w:val="22"/>
                    <w:bidi w:val="0"/>
                  </w:pPr>
                  <w:r>
                    <w:t>容器破损</w:t>
                  </w:r>
                </w:p>
              </w:tc>
              <w:tc>
                <w:tcPr>
                  <w:tcW w:w="4163" w:type="dxa"/>
                  <w:tcBorders>
                    <w:tl2br w:val="nil"/>
                    <w:tr2bl w:val="nil"/>
                  </w:tcBorders>
                  <w:shd w:val="clear" w:color="auto" w:fill="auto"/>
                  <w:vAlign w:val="center"/>
                </w:tcPr>
                <w:p>
                  <w:pPr>
                    <w:pStyle w:val="22"/>
                    <w:bidi w:val="0"/>
                  </w:pPr>
                  <w:r>
                    <w:t>监控系统失灵、误操作、自然灾害</w:t>
                  </w:r>
                </w:p>
              </w:tc>
            </w:tr>
          </w:tbl>
          <w:p>
            <w:pPr>
              <w:bidi w:val="0"/>
              <w:rPr>
                <w:rFonts w:eastAsiaTheme="minorEastAsia"/>
                <w:b/>
                <w:bCs/>
                <w:color w:val="auto"/>
                <w:sz w:val="24"/>
                <w:szCs w:val="32"/>
              </w:rPr>
            </w:pPr>
            <w:r>
              <w:rPr>
                <w:rFonts w:hAnsiTheme="minorEastAsia" w:eastAsiaTheme="minorEastAsia"/>
                <w:b/>
                <w:bCs/>
                <w:color w:val="auto"/>
                <w:sz w:val="24"/>
                <w:szCs w:val="32"/>
              </w:rPr>
              <w:t>（</w:t>
            </w:r>
            <w:r>
              <w:rPr>
                <w:rFonts w:eastAsiaTheme="minorEastAsia"/>
                <w:b/>
                <w:bCs/>
                <w:color w:val="auto"/>
                <w:sz w:val="24"/>
                <w:szCs w:val="32"/>
              </w:rPr>
              <w:t>3</w:t>
            </w:r>
            <w:r>
              <w:rPr>
                <w:rFonts w:hAnsiTheme="minorEastAsia" w:eastAsiaTheme="minorEastAsia"/>
                <w:b/>
                <w:bCs/>
                <w:color w:val="auto"/>
                <w:sz w:val="24"/>
                <w:szCs w:val="32"/>
              </w:rPr>
              <w:t>）环境风险类型及危害分析</w:t>
            </w:r>
          </w:p>
          <w:p>
            <w:pPr>
              <w:bidi w:val="0"/>
            </w:pPr>
            <w:r>
              <w:t>本项目在生产及贮运过程中存在发生泄漏、火灾、爆炸等风险事故的可能性，主要环境风险事故类型及可能产生的后果见下表。</w:t>
            </w:r>
          </w:p>
          <w:p>
            <w:pPr>
              <w:pStyle w:val="23"/>
              <w:bidi w:val="0"/>
              <w:rPr>
                <w:rFonts w:eastAsiaTheme="minorEastAsia"/>
                <w:b/>
                <w:color w:val="auto"/>
                <w:kern w:val="0"/>
                <w:sz w:val="24"/>
              </w:rPr>
            </w:pPr>
            <w:r>
              <w:rPr>
                <w:rFonts w:hAnsiTheme="minorEastAsia" w:eastAsiaTheme="minorEastAsia"/>
                <w:b/>
                <w:color w:val="auto"/>
                <w:kern w:val="0"/>
                <w:sz w:val="24"/>
              </w:rPr>
              <w:t>表</w:t>
            </w:r>
            <w:r>
              <w:rPr>
                <w:rFonts w:eastAsiaTheme="minorEastAsia"/>
                <w:b/>
                <w:color w:val="auto"/>
                <w:kern w:val="0"/>
                <w:sz w:val="24"/>
              </w:rPr>
              <w:t>4-1</w:t>
            </w:r>
            <w:r>
              <w:rPr>
                <w:rFonts w:hint="eastAsia" w:eastAsiaTheme="minorEastAsia"/>
                <w:b/>
                <w:color w:val="auto"/>
                <w:kern w:val="0"/>
                <w:sz w:val="24"/>
                <w:lang w:val="en-US" w:eastAsia="zh-CN"/>
              </w:rPr>
              <w:t>8</w:t>
            </w:r>
            <w:r>
              <w:rPr>
                <w:rFonts w:eastAsiaTheme="minorEastAsia"/>
                <w:b/>
                <w:color w:val="auto"/>
                <w:kern w:val="0"/>
                <w:sz w:val="24"/>
              </w:rPr>
              <w:t xml:space="preserve">  </w:t>
            </w:r>
            <w:r>
              <w:rPr>
                <w:rFonts w:hAnsiTheme="minorEastAsia" w:eastAsiaTheme="minorEastAsia"/>
                <w:b/>
                <w:color w:val="auto"/>
                <w:kern w:val="0"/>
                <w:sz w:val="24"/>
              </w:rPr>
              <w:t>本项目环境风险类型及危害分析一览表</w:t>
            </w:r>
          </w:p>
          <w:tbl>
            <w:tblPr>
              <w:tblStyle w:val="1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621"/>
              <w:gridCol w:w="1875"/>
              <w:gridCol w:w="486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970" w:type="pct"/>
                  <w:tcBorders>
                    <w:tl2br w:val="nil"/>
                    <w:tr2bl w:val="nil"/>
                  </w:tcBorders>
                  <w:vAlign w:val="center"/>
                </w:tcPr>
                <w:p>
                  <w:pPr>
                    <w:pStyle w:val="22"/>
                    <w:bidi w:val="0"/>
                    <w:rPr>
                      <w:b/>
                      <w:bCs/>
                    </w:rPr>
                  </w:pPr>
                  <w:r>
                    <w:rPr>
                      <w:b/>
                      <w:bCs/>
                    </w:rPr>
                    <w:t>风险类型</w:t>
                  </w:r>
                </w:p>
              </w:tc>
              <w:tc>
                <w:tcPr>
                  <w:tcW w:w="1122" w:type="pct"/>
                  <w:tcBorders>
                    <w:tl2br w:val="nil"/>
                    <w:tr2bl w:val="nil"/>
                  </w:tcBorders>
                  <w:vAlign w:val="center"/>
                </w:tcPr>
                <w:p>
                  <w:pPr>
                    <w:pStyle w:val="22"/>
                    <w:bidi w:val="0"/>
                    <w:rPr>
                      <w:b/>
                      <w:bCs/>
                    </w:rPr>
                  </w:pPr>
                  <w:r>
                    <w:rPr>
                      <w:b/>
                      <w:bCs/>
                    </w:rPr>
                    <w:t>产生原因</w:t>
                  </w:r>
                </w:p>
              </w:tc>
              <w:tc>
                <w:tcPr>
                  <w:tcW w:w="2908" w:type="pct"/>
                  <w:tcBorders>
                    <w:tl2br w:val="nil"/>
                    <w:tr2bl w:val="nil"/>
                  </w:tcBorders>
                  <w:vAlign w:val="center"/>
                </w:tcPr>
                <w:p>
                  <w:pPr>
                    <w:pStyle w:val="22"/>
                    <w:bidi w:val="0"/>
                    <w:rPr>
                      <w:b/>
                      <w:bCs/>
                    </w:rPr>
                  </w:pPr>
                  <w:r>
                    <w:rPr>
                      <w:b/>
                      <w:bCs/>
                    </w:rPr>
                    <w:t>可能产生的后果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970" w:type="pct"/>
                  <w:tcBorders>
                    <w:tl2br w:val="nil"/>
                    <w:tr2bl w:val="nil"/>
                  </w:tcBorders>
                  <w:vAlign w:val="center"/>
                </w:tcPr>
                <w:p>
                  <w:pPr>
                    <w:pStyle w:val="22"/>
                    <w:bidi w:val="0"/>
                  </w:pPr>
                  <w:r>
                    <w:t>危险物质泄漏</w:t>
                  </w:r>
                </w:p>
              </w:tc>
              <w:tc>
                <w:tcPr>
                  <w:tcW w:w="1122" w:type="pct"/>
                  <w:tcBorders>
                    <w:tl2br w:val="nil"/>
                    <w:tr2bl w:val="nil"/>
                  </w:tcBorders>
                  <w:vAlign w:val="center"/>
                </w:tcPr>
                <w:p>
                  <w:pPr>
                    <w:pStyle w:val="22"/>
                    <w:bidi w:val="0"/>
                  </w:pPr>
                  <w:r>
                    <w:t>人为操作不当；设备缺陷或故障；系统故障等</w:t>
                  </w:r>
                </w:p>
              </w:tc>
              <w:tc>
                <w:tcPr>
                  <w:tcW w:w="2908" w:type="pct"/>
                  <w:tcBorders>
                    <w:tl2br w:val="nil"/>
                    <w:tr2bl w:val="nil"/>
                  </w:tcBorders>
                  <w:vAlign w:val="center"/>
                </w:tcPr>
                <w:p>
                  <w:pPr>
                    <w:pStyle w:val="22"/>
                    <w:bidi w:val="0"/>
                  </w:pPr>
                  <w:r>
                    <w:t>泄露出来的润滑油、废润滑油</w:t>
                  </w:r>
                  <w:r>
                    <w:rPr>
                      <w:rFonts w:hint="eastAsia"/>
                    </w:rPr>
                    <w:t>、液压油及废液压油</w:t>
                  </w:r>
                  <w:r>
                    <w:t>等污染物事故性排放，对地表水及土壤环境不利影响将增加。</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70" w:type="pct"/>
                  <w:tcBorders>
                    <w:tl2br w:val="nil"/>
                    <w:tr2bl w:val="nil"/>
                  </w:tcBorders>
                  <w:vAlign w:val="center"/>
                </w:tcPr>
                <w:p>
                  <w:pPr>
                    <w:pStyle w:val="22"/>
                    <w:bidi w:val="0"/>
                  </w:pPr>
                  <w:r>
                    <w:t>火灾等引发的伴生/次生污染物排放</w:t>
                  </w:r>
                </w:p>
              </w:tc>
              <w:tc>
                <w:tcPr>
                  <w:tcW w:w="1122" w:type="pct"/>
                  <w:tcBorders>
                    <w:tl2br w:val="nil"/>
                    <w:tr2bl w:val="nil"/>
                  </w:tcBorders>
                  <w:vAlign w:val="center"/>
                </w:tcPr>
                <w:p>
                  <w:pPr>
                    <w:pStyle w:val="22"/>
                    <w:bidi w:val="0"/>
                  </w:pPr>
                  <w:r>
                    <w:t>遇高温或明火</w:t>
                  </w:r>
                </w:p>
              </w:tc>
              <w:tc>
                <w:tcPr>
                  <w:tcW w:w="2908" w:type="pct"/>
                  <w:tcBorders>
                    <w:tl2br w:val="nil"/>
                    <w:tr2bl w:val="nil"/>
                  </w:tcBorders>
                  <w:vAlign w:val="center"/>
                </w:tcPr>
                <w:p>
                  <w:pPr>
                    <w:pStyle w:val="22"/>
                    <w:bidi w:val="0"/>
                  </w:pPr>
                  <w:r>
                    <w:t>火灾会产生大量的消防废水，消防废水不能及时处理或应急措施不当时，事故废水如不及时进行收集，可能通过雨水管网，进入厂界外环境，将对周边水体造成影响。</w:t>
                  </w:r>
                </w:p>
              </w:tc>
            </w:tr>
          </w:tbl>
          <w:p>
            <w:pPr>
              <w:ind w:firstLine="480"/>
              <w:rPr>
                <w:b/>
                <w:bCs/>
              </w:rPr>
            </w:pPr>
            <w:r>
              <w:rPr>
                <w:rFonts w:hint="eastAsia"/>
                <w:b/>
                <w:bCs/>
                <w:lang w:val="en-US" w:eastAsia="zh-CN"/>
              </w:rPr>
              <w:t>4、</w:t>
            </w:r>
            <w:r>
              <w:rPr>
                <w:b/>
                <w:bCs/>
              </w:rPr>
              <w:t>风险防范措施</w:t>
            </w:r>
          </w:p>
          <w:p>
            <w:pPr>
              <w:ind w:firstLine="480"/>
              <w:rPr>
                <w:rFonts w:hint="eastAsia"/>
                <w:b/>
                <w:bCs/>
                <w:lang w:val="zh-CN"/>
              </w:rPr>
            </w:pPr>
            <w:r>
              <w:rPr>
                <w:rFonts w:hint="eastAsia"/>
                <w:b/>
                <w:bCs/>
                <w:lang w:val="zh-CN"/>
              </w:rPr>
              <w:t>（1）火灾事故的防范措施</w:t>
            </w:r>
          </w:p>
          <w:p>
            <w:pPr>
              <w:ind w:firstLine="480"/>
              <w:rPr>
                <w:rFonts w:hint="eastAsia"/>
                <w:lang w:val="zh-CN"/>
              </w:rPr>
            </w:pPr>
            <w:r>
              <w:rPr>
                <w:rFonts w:hint="eastAsia"/>
                <w:lang w:val="zh-CN"/>
              </w:rPr>
              <w:t>生产过程必须严格按照相关防火、防爆设计要求进行，并配备相应的保护工程；加强工艺系统的自动控制的应用，同时应加强对系统设备的维护保养；加强对全厂员工教育，使员工了解防火、防爆知识；配备足够的救灾防毒器具、消防器及防护用品。</w:t>
            </w:r>
          </w:p>
          <w:p>
            <w:pPr>
              <w:ind w:firstLine="480"/>
              <w:rPr>
                <w:rFonts w:hint="eastAsia"/>
                <w:b/>
                <w:bCs/>
                <w:lang w:val="zh-CN"/>
              </w:rPr>
            </w:pPr>
            <w:r>
              <w:rPr>
                <w:rFonts w:hint="eastAsia"/>
                <w:b/>
                <w:bCs/>
                <w:lang w:val="zh-CN"/>
              </w:rPr>
              <w:t>（2）消防及火灾报警</w:t>
            </w:r>
          </w:p>
          <w:p>
            <w:pPr>
              <w:ind w:firstLine="480"/>
              <w:rPr>
                <w:rFonts w:hint="eastAsia"/>
                <w:lang w:val="zh-CN"/>
              </w:rPr>
            </w:pPr>
            <w:r>
              <w:rPr>
                <w:rFonts w:hint="eastAsia"/>
                <w:lang w:val="zh-CN"/>
              </w:rPr>
              <w:t>项目配备室外消防装置，在内部设置消防栓和自动消防喷头等装置。</w:t>
            </w:r>
          </w:p>
          <w:p>
            <w:pPr>
              <w:ind w:firstLine="480"/>
              <w:rPr>
                <w:rFonts w:hint="eastAsia"/>
                <w:b/>
                <w:bCs/>
                <w:lang w:val="zh-CN"/>
              </w:rPr>
            </w:pPr>
            <w:r>
              <w:rPr>
                <w:rFonts w:hint="eastAsia"/>
                <w:b/>
                <w:bCs/>
                <w:lang w:val="zh-CN"/>
              </w:rPr>
              <w:t>（3）安全管理</w:t>
            </w:r>
          </w:p>
          <w:p>
            <w:pPr>
              <w:ind w:firstLine="480"/>
              <w:rPr>
                <w:rFonts w:hint="eastAsia"/>
                <w:lang w:val="zh-CN"/>
              </w:rPr>
            </w:pPr>
            <w:r>
              <w:rPr>
                <w:rFonts w:hint="eastAsia"/>
                <w:lang w:val="zh-CN"/>
              </w:rPr>
              <w:t>项目在管理上应设置专业安全监督机构，建立严格的规章制度和安全生产措施，所有工作人员必须培训上岗，绝不容许引入不安全因素到生产作业中去。生产区设禁止吸烟标志，防止人为引起明火火灾等事故。</w:t>
            </w:r>
          </w:p>
          <w:p>
            <w:pPr>
              <w:ind w:firstLine="480"/>
              <w:rPr>
                <w:lang w:val="zh-CN"/>
              </w:rPr>
            </w:pPr>
            <w:r>
              <w:rPr>
                <w:rFonts w:hint="eastAsia"/>
                <w:lang w:val="zh-CN"/>
              </w:rPr>
              <w:t>综上所述，本项目主要环境风险源为原料仓库，主要环境风险为所存储原料发生火灾，厂区应配备应急物资。在落实的上述风险防范措施情况下，本项目环境风险是可以接受的。</w:t>
            </w:r>
          </w:p>
          <w:p>
            <w:pPr>
              <w:pStyle w:val="23"/>
            </w:pPr>
            <w:r>
              <w:rPr>
                <w:rFonts w:hint="eastAsia"/>
              </w:rPr>
              <w:t>表4-</w:t>
            </w:r>
            <w:r>
              <w:rPr>
                <w:rFonts w:hint="eastAsia"/>
                <w:lang w:val="en-US" w:eastAsia="zh-CN"/>
              </w:rPr>
              <w:t>19</w:t>
            </w:r>
            <w:r>
              <w:rPr>
                <w:rFonts w:hint="eastAsia"/>
              </w:rPr>
              <w:t xml:space="preserve"> </w:t>
            </w:r>
            <w:r>
              <w:t xml:space="preserve"> </w:t>
            </w:r>
            <w:r>
              <w:rPr>
                <w:rFonts w:hint="eastAsia"/>
              </w:rPr>
              <w:t>建设环境风险简单分析内容一览表</w:t>
            </w:r>
          </w:p>
          <w:tbl>
            <w:tblPr>
              <w:tblStyle w:val="1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50"/>
              <w:gridCol w:w="1309"/>
              <w:gridCol w:w="1286"/>
              <w:gridCol w:w="669"/>
              <w:gridCol w:w="1326"/>
              <w:gridCol w:w="1102"/>
              <w:gridCol w:w="111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928" w:type="pct"/>
                  <w:shd w:val="clear" w:color="auto" w:fill="auto"/>
                  <w:vAlign w:val="center"/>
                </w:tcPr>
                <w:p>
                  <w:pPr>
                    <w:pStyle w:val="22"/>
                    <w:bidi w:val="0"/>
                    <w:rPr>
                      <w:b/>
                      <w:bCs/>
                    </w:rPr>
                  </w:pPr>
                  <w:r>
                    <w:rPr>
                      <w:rFonts w:hint="eastAsia"/>
                      <w:b/>
                      <w:bCs/>
                    </w:rPr>
                    <w:t>建设项目名称</w:t>
                  </w:r>
                </w:p>
              </w:tc>
              <w:tc>
                <w:tcPr>
                  <w:tcW w:w="4071" w:type="pct"/>
                  <w:gridSpan w:val="6"/>
                  <w:shd w:val="clear" w:color="auto" w:fill="auto"/>
                  <w:vAlign w:val="center"/>
                </w:tcPr>
                <w:p>
                  <w:pPr>
                    <w:pStyle w:val="22"/>
                    <w:bidi w:val="0"/>
                  </w:pPr>
                  <w:r>
                    <w:rPr>
                      <w:rFonts w:hint="eastAsia"/>
                    </w:rPr>
                    <w:t>年产1000吨汽车模具（含夹检具）、新能源汽车冲焊件3000万件生产建设项目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928" w:type="pct"/>
                  <w:shd w:val="clear" w:color="auto" w:fill="auto"/>
                  <w:vAlign w:val="center"/>
                </w:tcPr>
                <w:p>
                  <w:pPr>
                    <w:pStyle w:val="22"/>
                    <w:bidi w:val="0"/>
                    <w:rPr>
                      <w:b/>
                      <w:bCs/>
                    </w:rPr>
                  </w:pPr>
                  <w:r>
                    <w:rPr>
                      <w:rFonts w:hint="eastAsia"/>
                      <w:b/>
                      <w:bCs/>
                    </w:rPr>
                    <w:t>建设地点</w:t>
                  </w:r>
                </w:p>
              </w:tc>
              <w:tc>
                <w:tcPr>
                  <w:tcW w:w="783" w:type="pct"/>
                  <w:shd w:val="clear" w:color="auto" w:fill="auto"/>
                  <w:vAlign w:val="center"/>
                </w:tcPr>
                <w:p>
                  <w:pPr>
                    <w:pStyle w:val="22"/>
                    <w:bidi w:val="0"/>
                  </w:pPr>
                  <w:r>
                    <w:rPr>
                      <w:rFonts w:hint="eastAsia"/>
                      <w:lang w:eastAsia="zh-CN"/>
                    </w:rPr>
                    <w:t>（</w:t>
                  </w:r>
                  <w:r>
                    <w:rPr>
                      <w:rFonts w:hint="eastAsia"/>
                    </w:rPr>
                    <w:t>安徽</w:t>
                  </w:r>
                  <w:r>
                    <w:rPr>
                      <w:rFonts w:hint="eastAsia"/>
                      <w:lang w:eastAsia="zh-CN"/>
                    </w:rPr>
                    <w:t>）</w:t>
                  </w:r>
                  <w:r>
                    <w:rPr>
                      <w:rFonts w:hint="eastAsia"/>
                    </w:rPr>
                    <w:t>省</w:t>
                  </w:r>
                </w:p>
              </w:tc>
              <w:tc>
                <w:tcPr>
                  <w:tcW w:w="769" w:type="pct"/>
                  <w:shd w:val="clear" w:color="auto" w:fill="auto"/>
                  <w:vAlign w:val="center"/>
                </w:tcPr>
                <w:p>
                  <w:pPr>
                    <w:pStyle w:val="22"/>
                    <w:bidi w:val="0"/>
                  </w:pPr>
                  <w:r>
                    <w:rPr>
                      <w:rFonts w:hint="eastAsia"/>
                      <w:lang w:eastAsia="zh-CN"/>
                    </w:rPr>
                    <w:t>（</w:t>
                  </w:r>
                  <w:r>
                    <w:rPr>
                      <w:rFonts w:hint="eastAsia"/>
                    </w:rPr>
                    <w:t>芜湖</w:t>
                  </w:r>
                  <w:r>
                    <w:rPr>
                      <w:rFonts w:hint="eastAsia"/>
                      <w:lang w:eastAsia="zh-CN"/>
                    </w:rPr>
                    <w:t>）</w:t>
                  </w:r>
                  <w:r>
                    <w:rPr>
                      <w:rFonts w:hint="eastAsia"/>
                    </w:rPr>
                    <w:t>市</w:t>
                  </w:r>
                </w:p>
              </w:tc>
              <w:tc>
                <w:tcPr>
                  <w:tcW w:w="1193" w:type="pct"/>
                  <w:gridSpan w:val="2"/>
                  <w:shd w:val="clear" w:color="auto" w:fill="auto"/>
                  <w:vAlign w:val="center"/>
                </w:tcPr>
                <w:p>
                  <w:pPr>
                    <w:pStyle w:val="22"/>
                    <w:bidi w:val="0"/>
                  </w:pPr>
                  <w:r>
                    <w:rPr>
                      <w:rFonts w:hint="eastAsia"/>
                      <w:lang w:eastAsia="zh-CN"/>
                    </w:rPr>
                    <w:t>（</w:t>
                  </w:r>
                  <w:r>
                    <w:rPr>
                      <w:rFonts w:hint="eastAsia"/>
                    </w:rPr>
                    <w:t>芜湖市经济技术开发区</w:t>
                  </w:r>
                  <w:r>
                    <w:rPr>
                      <w:rFonts w:hint="eastAsia"/>
                      <w:lang w:eastAsia="zh-CN"/>
                    </w:rPr>
                    <w:t>）区</w:t>
                  </w:r>
                </w:p>
              </w:tc>
              <w:tc>
                <w:tcPr>
                  <w:tcW w:w="659" w:type="pct"/>
                  <w:shd w:val="clear" w:color="auto" w:fill="auto"/>
                  <w:vAlign w:val="center"/>
                </w:tcPr>
                <w:p>
                  <w:pPr>
                    <w:pStyle w:val="22"/>
                    <w:bidi w:val="0"/>
                  </w:pPr>
                  <w:r>
                    <w:rPr>
                      <w:rFonts w:hint="eastAsia"/>
                    </w:rPr>
                    <w:t>（）县</w:t>
                  </w:r>
                </w:p>
              </w:tc>
              <w:tc>
                <w:tcPr>
                  <w:tcW w:w="665" w:type="pct"/>
                  <w:shd w:val="clear" w:color="auto" w:fill="auto"/>
                  <w:vAlign w:val="center"/>
                </w:tcPr>
                <w:p>
                  <w:pPr>
                    <w:pStyle w:val="22"/>
                    <w:bidi w:val="0"/>
                  </w:pPr>
                  <w:r>
                    <w:rPr>
                      <w:rFonts w:hint="eastAsia"/>
                    </w:rPr>
                    <w:t>（）园区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928" w:type="pct"/>
                  <w:shd w:val="clear" w:color="auto" w:fill="auto"/>
                  <w:vAlign w:val="center"/>
                </w:tcPr>
                <w:p>
                  <w:pPr>
                    <w:pStyle w:val="22"/>
                    <w:bidi w:val="0"/>
                    <w:rPr>
                      <w:b/>
                      <w:bCs/>
                    </w:rPr>
                  </w:pPr>
                  <w:r>
                    <w:rPr>
                      <w:rFonts w:hint="eastAsia"/>
                      <w:b/>
                      <w:bCs/>
                    </w:rPr>
                    <w:t>地理坐标</w:t>
                  </w:r>
                </w:p>
              </w:tc>
              <w:tc>
                <w:tcPr>
                  <w:tcW w:w="1952" w:type="pct"/>
                  <w:gridSpan w:val="3"/>
                  <w:shd w:val="clear" w:color="auto" w:fill="auto"/>
                  <w:vAlign w:val="center"/>
                </w:tcPr>
                <w:p>
                  <w:pPr>
                    <w:pStyle w:val="22"/>
                    <w:bidi w:val="0"/>
                  </w:pPr>
                  <w:r>
                    <w:rPr>
                      <w:rFonts w:hint="eastAsia"/>
                    </w:rPr>
                    <w:t>东经E118°24′30.79″</w:t>
                  </w:r>
                </w:p>
              </w:tc>
              <w:tc>
                <w:tcPr>
                  <w:tcW w:w="2118" w:type="pct"/>
                  <w:gridSpan w:val="3"/>
                  <w:shd w:val="clear" w:color="auto" w:fill="auto"/>
                  <w:vAlign w:val="center"/>
                </w:tcPr>
                <w:p>
                  <w:pPr>
                    <w:pStyle w:val="22"/>
                    <w:bidi w:val="0"/>
                  </w:pPr>
                  <w:r>
                    <w:rPr>
                      <w:rFonts w:hint="eastAsia"/>
                    </w:rPr>
                    <w:t>北纬N31°2</w:t>
                  </w:r>
                  <w:r>
                    <w:rPr>
                      <w:rFonts w:hint="eastAsia"/>
                      <w:lang w:val="en-US" w:eastAsia="zh-CN"/>
                    </w:rPr>
                    <w:t>9</w:t>
                  </w:r>
                  <w:r>
                    <w:rPr>
                      <w:rFonts w:hint="eastAsia"/>
                    </w:rPr>
                    <w:t>′25.35″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928" w:type="pct"/>
                  <w:shd w:val="clear" w:color="auto" w:fill="auto"/>
                  <w:vAlign w:val="center"/>
                </w:tcPr>
                <w:p>
                  <w:pPr>
                    <w:pStyle w:val="22"/>
                    <w:bidi w:val="0"/>
                    <w:rPr>
                      <w:b/>
                      <w:bCs/>
                    </w:rPr>
                  </w:pPr>
                  <w:r>
                    <w:rPr>
                      <w:rFonts w:hint="eastAsia"/>
                      <w:b/>
                      <w:bCs/>
                    </w:rPr>
                    <w:t>主要危险物质及分布</w:t>
                  </w:r>
                </w:p>
              </w:tc>
              <w:tc>
                <w:tcPr>
                  <w:tcW w:w="4071" w:type="pct"/>
                  <w:gridSpan w:val="6"/>
                  <w:shd w:val="clear" w:color="auto" w:fill="auto"/>
                  <w:vAlign w:val="center"/>
                </w:tcPr>
                <w:p>
                  <w:pPr>
                    <w:pStyle w:val="22"/>
                    <w:bidi w:val="0"/>
                  </w:pPr>
                  <w:r>
                    <w:t>润滑油</w:t>
                  </w:r>
                  <w:r>
                    <w:rPr>
                      <w:rFonts w:hint="eastAsia"/>
                    </w:rPr>
                    <w:t>、液压油</w:t>
                  </w:r>
                  <w:r>
                    <w:t>分布于原料仓库，最大贮存量分别为</w:t>
                  </w:r>
                  <w:r>
                    <w:rPr>
                      <w:rFonts w:hint="eastAsia"/>
                    </w:rPr>
                    <w:t>0.6</w:t>
                  </w:r>
                  <w:r>
                    <w:t>t</w:t>
                  </w:r>
                  <w:r>
                    <w:rPr>
                      <w:rFonts w:hint="eastAsia"/>
                    </w:rPr>
                    <w:t>、0.6t</w:t>
                  </w:r>
                  <w:r>
                    <w:t>，废润滑油</w:t>
                  </w:r>
                  <w:r>
                    <w:rPr>
                      <w:rFonts w:hint="eastAsia"/>
                    </w:rPr>
                    <w:t>、废液压油</w:t>
                  </w:r>
                  <w:r>
                    <w:rPr>
                      <w:rFonts w:hint="eastAsia"/>
                      <w:lang w:eastAsia="zh-CN"/>
                    </w:rPr>
                    <w:t>、废切削液</w:t>
                  </w:r>
                  <w:r>
                    <w:t>分布于危废仓库，最大贮存量0.</w:t>
                  </w:r>
                  <w:r>
                    <w:rPr>
                      <w:rFonts w:hint="eastAsia"/>
                    </w:rPr>
                    <w:t>2</w:t>
                  </w:r>
                  <w:r>
                    <w:t>t</w:t>
                  </w:r>
                  <w:r>
                    <w:rPr>
                      <w:rFonts w:hint="eastAsia"/>
                    </w:rPr>
                    <w:t>、0.2t</w:t>
                  </w:r>
                  <w:r>
                    <w:rPr>
                      <w:rFonts w:hint="eastAsia"/>
                      <w:lang w:eastAsia="zh-CN"/>
                    </w:rPr>
                    <w:t>、</w:t>
                  </w:r>
                  <w:r>
                    <w:rPr>
                      <w:rFonts w:hint="eastAsia"/>
                      <w:lang w:val="en-US" w:eastAsia="zh-CN"/>
                    </w:rPr>
                    <w:t>0.2t</w:t>
                  </w:r>
                  <w: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928" w:type="pct"/>
                  <w:shd w:val="clear" w:color="auto" w:fill="auto"/>
                  <w:vAlign w:val="center"/>
                </w:tcPr>
                <w:p>
                  <w:pPr>
                    <w:pStyle w:val="22"/>
                    <w:bidi w:val="0"/>
                    <w:rPr>
                      <w:b/>
                      <w:bCs/>
                    </w:rPr>
                  </w:pPr>
                  <w:r>
                    <w:rPr>
                      <w:rFonts w:hint="eastAsia"/>
                      <w:b/>
                      <w:bCs/>
                    </w:rPr>
                    <w:t>环境影响途径及危害后果（大气、地表水、地下水等）</w:t>
                  </w:r>
                </w:p>
              </w:tc>
              <w:tc>
                <w:tcPr>
                  <w:tcW w:w="4071" w:type="pct"/>
                  <w:gridSpan w:val="6"/>
                  <w:shd w:val="clear" w:color="auto" w:fill="auto"/>
                  <w:vAlign w:val="center"/>
                </w:tcPr>
                <w:p>
                  <w:pPr>
                    <w:pStyle w:val="22"/>
                    <w:bidi w:val="0"/>
                  </w:pPr>
                  <w:r>
                    <w:t>污染大气环境：油类等易燃易爆物质遇高温明火等原因发生火灾、爆炸事故时，燃烧产生的CO、烟尘产物等进入大气，将对空气环境造成影响。</w:t>
                  </w:r>
                </w:p>
                <w:p>
                  <w:pPr>
                    <w:pStyle w:val="22"/>
                    <w:bidi w:val="0"/>
                  </w:pPr>
                  <w:r>
                    <w:t>污染地下水环境：有毒有害物质在储存或厂内转移过程中由于操作不当、防渗材料破裂等原因将对地下水环境造成影响。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928" w:type="pct"/>
                  <w:shd w:val="clear" w:color="auto" w:fill="auto"/>
                  <w:vAlign w:val="center"/>
                </w:tcPr>
                <w:p>
                  <w:pPr>
                    <w:pStyle w:val="22"/>
                    <w:bidi w:val="0"/>
                    <w:rPr>
                      <w:b/>
                      <w:bCs/>
                    </w:rPr>
                  </w:pPr>
                  <w:r>
                    <w:rPr>
                      <w:b/>
                      <w:bCs/>
                    </w:rPr>
                    <w:t>风险防范</w:t>
                  </w:r>
                  <w:r>
                    <w:rPr>
                      <w:rFonts w:hint="eastAsia"/>
                      <w:b/>
                      <w:bCs/>
                    </w:rPr>
                    <w:t>要求</w:t>
                  </w:r>
                </w:p>
              </w:tc>
              <w:tc>
                <w:tcPr>
                  <w:tcW w:w="4071" w:type="pct"/>
                  <w:gridSpan w:val="6"/>
                  <w:shd w:val="clear" w:color="auto" w:fill="auto"/>
                  <w:vAlign w:val="center"/>
                </w:tcPr>
                <w:p>
                  <w:pPr>
                    <w:pStyle w:val="22"/>
                    <w:bidi w:val="0"/>
                  </w:pPr>
                  <w:r>
                    <w:t>总图及建筑风险防范，加强生产管理。并配备风险防范物资，制定突发环境事件应急预案并定期演练。</w:t>
                  </w:r>
                </w:p>
              </w:tc>
            </w:tr>
          </w:tbl>
          <w:p>
            <w:pPr>
              <w:spacing w:before="156"/>
              <w:ind w:firstLine="482"/>
              <w:rPr>
                <w:rFonts w:hint="eastAsia"/>
                <w:b/>
                <w:bCs/>
              </w:rPr>
            </w:pPr>
          </w:p>
          <w:p>
            <w:pPr>
              <w:spacing w:before="156"/>
              <w:ind w:firstLine="482"/>
              <w:rPr>
                <w:rFonts w:hint="eastAsia"/>
                <w:b/>
                <w:bCs/>
              </w:rPr>
            </w:pPr>
          </w:p>
          <w:p>
            <w:pPr>
              <w:spacing w:before="156"/>
              <w:ind w:firstLine="482"/>
              <w:rPr>
                <w:rFonts w:hint="eastAsia"/>
                <w:b/>
                <w:bCs/>
              </w:rPr>
            </w:pPr>
          </w:p>
          <w:p>
            <w:pPr>
              <w:spacing w:before="156"/>
              <w:ind w:firstLine="482"/>
              <w:rPr>
                <w:rFonts w:hint="eastAsia"/>
                <w:b/>
                <w:bCs/>
              </w:rPr>
            </w:pPr>
          </w:p>
          <w:p>
            <w:pPr>
              <w:spacing w:before="156"/>
              <w:ind w:firstLine="482"/>
              <w:rPr>
                <w:rFonts w:hint="eastAsia"/>
                <w:b/>
                <w:bCs/>
              </w:rPr>
            </w:pPr>
          </w:p>
          <w:p>
            <w:pPr>
              <w:spacing w:before="156"/>
              <w:ind w:firstLine="482"/>
              <w:rPr>
                <w:rFonts w:hint="eastAsia"/>
                <w:b/>
                <w:bCs/>
              </w:rPr>
            </w:pPr>
          </w:p>
          <w:p>
            <w:pPr>
              <w:spacing w:before="156"/>
              <w:ind w:firstLine="482"/>
              <w:rPr>
                <w:rFonts w:hint="eastAsia"/>
                <w:b/>
                <w:bCs/>
              </w:rPr>
            </w:pPr>
          </w:p>
          <w:p>
            <w:pPr>
              <w:spacing w:before="156"/>
              <w:ind w:firstLine="482"/>
              <w:rPr>
                <w:rFonts w:hint="eastAsia"/>
                <w:b/>
                <w:bCs/>
              </w:rPr>
            </w:pPr>
          </w:p>
          <w:p>
            <w:pPr>
              <w:bidi w:val="0"/>
              <w:rPr>
                <w:rFonts w:hint="eastAsia"/>
              </w:rPr>
            </w:pPr>
          </w:p>
          <w:p>
            <w:pPr>
              <w:spacing w:before="156"/>
              <w:ind w:firstLine="482"/>
              <w:rPr>
                <w:rFonts w:hint="eastAsia"/>
                <w:b/>
                <w:bCs/>
              </w:rPr>
            </w:pPr>
          </w:p>
          <w:p>
            <w:pPr>
              <w:spacing w:before="156"/>
              <w:ind w:firstLine="482"/>
              <w:rPr>
                <w:b/>
                <w:bCs/>
              </w:rPr>
            </w:pPr>
            <w:r>
              <w:rPr>
                <w:rFonts w:hint="eastAsia"/>
                <w:b/>
                <w:bCs/>
              </w:rPr>
              <w:t>七、</w:t>
            </w:r>
            <w:r>
              <w:rPr>
                <w:b/>
                <w:bCs/>
              </w:rPr>
              <w:t>环境</w:t>
            </w:r>
            <w:r>
              <w:rPr>
                <w:rFonts w:hint="eastAsia"/>
                <w:b/>
                <w:bCs/>
              </w:rPr>
              <w:t>管理</w:t>
            </w:r>
          </w:p>
          <w:p>
            <w:pPr>
              <w:spacing w:before="156"/>
              <w:ind w:firstLine="482"/>
              <w:rPr>
                <w:b/>
                <w:bCs/>
              </w:rPr>
            </w:pPr>
            <w:r>
              <w:rPr>
                <w:rFonts w:hint="eastAsia"/>
                <w:b/>
                <w:bCs/>
              </w:rPr>
              <w:t>1、环境管理监测计划</w:t>
            </w:r>
          </w:p>
          <w:p>
            <w:pPr>
              <w:ind w:firstLine="480"/>
            </w:pPr>
            <w:r>
              <w:rPr>
                <w:rFonts w:hint="eastAsia"/>
              </w:rPr>
              <w:t>厂内应定期进行环境监测，</w:t>
            </w:r>
            <w:r>
              <w:t>参照《排污单位自行监测技术指南 总则》（HJ819-2017）的相关要求，排污单位可自行或委托第三方监测机构开展监测工作，并安排专人专职对监测数据进行记录、整理、统计和分析。排污单位对监测结果的真实性、准确性、完整性负责。</w:t>
            </w:r>
          </w:p>
          <w:p>
            <w:pPr>
              <w:ind w:firstLine="480"/>
              <w:rPr>
                <w:szCs w:val="20"/>
              </w:rPr>
            </w:pPr>
            <w:r>
              <w:rPr>
                <w:szCs w:val="20"/>
              </w:rPr>
              <w:t>本项目运营期环境监测计划见下表。</w:t>
            </w:r>
            <w:bookmarkStart w:id="10" w:name="_Ref368512661"/>
          </w:p>
          <w:p>
            <w:pPr>
              <w:pStyle w:val="23"/>
            </w:pPr>
            <w:r>
              <w:t>表</w:t>
            </w:r>
            <w:r>
              <w:rPr>
                <w:rFonts w:hint="eastAsia"/>
              </w:rPr>
              <w:t>4-</w:t>
            </w:r>
            <w:r>
              <w:rPr>
                <w:rFonts w:hint="eastAsia"/>
                <w:lang w:val="en-US" w:eastAsia="zh-CN"/>
              </w:rPr>
              <w:t>20</w:t>
            </w:r>
            <w:r>
              <w:rPr>
                <w:rFonts w:hint="eastAsia"/>
              </w:rPr>
              <w:t xml:space="preserve"> </w:t>
            </w:r>
            <w:r>
              <w:t xml:space="preserve"> 项目运营期环境监控计划一览表</w:t>
            </w:r>
          </w:p>
          <w:tbl>
            <w:tblPr>
              <w:tblStyle w:val="15"/>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76"/>
              <w:gridCol w:w="1379"/>
              <w:gridCol w:w="1965"/>
              <w:gridCol w:w="2521"/>
              <w:gridCol w:w="171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64" w:type="pct"/>
                  <w:shd w:val="clear" w:color="auto" w:fill="auto"/>
                  <w:vAlign w:val="center"/>
                </w:tcPr>
                <w:p>
                  <w:pPr>
                    <w:pStyle w:val="22"/>
                    <w:rPr>
                      <w:b/>
                      <w:bCs/>
                    </w:rPr>
                  </w:pPr>
                  <w:r>
                    <w:rPr>
                      <w:b/>
                      <w:bCs/>
                    </w:rPr>
                    <w:t>类别</w:t>
                  </w:r>
                </w:p>
              </w:tc>
              <w:tc>
                <w:tcPr>
                  <w:tcW w:w="825" w:type="pct"/>
                  <w:vAlign w:val="center"/>
                </w:tcPr>
                <w:p>
                  <w:pPr>
                    <w:pStyle w:val="22"/>
                    <w:rPr>
                      <w:b/>
                      <w:bCs/>
                    </w:rPr>
                  </w:pPr>
                  <w:r>
                    <w:rPr>
                      <w:b/>
                      <w:bCs/>
                    </w:rPr>
                    <w:t>排放口类型</w:t>
                  </w:r>
                </w:p>
              </w:tc>
              <w:tc>
                <w:tcPr>
                  <w:tcW w:w="1175" w:type="pct"/>
                  <w:shd w:val="clear" w:color="auto" w:fill="auto"/>
                  <w:vAlign w:val="center"/>
                </w:tcPr>
                <w:p>
                  <w:pPr>
                    <w:pStyle w:val="22"/>
                    <w:rPr>
                      <w:b/>
                      <w:bCs/>
                    </w:rPr>
                  </w:pPr>
                  <w:r>
                    <w:rPr>
                      <w:b/>
                      <w:bCs/>
                    </w:rPr>
                    <w:t>监测点位</w:t>
                  </w:r>
                </w:p>
              </w:tc>
              <w:tc>
                <w:tcPr>
                  <w:tcW w:w="1508" w:type="pct"/>
                  <w:shd w:val="clear" w:color="auto" w:fill="auto"/>
                  <w:vAlign w:val="center"/>
                </w:tcPr>
                <w:p>
                  <w:pPr>
                    <w:pStyle w:val="22"/>
                    <w:rPr>
                      <w:b/>
                      <w:bCs/>
                    </w:rPr>
                  </w:pPr>
                  <w:r>
                    <w:rPr>
                      <w:b/>
                      <w:bCs/>
                    </w:rPr>
                    <w:t>监测项目</w:t>
                  </w:r>
                </w:p>
              </w:tc>
              <w:tc>
                <w:tcPr>
                  <w:tcW w:w="1026" w:type="pct"/>
                  <w:shd w:val="clear" w:color="auto" w:fill="auto"/>
                  <w:vAlign w:val="center"/>
                </w:tcPr>
                <w:p>
                  <w:pPr>
                    <w:pStyle w:val="22"/>
                    <w:rPr>
                      <w:b/>
                      <w:bCs/>
                    </w:rPr>
                  </w:pPr>
                  <w:r>
                    <w:rPr>
                      <w:b/>
                      <w:bCs/>
                    </w:rPr>
                    <w:t>最低</w:t>
                  </w:r>
                </w:p>
                <w:p>
                  <w:pPr>
                    <w:pStyle w:val="22"/>
                    <w:rPr>
                      <w:b/>
                      <w:bCs/>
                    </w:rPr>
                  </w:pPr>
                  <w:r>
                    <w:rPr>
                      <w:b/>
                      <w:bCs/>
                    </w:rPr>
                    <w:t>监测频次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64" w:type="pct"/>
                  <w:shd w:val="clear" w:color="auto" w:fill="auto"/>
                  <w:vAlign w:val="center"/>
                </w:tcPr>
                <w:p>
                  <w:pPr>
                    <w:pStyle w:val="22"/>
                  </w:pPr>
                  <w:r>
                    <w:t>废气</w:t>
                  </w:r>
                </w:p>
              </w:tc>
              <w:tc>
                <w:tcPr>
                  <w:tcW w:w="825" w:type="pct"/>
                  <w:vAlign w:val="center"/>
                </w:tcPr>
                <w:p>
                  <w:pPr>
                    <w:pStyle w:val="22"/>
                  </w:pPr>
                  <w:r>
                    <w:t>无组织废气</w:t>
                  </w:r>
                </w:p>
              </w:tc>
              <w:tc>
                <w:tcPr>
                  <w:tcW w:w="1175" w:type="pct"/>
                  <w:shd w:val="clear" w:color="auto" w:fill="auto"/>
                  <w:vAlign w:val="center"/>
                </w:tcPr>
                <w:p>
                  <w:pPr>
                    <w:pStyle w:val="22"/>
                  </w:pPr>
                  <w:r>
                    <w:t>厂界无组织监控点</w:t>
                  </w:r>
                </w:p>
              </w:tc>
              <w:tc>
                <w:tcPr>
                  <w:tcW w:w="1508" w:type="pct"/>
                  <w:shd w:val="clear" w:color="auto" w:fill="auto"/>
                  <w:vAlign w:val="center"/>
                </w:tcPr>
                <w:p>
                  <w:pPr>
                    <w:pStyle w:val="22"/>
                  </w:pPr>
                  <w:r>
                    <w:t>颗粒物</w:t>
                  </w:r>
                </w:p>
              </w:tc>
              <w:tc>
                <w:tcPr>
                  <w:tcW w:w="1026" w:type="pct"/>
                  <w:shd w:val="clear" w:color="auto" w:fill="auto"/>
                  <w:vAlign w:val="center"/>
                </w:tcPr>
                <w:p>
                  <w:pPr>
                    <w:pStyle w:val="22"/>
                  </w:pPr>
                  <w:r>
                    <w:rPr>
                      <w:rFonts w:hint="eastAsia"/>
                    </w:rPr>
                    <w:t>每年一次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64" w:type="pct"/>
                  <w:shd w:val="clear" w:color="auto" w:fill="auto"/>
                  <w:vAlign w:val="center"/>
                </w:tcPr>
                <w:p>
                  <w:pPr>
                    <w:pStyle w:val="22"/>
                  </w:pPr>
                  <w:r>
                    <w:t>废水</w:t>
                  </w:r>
                </w:p>
              </w:tc>
              <w:tc>
                <w:tcPr>
                  <w:tcW w:w="825" w:type="pct"/>
                  <w:vAlign w:val="center"/>
                </w:tcPr>
                <w:p>
                  <w:pPr>
                    <w:pStyle w:val="22"/>
                  </w:pPr>
                  <w:r>
                    <w:t>一般排放口</w:t>
                  </w:r>
                </w:p>
              </w:tc>
              <w:tc>
                <w:tcPr>
                  <w:tcW w:w="1175" w:type="pct"/>
                  <w:shd w:val="clear" w:color="auto" w:fill="auto"/>
                  <w:vAlign w:val="center"/>
                </w:tcPr>
                <w:p>
                  <w:pPr>
                    <w:pStyle w:val="22"/>
                  </w:pPr>
                  <w:r>
                    <w:rPr>
                      <w:rFonts w:hint="eastAsia"/>
                    </w:rPr>
                    <w:t>总</w:t>
                  </w:r>
                  <w:r>
                    <w:t>排口</w:t>
                  </w:r>
                </w:p>
              </w:tc>
              <w:tc>
                <w:tcPr>
                  <w:tcW w:w="1508" w:type="pct"/>
                  <w:shd w:val="clear" w:color="auto" w:fill="auto"/>
                  <w:vAlign w:val="center"/>
                </w:tcPr>
                <w:p>
                  <w:pPr>
                    <w:pStyle w:val="22"/>
                  </w:pPr>
                  <w:r>
                    <w:rPr>
                      <w:rFonts w:hint="eastAsia"/>
                    </w:rPr>
                    <w:t>pH、</w:t>
                  </w:r>
                  <w:r>
                    <w:t>COD</w:t>
                  </w:r>
                  <w:r>
                    <w:rPr>
                      <w:rFonts w:hint="eastAsia"/>
                    </w:rPr>
                    <w:t>、BOD</w:t>
                  </w:r>
                  <w:r>
                    <w:rPr>
                      <w:rFonts w:hint="eastAsia"/>
                      <w:vertAlign w:val="subscript"/>
                    </w:rPr>
                    <w:t>5</w:t>
                  </w:r>
                  <w:r>
                    <w:rPr>
                      <w:rFonts w:hint="eastAsia"/>
                    </w:rPr>
                    <w:t>、</w:t>
                  </w:r>
                  <w:r>
                    <w:t>SS</w:t>
                  </w:r>
                  <w:r>
                    <w:rPr>
                      <w:rFonts w:hint="eastAsia"/>
                    </w:rPr>
                    <w:t>、氨氮</w:t>
                  </w:r>
                </w:p>
              </w:tc>
              <w:tc>
                <w:tcPr>
                  <w:tcW w:w="1026" w:type="pct"/>
                  <w:shd w:val="clear" w:color="auto" w:fill="auto"/>
                  <w:vAlign w:val="center"/>
                </w:tcPr>
                <w:p>
                  <w:pPr>
                    <w:pStyle w:val="22"/>
                  </w:pPr>
                  <w:r>
                    <w:rPr>
                      <w:rFonts w:hint="eastAsia"/>
                    </w:rPr>
                    <w:t>每年一次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64" w:type="pct"/>
                  <w:shd w:val="clear" w:color="auto" w:fill="auto"/>
                  <w:vAlign w:val="center"/>
                </w:tcPr>
                <w:p>
                  <w:pPr>
                    <w:pStyle w:val="22"/>
                  </w:pPr>
                  <w:r>
                    <w:t>噪声</w:t>
                  </w:r>
                </w:p>
              </w:tc>
              <w:tc>
                <w:tcPr>
                  <w:tcW w:w="825" w:type="pct"/>
                  <w:vAlign w:val="center"/>
                </w:tcPr>
                <w:p>
                  <w:pPr>
                    <w:pStyle w:val="22"/>
                  </w:pPr>
                  <w:r>
                    <w:t>/</w:t>
                  </w:r>
                </w:p>
              </w:tc>
              <w:tc>
                <w:tcPr>
                  <w:tcW w:w="1175" w:type="pct"/>
                  <w:shd w:val="clear" w:color="auto" w:fill="auto"/>
                  <w:vAlign w:val="center"/>
                </w:tcPr>
                <w:p>
                  <w:pPr>
                    <w:pStyle w:val="22"/>
                  </w:pPr>
                  <w:r>
                    <w:t>项目四周厂界</w:t>
                  </w:r>
                </w:p>
              </w:tc>
              <w:tc>
                <w:tcPr>
                  <w:tcW w:w="1508" w:type="pct"/>
                  <w:shd w:val="clear" w:color="auto" w:fill="auto"/>
                  <w:vAlign w:val="center"/>
                </w:tcPr>
                <w:p>
                  <w:pPr>
                    <w:pStyle w:val="22"/>
                  </w:pPr>
                  <w:r>
                    <w:t>连续等效A声级</w:t>
                  </w:r>
                </w:p>
              </w:tc>
              <w:tc>
                <w:tcPr>
                  <w:tcW w:w="1026" w:type="pct"/>
                  <w:shd w:val="clear" w:color="auto" w:fill="auto"/>
                  <w:vAlign w:val="center"/>
                </w:tcPr>
                <w:p>
                  <w:pPr>
                    <w:pStyle w:val="22"/>
                  </w:pPr>
                  <w:r>
                    <w:t>每季度一次</w:t>
                  </w:r>
                </w:p>
              </w:tc>
            </w:tr>
          </w:tbl>
          <w:p>
            <w:pPr>
              <w:spacing w:before="156"/>
              <w:ind w:firstLine="482"/>
              <w:rPr>
                <w:b/>
                <w:bCs/>
              </w:rPr>
            </w:pPr>
            <w:r>
              <w:rPr>
                <w:rFonts w:hint="eastAsia"/>
                <w:b/>
                <w:bCs/>
              </w:rPr>
              <w:t>2、排污口规范化设置</w:t>
            </w:r>
          </w:p>
          <w:p>
            <w:pPr>
              <w:ind w:firstLine="480"/>
            </w:pPr>
            <w:r>
              <w:rPr>
                <w:rFonts w:hint="eastAsia"/>
              </w:rPr>
              <w:t>（1）废水排放口</w:t>
            </w:r>
          </w:p>
          <w:p>
            <w:pPr>
              <w:ind w:firstLine="480"/>
            </w:pPr>
            <w:r>
              <w:t>建设项目厂区的排水体制必须实施</w:t>
            </w:r>
            <w:r>
              <w:rPr>
                <w:rFonts w:hint="eastAsia"/>
              </w:rPr>
              <w:t>“</w:t>
            </w:r>
            <w:r>
              <w:t>清污分流、雨污分流</w:t>
            </w:r>
            <w:r>
              <w:rPr>
                <w:rFonts w:hint="eastAsia"/>
              </w:rPr>
              <w:t>”</w:t>
            </w:r>
            <w:r>
              <w:t>制，设雨水排放口1个，污水接管口</w:t>
            </w:r>
            <w:r>
              <w:rPr>
                <w:rFonts w:hint="eastAsia"/>
              </w:rPr>
              <w:t>1</w:t>
            </w:r>
            <w:r>
              <w:t>个</w:t>
            </w:r>
            <w:r>
              <w:rPr>
                <w:rFonts w:hint="eastAsia"/>
              </w:rPr>
              <w:t>。</w:t>
            </w:r>
          </w:p>
          <w:p>
            <w:pPr>
              <w:ind w:firstLine="480"/>
            </w:pPr>
            <w:r>
              <w:rPr>
                <w:rFonts w:hint="eastAsia"/>
              </w:rPr>
              <w:t>（2）工业固体废弃物厂内暂贮处</w:t>
            </w:r>
          </w:p>
          <w:p>
            <w:pPr>
              <w:ind w:firstLine="480"/>
            </w:pPr>
            <w:r>
              <w:rPr>
                <w:rFonts w:hint="eastAsia"/>
              </w:rPr>
              <w:t>本项目设置固废临时暂贮场及危险固废暂贮库。</w:t>
            </w:r>
            <w:r>
              <w:t>固体废物堆放场所必须有防火、防</w:t>
            </w:r>
            <w:r>
              <w:rPr>
                <w:rFonts w:hint="eastAsia"/>
              </w:rPr>
              <w:t>腐蚀、防流失等措施，并应设置标志牌。</w:t>
            </w:r>
          </w:p>
          <w:p>
            <w:pPr>
              <w:ind w:firstLine="480"/>
            </w:pPr>
            <w:r>
              <w:rPr>
                <w:rFonts w:hint="eastAsia"/>
              </w:rPr>
              <w:t>项目建设完成后，应对所有污染排放口的名称、位置、数量，以及排放污染物名称、数量等内容进行统计，并登记上报当地环保部门，以便进行验收和排放口的规范化管理。</w:t>
            </w:r>
            <w:bookmarkEnd w:id="10"/>
          </w:p>
          <w:p>
            <w:pPr>
              <w:ind w:firstLine="480"/>
            </w:pPr>
          </w:p>
          <w:p>
            <w:pPr>
              <w:bidi w:val="0"/>
            </w:pPr>
          </w:p>
          <w:p>
            <w:pPr>
              <w:bidi w:val="0"/>
            </w:pPr>
          </w:p>
          <w:p>
            <w:pPr>
              <w:bidi w:val="0"/>
            </w:pPr>
          </w:p>
          <w:p>
            <w:pPr>
              <w:bidi w:val="0"/>
            </w:pPr>
          </w:p>
          <w:p/>
          <w:p>
            <w:pPr>
              <w:widowControl/>
              <w:spacing w:line="480" w:lineRule="exact"/>
              <w:ind w:firstLine="482"/>
              <w:jc w:val="left"/>
              <w:rPr>
                <w:b/>
                <w:bCs/>
              </w:rPr>
            </w:pPr>
            <w:r>
              <w:rPr>
                <w:rFonts w:hint="eastAsia"/>
                <w:b/>
                <w:bCs/>
              </w:rPr>
              <w:t>八、环保投资估算</w:t>
            </w:r>
          </w:p>
          <w:p>
            <w:pPr>
              <w:widowControl/>
              <w:spacing w:line="480" w:lineRule="exact"/>
              <w:ind w:firstLine="480"/>
              <w:jc w:val="left"/>
              <w:rPr>
                <w:rFonts w:hint="eastAsia"/>
              </w:rPr>
            </w:pPr>
            <w:r>
              <w:rPr>
                <w:rFonts w:hint="eastAsia"/>
              </w:rPr>
              <w:t>本项目环保投资约</w:t>
            </w:r>
            <w:r>
              <w:rPr>
                <w:rFonts w:hint="eastAsia"/>
                <w:lang w:val="en-US" w:eastAsia="zh-CN"/>
              </w:rPr>
              <w:t>24</w:t>
            </w:r>
            <w:r>
              <w:rPr>
                <w:rFonts w:hint="eastAsia"/>
              </w:rPr>
              <w:t>万元，环境保护投资估算详见表4-</w:t>
            </w:r>
            <w:r>
              <w:rPr>
                <w:rFonts w:hint="eastAsia"/>
                <w:lang w:val="en-US" w:eastAsia="zh-CN"/>
              </w:rPr>
              <w:t>21</w:t>
            </w:r>
            <w:r>
              <w:rPr>
                <w:rFonts w:hint="eastAsia"/>
              </w:rPr>
              <w:t>。</w:t>
            </w:r>
          </w:p>
          <w:p>
            <w:pPr>
              <w:pStyle w:val="23"/>
              <w:bidi w:val="0"/>
            </w:pPr>
            <w:r>
              <w:t>表</w:t>
            </w:r>
            <w:r>
              <w:rPr>
                <w:rFonts w:hint="eastAsia"/>
              </w:rPr>
              <w:t>4-</w:t>
            </w:r>
            <w:r>
              <w:rPr>
                <w:rFonts w:hint="eastAsia"/>
                <w:lang w:val="en-US" w:eastAsia="zh-CN"/>
              </w:rPr>
              <w:t>21</w:t>
            </w:r>
            <w:r>
              <w:rPr>
                <w:rFonts w:hint="eastAsia"/>
              </w:rPr>
              <w:t xml:space="preserve"> </w:t>
            </w:r>
            <w:r>
              <w:t xml:space="preserve"> </w:t>
            </w:r>
            <w:r>
              <w:rPr>
                <w:rFonts w:hint="eastAsia"/>
              </w:rPr>
              <w:t>本项目污染防治措施投资估算一览表  单位：万元</w:t>
            </w:r>
          </w:p>
          <w:tbl>
            <w:tblPr>
              <w:tblStyle w:val="15"/>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652"/>
              <w:gridCol w:w="1125"/>
              <w:gridCol w:w="2045"/>
              <w:gridCol w:w="955"/>
              <w:gridCol w:w="2878"/>
              <w:gridCol w:w="702"/>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390" w:type="pct"/>
                  <w:vAlign w:val="center"/>
                </w:tcPr>
                <w:p>
                  <w:pPr>
                    <w:pStyle w:val="22"/>
                    <w:rPr>
                      <w:b/>
                      <w:bCs/>
                    </w:rPr>
                  </w:pPr>
                  <w:r>
                    <w:rPr>
                      <w:b/>
                      <w:bCs/>
                    </w:rPr>
                    <w:t>类别</w:t>
                  </w:r>
                </w:p>
              </w:tc>
              <w:tc>
                <w:tcPr>
                  <w:tcW w:w="673" w:type="pct"/>
                  <w:vAlign w:val="center"/>
                </w:tcPr>
                <w:p>
                  <w:pPr>
                    <w:pStyle w:val="22"/>
                    <w:rPr>
                      <w:b/>
                      <w:bCs/>
                    </w:rPr>
                  </w:pPr>
                  <w:r>
                    <w:rPr>
                      <w:b/>
                      <w:bCs/>
                    </w:rPr>
                    <w:t>污染源</w:t>
                  </w:r>
                </w:p>
              </w:tc>
              <w:tc>
                <w:tcPr>
                  <w:tcW w:w="1223" w:type="pct"/>
                  <w:vAlign w:val="center"/>
                </w:tcPr>
                <w:p>
                  <w:pPr>
                    <w:pStyle w:val="22"/>
                    <w:rPr>
                      <w:b/>
                      <w:bCs/>
                    </w:rPr>
                  </w:pPr>
                  <w:r>
                    <w:rPr>
                      <w:b/>
                      <w:bCs/>
                    </w:rPr>
                    <w:t>治理措施</w:t>
                  </w:r>
                </w:p>
              </w:tc>
              <w:tc>
                <w:tcPr>
                  <w:tcW w:w="571" w:type="pct"/>
                  <w:vAlign w:val="center"/>
                </w:tcPr>
                <w:p>
                  <w:pPr>
                    <w:pStyle w:val="22"/>
                    <w:rPr>
                      <w:rFonts w:hint="eastAsia"/>
                      <w:b/>
                      <w:bCs/>
                      <w:lang w:val="en-US" w:eastAsia="zh-CN"/>
                    </w:rPr>
                  </w:pPr>
                  <w:r>
                    <w:rPr>
                      <w:rFonts w:hint="eastAsia"/>
                      <w:b/>
                      <w:bCs/>
                      <w:lang w:val="en-US" w:eastAsia="zh-CN"/>
                    </w:rPr>
                    <w:t>投资</w:t>
                  </w:r>
                </w:p>
                <w:p>
                  <w:pPr>
                    <w:pStyle w:val="22"/>
                    <w:rPr>
                      <w:rFonts w:hint="eastAsia"/>
                      <w:b/>
                      <w:bCs/>
                      <w:lang w:val="en-US" w:eastAsia="zh-CN"/>
                    </w:rPr>
                  </w:pPr>
                  <w:r>
                    <w:rPr>
                      <w:rFonts w:hint="eastAsia"/>
                      <w:b/>
                      <w:bCs/>
                      <w:lang w:val="en-US" w:eastAsia="zh-CN"/>
                    </w:rPr>
                    <w:t>（万元）</w:t>
                  </w:r>
                </w:p>
              </w:tc>
              <w:tc>
                <w:tcPr>
                  <w:tcW w:w="1721" w:type="pct"/>
                  <w:vAlign w:val="center"/>
                </w:tcPr>
                <w:p>
                  <w:pPr>
                    <w:pStyle w:val="22"/>
                    <w:rPr>
                      <w:b/>
                      <w:bCs/>
                    </w:rPr>
                  </w:pPr>
                  <w:r>
                    <w:rPr>
                      <w:b/>
                      <w:bCs/>
                    </w:rPr>
                    <w:t>治理效果</w:t>
                  </w:r>
                </w:p>
              </w:tc>
              <w:tc>
                <w:tcPr>
                  <w:tcW w:w="420" w:type="pct"/>
                  <w:vAlign w:val="center"/>
                </w:tcPr>
                <w:p>
                  <w:pPr>
                    <w:pStyle w:val="22"/>
                    <w:rPr>
                      <w:rFonts w:hint="eastAsia"/>
                      <w:b/>
                      <w:bCs/>
                      <w:lang w:val="en-US" w:eastAsia="zh-CN"/>
                    </w:rPr>
                  </w:pPr>
                  <w:r>
                    <w:rPr>
                      <w:rFonts w:hint="eastAsia"/>
                      <w:b/>
                      <w:bCs/>
                      <w:lang w:val="en-US" w:eastAsia="zh-CN"/>
                    </w:rPr>
                    <w:t>进度</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390" w:type="pct"/>
                  <w:vMerge w:val="restart"/>
                  <w:vAlign w:val="center"/>
                </w:tcPr>
                <w:p>
                  <w:pPr>
                    <w:pStyle w:val="22"/>
                  </w:pPr>
                  <w:r>
                    <w:t>大气治理措施</w:t>
                  </w:r>
                </w:p>
              </w:tc>
              <w:tc>
                <w:tcPr>
                  <w:tcW w:w="673" w:type="pct"/>
                  <w:vAlign w:val="center"/>
                </w:tcPr>
                <w:p>
                  <w:pPr>
                    <w:pStyle w:val="22"/>
                    <w:rPr>
                      <w:rFonts w:hint="eastAsia"/>
                      <w:lang w:eastAsia="zh-CN"/>
                    </w:rPr>
                  </w:pPr>
                  <w:r>
                    <w:rPr>
                      <w:rFonts w:hint="eastAsia"/>
                      <w:lang w:val="en-US" w:eastAsia="zh-CN"/>
                    </w:rPr>
                    <w:t>打磨粉尘</w:t>
                  </w:r>
                </w:p>
              </w:tc>
              <w:tc>
                <w:tcPr>
                  <w:tcW w:w="1223" w:type="pct"/>
                  <w:vAlign w:val="center"/>
                </w:tcPr>
                <w:p>
                  <w:pPr>
                    <w:pStyle w:val="22"/>
                    <w:rPr>
                      <w:rFonts w:hint="default"/>
                      <w:lang w:val="en-US" w:eastAsia="zh-CN"/>
                    </w:rPr>
                  </w:pPr>
                  <w:r>
                    <w:rPr>
                      <w:rFonts w:hint="eastAsia"/>
                    </w:rPr>
                    <w:t>设备自带的除尘器</w:t>
                  </w:r>
                  <w:r>
                    <w:rPr>
                      <w:rFonts w:hint="eastAsia"/>
                      <w:lang w:val="en-US" w:eastAsia="zh-CN"/>
                    </w:rPr>
                    <w:t>处理后无组织排放</w:t>
                  </w:r>
                </w:p>
              </w:tc>
              <w:tc>
                <w:tcPr>
                  <w:tcW w:w="571" w:type="pct"/>
                  <w:vAlign w:val="center"/>
                </w:tcPr>
                <w:p>
                  <w:pPr>
                    <w:pStyle w:val="22"/>
                    <w:rPr>
                      <w:rFonts w:hint="eastAsia" w:eastAsia="宋体"/>
                      <w:lang w:val="en-US" w:eastAsia="zh-CN"/>
                    </w:rPr>
                  </w:pPr>
                  <w:r>
                    <w:rPr>
                      <w:rFonts w:hint="eastAsia"/>
                      <w:lang w:val="en-US" w:eastAsia="zh-CN"/>
                    </w:rPr>
                    <w:t>1</w:t>
                  </w:r>
                </w:p>
              </w:tc>
              <w:tc>
                <w:tcPr>
                  <w:tcW w:w="1721" w:type="pct"/>
                  <w:vMerge w:val="restart"/>
                  <w:vAlign w:val="center"/>
                </w:tcPr>
                <w:p>
                  <w:pPr>
                    <w:pStyle w:val="22"/>
                  </w:pPr>
                  <w:r>
                    <w:rPr>
                      <w:rFonts w:hint="eastAsia"/>
                    </w:rPr>
                    <w:t>《大气污染物综合排放标准》（GB16297-1996）表2中标准无组织排放限值</w:t>
                  </w:r>
                </w:p>
              </w:tc>
              <w:tc>
                <w:tcPr>
                  <w:tcW w:w="420" w:type="pct"/>
                  <w:vMerge w:val="restart"/>
                  <w:vAlign w:val="center"/>
                </w:tcPr>
                <w:p>
                  <w:pPr>
                    <w:pStyle w:val="22"/>
                  </w:pPr>
                  <w:r>
                    <w:rPr>
                      <w:rFonts w:hint="eastAsia"/>
                    </w:rPr>
                    <w:t>与建设项目同时设计、同时施工，同时投入运行</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390" w:type="pct"/>
                  <w:vMerge w:val="continue"/>
                  <w:vAlign w:val="center"/>
                </w:tcPr>
                <w:p>
                  <w:pPr>
                    <w:pStyle w:val="22"/>
                  </w:pPr>
                </w:p>
              </w:tc>
              <w:tc>
                <w:tcPr>
                  <w:tcW w:w="673" w:type="pct"/>
                  <w:vAlign w:val="center"/>
                </w:tcPr>
                <w:p>
                  <w:pPr>
                    <w:pStyle w:val="22"/>
                    <w:rPr>
                      <w:rFonts w:hint="eastAsia"/>
                      <w:lang w:eastAsia="zh-CN"/>
                    </w:rPr>
                  </w:pPr>
                  <w:r>
                    <w:rPr>
                      <w:rFonts w:hint="eastAsia"/>
                      <w:lang w:val="en-US" w:eastAsia="zh-CN"/>
                    </w:rPr>
                    <w:t>焊接烟尘</w:t>
                  </w:r>
                </w:p>
              </w:tc>
              <w:tc>
                <w:tcPr>
                  <w:tcW w:w="1223" w:type="pct"/>
                  <w:vAlign w:val="center"/>
                </w:tcPr>
                <w:p>
                  <w:pPr>
                    <w:pStyle w:val="22"/>
                    <w:rPr>
                      <w:rFonts w:hint="default"/>
                      <w:lang w:val="en-US" w:eastAsia="zh-CN"/>
                    </w:rPr>
                  </w:pPr>
                  <w:r>
                    <w:rPr>
                      <w:rFonts w:hint="eastAsia"/>
                      <w:lang w:val="en-US" w:eastAsia="zh-CN"/>
                    </w:rPr>
                    <w:t>移动式焊烟除尘器处理后无组织排放</w:t>
                  </w:r>
                </w:p>
              </w:tc>
              <w:tc>
                <w:tcPr>
                  <w:tcW w:w="571" w:type="pct"/>
                  <w:vAlign w:val="center"/>
                </w:tcPr>
                <w:p>
                  <w:pPr>
                    <w:pStyle w:val="22"/>
                    <w:rPr>
                      <w:rFonts w:hint="eastAsia" w:eastAsia="宋体"/>
                      <w:lang w:val="en-US" w:eastAsia="zh-CN"/>
                    </w:rPr>
                  </w:pPr>
                  <w:r>
                    <w:rPr>
                      <w:rFonts w:hint="eastAsia"/>
                      <w:lang w:val="en-US" w:eastAsia="zh-CN"/>
                    </w:rPr>
                    <w:t>5</w:t>
                  </w:r>
                </w:p>
              </w:tc>
              <w:tc>
                <w:tcPr>
                  <w:tcW w:w="1721" w:type="pct"/>
                  <w:vMerge w:val="continue"/>
                  <w:vAlign w:val="center"/>
                </w:tcPr>
                <w:p>
                  <w:pPr>
                    <w:pStyle w:val="22"/>
                  </w:pPr>
                </w:p>
              </w:tc>
              <w:tc>
                <w:tcPr>
                  <w:tcW w:w="420" w:type="pct"/>
                  <w:vMerge w:val="continue"/>
                  <w:vAlign w:val="center"/>
                </w:tcPr>
                <w:p>
                  <w:pPr>
                    <w:pStyle w:val="22"/>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390" w:type="pct"/>
                  <w:vAlign w:val="center"/>
                </w:tcPr>
                <w:p>
                  <w:pPr>
                    <w:pStyle w:val="22"/>
                  </w:pPr>
                  <w:r>
                    <w:t>废水治理措施</w:t>
                  </w:r>
                </w:p>
              </w:tc>
              <w:tc>
                <w:tcPr>
                  <w:tcW w:w="673" w:type="pct"/>
                  <w:vAlign w:val="center"/>
                </w:tcPr>
                <w:p>
                  <w:pPr>
                    <w:pStyle w:val="22"/>
                  </w:pPr>
                  <w:r>
                    <w:t>生活废水</w:t>
                  </w:r>
                </w:p>
              </w:tc>
              <w:tc>
                <w:tcPr>
                  <w:tcW w:w="1223" w:type="pct"/>
                  <w:vAlign w:val="center"/>
                </w:tcPr>
                <w:p>
                  <w:pPr>
                    <w:pStyle w:val="22"/>
                    <w:rPr>
                      <w:rFonts w:hint="eastAsia"/>
                    </w:rPr>
                  </w:pPr>
                  <w:r>
                    <w:rPr>
                      <w:rFonts w:hint="eastAsia"/>
                    </w:rPr>
                    <w:t>化粪池</w:t>
                  </w:r>
                </w:p>
                <w:p>
                  <w:pPr>
                    <w:pStyle w:val="22"/>
                  </w:pPr>
                  <w:r>
                    <w:rPr>
                      <w:rFonts w:hint="eastAsia"/>
                    </w:rPr>
                    <w:t>（依托租赁方）</w:t>
                  </w:r>
                </w:p>
              </w:tc>
              <w:tc>
                <w:tcPr>
                  <w:tcW w:w="571" w:type="pct"/>
                  <w:vAlign w:val="center"/>
                </w:tcPr>
                <w:p>
                  <w:pPr>
                    <w:pStyle w:val="22"/>
                    <w:rPr>
                      <w:rFonts w:hint="eastAsia" w:eastAsia="宋体"/>
                      <w:lang w:val="en-US" w:eastAsia="zh-CN"/>
                    </w:rPr>
                  </w:pPr>
                  <w:r>
                    <w:rPr>
                      <w:rFonts w:hint="eastAsia"/>
                      <w:lang w:val="en-US" w:eastAsia="zh-CN"/>
                    </w:rPr>
                    <w:t>0</w:t>
                  </w:r>
                </w:p>
              </w:tc>
              <w:tc>
                <w:tcPr>
                  <w:tcW w:w="1721" w:type="pct"/>
                  <w:vAlign w:val="center"/>
                </w:tcPr>
                <w:p>
                  <w:pPr>
                    <w:pStyle w:val="22"/>
                  </w:pPr>
                  <w:r>
                    <w:t>满足《污水综合排放标准》（GB8978-1996）中的三级标准要求</w:t>
                  </w:r>
                </w:p>
              </w:tc>
              <w:tc>
                <w:tcPr>
                  <w:tcW w:w="420" w:type="pct"/>
                  <w:vMerge w:val="continue"/>
                  <w:vAlign w:val="center"/>
                </w:tcPr>
                <w:p>
                  <w:pPr>
                    <w:pStyle w:val="22"/>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390" w:type="pct"/>
                  <w:vAlign w:val="center"/>
                </w:tcPr>
                <w:p>
                  <w:pPr>
                    <w:pStyle w:val="22"/>
                  </w:pPr>
                  <w:r>
                    <w:t>噪声防治措施</w:t>
                  </w:r>
                </w:p>
              </w:tc>
              <w:tc>
                <w:tcPr>
                  <w:tcW w:w="673" w:type="pct"/>
                  <w:vAlign w:val="center"/>
                </w:tcPr>
                <w:p>
                  <w:pPr>
                    <w:pStyle w:val="22"/>
                  </w:pPr>
                  <w:r>
                    <w:t>产噪设备</w:t>
                  </w:r>
                </w:p>
              </w:tc>
              <w:tc>
                <w:tcPr>
                  <w:tcW w:w="1223" w:type="pct"/>
                  <w:vAlign w:val="center"/>
                </w:tcPr>
                <w:p>
                  <w:pPr>
                    <w:pStyle w:val="22"/>
                  </w:pPr>
                  <w:r>
                    <w:t>合理布局、隔声、减震、消声等</w:t>
                  </w:r>
                </w:p>
              </w:tc>
              <w:tc>
                <w:tcPr>
                  <w:tcW w:w="571" w:type="pct"/>
                  <w:vAlign w:val="center"/>
                </w:tcPr>
                <w:p>
                  <w:pPr>
                    <w:pStyle w:val="22"/>
                    <w:rPr>
                      <w:rFonts w:hint="default" w:eastAsia="宋体"/>
                      <w:lang w:val="en-US" w:eastAsia="zh-CN"/>
                    </w:rPr>
                  </w:pPr>
                  <w:r>
                    <w:rPr>
                      <w:rFonts w:hint="eastAsia"/>
                      <w:lang w:val="en-US" w:eastAsia="zh-CN"/>
                    </w:rPr>
                    <w:t>10</w:t>
                  </w:r>
                </w:p>
              </w:tc>
              <w:tc>
                <w:tcPr>
                  <w:tcW w:w="1721" w:type="pct"/>
                  <w:vAlign w:val="center"/>
                </w:tcPr>
                <w:p>
                  <w:pPr>
                    <w:pStyle w:val="22"/>
                  </w:pPr>
                  <w:r>
                    <w:t>满足《工业企业厂界环境噪声排放标准》（GB12348-2008）3类标准</w:t>
                  </w:r>
                </w:p>
              </w:tc>
              <w:tc>
                <w:tcPr>
                  <w:tcW w:w="420" w:type="pct"/>
                  <w:vMerge w:val="continue"/>
                  <w:vAlign w:val="center"/>
                </w:tcPr>
                <w:p>
                  <w:pPr>
                    <w:pStyle w:val="22"/>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390" w:type="pct"/>
                  <w:vMerge w:val="restart"/>
                  <w:vAlign w:val="center"/>
                </w:tcPr>
                <w:p>
                  <w:pPr>
                    <w:pStyle w:val="22"/>
                  </w:pPr>
                  <w:r>
                    <w:t>固废治理措施</w:t>
                  </w:r>
                </w:p>
              </w:tc>
              <w:tc>
                <w:tcPr>
                  <w:tcW w:w="673" w:type="pct"/>
                  <w:vAlign w:val="center"/>
                </w:tcPr>
                <w:p>
                  <w:pPr>
                    <w:pStyle w:val="22"/>
                    <w:bidi w:val="0"/>
                  </w:pPr>
                  <w:r>
                    <w:rPr>
                      <w:lang w:val="zh-CN"/>
                    </w:rPr>
                    <w:t>一般工业固废</w:t>
                  </w:r>
                </w:p>
              </w:tc>
              <w:tc>
                <w:tcPr>
                  <w:tcW w:w="1223" w:type="pct"/>
                  <w:vAlign w:val="center"/>
                </w:tcPr>
                <w:p>
                  <w:pPr>
                    <w:pStyle w:val="22"/>
                    <w:bidi w:val="0"/>
                  </w:pPr>
                  <w:r>
                    <w:t>一般固废暂存库</w:t>
                  </w:r>
                </w:p>
              </w:tc>
              <w:tc>
                <w:tcPr>
                  <w:tcW w:w="571" w:type="pct"/>
                  <w:vAlign w:val="center"/>
                </w:tcPr>
                <w:p>
                  <w:pPr>
                    <w:pStyle w:val="22"/>
                    <w:rPr>
                      <w:rFonts w:hint="eastAsia" w:eastAsia="宋体"/>
                      <w:lang w:val="en-US" w:eastAsia="zh-CN"/>
                    </w:rPr>
                  </w:pPr>
                  <w:r>
                    <w:rPr>
                      <w:rFonts w:hint="eastAsia"/>
                      <w:lang w:val="en-US" w:eastAsia="zh-CN"/>
                    </w:rPr>
                    <w:t>2</w:t>
                  </w:r>
                </w:p>
              </w:tc>
              <w:tc>
                <w:tcPr>
                  <w:tcW w:w="1721" w:type="pct"/>
                  <w:vAlign w:val="center"/>
                </w:tcPr>
                <w:p>
                  <w:pPr>
                    <w:pStyle w:val="22"/>
                    <w:bidi w:val="0"/>
                  </w:pPr>
                  <w:r>
                    <w:rPr>
                      <w:rFonts w:hint="eastAsia"/>
                      <w:lang w:val="zh-CN"/>
                    </w:rPr>
                    <w:t>打磨粉尘、</w:t>
                  </w:r>
                  <w:r>
                    <w:rPr>
                      <w:lang w:val="zh-CN"/>
                    </w:rPr>
                    <w:t>边角料</w:t>
                  </w:r>
                  <w:r>
                    <w:rPr>
                      <w:rFonts w:hint="eastAsia"/>
                      <w:lang w:val="zh-CN"/>
                    </w:rPr>
                    <w:t>、</w:t>
                  </w:r>
                  <w:r>
                    <w:rPr>
                      <w:lang w:val="zh-CN"/>
                    </w:rPr>
                    <w:t>不合格品</w:t>
                  </w:r>
                  <w:r>
                    <w:rPr>
                      <w:rFonts w:hint="eastAsia"/>
                      <w:lang w:val="zh-CN"/>
                    </w:rPr>
                    <w:t>及除尘器收集的粉尘</w:t>
                  </w:r>
                  <w:r>
                    <w:rPr>
                      <w:lang w:val="zh-CN"/>
                    </w:rPr>
                    <w:t>收集后外售</w:t>
                  </w:r>
                </w:p>
              </w:tc>
              <w:tc>
                <w:tcPr>
                  <w:tcW w:w="420" w:type="pct"/>
                  <w:vMerge w:val="continue"/>
                  <w:vAlign w:val="center"/>
                </w:tcPr>
                <w:p>
                  <w:pPr>
                    <w:pStyle w:val="22"/>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390" w:type="pct"/>
                  <w:vMerge w:val="continue"/>
                  <w:vAlign w:val="center"/>
                </w:tcPr>
                <w:p>
                  <w:pPr>
                    <w:pStyle w:val="22"/>
                  </w:pPr>
                </w:p>
              </w:tc>
              <w:tc>
                <w:tcPr>
                  <w:tcW w:w="673" w:type="pct"/>
                  <w:vAlign w:val="center"/>
                </w:tcPr>
                <w:p>
                  <w:pPr>
                    <w:pStyle w:val="22"/>
                    <w:bidi w:val="0"/>
                  </w:pPr>
                  <w:r>
                    <w:rPr>
                      <w:lang w:val="zh-CN"/>
                    </w:rPr>
                    <w:t>危险废物</w:t>
                  </w:r>
                </w:p>
              </w:tc>
              <w:tc>
                <w:tcPr>
                  <w:tcW w:w="1223" w:type="pct"/>
                  <w:vAlign w:val="center"/>
                </w:tcPr>
                <w:p>
                  <w:pPr>
                    <w:pStyle w:val="22"/>
                    <w:bidi w:val="0"/>
                  </w:pPr>
                  <w:r>
                    <w:t>危废仓库</w:t>
                  </w:r>
                </w:p>
              </w:tc>
              <w:tc>
                <w:tcPr>
                  <w:tcW w:w="571" w:type="pct"/>
                  <w:vAlign w:val="center"/>
                </w:tcPr>
                <w:p>
                  <w:pPr>
                    <w:pStyle w:val="22"/>
                    <w:rPr>
                      <w:rFonts w:hint="default" w:eastAsia="宋体"/>
                      <w:lang w:val="en-US" w:eastAsia="zh-CN"/>
                    </w:rPr>
                  </w:pPr>
                  <w:r>
                    <w:rPr>
                      <w:rFonts w:hint="eastAsia"/>
                      <w:lang w:val="en-US" w:eastAsia="zh-CN"/>
                    </w:rPr>
                    <w:t>5</w:t>
                  </w:r>
                </w:p>
              </w:tc>
              <w:tc>
                <w:tcPr>
                  <w:tcW w:w="1721" w:type="pct"/>
                  <w:vAlign w:val="center"/>
                </w:tcPr>
                <w:p>
                  <w:pPr>
                    <w:pStyle w:val="22"/>
                    <w:bidi w:val="0"/>
                  </w:pPr>
                  <w:r>
                    <w:rPr>
                      <w:lang w:val="zh-CN"/>
                    </w:rPr>
                    <w:t>废润滑油、废油桶、废</w:t>
                  </w:r>
                  <w:r>
                    <w:rPr>
                      <w:rFonts w:hint="eastAsia"/>
                      <w:lang w:val="zh-CN"/>
                    </w:rPr>
                    <w:t>液压油、废切削液、废含油抹布手套</w:t>
                  </w:r>
                  <w:r>
                    <w:rPr>
                      <w:lang w:val="zh-CN"/>
                    </w:rPr>
                    <w:t>定期交由有相关危废资质单位处理</w:t>
                  </w:r>
                </w:p>
              </w:tc>
              <w:tc>
                <w:tcPr>
                  <w:tcW w:w="420" w:type="pct"/>
                  <w:vMerge w:val="continue"/>
                  <w:vAlign w:val="center"/>
                </w:tcPr>
                <w:p>
                  <w:pPr>
                    <w:pStyle w:val="22"/>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390" w:type="pct"/>
                  <w:vMerge w:val="continue"/>
                  <w:vAlign w:val="center"/>
                </w:tcPr>
                <w:p>
                  <w:pPr>
                    <w:pStyle w:val="22"/>
                  </w:pPr>
                </w:p>
              </w:tc>
              <w:tc>
                <w:tcPr>
                  <w:tcW w:w="673" w:type="pct"/>
                  <w:vAlign w:val="center"/>
                </w:tcPr>
                <w:p>
                  <w:pPr>
                    <w:pStyle w:val="22"/>
                    <w:bidi w:val="0"/>
                  </w:pPr>
                  <w:r>
                    <w:rPr>
                      <w:lang w:val="zh-CN"/>
                    </w:rPr>
                    <w:t>生活垃圾</w:t>
                  </w:r>
                </w:p>
              </w:tc>
              <w:tc>
                <w:tcPr>
                  <w:tcW w:w="1223" w:type="pct"/>
                  <w:vAlign w:val="center"/>
                </w:tcPr>
                <w:p>
                  <w:pPr>
                    <w:pStyle w:val="22"/>
                    <w:bidi w:val="0"/>
                  </w:pPr>
                  <w:r>
                    <w:t>垃圾桶</w:t>
                  </w:r>
                </w:p>
              </w:tc>
              <w:tc>
                <w:tcPr>
                  <w:tcW w:w="571" w:type="pct"/>
                  <w:vAlign w:val="center"/>
                </w:tcPr>
                <w:p>
                  <w:pPr>
                    <w:pStyle w:val="22"/>
                    <w:rPr>
                      <w:rFonts w:hint="eastAsia" w:eastAsia="宋体"/>
                      <w:lang w:val="en-US" w:eastAsia="zh-CN"/>
                    </w:rPr>
                  </w:pPr>
                  <w:r>
                    <w:rPr>
                      <w:rFonts w:hint="eastAsia"/>
                      <w:lang w:val="en-US" w:eastAsia="zh-CN"/>
                    </w:rPr>
                    <w:t>1</w:t>
                  </w:r>
                </w:p>
              </w:tc>
              <w:tc>
                <w:tcPr>
                  <w:tcW w:w="1721" w:type="pct"/>
                  <w:vAlign w:val="center"/>
                </w:tcPr>
                <w:p>
                  <w:pPr>
                    <w:pStyle w:val="22"/>
                    <w:bidi w:val="0"/>
                  </w:pPr>
                  <w:r>
                    <w:t>生活垃圾交由环卫部门统一清运</w:t>
                  </w:r>
                </w:p>
              </w:tc>
              <w:tc>
                <w:tcPr>
                  <w:tcW w:w="420" w:type="pct"/>
                  <w:vMerge w:val="continue"/>
                  <w:vAlign w:val="center"/>
                </w:tcPr>
                <w:p>
                  <w:pPr>
                    <w:pStyle w:val="22"/>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1063" w:type="pct"/>
                  <w:gridSpan w:val="2"/>
                  <w:vAlign w:val="center"/>
                </w:tcPr>
                <w:p>
                  <w:pPr>
                    <w:pStyle w:val="22"/>
                    <w:bidi w:val="0"/>
                    <w:rPr>
                      <w:rFonts w:hint="eastAsia" w:eastAsia="宋体"/>
                      <w:lang w:val="en-US" w:eastAsia="zh-CN"/>
                    </w:rPr>
                  </w:pPr>
                  <w:r>
                    <w:rPr>
                      <w:rFonts w:hint="eastAsia"/>
                      <w:lang w:val="en-US" w:eastAsia="zh-CN"/>
                    </w:rPr>
                    <w:t>合计</w:t>
                  </w:r>
                </w:p>
              </w:tc>
              <w:tc>
                <w:tcPr>
                  <w:tcW w:w="1223" w:type="pct"/>
                  <w:vAlign w:val="center"/>
                </w:tcPr>
                <w:p>
                  <w:pPr>
                    <w:pStyle w:val="22"/>
                    <w:bidi w:val="0"/>
                  </w:pPr>
                </w:p>
              </w:tc>
              <w:tc>
                <w:tcPr>
                  <w:tcW w:w="571" w:type="pct"/>
                  <w:vAlign w:val="center"/>
                </w:tcPr>
                <w:p>
                  <w:pPr>
                    <w:pStyle w:val="22"/>
                    <w:rPr>
                      <w:rFonts w:hint="default"/>
                      <w:lang w:eastAsia="zh-CN"/>
                    </w:rPr>
                  </w:pPr>
                  <w:r>
                    <w:rPr>
                      <w:rFonts w:hint="default"/>
                      <w:lang w:eastAsia="zh-CN"/>
                    </w:rPr>
                    <w:fldChar w:fldCharType="begin"/>
                  </w:r>
                  <w:r>
                    <w:rPr>
                      <w:rFonts w:hint="default"/>
                      <w:lang w:eastAsia="zh-CN"/>
                    </w:rPr>
                    <w:instrText xml:space="preserve"> =SUM(ABOVE) \* MERGEFORMAT </w:instrText>
                  </w:r>
                  <w:r>
                    <w:rPr>
                      <w:rFonts w:hint="default"/>
                      <w:lang w:eastAsia="zh-CN"/>
                    </w:rPr>
                    <w:fldChar w:fldCharType="separate"/>
                  </w:r>
                  <w:r>
                    <w:rPr>
                      <w:rFonts w:hint="default"/>
                      <w:lang w:eastAsia="zh-CN"/>
                    </w:rPr>
                    <w:t>24</w:t>
                  </w:r>
                  <w:r>
                    <w:rPr>
                      <w:rFonts w:hint="default"/>
                      <w:lang w:eastAsia="zh-CN"/>
                    </w:rPr>
                    <w:fldChar w:fldCharType="end"/>
                  </w:r>
                </w:p>
              </w:tc>
              <w:tc>
                <w:tcPr>
                  <w:tcW w:w="1721" w:type="pct"/>
                  <w:vAlign w:val="center"/>
                </w:tcPr>
                <w:p>
                  <w:pPr>
                    <w:pStyle w:val="22"/>
                    <w:bidi w:val="0"/>
                  </w:pPr>
                </w:p>
              </w:tc>
              <w:tc>
                <w:tcPr>
                  <w:tcW w:w="420" w:type="pct"/>
                  <w:vAlign w:val="center"/>
                </w:tcPr>
                <w:p>
                  <w:pPr>
                    <w:pStyle w:val="22"/>
                  </w:pPr>
                </w:p>
              </w:tc>
            </w:tr>
          </w:tbl>
          <w:p>
            <w:pPr>
              <w:pStyle w:val="23"/>
              <w:bidi w:val="0"/>
            </w:pPr>
          </w:p>
          <w:p>
            <w:pPr>
              <w:pStyle w:val="23"/>
              <w:bidi w:val="0"/>
            </w:pPr>
          </w:p>
          <w:p>
            <w:pPr>
              <w:pStyle w:val="23"/>
              <w:bidi w:val="0"/>
            </w:pPr>
          </w:p>
          <w:p>
            <w:pPr>
              <w:pStyle w:val="23"/>
              <w:bidi w:val="0"/>
            </w:pPr>
          </w:p>
          <w:p>
            <w:pPr>
              <w:pStyle w:val="23"/>
              <w:bidi w:val="0"/>
            </w:pPr>
          </w:p>
          <w:p>
            <w:pPr>
              <w:pStyle w:val="23"/>
              <w:bidi w:val="0"/>
            </w:pPr>
          </w:p>
          <w:p>
            <w:pPr>
              <w:pStyle w:val="23"/>
              <w:bidi w:val="0"/>
            </w:pPr>
          </w:p>
          <w:p>
            <w:pPr>
              <w:pStyle w:val="23"/>
              <w:bidi w:val="0"/>
            </w:pPr>
          </w:p>
          <w:p>
            <w:pPr>
              <w:pStyle w:val="23"/>
              <w:bidi w:val="0"/>
            </w:pPr>
          </w:p>
        </w:tc>
      </w:tr>
    </w:tbl>
    <w:p>
      <w:pPr>
        <w:ind w:firstLine="480"/>
        <w:sectPr>
          <w:pgSz w:w="11906" w:h="16838"/>
          <w:pgMar w:top="1440" w:right="1531" w:bottom="1440" w:left="1531" w:header="851" w:footer="992" w:gutter="0"/>
          <w:pgBorders>
            <w:top w:val="none" w:sz="0" w:space="0"/>
            <w:left w:val="none" w:sz="0" w:space="0"/>
            <w:bottom w:val="none" w:sz="0" w:space="0"/>
            <w:right w:val="none" w:sz="0" w:space="0"/>
          </w:pgBorders>
          <w:cols w:space="0" w:num="1"/>
          <w:rtlGutter w:val="0"/>
          <w:docGrid w:linePitch="312" w:charSpace="0"/>
        </w:sectPr>
      </w:pPr>
    </w:p>
    <w:p>
      <w:pPr>
        <w:pStyle w:val="3"/>
      </w:pPr>
      <w:r>
        <w:rPr>
          <w:rFonts w:hint="eastAsia"/>
        </w:rPr>
        <w:t>环境保护措施监督检查清单</w:t>
      </w:r>
    </w:p>
    <w:tbl>
      <w:tblPr>
        <w:tblStyle w:val="15"/>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55"/>
        <w:gridCol w:w="1850"/>
        <w:gridCol w:w="2034"/>
        <w:gridCol w:w="1922"/>
        <w:gridCol w:w="239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55" w:type="dxa"/>
            <w:tcBorders>
              <w:top w:val="single" w:color="auto" w:sz="12" w:space="0"/>
              <w:left w:val="single" w:color="auto" w:sz="12" w:space="0"/>
              <w:bottom w:val="single" w:color="auto" w:sz="4" w:space="0"/>
              <w:tl2br w:val="single" w:color="auto" w:sz="4" w:space="0"/>
            </w:tcBorders>
            <w:vAlign w:val="center"/>
          </w:tcPr>
          <w:p>
            <w:pPr>
              <w:pStyle w:val="22"/>
              <w:jc w:val="right"/>
              <w:rPr>
                <w:b/>
                <w:bCs/>
              </w:rPr>
            </w:pPr>
            <w:r>
              <w:rPr>
                <w:rFonts w:hint="eastAsia"/>
                <w:b/>
                <w:bCs/>
              </w:rPr>
              <w:t>内容</w:t>
            </w:r>
          </w:p>
          <w:p>
            <w:pPr>
              <w:pStyle w:val="22"/>
              <w:jc w:val="left"/>
              <w:rPr>
                <w:b/>
                <w:bCs/>
              </w:rPr>
            </w:pPr>
            <w:r>
              <w:rPr>
                <w:rFonts w:hint="eastAsia"/>
                <w:b/>
                <w:bCs/>
              </w:rPr>
              <w:t>要素</w:t>
            </w:r>
          </w:p>
        </w:tc>
        <w:tc>
          <w:tcPr>
            <w:tcW w:w="1850" w:type="dxa"/>
            <w:tcBorders>
              <w:top w:val="single" w:color="auto" w:sz="12" w:space="0"/>
              <w:bottom w:val="single" w:color="auto" w:sz="4" w:space="0"/>
            </w:tcBorders>
            <w:vAlign w:val="center"/>
          </w:tcPr>
          <w:p>
            <w:pPr>
              <w:pStyle w:val="22"/>
              <w:rPr>
                <w:b/>
                <w:bCs/>
              </w:rPr>
            </w:pPr>
            <w:r>
              <w:rPr>
                <w:rFonts w:hint="eastAsia"/>
                <w:b/>
                <w:bCs/>
              </w:rPr>
              <w:t>排放口（编号、名称）/污染源</w:t>
            </w:r>
          </w:p>
        </w:tc>
        <w:tc>
          <w:tcPr>
            <w:tcW w:w="2034" w:type="dxa"/>
            <w:tcBorders>
              <w:top w:val="single" w:color="auto" w:sz="12" w:space="0"/>
              <w:bottom w:val="single" w:color="auto" w:sz="4" w:space="0"/>
            </w:tcBorders>
            <w:vAlign w:val="center"/>
          </w:tcPr>
          <w:p>
            <w:pPr>
              <w:pStyle w:val="22"/>
              <w:rPr>
                <w:b/>
                <w:bCs/>
              </w:rPr>
            </w:pPr>
            <w:r>
              <w:rPr>
                <w:rFonts w:hint="eastAsia"/>
                <w:b/>
                <w:bCs/>
              </w:rPr>
              <w:t>污染物项目</w:t>
            </w:r>
          </w:p>
        </w:tc>
        <w:tc>
          <w:tcPr>
            <w:tcW w:w="1922" w:type="dxa"/>
            <w:tcBorders>
              <w:top w:val="single" w:color="auto" w:sz="12" w:space="0"/>
              <w:bottom w:val="single" w:color="auto" w:sz="4" w:space="0"/>
            </w:tcBorders>
            <w:vAlign w:val="center"/>
          </w:tcPr>
          <w:p>
            <w:pPr>
              <w:pStyle w:val="22"/>
              <w:rPr>
                <w:b/>
                <w:bCs/>
              </w:rPr>
            </w:pPr>
            <w:r>
              <w:rPr>
                <w:rFonts w:hint="eastAsia"/>
                <w:b/>
                <w:bCs/>
              </w:rPr>
              <w:t>环境保护措施</w:t>
            </w:r>
          </w:p>
        </w:tc>
        <w:tc>
          <w:tcPr>
            <w:tcW w:w="2399" w:type="dxa"/>
            <w:tcBorders>
              <w:top w:val="single" w:color="auto" w:sz="12" w:space="0"/>
              <w:bottom w:val="single" w:color="auto" w:sz="4" w:space="0"/>
              <w:right w:val="single" w:color="auto" w:sz="12" w:space="0"/>
            </w:tcBorders>
            <w:vAlign w:val="center"/>
          </w:tcPr>
          <w:p>
            <w:pPr>
              <w:pStyle w:val="22"/>
              <w:rPr>
                <w:b/>
                <w:bCs/>
              </w:rPr>
            </w:pPr>
            <w:r>
              <w:rPr>
                <w:rFonts w:hint="eastAsia"/>
                <w:b/>
                <w:bCs/>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855" w:type="dxa"/>
            <w:tcBorders>
              <w:top w:val="single" w:color="auto" w:sz="4" w:space="0"/>
              <w:left w:val="single" w:color="auto" w:sz="12" w:space="0"/>
            </w:tcBorders>
            <w:vAlign w:val="center"/>
          </w:tcPr>
          <w:p>
            <w:pPr>
              <w:pStyle w:val="22"/>
            </w:pPr>
            <w:r>
              <w:rPr>
                <w:rFonts w:hint="eastAsia"/>
              </w:rPr>
              <w:t>大气环境</w:t>
            </w:r>
          </w:p>
        </w:tc>
        <w:tc>
          <w:tcPr>
            <w:tcW w:w="1850" w:type="dxa"/>
            <w:tcBorders>
              <w:top w:val="single" w:color="auto" w:sz="4" w:space="0"/>
              <w:bottom w:val="single" w:color="auto" w:sz="4" w:space="0"/>
            </w:tcBorders>
            <w:vAlign w:val="center"/>
          </w:tcPr>
          <w:p>
            <w:pPr>
              <w:pStyle w:val="22"/>
              <w:bidi w:val="0"/>
            </w:pPr>
            <w:r>
              <w:t>生产车间</w:t>
            </w:r>
          </w:p>
          <w:p>
            <w:pPr>
              <w:pStyle w:val="22"/>
              <w:bidi w:val="0"/>
            </w:pPr>
            <w:r>
              <w:t>（打磨</w:t>
            </w:r>
            <w:r>
              <w:rPr>
                <w:rFonts w:hint="eastAsia"/>
                <w:lang w:eastAsia="zh-CN"/>
              </w:rPr>
              <w:t>、</w:t>
            </w:r>
            <w:r>
              <w:rPr>
                <w:rFonts w:hint="eastAsia"/>
                <w:lang w:val="en-US" w:eastAsia="zh-CN"/>
              </w:rPr>
              <w:t>焊接</w:t>
            </w:r>
            <w:r>
              <w:t>）</w:t>
            </w:r>
          </w:p>
        </w:tc>
        <w:tc>
          <w:tcPr>
            <w:tcW w:w="2034" w:type="dxa"/>
            <w:tcBorders>
              <w:top w:val="single" w:color="auto" w:sz="4" w:space="0"/>
              <w:bottom w:val="single" w:color="auto" w:sz="4" w:space="0"/>
            </w:tcBorders>
            <w:vAlign w:val="center"/>
          </w:tcPr>
          <w:p>
            <w:pPr>
              <w:pStyle w:val="22"/>
              <w:bidi w:val="0"/>
            </w:pPr>
            <w:r>
              <w:t>颗粒物</w:t>
            </w:r>
          </w:p>
        </w:tc>
        <w:tc>
          <w:tcPr>
            <w:tcW w:w="1922" w:type="dxa"/>
            <w:tcBorders>
              <w:top w:val="single" w:color="auto" w:sz="4" w:space="0"/>
              <w:bottom w:val="single" w:color="auto" w:sz="4" w:space="0"/>
            </w:tcBorders>
            <w:vAlign w:val="center"/>
          </w:tcPr>
          <w:p>
            <w:pPr>
              <w:pStyle w:val="22"/>
              <w:bidi w:val="0"/>
              <w:rPr>
                <w:rFonts w:hint="default"/>
                <w:lang w:val="en-US"/>
              </w:rPr>
            </w:pPr>
            <w:r>
              <w:rPr>
                <w:rFonts w:hint="eastAsia"/>
                <w:lang w:val="en-US" w:eastAsia="zh-CN"/>
              </w:rPr>
              <w:t>打磨</w:t>
            </w:r>
            <w:r>
              <w:rPr>
                <w:rFonts w:hint="eastAsia"/>
                <w:lang w:eastAsia="zh-CN"/>
              </w:rPr>
              <w:t>设备自带的除尘器处理、</w:t>
            </w:r>
            <w:r>
              <w:rPr>
                <w:rFonts w:hint="eastAsia"/>
                <w:lang w:val="en-US" w:eastAsia="zh-CN"/>
              </w:rPr>
              <w:t>焊接烟尘经移动式焊烟除尘器手机处理</w:t>
            </w:r>
          </w:p>
        </w:tc>
        <w:tc>
          <w:tcPr>
            <w:tcW w:w="2399" w:type="dxa"/>
            <w:tcBorders>
              <w:top w:val="single" w:color="auto" w:sz="4" w:space="0"/>
              <w:right w:val="single" w:color="auto" w:sz="12" w:space="0"/>
            </w:tcBorders>
            <w:vAlign w:val="center"/>
          </w:tcPr>
          <w:p>
            <w:pPr>
              <w:pStyle w:val="22"/>
            </w:pPr>
            <w:r>
              <w:rPr>
                <w:rFonts w:hint="eastAsia"/>
              </w:rPr>
              <w:t>《大气污染物综合排放标准》（GB16297-1996）表2中标准无组织排放限值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55" w:type="dxa"/>
            <w:tcBorders>
              <w:top w:val="single" w:color="auto" w:sz="4" w:space="0"/>
              <w:left w:val="single" w:color="auto" w:sz="12" w:space="0"/>
              <w:bottom w:val="single" w:color="auto" w:sz="4" w:space="0"/>
            </w:tcBorders>
            <w:vAlign w:val="center"/>
          </w:tcPr>
          <w:p>
            <w:pPr>
              <w:pStyle w:val="22"/>
            </w:pPr>
            <w:r>
              <w:rPr>
                <w:rFonts w:hint="eastAsia"/>
              </w:rPr>
              <w:t>地表水环境</w:t>
            </w:r>
          </w:p>
        </w:tc>
        <w:tc>
          <w:tcPr>
            <w:tcW w:w="1850" w:type="dxa"/>
            <w:tcBorders>
              <w:top w:val="single" w:color="auto" w:sz="4" w:space="0"/>
              <w:bottom w:val="single" w:color="auto" w:sz="4" w:space="0"/>
            </w:tcBorders>
            <w:vAlign w:val="center"/>
          </w:tcPr>
          <w:p>
            <w:pPr>
              <w:pStyle w:val="22"/>
            </w:pPr>
            <w:r>
              <w:rPr>
                <w:rFonts w:hAnsiTheme="minorEastAsia" w:eastAsiaTheme="minorEastAsia"/>
                <w:color w:val="auto"/>
                <w:szCs w:val="21"/>
              </w:rPr>
              <w:t>生活污水</w:t>
            </w:r>
          </w:p>
        </w:tc>
        <w:tc>
          <w:tcPr>
            <w:tcW w:w="2034" w:type="dxa"/>
            <w:tcBorders>
              <w:top w:val="single" w:color="auto" w:sz="4" w:space="0"/>
              <w:bottom w:val="single" w:color="auto" w:sz="4" w:space="0"/>
            </w:tcBorders>
            <w:vAlign w:val="center"/>
          </w:tcPr>
          <w:p>
            <w:pPr>
              <w:pStyle w:val="22"/>
            </w:pPr>
            <w:r>
              <w:rPr>
                <w:rFonts w:hint="eastAsia"/>
              </w:rPr>
              <w:t>pH、</w:t>
            </w:r>
            <w:r>
              <w:t>COD</w:t>
            </w:r>
            <w:r>
              <w:rPr>
                <w:rFonts w:hint="eastAsia"/>
              </w:rPr>
              <w:t>、BOD</w:t>
            </w:r>
            <w:r>
              <w:rPr>
                <w:rFonts w:hint="eastAsia"/>
                <w:vertAlign w:val="subscript"/>
              </w:rPr>
              <w:t>5</w:t>
            </w:r>
            <w:r>
              <w:rPr>
                <w:rFonts w:hint="eastAsia"/>
              </w:rPr>
              <w:t>、</w:t>
            </w:r>
            <w:r>
              <w:t>SS</w:t>
            </w:r>
            <w:r>
              <w:rPr>
                <w:rFonts w:hint="eastAsia"/>
              </w:rPr>
              <w:t>、氨氮</w:t>
            </w:r>
          </w:p>
        </w:tc>
        <w:tc>
          <w:tcPr>
            <w:tcW w:w="1922" w:type="dxa"/>
            <w:tcBorders>
              <w:top w:val="single" w:color="auto" w:sz="4" w:space="0"/>
              <w:bottom w:val="single" w:color="auto" w:sz="4" w:space="0"/>
            </w:tcBorders>
            <w:vAlign w:val="center"/>
          </w:tcPr>
          <w:p>
            <w:pPr>
              <w:pStyle w:val="22"/>
              <w:rPr>
                <w:rFonts w:hint="eastAsia"/>
              </w:rPr>
            </w:pPr>
            <w:bookmarkStart w:id="11" w:name="_Toc63415136"/>
            <w:r>
              <w:rPr>
                <w:rFonts w:hint="eastAsia"/>
              </w:rPr>
              <w:t>化粪池</w:t>
            </w:r>
            <w:bookmarkEnd w:id="11"/>
          </w:p>
          <w:p>
            <w:pPr>
              <w:pStyle w:val="22"/>
            </w:pPr>
            <w:r>
              <w:rPr>
                <w:rStyle w:val="20"/>
                <w:rFonts w:hint="eastAsia"/>
                <w:color w:val="auto"/>
                <w:kern w:val="0"/>
                <w:szCs w:val="20"/>
                <w:lang w:eastAsia="zh-CN"/>
              </w:rPr>
              <w:t>（依托租赁方）</w:t>
            </w:r>
          </w:p>
        </w:tc>
        <w:tc>
          <w:tcPr>
            <w:tcW w:w="2399" w:type="dxa"/>
            <w:tcBorders>
              <w:top w:val="single" w:color="auto" w:sz="4" w:space="0"/>
              <w:bottom w:val="single" w:color="auto" w:sz="4" w:space="0"/>
              <w:right w:val="single" w:color="auto" w:sz="12" w:space="0"/>
            </w:tcBorders>
            <w:vAlign w:val="center"/>
          </w:tcPr>
          <w:p>
            <w:pPr>
              <w:pStyle w:val="22"/>
            </w:pPr>
            <w:bookmarkStart w:id="12" w:name="_Toc63415137"/>
            <w:r>
              <w:rPr>
                <w:rFonts w:hint="eastAsia"/>
              </w:rPr>
              <w:t>执行</w:t>
            </w:r>
            <w:r>
              <w:t>《污水综合排放标准》（GB8978-1996）中的三级标准</w:t>
            </w:r>
            <w:bookmarkEnd w:id="12"/>
            <w:r>
              <w:t>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55" w:type="dxa"/>
            <w:tcBorders>
              <w:top w:val="single" w:color="auto" w:sz="4" w:space="0"/>
              <w:left w:val="single" w:color="auto" w:sz="12" w:space="0"/>
              <w:bottom w:val="single" w:color="auto" w:sz="4" w:space="0"/>
            </w:tcBorders>
            <w:vAlign w:val="center"/>
          </w:tcPr>
          <w:p>
            <w:pPr>
              <w:pStyle w:val="22"/>
            </w:pPr>
            <w:r>
              <w:rPr>
                <w:rFonts w:hint="eastAsia"/>
              </w:rPr>
              <w:t>声环境</w:t>
            </w:r>
          </w:p>
        </w:tc>
        <w:tc>
          <w:tcPr>
            <w:tcW w:w="1850" w:type="dxa"/>
            <w:tcBorders>
              <w:top w:val="single" w:color="auto" w:sz="4" w:space="0"/>
              <w:bottom w:val="single" w:color="auto" w:sz="4" w:space="0"/>
            </w:tcBorders>
            <w:vAlign w:val="center"/>
          </w:tcPr>
          <w:p>
            <w:pPr>
              <w:pStyle w:val="22"/>
            </w:pPr>
            <w:r>
              <w:rPr>
                <w:rFonts w:hint="eastAsia"/>
              </w:rPr>
              <w:t>生产设备</w:t>
            </w:r>
          </w:p>
        </w:tc>
        <w:tc>
          <w:tcPr>
            <w:tcW w:w="2034" w:type="dxa"/>
            <w:tcBorders>
              <w:top w:val="single" w:color="auto" w:sz="4" w:space="0"/>
              <w:bottom w:val="single" w:color="auto" w:sz="4" w:space="0"/>
            </w:tcBorders>
            <w:vAlign w:val="center"/>
          </w:tcPr>
          <w:p>
            <w:pPr>
              <w:pStyle w:val="22"/>
            </w:pPr>
            <w:r>
              <w:rPr>
                <w:rFonts w:hint="eastAsia"/>
              </w:rPr>
              <w:t>/</w:t>
            </w:r>
          </w:p>
        </w:tc>
        <w:tc>
          <w:tcPr>
            <w:tcW w:w="1922" w:type="dxa"/>
            <w:tcBorders>
              <w:top w:val="single" w:color="auto" w:sz="4" w:space="0"/>
              <w:bottom w:val="single" w:color="auto" w:sz="4" w:space="0"/>
            </w:tcBorders>
            <w:vAlign w:val="center"/>
          </w:tcPr>
          <w:p>
            <w:pPr>
              <w:pStyle w:val="22"/>
            </w:pPr>
            <w:r>
              <w:rPr>
                <w:rFonts w:hint="eastAsia"/>
              </w:rPr>
              <w:t>减振、建筑隔声</w:t>
            </w:r>
          </w:p>
        </w:tc>
        <w:tc>
          <w:tcPr>
            <w:tcW w:w="2399" w:type="dxa"/>
            <w:tcBorders>
              <w:top w:val="single" w:color="auto" w:sz="4" w:space="0"/>
              <w:bottom w:val="single" w:color="auto" w:sz="4" w:space="0"/>
              <w:right w:val="single" w:color="auto" w:sz="12" w:space="0"/>
            </w:tcBorders>
            <w:vAlign w:val="center"/>
          </w:tcPr>
          <w:p>
            <w:pPr>
              <w:pStyle w:val="22"/>
            </w:pPr>
            <w:r>
              <w:rPr>
                <w:rFonts w:hint="eastAsia"/>
              </w:rPr>
              <w:t>《工业企业厂界环境噪声排放标准》</w:t>
            </w:r>
            <w:r>
              <w:t>(GB12348-2008)</w:t>
            </w:r>
            <w:r>
              <w:rPr>
                <w:rFonts w:hint="eastAsia"/>
              </w:rPr>
              <w:t>中</w:t>
            </w:r>
            <w:r>
              <w:t>3</w:t>
            </w:r>
            <w:r>
              <w:rPr>
                <w:rFonts w:hint="eastAsia"/>
              </w:rPr>
              <w:t>类标准</w:t>
            </w:r>
            <w:r>
              <w:t>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55" w:type="dxa"/>
            <w:tcBorders>
              <w:top w:val="single" w:color="auto" w:sz="4" w:space="0"/>
              <w:left w:val="single" w:color="auto" w:sz="12" w:space="0"/>
              <w:bottom w:val="single" w:color="auto" w:sz="4" w:space="0"/>
            </w:tcBorders>
            <w:vAlign w:val="center"/>
          </w:tcPr>
          <w:p>
            <w:pPr>
              <w:pStyle w:val="22"/>
            </w:pPr>
            <w:r>
              <w:rPr>
                <w:rFonts w:hint="eastAsia"/>
              </w:rPr>
              <w:t>电磁</w:t>
            </w:r>
          </w:p>
          <w:p>
            <w:pPr>
              <w:pStyle w:val="22"/>
            </w:pPr>
            <w:r>
              <w:rPr>
                <w:rFonts w:hint="eastAsia"/>
              </w:rPr>
              <w:t>辐射</w:t>
            </w:r>
          </w:p>
        </w:tc>
        <w:tc>
          <w:tcPr>
            <w:tcW w:w="1850" w:type="dxa"/>
            <w:tcBorders>
              <w:top w:val="single" w:color="auto" w:sz="4" w:space="0"/>
              <w:bottom w:val="single" w:color="auto" w:sz="4" w:space="0"/>
            </w:tcBorders>
            <w:vAlign w:val="center"/>
          </w:tcPr>
          <w:p>
            <w:pPr>
              <w:pStyle w:val="22"/>
            </w:pPr>
            <w:r>
              <w:rPr>
                <w:rFonts w:hint="eastAsia"/>
              </w:rPr>
              <w:t>/</w:t>
            </w:r>
          </w:p>
        </w:tc>
        <w:tc>
          <w:tcPr>
            <w:tcW w:w="2034" w:type="dxa"/>
            <w:tcBorders>
              <w:top w:val="single" w:color="auto" w:sz="4" w:space="0"/>
              <w:bottom w:val="single" w:color="auto" w:sz="4" w:space="0"/>
            </w:tcBorders>
            <w:vAlign w:val="center"/>
          </w:tcPr>
          <w:p>
            <w:pPr>
              <w:pStyle w:val="22"/>
            </w:pPr>
            <w:r>
              <w:rPr>
                <w:rFonts w:hint="eastAsia"/>
              </w:rPr>
              <w:t>/</w:t>
            </w:r>
          </w:p>
        </w:tc>
        <w:tc>
          <w:tcPr>
            <w:tcW w:w="1922" w:type="dxa"/>
            <w:tcBorders>
              <w:top w:val="single" w:color="auto" w:sz="4" w:space="0"/>
              <w:bottom w:val="single" w:color="auto" w:sz="4" w:space="0"/>
            </w:tcBorders>
            <w:vAlign w:val="center"/>
          </w:tcPr>
          <w:p>
            <w:pPr>
              <w:pStyle w:val="22"/>
            </w:pPr>
            <w:r>
              <w:rPr>
                <w:rFonts w:hint="eastAsia"/>
              </w:rPr>
              <w:t>/</w:t>
            </w:r>
          </w:p>
        </w:tc>
        <w:tc>
          <w:tcPr>
            <w:tcW w:w="2399" w:type="dxa"/>
            <w:tcBorders>
              <w:top w:val="single" w:color="auto" w:sz="4" w:space="0"/>
              <w:bottom w:val="single" w:color="auto" w:sz="4" w:space="0"/>
              <w:right w:val="single" w:color="auto" w:sz="12" w:space="0"/>
            </w:tcBorders>
            <w:vAlign w:val="center"/>
          </w:tcPr>
          <w:p>
            <w:pPr>
              <w:pStyle w:val="22"/>
            </w:pPr>
            <w:r>
              <w:rPr>
                <w:rFonts w:hint="eastAsia"/>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61" w:hRule="atLeast"/>
          <w:jc w:val="center"/>
        </w:trPr>
        <w:tc>
          <w:tcPr>
            <w:tcW w:w="855" w:type="dxa"/>
            <w:tcBorders>
              <w:top w:val="single" w:color="auto" w:sz="4" w:space="0"/>
              <w:left w:val="single" w:color="auto" w:sz="12" w:space="0"/>
              <w:bottom w:val="single" w:color="auto" w:sz="4" w:space="0"/>
            </w:tcBorders>
            <w:vAlign w:val="center"/>
          </w:tcPr>
          <w:p>
            <w:pPr>
              <w:pStyle w:val="22"/>
            </w:pPr>
            <w:r>
              <w:rPr>
                <w:rFonts w:hint="eastAsia"/>
              </w:rPr>
              <w:t>固体</w:t>
            </w:r>
          </w:p>
          <w:p>
            <w:pPr>
              <w:pStyle w:val="22"/>
            </w:pPr>
            <w:r>
              <w:rPr>
                <w:rFonts w:hint="eastAsia"/>
              </w:rPr>
              <w:t>废物</w:t>
            </w:r>
          </w:p>
        </w:tc>
        <w:tc>
          <w:tcPr>
            <w:tcW w:w="8205" w:type="dxa"/>
            <w:gridSpan w:val="4"/>
            <w:tcBorders>
              <w:top w:val="single" w:color="auto" w:sz="4" w:space="0"/>
              <w:bottom w:val="single" w:color="auto" w:sz="4" w:space="0"/>
              <w:right w:val="single" w:color="auto" w:sz="12" w:space="0"/>
            </w:tcBorders>
            <w:vAlign w:val="center"/>
          </w:tcPr>
          <w:p>
            <w:pPr>
              <w:pStyle w:val="22"/>
            </w:pPr>
            <w:r>
              <w:rPr>
                <w:rFonts w:hAnsiTheme="minorEastAsia" w:eastAsiaTheme="minorEastAsia"/>
                <w:color w:val="auto"/>
                <w:kern w:val="0"/>
                <w:szCs w:val="21"/>
              </w:rPr>
              <w:t>边角料</w:t>
            </w:r>
            <w:r>
              <w:rPr>
                <w:rFonts w:hint="eastAsia" w:hAnsiTheme="minorEastAsia" w:eastAsiaTheme="minorEastAsia"/>
                <w:color w:val="auto"/>
                <w:kern w:val="0"/>
                <w:szCs w:val="21"/>
              </w:rPr>
              <w:t>、</w:t>
            </w:r>
            <w:r>
              <w:rPr>
                <w:rFonts w:hAnsiTheme="minorEastAsia" w:eastAsiaTheme="minorEastAsia"/>
                <w:color w:val="auto"/>
                <w:kern w:val="0"/>
                <w:szCs w:val="21"/>
              </w:rPr>
              <w:t>不合格品</w:t>
            </w:r>
            <w:r>
              <w:rPr>
                <w:rFonts w:hint="eastAsia" w:hAnsiTheme="minorEastAsia" w:eastAsiaTheme="minorEastAsia"/>
                <w:color w:val="auto"/>
                <w:kern w:val="0"/>
                <w:szCs w:val="21"/>
                <w:lang w:eastAsia="zh-CN"/>
              </w:rPr>
              <w:t>、</w:t>
            </w:r>
            <w:r>
              <w:rPr>
                <w:rFonts w:hint="eastAsia" w:hAnsiTheme="minorEastAsia" w:eastAsiaTheme="minorEastAsia"/>
                <w:color w:val="auto"/>
                <w:kern w:val="0"/>
                <w:szCs w:val="21"/>
              </w:rPr>
              <w:t>打磨粉尘</w:t>
            </w:r>
            <w:r>
              <w:rPr>
                <w:rFonts w:hint="eastAsia" w:hAnsiTheme="minorEastAsia" w:eastAsiaTheme="minorEastAsia"/>
                <w:color w:val="auto"/>
                <w:kern w:val="0"/>
                <w:szCs w:val="21"/>
                <w:lang w:eastAsia="zh-CN"/>
              </w:rPr>
              <w:t>及除尘器收集的粉尘</w:t>
            </w:r>
            <w:r>
              <w:rPr>
                <w:rFonts w:hAnsiTheme="minorEastAsia" w:eastAsiaTheme="minorEastAsia"/>
                <w:color w:val="auto"/>
                <w:kern w:val="0"/>
                <w:szCs w:val="21"/>
              </w:rPr>
              <w:t>收集后外售；</w:t>
            </w:r>
            <w:r>
              <w:rPr>
                <w:rFonts w:hAnsiTheme="minorEastAsia" w:eastAsiaTheme="minorEastAsia"/>
                <w:color w:val="auto"/>
                <w:szCs w:val="21"/>
              </w:rPr>
              <w:t>废润滑油、废</w:t>
            </w:r>
            <w:r>
              <w:rPr>
                <w:rFonts w:hint="eastAsia" w:hAnsiTheme="minorEastAsia" w:eastAsiaTheme="minorEastAsia"/>
                <w:color w:val="auto"/>
                <w:szCs w:val="21"/>
              </w:rPr>
              <w:t>包装</w:t>
            </w:r>
            <w:r>
              <w:rPr>
                <w:rFonts w:hAnsiTheme="minorEastAsia" w:eastAsiaTheme="minorEastAsia"/>
                <w:color w:val="auto"/>
                <w:szCs w:val="21"/>
              </w:rPr>
              <w:t>桶、</w:t>
            </w:r>
            <w:r>
              <w:rPr>
                <w:rFonts w:hint="eastAsia" w:hAnsiTheme="minorEastAsia" w:eastAsiaTheme="minorEastAsia"/>
                <w:color w:val="auto"/>
                <w:szCs w:val="21"/>
              </w:rPr>
              <w:t>废液压油、废切削液及废含油抹布手套</w:t>
            </w:r>
            <w:r>
              <w:rPr>
                <w:rFonts w:hAnsiTheme="minorEastAsia" w:eastAsiaTheme="minorEastAsia"/>
                <w:color w:val="auto"/>
                <w:szCs w:val="21"/>
              </w:rPr>
              <w:t>属于危险废物，储存于危废仓库</w:t>
            </w:r>
            <w:r>
              <w:rPr>
                <w:rFonts w:hint="eastAsia" w:hAnsiTheme="minorEastAsia" w:eastAsiaTheme="minorEastAsia"/>
                <w:color w:val="auto"/>
                <w:szCs w:val="21"/>
              </w:rPr>
              <w:t>（</w:t>
            </w:r>
            <w:r>
              <w:rPr>
                <w:rFonts w:hint="eastAsia" w:hAnsiTheme="minorEastAsia" w:eastAsiaTheme="minorEastAsia"/>
                <w:color w:val="auto"/>
                <w:szCs w:val="21"/>
                <w:lang w:val="en-US" w:eastAsia="zh-CN"/>
              </w:rPr>
              <w:t>20</w:t>
            </w:r>
            <w:r>
              <w:rPr>
                <w:rFonts w:hint="eastAsia" w:hAnsiTheme="minorEastAsia" w:eastAsiaTheme="minorEastAsia"/>
                <w:color w:val="auto"/>
                <w:szCs w:val="21"/>
              </w:rPr>
              <w:t>m</w:t>
            </w:r>
            <w:r>
              <w:rPr>
                <w:rFonts w:hint="eastAsia" w:hAnsiTheme="minorEastAsia" w:eastAsiaTheme="minorEastAsia"/>
                <w:color w:val="auto"/>
                <w:szCs w:val="21"/>
                <w:vertAlign w:val="superscript"/>
              </w:rPr>
              <w:t>2</w:t>
            </w:r>
            <w:r>
              <w:rPr>
                <w:rFonts w:hint="eastAsia" w:hAnsiTheme="minorEastAsia" w:eastAsiaTheme="minorEastAsia"/>
                <w:color w:val="auto"/>
                <w:szCs w:val="21"/>
              </w:rPr>
              <w:t>）</w:t>
            </w:r>
            <w:r>
              <w:rPr>
                <w:rFonts w:hAnsiTheme="minorEastAsia" w:eastAsiaTheme="minorEastAsia"/>
                <w:color w:val="auto"/>
                <w:szCs w:val="21"/>
              </w:rPr>
              <w:t>内，定期交由有相关危废资质单位处理；生活垃圾统一由环卫部门清运。</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61" w:hRule="atLeast"/>
          <w:jc w:val="center"/>
        </w:trPr>
        <w:tc>
          <w:tcPr>
            <w:tcW w:w="855" w:type="dxa"/>
            <w:tcBorders>
              <w:top w:val="single" w:color="auto" w:sz="4" w:space="0"/>
              <w:left w:val="single" w:color="auto" w:sz="12" w:space="0"/>
              <w:bottom w:val="single" w:color="auto" w:sz="4" w:space="0"/>
            </w:tcBorders>
            <w:vAlign w:val="center"/>
          </w:tcPr>
          <w:p>
            <w:pPr>
              <w:pStyle w:val="22"/>
            </w:pPr>
            <w:r>
              <w:rPr>
                <w:rFonts w:hint="eastAsia"/>
              </w:rPr>
              <w:t>土壤及地下水污染防治措施</w:t>
            </w:r>
          </w:p>
        </w:tc>
        <w:tc>
          <w:tcPr>
            <w:tcW w:w="8205" w:type="dxa"/>
            <w:gridSpan w:val="4"/>
            <w:tcBorders>
              <w:top w:val="single" w:color="auto" w:sz="4" w:space="0"/>
              <w:bottom w:val="single" w:color="auto" w:sz="4" w:space="0"/>
              <w:right w:val="single" w:color="auto" w:sz="12" w:space="0"/>
            </w:tcBorders>
            <w:vAlign w:val="center"/>
          </w:tcPr>
          <w:p>
            <w:pPr>
              <w:pStyle w:val="22"/>
            </w:pPr>
            <w:r>
              <w:rPr>
                <w:rFonts w:hint="eastAsia"/>
              </w:rPr>
              <w:t>厂区实施分区防渗：危废库、油类等液体原料存放区、铣床、加工中心生产区域采取重点防渗；生产车间和一般固废放置区为一般防渗区；其他为简单防渗区。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61" w:hRule="atLeast"/>
          <w:jc w:val="center"/>
        </w:trPr>
        <w:tc>
          <w:tcPr>
            <w:tcW w:w="855" w:type="dxa"/>
            <w:tcBorders>
              <w:top w:val="single" w:color="auto" w:sz="4" w:space="0"/>
              <w:left w:val="single" w:color="auto" w:sz="12" w:space="0"/>
              <w:bottom w:val="single" w:color="auto" w:sz="4" w:space="0"/>
            </w:tcBorders>
            <w:vAlign w:val="center"/>
          </w:tcPr>
          <w:p>
            <w:pPr>
              <w:pStyle w:val="22"/>
            </w:pPr>
            <w:r>
              <w:rPr>
                <w:rFonts w:hint="eastAsia"/>
              </w:rPr>
              <w:t>生态保护措施</w:t>
            </w:r>
          </w:p>
        </w:tc>
        <w:tc>
          <w:tcPr>
            <w:tcW w:w="8205" w:type="dxa"/>
            <w:gridSpan w:val="4"/>
            <w:tcBorders>
              <w:top w:val="single" w:color="auto" w:sz="4" w:space="0"/>
              <w:bottom w:val="single" w:color="auto" w:sz="4" w:space="0"/>
              <w:right w:val="single" w:color="auto" w:sz="12" w:space="0"/>
            </w:tcBorders>
            <w:vAlign w:val="center"/>
          </w:tcPr>
          <w:p>
            <w:pPr>
              <w:pStyle w:val="22"/>
              <w:bidi w:val="0"/>
            </w:pPr>
            <w: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61" w:hRule="atLeast"/>
          <w:jc w:val="center"/>
        </w:trPr>
        <w:tc>
          <w:tcPr>
            <w:tcW w:w="855" w:type="dxa"/>
            <w:tcBorders>
              <w:top w:val="single" w:color="auto" w:sz="4" w:space="0"/>
              <w:left w:val="single" w:color="auto" w:sz="12" w:space="0"/>
              <w:bottom w:val="single" w:color="auto" w:sz="4" w:space="0"/>
            </w:tcBorders>
            <w:vAlign w:val="center"/>
          </w:tcPr>
          <w:p>
            <w:pPr>
              <w:pStyle w:val="22"/>
            </w:pPr>
            <w:r>
              <w:rPr>
                <w:rFonts w:hint="eastAsia"/>
              </w:rPr>
              <w:t>环境风险防范措施</w:t>
            </w:r>
          </w:p>
        </w:tc>
        <w:tc>
          <w:tcPr>
            <w:tcW w:w="8205" w:type="dxa"/>
            <w:gridSpan w:val="4"/>
            <w:tcBorders>
              <w:top w:val="single" w:color="auto" w:sz="4" w:space="0"/>
              <w:bottom w:val="single" w:color="auto" w:sz="4" w:space="0"/>
              <w:right w:val="single" w:color="auto" w:sz="12" w:space="0"/>
            </w:tcBorders>
            <w:vAlign w:val="center"/>
          </w:tcPr>
          <w:p>
            <w:pPr>
              <w:pStyle w:val="22"/>
              <w:bidi w:val="0"/>
            </w:pPr>
            <w:r>
              <w:t>配备相应风险防范物资。危险废物暂存库等按照重点防渗区进行防渗</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61" w:hRule="atLeast"/>
          <w:jc w:val="center"/>
        </w:trPr>
        <w:tc>
          <w:tcPr>
            <w:tcW w:w="855" w:type="dxa"/>
            <w:tcBorders>
              <w:top w:val="single" w:color="auto" w:sz="4" w:space="0"/>
              <w:left w:val="single" w:color="auto" w:sz="12" w:space="0"/>
              <w:bottom w:val="single" w:color="auto" w:sz="12" w:space="0"/>
            </w:tcBorders>
            <w:vAlign w:val="center"/>
          </w:tcPr>
          <w:p>
            <w:pPr>
              <w:pStyle w:val="22"/>
            </w:pPr>
            <w:r>
              <w:rPr>
                <w:rFonts w:hint="eastAsia"/>
              </w:rPr>
              <w:t>其他环境管理要求</w:t>
            </w:r>
          </w:p>
        </w:tc>
        <w:tc>
          <w:tcPr>
            <w:tcW w:w="8205" w:type="dxa"/>
            <w:gridSpan w:val="4"/>
            <w:tcBorders>
              <w:top w:val="single" w:color="auto" w:sz="4" w:space="0"/>
              <w:bottom w:val="single" w:color="auto" w:sz="12" w:space="0"/>
              <w:right w:val="single" w:color="auto" w:sz="12" w:space="0"/>
            </w:tcBorders>
            <w:vAlign w:val="center"/>
          </w:tcPr>
          <w:p>
            <w:pPr>
              <w:pStyle w:val="22"/>
              <w:jc w:val="left"/>
              <w:rPr>
                <w:rFonts w:hint="eastAsia"/>
              </w:rPr>
            </w:pPr>
            <w:r>
              <w:rPr>
                <w:rFonts w:hint="eastAsia"/>
              </w:rPr>
              <w:t>1、本次</w:t>
            </w:r>
            <w:r>
              <w:rPr>
                <w:rFonts w:hint="eastAsia"/>
                <w:lang w:val="en-US" w:eastAsia="zh-CN"/>
              </w:rPr>
              <w:t>迁建</w:t>
            </w:r>
            <w:r>
              <w:rPr>
                <w:rFonts w:hint="eastAsia"/>
              </w:rPr>
              <w:t>项目属于排污许可中“登记管理”，建设单位承诺在本项目投产前，登录全国排污许可证管理信息平台及时进行</w:t>
            </w:r>
            <w:r>
              <w:rPr>
                <w:rFonts w:hint="eastAsia"/>
                <w:color w:val="auto"/>
              </w:rPr>
              <w:t>变更或者重新申报</w:t>
            </w:r>
            <w:r>
              <w:rPr>
                <w:rFonts w:hint="eastAsia"/>
              </w:rPr>
              <w:t>；</w:t>
            </w:r>
          </w:p>
          <w:p>
            <w:pPr>
              <w:pStyle w:val="22"/>
              <w:jc w:val="left"/>
            </w:pPr>
            <w:r>
              <w:rPr>
                <w:rFonts w:hint="eastAsia"/>
              </w:rPr>
              <w:t>2、排污口规范化设置。</w:t>
            </w:r>
          </w:p>
        </w:tc>
      </w:tr>
    </w:tbl>
    <w:p>
      <w:pPr>
        <w:ind w:firstLine="480"/>
        <w:sectPr>
          <w:pgSz w:w="11906" w:h="16838"/>
          <w:pgMar w:top="1440" w:right="1531" w:bottom="1440" w:left="1531" w:header="851" w:footer="992" w:gutter="0"/>
          <w:pgBorders>
            <w:top w:val="none" w:sz="0" w:space="0"/>
            <w:left w:val="none" w:sz="0" w:space="0"/>
            <w:bottom w:val="none" w:sz="0" w:space="0"/>
            <w:right w:val="none" w:sz="0" w:space="0"/>
          </w:pgBorders>
          <w:cols w:space="0" w:num="1"/>
          <w:rtlGutter w:val="0"/>
          <w:docGrid w:linePitch="312" w:charSpace="0"/>
        </w:sectPr>
      </w:pPr>
    </w:p>
    <w:p>
      <w:pPr>
        <w:pStyle w:val="3"/>
      </w:pPr>
      <w:r>
        <w:rPr>
          <w:rFonts w:hint="eastAsia"/>
        </w:rPr>
        <w:t>结论</w:t>
      </w:r>
    </w:p>
    <w:tbl>
      <w:tblPr>
        <w:tblStyle w:val="15"/>
        <w:tblW w:w="5000" w:type="pct"/>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906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1991" w:hRule="atLeast"/>
          <w:jc w:val="center"/>
        </w:trPr>
        <w:tc>
          <w:tcPr>
            <w:tcW w:w="8865" w:type="dxa"/>
            <w:vAlign w:val="center"/>
          </w:tcPr>
          <w:p>
            <w:pPr>
              <w:bidi w:val="0"/>
            </w:pPr>
            <w:r>
              <w:rPr>
                <w:rFonts w:hint="eastAsia"/>
              </w:rPr>
              <w:t>综上所述，芜湖中山科技有限公司</w:t>
            </w:r>
            <w:r>
              <w:rPr>
                <w:rFonts w:hint="eastAsia"/>
                <w:color w:val="auto"/>
                <w:kern w:val="0"/>
              </w:rPr>
              <w:t>“年产1000吨汽车模具（含夹检具）、新能源汽车冲焊件3000万件生产建设项目”</w:t>
            </w:r>
            <w:r>
              <w:rPr>
                <w:rFonts w:hint="eastAsia"/>
              </w:rPr>
              <w:t>的建设符合国家和地方产业政策，选址合理，项目在落实环评中的污染防治措施后，各项污染物可以达标排放，对环境的影响也比较小，不会造成区域环境功能的改变，从环境保护的角度来讲，本评价认为项目在坚持“三同时”原则并采取一定的环保措施后，项目建设是可行的。</w:t>
            </w:r>
          </w:p>
          <w:p>
            <w:pPr>
              <w:ind w:firstLine="480"/>
              <w:jc w:val="center"/>
              <w:rPr>
                <w:rFonts w:cs="宋体"/>
              </w:rPr>
            </w:pPr>
          </w:p>
        </w:tc>
      </w:tr>
    </w:tbl>
    <w:p>
      <w:pPr>
        <w:ind w:firstLine="480"/>
        <w:sectPr>
          <w:pgSz w:w="11906" w:h="16838"/>
          <w:pgMar w:top="1440" w:right="1531" w:bottom="1440" w:left="1531" w:header="851" w:footer="992" w:gutter="0"/>
          <w:pgBorders>
            <w:top w:val="none" w:sz="0" w:space="0"/>
            <w:left w:val="none" w:sz="0" w:space="0"/>
            <w:bottom w:val="none" w:sz="0" w:space="0"/>
            <w:right w:val="none" w:sz="0" w:space="0"/>
          </w:pgBorders>
          <w:cols w:space="0" w:num="1"/>
          <w:rtlGutter w:val="0"/>
          <w:docGrid w:linePitch="312" w:charSpace="0"/>
        </w:sectPr>
      </w:pPr>
    </w:p>
    <w:p>
      <w:pPr>
        <w:adjustRightInd w:val="0"/>
        <w:snapToGrid w:val="0"/>
        <w:spacing w:before="0" w:beforeAutospacing="0" w:after="0" w:afterAutospacing="0"/>
        <w:ind w:firstLine="0" w:firstLineChars="0"/>
        <w:outlineLvl w:val="0"/>
        <w:rPr>
          <w:rFonts w:ascii="Times New Roman" w:hAnsi="Times New Roman"/>
          <w:snapToGrid w:val="0"/>
          <w:sz w:val="32"/>
          <w:szCs w:val="32"/>
        </w:rPr>
      </w:pPr>
      <w:r>
        <w:rPr>
          <w:rFonts w:hint="eastAsia" w:ascii="Times New Roman" w:hAnsi="Times New Roman"/>
          <w:snapToGrid w:val="0"/>
          <w:sz w:val="32"/>
          <w:szCs w:val="32"/>
        </w:rPr>
        <w:t>附表</w:t>
      </w:r>
    </w:p>
    <w:p>
      <w:pPr>
        <w:spacing w:line="240" w:lineRule="auto"/>
        <w:ind w:firstLine="720"/>
        <w:jc w:val="center"/>
        <w:rPr>
          <w:rFonts w:hint="eastAsia" w:eastAsia="宋体"/>
          <w:snapToGrid w:val="0"/>
          <w:sz w:val="36"/>
          <w:szCs w:val="36"/>
          <w:lang w:eastAsia="zh-CN"/>
        </w:rPr>
      </w:pPr>
      <w:r>
        <w:rPr>
          <w:rFonts w:hint="eastAsia"/>
          <w:snapToGrid w:val="0"/>
          <w:sz w:val="36"/>
          <w:szCs w:val="36"/>
        </w:rPr>
        <w:t>建设项目污染物排放量汇总表</w:t>
      </w:r>
      <w:r>
        <w:rPr>
          <w:rFonts w:hint="eastAsia"/>
          <w:snapToGrid w:val="0"/>
          <w:sz w:val="36"/>
          <w:szCs w:val="36"/>
          <w:lang w:eastAsia="zh-CN"/>
        </w:rPr>
        <w:t>（t/a）</w:t>
      </w:r>
    </w:p>
    <w:tbl>
      <w:tblPr>
        <w:tblStyle w:val="15"/>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69"/>
        <w:gridCol w:w="1553"/>
        <w:gridCol w:w="1701"/>
        <w:gridCol w:w="1417"/>
        <w:gridCol w:w="1418"/>
        <w:gridCol w:w="1984"/>
        <w:gridCol w:w="1418"/>
        <w:gridCol w:w="1842"/>
        <w:gridCol w:w="128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169" w:type="dxa"/>
            <w:tcBorders>
              <w:tl2br w:val="single" w:color="auto" w:sz="4" w:space="0"/>
            </w:tcBorders>
            <w:tcMar>
              <w:left w:w="28" w:type="dxa"/>
              <w:right w:w="28" w:type="dxa"/>
            </w:tcMar>
            <w:vAlign w:val="center"/>
          </w:tcPr>
          <w:p>
            <w:pPr>
              <w:pStyle w:val="22"/>
              <w:jc w:val="right"/>
            </w:pPr>
            <w:r>
              <w:rPr>
                <w:rFonts w:hint="eastAsia"/>
              </w:rPr>
              <w:t>项目</w:t>
            </w:r>
          </w:p>
          <w:p>
            <w:pPr>
              <w:pStyle w:val="22"/>
              <w:jc w:val="left"/>
            </w:pPr>
            <w:r>
              <w:rPr>
                <w:rFonts w:hint="eastAsia"/>
              </w:rPr>
              <w:t>分类</w:t>
            </w:r>
          </w:p>
        </w:tc>
        <w:tc>
          <w:tcPr>
            <w:tcW w:w="1553" w:type="dxa"/>
            <w:tcMar>
              <w:left w:w="28" w:type="dxa"/>
              <w:right w:w="28" w:type="dxa"/>
            </w:tcMar>
            <w:vAlign w:val="center"/>
          </w:tcPr>
          <w:p>
            <w:pPr>
              <w:pStyle w:val="22"/>
            </w:pPr>
            <w:r>
              <w:rPr>
                <w:rFonts w:hint="eastAsia"/>
              </w:rPr>
              <w:t>污染物名称</w:t>
            </w:r>
          </w:p>
        </w:tc>
        <w:tc>
          <w:tcPr>
            <w:tcW w:w="1701" w:type="dxa"/>
            <w:tcMar>
              <w:left w:w="28" w:type="dxa"/>
              <w:right w:w="28" w:type="dxa"/>
            </w:tcMar>
            <w:vAlign w:val="center"/>
          </w:tcPr>
          <w:p>
            <w:pPr>
              <w:pStyle w:val="22"/>
            </w:pPr>
            <w:r>
              <w:t>现有工程</w:t>
            </w:r>
          </w:p>
          <w:p>
            <w:pPr>
              <w:pStyle w:val="22"/>
            </w:pPr>
            <w:r>
              <w:t>排放量（固</w:t>
            </w:r>
            <w:r>
              <w:rPr>
                <w:rFonts w:hint="eastAsia"/>
              </w:rPr>
              <w:t>体</w:t>
            </w:r>
            <w:r>
              <w:t>废</w:t>
            </w:r>
            <w:r>
              <w:rPr>
                <w:rFonts w:hint="eastAsia"/>
              </w:rPr>
              <w:t>物</w:t>
            </w:r>
            <w:r>
              <w:t>产生量）</w:t>
            </w:r>
            <w:r>
              <w:fldChar w:fldCharType="begin"/>
            </w:r>
            <w:r>
              <w:instrText xml:space="preserve"> = 1 \* GB3 \* MERGEFORMAT </w:instrText>
            </w:r>
            <w:r>
              <w:fldChar w:fldCharType="separate"/>
            </w:r>
            <w:r>
              <w:rPr>
                <w:rFonts w:hint="eastAsia"/>
              </w:rPr>
              <w:t>①</w:t>
            </w:r>
            <w:r>
              <w:fldChar w:fldCharType="end"/>
            </w:r>
          </w:p>
        </w:tc>
        <w:tc>
          <w:tcPr>
            <w:tcW w:w="1417" w:type="dxa"/>
            <w:tcMar>
              <w:left w:w="28" w:type="dxa"/>
              <w:right w:w="28" w:type="dxa"/>
            </w:tcMar>
            <w:vAlign w:val="center"/>
          </w:tcPr>
          <w:p>
            <w:pPr>
              <w:pStyle w:val="22"/>
            </w:pPr>
            <w:r>
              <w:t>现有工程</w:t>
            </w:r>
          </w:p>
          <w:p>
            <w:pPr>
              <w:pStyle w:val="22"/>
            </w:pPr>
            <w:r>
              <w:t>许可排放量</w:t>
            </w:r>
          </w:p>
          <w:p>
            <w:pPr>
              <w:pStyle w:val="22"/>
            </w:pPr>
            <w:r>
              <w:fldChar w:fldCharType="begin"/>
            </w:r>
            <w:r>
              <w:instrText xml:space="preserve"> = 2 \* GB3 \* MERGEFORMAT </w:instrText>
            </w:r>
            <w:r>
              <w:fldChar w:fldCharType="separate"/>
            </w:r>
            <w:r>
              <w:rPr>
                <w:rFonts w:hint="eastAsia"/>
              </w:rPr>
              <w:t>②</w:t>
            </w:r>
            <w:r>
              <w:fldChar w:fldCharType="end"/>
            </w:r>
          </w:p>
        </w:tc>
        <w:tc>
          <w:tcPr>
            <w:tcW w:w="1418" w:type="dxa"/>
            <w:tcMar>
              <w:left w:w="28" w:type="dxa"/>
              <w:right w:w="28" w:type="dxa"/>
            </w:tcMar>
            <w:vAlign w:val="center"/>
          </w:tcPr>
          <w:p>
            <w:pPr>
              <w:pStyle w:val="22"/>
            </w:pPr>
            <w:r>
              <w:t>在建工程</w:t>
            </w:r>
          </w:p>
          <w:p>
            <w:pPr>
              <w:pStyle w:val="22"/>
            </w:pPr>
            <w:r>
              <w:t>排放量（固</w:t>
            </w:r>
            <w:r>
              <w:rPr>
                <w:rFonts w:hint="eastAsia"/>
              </w:rPr>
              <w:t>体</w:t>
            </w:r>
            <w:r>
              <w:t>废</w:t>
            </w:r>
            <w:r>
              <w:rPr>
                <w:rFonts w:hint="eastAsia"/>
              </w:rPr>
              <w:t>物</w:t>
            </w:r>
            <w:r>
              <w:t>产生量）</w:t>
            </w:r>
            <w:r>
              <w:fldChar w:fldCharType="begin"/>
            </w:r>
            <w:r>
              <w:instrText xml:space="preserve"> = 3 \* GB3 \* MERGEFORMAT </w:instrText>
            </w:r>
            <w:r>
              <w:fldChar w:fldCharType="separate"/>
            </w:r>
            <w:r>
              <w:rPr>
                <w:rFonts w:hint="eastAsia"/>
              </w:rPr>
              <w:t>③</w:t>
            </w:r>
            <w:r>
              <w:fldChar w:fldCharType="end"/>
            </w:r>
          </w:p>
        </w:tc>
        <w:tc>
          <w:tcPr>
            <w:tcW w:w="1984" w:type="dxa"/>
            <w:tcMar>
              <w:left w:w="28" w:type="dxa"/>
              <w:right w:w="28" w:type="dxa"/>
            </w:tcMar>
            <w:vAlign w:val="center"/>
          </w:tcPr>
          <w:p>
            <w:pPr>
              <w:pStyle w:val="22"/>
            </w:pPr>
            <w:r>
              <w:t>本项目</w:t>
            </w:r>
          </w:p>
          <w:p>
            <w:pPr>
              <w:pStyle w:val="22"/>
            </w:pPr>
            <w:r>
              <w:t>排放量（固</w:t>
            </w:r>
            <w:r>
              <w:rPr>
                <w:rFonts w:hint="eastAsia"/>
              </w:rPr>
              <w:t>体</w:t>
            </w:r>
            <w:r>
              <w:t>废</w:t>
            </w:r>
            <w:r>
              <w:rPr>
                <w:rFonts w:hint="eastAsia"/>
              </w:rPr>
              <w:t>物</w:t>
            </w:r>
            <w:r>
              <w:t>产生量）</w:t>
            </w:r>
            <w:r>
              <w:fldChar w:fldCharType="begin"/>
            </w:r>
            <w:r>
              <w:instrText xml:space="preserve"> = 4 \* GB3 \* MERGEFORMAT </w:instrText>
            </w:r>
            <w:r>
              <w:fldChar w:fldCharType="separate"/>
            </w:r>
            <w:r>
              <w:rPr>
                <w:rFonts w:hint="eastAsia"/>
              </w:rPr>
              <w:t>④</w:t>
            </w:r>
            <w:r>
              <w:fldChar w:fldCharType="end"/>
            </w:r>
          </w:p>
        </w:tc>
        <w:tc>
          <w:tcPr>
            <w:tcW w:w="1418" w:type="dxa"/>
            <w:tcMar>
              <w:left w:w="28" w:type="dxa"/>
              <w:right w:w="28" w:type="dxa"/>
            </w:tcMar>
            <w:vAlign w:val="center"/>
          </w:tcPr>
          <w:p>
            <w:pPr>
              <w:pStyle w:val="22"/>
            </w:pPr>
            <w:r>
              <w:t>以新带老削减量</w:t>
            </w:r>
          </w:p>
          <w:p>
            <w:pPr>
              <w:pStyle w:val="22"/>
            </w:pPr>
            <w:r>
              <w:t>（新建项目不填）</w:t>
            </w:r>
            <w:r>
              <w:fldChar w:fldCharType="begin"/>
            </w:r>
            <w:r>
              <w:instrText xml:space="preserve"> = 5 \* GB3 \* MERGEFORMAT </w:instrText>
            </w:r>
            <w:r>
              <w:fldChar w:fldCharType="separate"/>
            </w:r>
            <w:r>
              <w:rPr>
                <w:rFonts w:hint="eastAsia"/>
              </w:rPr>
              <w:t>⑤</w:t>
            </w:r>
            <w:r>
              <w:fldChar w:fldCharType="end"/>
            </w:r>
          </w:p>
        </w:tc>
        <w:tc>
          <w:tcPr>
            <w:tcW w:w="1842" w:type="dxa"/>
            <w:tcMar>
              <w:left w:w="28" w:type="dxa"/>
              <w:right w:w="28" w:type="dxa"/>
            </w:tcMar>
            <w:vAlign w:val="center"/>
          </w:tcPr>
          <w:p>
            <w:pPr>
              <w:pStyle w:val="22"/>
            </w:pPr>
            <w:r>
              <w:t>本项目建成后</w:t>
            </w:r>
          </w:p>
          <w:p>
            <w:pPr>
              <w:pStyle w:val="22"/>
            </w:pPr>
            <w:r>
              <w:rPr>
                <w:rFonts w:hint="eastAsia"/>
              </w:rPr>
              <w:t>全厂</w:t>
            </w:r>
            <w:r>
              <w:t>排放量（固</w:t>
            </w:r>
            <w:r>
              <w:rPr>
                <w:rFonts w:hint="eastAsia"/>
              </w:rPr>
              <w:t>体</w:t>
            </w:r>
            <w:r>
              <w:t>废</w:t>
            </w:r>
            <w:r>
              <w:rPr>
                <w:rFonts w:hint="eastAsia"/>
              </w:rPr>
              <w:t>物</w:t>
            </w:r>
            <w:r>
              <w:t>产生量）</w:t>
            </w:r>
            <w:r>
              <w:fldChar w:fldCharType="begin"/>
            </w:r>
            <w:r>
              <w:instrText xml:space="preserve"> = 6 \* GB3 \* MERGEFORMAT </w:instrText>
            </w:r>
            <w:r>
              <w:fldChar w:fldCharType="separate"/>
            </w:r>
            <w:r>
              <w:rPr>
                <w:rFonts w:hint="eastAsia"/>
              </w:rPr>
              <w:t>⑥</w:t>
            </w:r>
            <w:r>
              <w:fldChar w:fldCharType="end"/>
            </w:r>
          </w:p>
        </w:tc>
        <w:tc>
          <w:tcPr>
            <w:tcW w:w="1286" w:type="dxa"/>
            <w:tcMar>
              <w:left w:w="28" w:type="dxa"/>
              <w:right w:w="28" w:type="dxa"/>
            </w:tcMar>
            <w:vAlign w:val="center"/>
          </w:tcPr>
          <w:p>
            <w:pPr>
              <w:pStyle w:val="22"/>
            </w:pPr>
            <w:r>
              <w:t>变化量</w:t>
            </w:r>
          </w:p>
          <w:p>
            <w:pPr>
              <w:pStyle w:val="22"/>
            </w:pPr>
            <w:r>
              <w:fldChar w:fldCharType="begin"/>
            </w:r>
            <w:r>
              <w:instrText xml:space="preserve"> = 7 \* GB3 \* MERGEFORMAT </w:instrText>
            </w:r>
            <w:r>
              <w:fldChar w:fldCharType="separate"/>
            </w:r>
            <w:r>
              <w:rPr>
                <w:rFonts w:hint="eastAsia"/>
              </w:rPr>
              <w:t>⑦</w:t>
            </w:r>
            <w: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69" w:type="dxa"/>
            <w:vAlign w:val="center"/>
          </w:tcPr>
          <w:p>
            <w:pPr>
              <w:pStyle w:val="22"/>
            </w:pPr>
            <w:r>
              <w:rPr>
                <w:rFonts w:hint="eastAsia"/>
              </w:rPr>
              <w:t>废气</w:t>
            </w:r>
          </w:p>
        </w:tc>
        <w:tc>
          <w:tcPr>
            <w:tcW w:w="1553" w:type="dxa"/>
            <w:vAlign w:val="center"/>
          </w:tcPr>
          <w:p>
            <w:pPr>
              <w:pStyle w:val="22"/>
              <w:ind w:firstLine="0" w:firstLineChars="0"/>
              <w:rPr>
                <w:rFonts w:ascii="Times New Roman" w:hAnsi="Times New Roman" w:eastAsia="宋体" w:cs="Times New Roman"/>
                <w:kern w:val="2"/>
                <w:sz w:val="21"/>
                <w:szCs w:val="24"/>
                <w:lang w:val="en-US" w:eastAsia="zh-CN" w:bidi="ar-SA"/>
              </w:rPr>
            </w:pPr>
            <w:r>
              <w:t>颗粒物</w:t>
            </w:r>
          </w:p>
        </w:tc>
        <w:tc>
          <w:tcPr>
            <w:tcW w:w="1701" w:type="dxa"/>
            <w:vAlign w:val="center"/>
          </w:tcPr>
          <w:p>
            <w:pPr>
              <w:pStyle w:val="22"/>
              <w:bidi w:val="0"/>
              <w:rPr>
                <w:lang w:val="en-US" w:eastAsia="zh-CN"/>
              </w:rPr>
            </w:pPr>
            <w:r>
              <w:rPr>
                <w:rFonts w:hint="eastAsia"/>
              </w:rPr>
              <w:t>/</w:t>
            </w:r>
          </w:p>
        </w:tc>
        <w:tc>
          <w:tcPr>
            <w:tcW w:w="1417" w:type="dxa"/>
            <w:vAlign w:val="center"/>
          </w:tcPr>
          <w:p>
            <w:pPr>
              <w:pStyle w:val="22"/>
              <w:bidi w:val="0"/>
              <w:rPr>
                <w:lang w:val="en-US" w:eastAsia="zh-CN"/>
              </w:rPr>
            </w:pPr>
            <w:r>
              <w:rPr>
                <w:rFonts w:hint="eastAsia"/>
              </w:rPr>
              <w:t>/</w:t>
            </w:r>
          </w:p>
        </w:tc>
        <w:tc>
          <w:tcPr>
            <w:tcW w:w="1418" w:type="dxa"/>
            <w:vAlign w:val="center"/>
          </w:tcPr>
          <w:p>
            <w:pPr>
              <w:pStyle w:val="22"/>
              <w:bidi w:val="0"/>
              <w:rPr>
                <w:lang w:val="en-US" w:eastAsia="zh-CN"/>
              </w:rPr>
            </w:pPr>
            <w:r>
              <w:rPr>
                <w:rFonts w:hint="eastAsia"/>
              </w:rPr>
              <w:t>/</w:t>
            </w:r>
          </w:p>
        </w:tc>
        <w:tc>
          <w:tcPr>
            <w:tcW w:w="1984" w:type="dxa"/>
            <w:vAlign w:val="center"/>
          </w:tcPr>
          <w:p>
            <w:pPr>
              <w:pStyle w:val="22"/>
              <w:bidi w:val="0"/>
              <w:rPr>
                <w:rFonts w:hint="default"/>
                <w:lang w:val="en-US" w:eastAsia="zh-CN"/>
              </w:rPr>
            </w:pPr>
            <w:r>
              <w:rPr>
                <w:rFonts w:hint="eastAsia"/>
                <w:lang w:val="en-US" w:eastAsia="zh-CN"/>
              </w:rPr>
              <w:t>0.053</w:t>
            </w:r>
          </w:p>
        </w:tc>
        <w:tc>
          <w:tcPr>
            <w:tcW w:w="1418" w:type="dxa"/>
            <w:vAlign w:val="center"/>
          </w:tcPr>
          <w:p>
            <w:pPr>
              <w:pStyle w:val="22"/>
              <w:bidi w:val="0"/>
              <w:ind w:firstLine="0" w:firstLineChars="0"/>
              <w:rPr>
                <w:lang w:val="en-US" w:eastAsia="zh-CN"/>
              </w:rPr>
            </w:pPr>
            <w:r>
              <w:rPr>
                <w:rFonts w:hint="eastAsia"/>
              </w:rPr>
              <w:t>/</w:t>
            </w:r>
          </w:p>
        </w:tc>
        <w:tc>
          <w:tcPr>
            <w:tcW w:w="1842" w:type="dxa"/>
            <w:vAlign w:val="center"/>
          </w:tcPr>
          <w:p>
            <w:pPr>
              <w:pStyle w:val="22"/>
              <w:bidi w:val="0"/>
              <w:rPr>
                <w:rFonts w:hint="default"/>
                <w:lang w:val="en-US" w:eastAsia="zh-CN"/>
              </w:rPr>
            </w:pPr>
            <w:r>
              <w:rPr>
                <w:rFonts w:hint="eastAsia"/>
                <w:lang w:val="en-US" w:eastAsia="zh-CN"/>
              </w:rPr>
              <w:t>0.053</w:t>
            </w:r>
          </w:p>
        </w:tc>
        <w:tc>
          <w:tcPr>
            <w:tcW w:w="1286" w:type="dxa"/>
            <w:vAlign w:val="center"/>
          </w:tcPr>
          <w:p>
            <w:pPr>
              <w:pStyle w:val="22"/>
              <w:bidi w:val="0"/>
              <w:rPr>
                <w:rFonts w:hint="default"/>
                <w:lang w:val="en-US" w:eastAsia="zh-CN"/>
              </w:rPr>
            </w:pPr>
            <w:r>
              <w:rPr>
                <w:rFonts w:hint="eastAsia"/>
              </w:rPr>
              <w:t>+</w:t>
            </w:r>
            <w:r>
              <w:rPr>
                <w:rFonts w:hint="eastAsia"/>
                <w:lang w:val="en-US" w:eastAsia="zh-CN"/>
              </w:rPr>
              <w:t>0.053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69" w:type="dxa"/>
            <w:vMerge w:val="restart"/>
            <w:vAlign w:val="center"/>
          </w:tcPr>
          <w:p>
            <w:pPr>
              <w:pStyle w:val="22"/>
            </w:pPr>
            <w:r>
              <w:rPr>
                <w:rFonts w:hint="eastAsia"/>
              </w:rPr>
              <w:t>废水</w:t>
            </w:r>
          </w:p>
        </w:tc>
        <w:tc>
          <w:tcPr>
            <w:tcW w:w="1553" w:type="dxa"/>
            <w:vAlign w:val="center"/>
          </w:tcPr>
          <w:p>
            <w:pPr>
              <w:pStyle w:val="22"/>
              <w:rPr>
                <w:rFonts w:hint="eastAsia" w:eastAsia="宋体"/>
                <w:lang w:eastAsia="zh-CN"/>
              </w:rPr>
            </w:pPr>
            <w:r>
              <w:rPr>
                <w:rFonts w:hint="eastAsia"/>
                <w:lang w:val="en-US" w:eastAsia="zh-CN"/>
              </w:rPr>
              <w:t>废水量</w:t>
            </w:r>
          </w:p>
        </w:tc>
        <w:tc>
          <w:tcPr>
            <w:tcW w:w="1701" w:type="dxa"/>
            <w:vAlign w:val="center"/>
          </w:tcPr>
          <w:p>
            <w:pPr>
              <w:pStyle w:val="22"/>
              <w:bidi w:val="0"/>
            </w:pPr>
            <w:r>
              <w:rPr>
                <w:rFonts w:hint="eastAsia"/>
              </w:rPr>
              <w:t>/</w:t>
            </w:r>
          </w:p>
        </w:tc>
        <w:tc>
          <w:tcPr>
            <w:tcW w:w="1417" w:type="dxa"/>
            <w:vAlign w:val="center"/>
          </w:tcPr>
          <w:p>
            <w:pPr>
              <w:pStyle w:val="22"/>
              <w:bidi w:val="0"/>
            </w:pPr>
            <w:r>
              <w:rPr>
                <w:rFonts w:hint="eastAsia"/>
              </w:rPr>
              <w:t>/</w:t>
            </w:r>
          </w:p>
        </w:tc>
        <w:tc>
          <w:tcPr>
            <w:tcW w:w="1418" w:type="dxa"/>
            <w:vAlign w:val="center"/>
          </w:tcPr>
          <w:p>
            <w:pPr>
              <w:pStyle w:val="22"/>
              <w:bidi w:val="0"/>
            </w:pPr>
            <w:r>
              <w:rPr>
                <w:rFonts w:hint="eastAsia"/>
              </w:rPr>
              <w:t>/</w:t>
            </w:r>
          </w:p>
        </w:tc>
        <w:tc>
          <w:tcPr>
            <w:tcW w:w="1984" w:type="dxa"/>
            <w:vAlign w:val="center"/>
          </w:tcPr>
          <w:p>
            <w:pPr>
              <w:pStyle w:val="22"/>
              <w:bidi w:val="0"/>
              <w:rPr>
                <w:rFonts w:hint="default" w:eastAsia="宋体"/>
                <w:lang w:val="en-US" w:eastAsia="zh-CN"/>
              </w:rPr>
            </w:pPr>
            <w:r>
              <w:rPr>
                <w:rFonts w:hint="eastAsia"/>
              </w:rPr>
              <w:t>1</w:t>
            </w:r>
            <w:r>
              <w:rPr>
                <w:rFonts w:hint="eastAsia"/>
                <w:lang w:val="en-US" w:eastAsia="zh-CN"/>
              </w:rPr>
              <w:t>530</w:t>
            </w:r>
          </w:p>
        </w:tc>
        <w:tc>
          <w:tcPr>
            <w:tcW w:w="1418" w:type="dxa"/>
            <w:vAlign w:val="center"/>
          </w:tcPr>
          <w:p>
            <w:pPr>
              <w:pStyle w:val="22"/>
              <w:bidi w:val="0"/>
              <w:ind w:firstLine="0" w:firstLineChars="0"/>
            </w:pPr>
            <w:r>
              <w:rPr>
                <w:rFonts w:hint="eastAsia"/>
              </w:rPr>
              <w:t>/</w:t>
            </w:r>
          </w:p>
        </w:tc>
        <w:tc>
          <w:tcPr>
            <w:tcW w:w="1842" w:type="dxa"/>
            <w:vAlign w:val="center"/>
          </w:tcPr>
          <w:p>
            <w:pPr>
              <w:pStyle w:val="22"/>
              <w:bidi w:val="0"/>
              <w:rPr>
                <w:rFonts w:hint="default"/>
                <w:lang w:val="en-US"/>
              </w:rPr>
            </w:pPr>
            <w:r>
              <w:rPr>
                <w:rFonts w:hint="eastAsia"/>
              </w:rPr>
              <w:t>1</w:t>
            </w:r>
            <w:r>
              <w:rPr>
                <w:rFonts w:hint="eastAsia"/>
                <w:lang w:val="en-US" w:eastAsia="zh-CN"/>
              </w:rPr>
              <w:t>530</w:t>
            </w:r>
          </w:p>
        </w:tc>
        <w:tc>
          <w:tcPr>
            <w:tcW w:w="1286" w:type="dxa"/>
            <w:vAlign w:val="center"/>
          </w:tcPr>
          <w:p>
            <w:pPr>
              <w:pStyle w:val="22"/>
              <w:bidi w:val="0"/>
              <w:rPr>
                <w:rFonts w:hint="default"/>
                <w:lang w:val="en-US"/>
              </w:rPr>
            </w:pPr>
            <w:r>
              <w:rPr>
                <w:rFonts w:hint="eastAsia"/>
              </w:rPr>
              <w:t>+1</w:t>
            </w:r>
            <w:r>
              <w:rPr>
                <w:rFonts w:hint="eastAsia"/>
                <w:lang w:val="en-US" w:eastAsia="zh-CN"/>
              </w:rPr>
              <w:t>530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69" w:type="dxa"/>
            <w:vMerge w:val="continue"/>
            <w:vAlign w:val="center"/>
          </w:tcPr>
          <w:p>
            <w:pPr>
              <w:pStyle w:val="22"/>
            </w:pPr>
          </w:p>
        </w:tc>
        <w:tc>
          <w:tcPr>
            <w:tcW w:w="1553" w:type="dxa"/>
            <w:vAlign w:val="center"/>
          </w:tcPr>
          <w:p>
            <w:pPr>
              <w:pStyle w:val="22"/>
            </w:pPr>
            <w:r>
              <w:t>COD</w:t>
            </w:r>
          </w:p>
        </w:tc>
        <w:tc>
          <w:tcPr>
            <w:tcW w:w="1701" w:type="dxa"/>
            <w:vAlign w:val="center"/>
          </w:tcPr>
          <w:p>
            <w:pPr>
              <w:pStyle w:val="22"/>
              <w:bidi w:val="0"/>
            </w:pPr>
            <w:r>
              <w:rPr>
                <w:rFonts w:hint="eastAsia"/>
              </w:rPr>
              <w:t>/</w:t>
            </w:r>
          </w:p>
        </w:tc>
        <w:tc>
          <w:tcPr>
            <w:tcW w:w="1417" w:type="dxa"/>
            <w:vAlign w:val="center"/>
          </w:tcPr>
          <w:p>
            <w:pPr>
              <w:pStyle w:val="22"/>
              <w:bidi w:val="0"/>
            </w:pPr>
            <w:r>
              <w:rPr>
                <w:rFonts w:hint="eastAsia"/>
              </w:rPr>
              <w:t>/</w:t>
            </w:r>
          </w:p>
        </w:tc>
        <w:tc>
          <w:tcPr>
            <w:tcW w:w="1418" w:type="dxa"/>
            <w:vAlign w:val="center"/>
          </w:tcPr>
          <w:p>
            <w:pPr>
              <w:pStyle w:val="22"/>
              <w:bidi w:val="0"/>
            </w:pPr>
            <w:r>
              <w:rPr>
                <w:rFonts w:hint="eastAsia"/>
              </w:rPr>
              <w:t>/</w:t>
            </w:r>
          </w:p>
        </w:tc>
        <w:tc>
          <w:tcPr>
            <w:tcW w:w="1984" w:type="dxa"/>
            <w:vAlign w:val="center"/>
          </w:tcPr>
          <w:p>
            <w:pPr>
              <w:pStyle w:val="22"/>
              <w:ind w:firstLine="0" w:firstLineChars="0"/>
            </w:pPr>
            <w:r>
              <w:rPr>
                <w:rFonts w:hint="eastAsia"/>
                <w:lang w:val="en-US" w:eastAsia="zh-CN"/>
              </w:rPr>
              <w:t>0.307</w:t>
            </w:r>
          </w:p>
        </w:tc>
        <w:tc>
          <w:tcPr>
            <w:tcW w:w="1418" w:type="dxa"/>
            <w:vAlign w:val="center"/>
          </w:tcPr>
          <w:p>
            <w:pPr>
              <w:pStyle w:val="22"/>
              <w:bidi w:val="0"/>
              <w:ind w:firstLine="0" w:firstLineChars="0"/>
            </w:pPr>
            <w:r>
              <w:rPr>
                <w:rFonts w:hint="eastAsia"/>
              </w:rPr>
              <w:t>/</w:t>
            </w:r>
          </w:p>
        </w:tc>
        <w:tc>
          <w:tcPr>
            <w:tcW w:w="1842" w:type="dxa"/>
            <w:vAlign w:val="center"/>
          </w:tcPr>
          <w:p>
            <w:pPr>
              <w:pStyle w:val="22"/>
              <w:ind w:firstLine="0" w:firstLineChars="0"/>
            </w:pPr>
            <w:r>
              <w:rPr>
                <w:rFonts w:hint="eastAsia"/>
                <w:lang w:val="en-US" w:eastAsia="zh-CN"/>
              </w:rPr>
              <w:t>0.307</w:t>
            </w:r>
          </w:p>
        </w:tc>
        <w:tc>
          <w:tcPr>
            <w:tcW w:w="1286" w:type="dxa"/>
            <w:vAlign w:val="center"/>
          </w:tcPr>
          <w:p>
            <w:pPr>
              <w:pStyle w:val="22"/>
              <w:bidi w:val="0"/>
            </w:pPr>
            <w:r>
              <w:rPr>
                <w:rFonts w:hint="eastAsia"/>
              </w:rPr>
              <w:t>+</w:t>
            </w:r>
            <w:r>
              <w:rPr>
                <w:rFonts w:hint="eastAsia"/>
                <w:lang w:val="en-US" w:eastAsia="zh-CN"/>
              </w:rPr>
              <w:t>0.307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69" w:type="dxa"/>
            <w:vMerge w:val="continue"/>
            <w:vAlign w:val="center"/>
          </w:tcPr>
          <w:p>
            <w:pPr>
              <w:pStyle w:val="22"/>
            </w:pPr>
          </w:p>
        </w:tc>
        <w:tc>
          <w:tcPr>
            <w:tcW w:w="1553" w:type="dxa"/>
            <w:vAlign w:val="center"/>
          </w:tcPr>
          <w:p>
            <w:pPr>
              <w:pStyle w:val="22"/>
            </w:pPr>
            <w:r>
              <w:t>BOD</w:t>
            </w:r>
            <w:r>
              <w:rPr>
                <w:vertAlign w:val="subscript"/>
              </w:rPr>
              <w:t>5</w:t>
            </w:r>
          </w:p>
        </w:tc>
        <w:tc>
          <w:tcPr>
            <w:tcW w:w="1701" w:type="dxa"/>
            <w:vAlign w:val="center"/>
          </w:tcPr>
          <w:p>
            <w:pPr>
              <w:pStyle w:val="22"/>
              <w:bidi w:val="0"/>
            </w:pPr>
            <w:r>
              <w:rPr>
                <w:rFonts w:hint="eastAsia"/>
              </w:rPr>
              <w:t>/</w:t>
            </w:r>
          </w:p>
        </w:tc>
        <w:tc>
          <w:tcPr>
            <w:tcW w:w="1417" w:type="dxa"/>
            <w:vAlign w:val="center"/>
          </w:tcPr>
          <w:p>
            <w:pPr>
              <w:pStyle w:val="22"/>
              <w:bidi w:val="0"/>
            </w:pPr>
            <w:r>
              <w:rPr>
                <w:rFonts w:hint="eastAsia"/>
              </w:rPr>
              <w:t>/</w:t>
            </w:r>
          </w:p>
        </w:tc>
        <w:tc>
          <w:tcPr>
            <w:tcW w:w="1418" w:type="dxa"/>
            <w:vAlign w:val="center"/>
          </w:tcPr>
          <w:p>
            <w:pPr>
              <w:pStyle w:val="22"/>
              <w:bidi w:val="0"/>
            </w:pPr>
            <w:r>
              <w:rPr>
                <w:rFonts w:hint="eastAsia"/>
              </w:rPr>
              <w:t>/</w:t>
            </w:r>
          </w:p>
        </w:tc>
        <w:tc>
          <w:tcPr>
            <w:tcW w:w="1984" w:type="dxa"/>
            <w:vAlign w:val="center"/>
          </w:tcPr>
          <w:p>
            <w:pPr>
              <w:pStyle w:val="22"/>
              <w:ind w:firstLine="0" w:firstLineChars="0"/>
            </w:pPr>
            <w:r>
              <w:rPr>
                <w:rFonts w:hint="eastAsia"/>
                <w:lang w:val="en-US" w:eastAsia="zh-CN"/>
              </w:rPr>
              <w:t>0.184</w:t>
            </w:r>
          </w:p>
        </w:tc>
        <w:tc>
          <w:tcPr>
            <w:tcW w:w="1418" w:type="dxa"/>
            <w:vAlign w:val="center"/>
          </w:tcPr>
          <w:p>
            <w:pPr>
              <w:pStyle w:val="22"/>
              <w:bidi w:val="0"/>
              <w:ind w:firstLine="0" w:firstLineChars="0"/>
            </w:pPr>
            <w:r>
              <w:rPr>
                <w:rFonts w:hint="eastAsia"/>
              </w:rPr>
              <w:t>/</w:t>
            </w:r>
          </w:p>
        </w:tc>
        <w:tc>
          <w:tcPr>
            <w:tcW w:w="1842" w:type="dxa"/>
            <w:vAlign w:val="center"/>
          </w:tcPr>
          <w:p>
            <w:pPr>
              <w:pStyle w:val="22"/>
              <w:ind w:firstLine="0" w:firstLineChars="0"/>
            </w:pPr>
            <w:r>
              <w:rPr>
                <w:rFonts w:hint="eastAsia"/>
                <w:lang w:val="en-US" w:eastAsia="zh-CN"/>
              </w:rPr>
              <w:t>0.184</w:t>
            </w:r>
          </w:p>
        </w:tc>
        <w:tc>
          <w:tcPr>
            <w:tcW w:w="1286" w:type="dxa"/>
            <w:vAlign w:val="center"/>
          </w:tcPr>
          <w:p>
            <w:pPr>
              <w:pStyle w:val="22"/>
              <w:bidi w:val="0"/>
            </w:pPr>
            <w:r>
              <w:rPr>
                <w:rFonts w:hint="eastAsia"/>
              </w:rPr>
              <w:t>+</w:t>
            </w:r>
            <w:r>
              <w:rPr>
                <w:rFonts w:hint="eastAsia"/>
                <w:lang w:val="en-US" w:eastAsia="zh-CN"/>
              </w:rPr>
              <w:t>0.184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69" w:type="dxa"/>
            <w:vMerge w:val="restart"/>
            <w:vAlign w:val="center"/>
          </w:tcPr>
          <w:p>
            <w:pPr>
              <w:pStyle w:val="22"/>
            </w:pPr>
            <w:r>
              <w:rPr>
                <w:rFonts w:hint="eastAsia"/>
              </w:rPr>
              <w:t>一般工业</w:t>
            </w:r>
          </w:p>
          <w:p>
            <w:pPr>
              <w:pStyle w:val="22"/>
            </w:pPr>
            <w:r>
              <w:rPr>
                <w:rFonts w:hint="eastAsia"/>
              </w:rPr>
              <w:t>固体废物</w:t>
            </w:r>
          </w:p>
        </w:tc>
        <w:tc>
          <w:tcPr>
            <w:tcW w:w="1553" w:type="dxa"/>
            <w:vAlign w:val="center"/>
          </w:tcPr>
          <w:p>
            <w:pPr>
              <w:pStyle w:val="22"/>
              <w:bidi w:val="0"/>
            </w:pPr>
            <w:r>
              <w:t>边角料及不合格品</w:t>
            </w:r>
          </w:p>
        </w:tc>
        <w:tc>
          <w:tcPr>
            <w:tcW w:w="1701" w:type="dxa"/>
            <w:vAlign w:val="center"/>
          </w:tcPr>
          <w:p>
            <w:pPr>
              <w:pStyle w:val="22"/>
              <w:bidi w:val="0"/>
            </w:pPr>
            <w:r>
              <w:rPr>
                <w:rFonts w:hint="eastAsia"/>
              </w:rPr>
              <w:t>/</w:t>
            </w:r>
          </w:p>
        </w:tc>
        <w:tc>
          <w:tcPr>
            <w:tcW w:w="1417" w:type="dxa"/>
            <w:vAlign w:val="center"/>
          </w:tcPr>
          <w:p>
            <w:pPr>
              <w:pStyle w:val="22"/>
              <w:bidi w:val="0"/>
            </w:pPr>
            <w:r>
              <w:rPr>
                <w:rFonts w:hint="eastAsia"/>
              </w:rPr>
              <w:t>/</w:t>
            </w:r>
          </w:p>
        </w:tc>
        <w:tc>
          <w:tcPr>
            <w:tcW w:w="1418" w:type="dxa"/>
            <w:vAlign w:val="center"/>
          </w:tcPr>
          <w:p>
            <w:pPr>
              <w:pStyle w:val="22"/>
              <w:bidi w:val="0"/>
            </w:pPr>
            <w:r>
              <w:rPr>
                <w:rFonts w:hint="eastAsia"/>
              </w:rPr>
              <w:t>/</w:t>
            </w:r>
          </w:p>
        </w:tc>
        <w:tc>
          <w:tcPr>
            <w:tcW w:w="1984" w:type="dxa"/>
            <w:vAlign w:val="center"/>
          </w:tcPr>
          <w:p>
            <w:pPr>
              <w:pStyle w:val="22"/>
              <w:bidi w:val="0"/>
              <w:rPr>
                <w:rFonts w:hint="default" w:eastAsia="宋体"/>
                <w:lang w:val="en-US" w:eastAsia="zh-CN"/>
              </w:rPr>
            </w:pPr>
            <w:r>
              <w:rPr>
                <w:rFonts w:hint="eastAsia"/>
                <w:lang w:val="en-US" w:eastAsia="zh-CN"/>
              </w:rPr>
              <w:t>112.6</w:t>
            </w:r>
          </w:p>
        </w:tc>
        <w:tc>
          <w:tcPr>
            <w:tcW w:w="1418" w:type="dxa"/>
            <w:vAlign w:val="center"/>
          </w:tcPr>
          <w:p>
            <w:pPr>
              <w:pStyle w:val="22"/>
              <w:bidi w:val="0"/>
              <w:ind w:firstLine="0" w:firstLineChars="0"/>
            </w:pPr>
            <w:r>
              <w:rPr>
                <w:rFonts w:hint="eastAsia"/>
              </w:rPr>
              <w:t>/</w:t>
            </w:r>
          </w:p>
        </w:tc>
        <w:tc>
          <w:tcPr>
            <w:tcW w:w="1842" w:type="dxa"/>
            <w:vAlign w:val="center"/>
          </w:tcPr>
          <w:p>
            <w:pPr>
              <w:pStyle w:val="22"/>
              <w:bidi w:val="0"/>
            </w:pPr>
            <w:r>
              <w:rPr>
                <w:rFonts w:hint="eastAsia"/>
                <w:lang w:val="en-US" w:eastAsia="zh-CN"/>
              </w:rPr>
              <w:t>112.6</w:t>
            </w:r>
          </w:p>
        </w:tc>
        <w:tc>
          <w:tcPr>
            <w:tcW w:w="1286" w:type="dxa"/>
            <w:vAlign w:val="center"/>
          </w:tcPr>
          <w:p>
            <w:pPr>
              <w:pStyle w:val="22"/>
              <w:bidi w:val="0"/>
            </w:pPr>
            <w:r>
              <w:rPr>
                <w:rFonts w:hint="eastAsia"/>
              </w:rPr>
              <w:t>+</w:t>
            </w:r>
            <w:r>
              <w:rPr>
                <w:rFonts w:hint="eastAsia"/>
                <w:lang w:val="en-US" w:eastAsia="zh-CN"/>
              </w:rPr>
              <w:t>112.6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69" w:type="dxa"/>
            <w:vMerge w:val="continue"/>
            <w:vAlign w:val="center"/>
          </w:tcPr>
          <w:p>
            <w:pPr>
              <w:pStyle w:val="22"/>
            </w:pPr>
          </w:p>
        </w:tc>
        <w:tc>
          <w:tcPr>
            <w:tcW w:w="1553" w:type="dxa"/>
            <w:vAlign w:val="center"/>
          </w:tcPr>
          <w:p>
            <w:pPr>
              <w:pStyle w:val="22"/>
              <w:bidi w:val="0"/>
            </w:pPr>
            <w:r>
              <w:rPr>
                <w:rFonts w:hint="eastAsia"/>
                <w:lang w:eastAsia="zh-CN"/>
              </w:rPr>
              <w:t>除尘器收集的粉尘</w:t>
            </w:r>
          </w:p>
        </w:tc>
        <w:tc>
          <w:tcPr>
            <w:tcW w:w="1701" w:type="dxa"/>
            <w:vAlign w:val="center"/>
          </w:tcPr>
          <w:p>
            <w:pPr>
              <w:pStyle w:val="22"/>
              <w:bidi w:val="0"/>
            </w:pPr>
            <w:r>
              <w:rPr>
                <w:rFonts w:hint="eastAsia"/>
              </w:rPr>
              <w:t>/</w:t>
            </w:r>
          </w:p>
        </w:tc>
        <w:tc>
          <w:tcPr>
            <w:tcW w:w="1417" w:type="dxa"/>
            <w:vAlign w:val="center"/>
          </w:tcPr>
          <w:p>
            <w:pPr>
              <w:pStyle w:val="22"/>
              <w:bidi w:val="0"/>
            </w:pPr>
            <w:r>
              <w:rPr>
                <w:rFonts w:hint="eastAsia"/>
              </w:rPr>
              <w:t>/</w:t>
            </w:r>
          </w:p>
        </w:tc>
        <w:tc>
          <w:tcPr>
            <w:tcW w:w="1418" w:type="dxa"/>
            <w:vAlign w:val="center"/>
          </w:tcPr>
          <w:p>
            <w:pPr>
              <w:pStyle w:val="22"/>
              <w:bidi w:val="0"/>
            </w:pPr>
            <w:r>
              <w:rPr>
                <w:rFonts w:hint="eastAsia"/>
              </w:rPr>
              <w:t>/</w:t>
            </w:r>
          </w:p>
        </w:tc>
        <w:tc>
          <w:tcPr>
            <w:tcW w:w="1984" w:type="dxa"/>
            <w:vAlign w:val="center"/>
          </w:tcPr>
          <w:p>
            <w:pPr>
              <w:pStyle w:val="22"/>
              <w:bidi w:val="0"/>
              <w:rPr>
                <w:rFonts w:hint="default"/>
                <w:lang w:val="en-US"/>
              </w:rPr>
            </w:pPr>
            <w:r>
              <w:rPr>
                <w:rFonts w:hint="eastAsia"/>
                <w:lang w:val="en-US" w:eastAsia="zh-CN"/>
              </w:rPr>
              <w:t>0.180</w:t>
            </w:r>
          </w:p>
        </w:tc>
        <w:tc>
          <w:tcPr>
            <w:tcW w:w="1418" w:type="dxa"/>
            <w:vAlign w:val="center"/>
          </w:tcPr>
          <w:p>
            <w:pPr>
              <w:pStyle w:val="22"/>
              <w:bidi w:val="0"/>
              <w:ind w:firstLine="0" w:firstLineChars="0"/>
            </w:pPr>
            <w:r>
              <w:rPr>
                <w:rFonts w:hint="eastAsia"/>
              </w:rPr>
              <w:t>/</w:t>
            </w:r>
          </w:p>
        </w:tc>
        <w:tc>
          <w:tcPr>
            <w:tcW w:w="1842" w:type="dxa"/>
            <w:vAlign w:val="center"/>
          </w:tcPr>
          <w:p>
            <w:pPr>
              <w:pStyle w:val="22"/>
              <w:bidi w:val="0"/>
            </w:pPr>
            <w:r>
              <w:rPr>
                <w:rFonts w:hint="eastAsia"/>
                <w:lang w:val="en-US" w:eastAsia="zh-CN"/>
              </w:rPr>
              <w:t>0.180</w:t>
            </w:r>
          </w:p>
        </w:tc>
        <w:tc>
          <w:tcPr>
            <w:tcW w:w="1286" w:type="dxa"/>
            <w:vAlign w:val="center"/>
          </w:tcPr>
          <w:p>
            <w:pPr>
              <w:pStyle w:val="22"/>
              <w:bidi w:val="0"/>
            </w:pPr>
            <w:r>
              <w:rPr>
                <w:rFonts w:hint="eastAsia"/>
              </w:rPr>
              <w:t>+</w:t>
            </w:r>
            <w:r>
              <w:rPr>
                <w:rFonts w:hint="eastAsia"/>
                <w:lang w:val="en-US" w:eastAsia="zh-CN"/>
              </w:rPr>
              <w:t>0.180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69" w:type="dxa"/>
            <w:vMerge w:val="restart"/>
            <w:vAlign w:val="center"/>
          </w:tcPr>
          <w:p>
            <w:pPr>
              <w:pStyle w:val="22"/>
            </w:pPr>
            <w:r>
              <w:rPr>
                <w:rFonts w:hint="eastAsia"/>
              </w:rPr>
              <w:t>危险废物</w:t>
            </w:r>
          </w:p>
        </w:tc>
        <w:tc>
          <w:tcPr>
            <w:tcW w:w="1553" w:type="dxa"/>
            <w:vAlign w:val="center"/>
          </w:tcPr>
          <w:p>
            <w:pPr>
              <w:pStyle w:val="22"/>
              <w:bidi w:val="0"/>
            </w:pPr>
            <w:r>
              <w:rPr>
                <w:rFonts w:hint="eastAsia"/>
              </w:rPr>
              <w:t>废切削液</w:t>
            </w:r>
          </w:p>
        </w:tc>
        <w:tc>
          <w:tcPr>
            <w:tcW w:w="1701" w:type="dxa"/>
            <w:vAlign w:val="center"/>
          </w:tcPr>
          <w:p>
            <w:pPr>
              <w:pStyle w:val="22"/>
              <w:bidi w:val="0"/>
            </w:pPr>
            <w:r>
              <w:rPr>
                <w:rFonts w:hint="eastAsia"/>
              </w:rPr>
              <w:t>/</w:t>
            </w:r>
          </w:p>
        </w:tc>
        <w:tc>
          <w:tcPr>
            <w:tcW w:w="1417" w:type="dxa"/>
            <w:vAlign w:val="center"/>
          </w:tcPr>
          <w:p>
            <w:pPr>
              <w:pStyle w:val="22"/>
              <w:bidi w:val="0"/>
            </w:pPr>
            <w:r>
              <w:rPr>
                <w:rFonts w:hint="eastAsia"/>
              </w:rPr>
              <w:t>/</w:t>
            </w:r>
          </w:p>
        </w:tc>
        <w:tc>
          <w:tcPr>
            <w:tcW w:w="1418" w:type="dxa"/>
            <w:vAlign w:val="center"/>
          </w:tcPr>
          <w:p>
            <w:pPr>
              <w:pStyle w:val="22"/>
              <w:bidi w:val="0"/>
            </w:pPr>
            <w:r>
              <w:rPr>
                <w:rFonts w:hint="eastAsia"/>
              </w:rPr>
              <w:t>/</w:t>
            </w:r>
          </w:p>
        </w:tc>
        <w:tc>
          <w:tcPr>
            <w:tcW w:w="1984" w:type="dxa"/>
            <w:vAlign w:val="center"/>
          </w:tcPr>
          <w:p>
            <w:pPr>
              <w:pStyle w:val="22"/>
              <w:bidi w:val="0"/>
            </w:pPr>
            <w:r>
              <w:rPr>
                <w:rFonts w:hint="eastAsia"/>
                <w:lang w:val="en-US" w:eastAsia="zh-CN"/>
              </w:rPr>
              <w:t>0.48</w:t>
            </w:r>
          </w:p>
        </w:tc>
        <w:tc>
          <w:tcPr>
            <w:tcW w:w="1418" w:type="dxa"/>
            <w:vAlign w:val="center"/>
          </w:tcPr>
          <w:p>
            <w:pPr>
              <w:pStyle w:val="22"/>
              <w:bidi w:val="0"/>
              <w:ind w:firstLine="0" w:firstLineChars="0"/>
            </w:pPr>
            <w:r>
              <w:rPr>
                <w:rFonts w:hint="eastAsia"/>
              </w:rPr>
              <w:t>/</w:t>
            </w:r>
          </w:p>
        </w:tc>
        <w:tc>
          <w:tcPr>
            <w:tcW w:w="1842" w:type="dxa"/>
            <w:vAlign w:val="center"/>
          </w:tcPr>
          <w:p>
            <w:pPr>
              <w:pStyle w:val="22"/>
              <w:bidi w:val="0"/>
            </w:pPr>
            <w:r>
              <w:rPr>
                <w:rFonts w:hint="eastAsia"/>
                <w:lang w:val="en-US" w:eastAsia="zh-CN"/>
              </w:rPr>
              <w:t>0.48</w:t>
            </w:r>
          </w:p>
        </w:tc>
        <w:tc>
          <w:tcPr>
            <w:tcW w:w="1286" w:type="dxa"/>
            <w:vAlign w:val="center"/>
          </w:tcPr>
          <w:p>
            <w:pPr>
              <w:pStyle w:val="22"/>
              <w:bidi w:val="0"/>
            </w:pPr>
            <w:r>
              <w:rPr>
                <w:rFonts w:hint="eastAsia"/>
              </w:rPr>
              <w:t>+</w:t>
            </w:r>
            <w:r>
              <w:rPr>
                <w:rFonts w:hint="eastAsia"/>
                <w:lang w:val="en-US" w:eastAsia="zh-CN"/>
              </w:rPr>
              <w:t>0.48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69" w:type="dxa"/>
            <w:vMerge w:val="continue"/>
            <w:vAlign w:val="center"/>
          </w:tcPr>
          <w:p>
            <w:pPr>
              <w:pStyle w:val="22"/>
            </w:pPr>
          </w:p>
        </w:tc>
        <w:tc>
          <w:tcPr>
            <w:tcW w:w="1553" w:type="dxa"/>
            <w:vAlign w:val="center"/>
          </w:tcPr>
          <w:p>
            <w:pPr>
              <w:pStyle w:val="22"/>
              <w:bidi w:val="0"/>
            </w:pPr>
            <w:r>
              <w:rPr>
                <w:rFonts w:hint="eastAsia"/>
              </w:rPr>
              <w:t>废包装桶</w:t>
            </w:r>
          </w:p>
        </w:tc>
        <w:tc>
          <w:tcPr>
            <w:tcW w:w="1701" w:type="dxa"/>
            <w:vAlign w:val="center"/>
          </w:tcPr>
          <w:p>
            <w:pPr>
              <w:pStyle w:val="22"/>
              <w:bidi w:val="0"/>
            </w:pPr>
            <w:r>
              <w:rPr>
                <w:rFonts w:hint="eastAsia"/>
              </w:rPr>
              <w:t>/</w:t>
            </w:r>
          </w:p>
        </w:tc>
        <w:tc>
          <w:tcPr>
            <w:tcW w:w="1417" w:type="dxa"/>
            <w:vAlign w:val="center"/>
          </w:tcPr>
          <w:p>
            <w:pPr>
              <w:pStyle w:val="22"/>
              <w:bidi w:val="0"/>
            </w:pPr>
            <w:r>
              <w:rPr>
                <w:rFonts w:hint="eastAsia"/>
              </w:rPr>
              <w:t>/</w:t>
            </w:r>
          </w:p>
        </w:tc>
        <w:tc>
          <w:tcPr>
            <w:tcW w:w="1418" w:type="dxa"/>
            <w:vAlign w:val="center"/>
          </w:tcPr>
          <w:p>
            <w:pPr>
              <w:pStyle w:val="22"/>
              <w:bidi w:val="0"/>
            </w:pPr>
            <w:r>
              <w:rPr>
                <w:rFonts w:hint="eastAsia"/>
              </w:rPr>
              <w:t>/</w:t>
            </w:r>
          </w:p>
        </w:tc>
        <w:tc>
          <w:tcPr>
            <w:tcW w:w="1984" w:type="dxa"/>
            <w:vAlign w:val="center"/>
          </w:tcPr>
          <w:p>
            <w:pPr>
              <w:pStyle w:val="22"/>
              <w:bidi w:val="0"/>
            </w:pPr>
            <w:r>
              <w:rPr>
                <w:rFonts w:hint="eastAsia"/>
              </w:rPr>
              <w:t>0.5</w:t>
            </w:r>
          </w:p>
        </w:tc>
        <w:tc>
          <w:tcPr>
            <w:tcW w:w="1418" w:type="dxa"/>
            <w:vAlign w:val="center"/>
          </w:tcPr>
          <w:p>
            <w:pPr>
              <w:pStyle w:val="22"/>
              <w:bidi w:val="0"/>
              <w:ind w:firstLine="0" w:firstLineChars="0"/>
            </w:pPr>
            <w:r>
              <w:rPr>
                <w:rFonts w:hint="eastAsia"/>
              </w:rPr>
              <w:t>/</w:t>
            </w:r>
          </w:p>
        </w:tc>
        <w:tc>
          <w:tcPr>
            <w:tcW w:w="1842" w:type="dxa"/>
            <w:vAlign w:val="center"/>
          </w:tcPr>
          <w:p>
            <w:pPr>
              <w:pStyle w:val="22"/>
              <w:bidi w:val="0"/>
            </w:pPr>
            <w:r>
              <w:rPr>
                <w:rFonts w:hint="eastAsia"/>
              </w:rPr>
              <w:t>0.5</w:t>
            </w:r>
          </w:p>
        </w:tc>
        <w:tc>
          <w:tcPr>
            <w:tcW w:w="1286" w:type="dxa"/>
            <w:vAlign w:val="center"/>
          </w:tcPr>
          <w:p>
            <w:pPr>
              <w:pStyle w:val="22"/>
              <w:bidi w:val="0"/>
            </w:pPr>
            <w:r>
              <w:rPr>
                <w:rFonts w:hint="eastAsia"/>
              </w:rPr>
              <w:t>+0.5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69" w:type="dxa"/>
            <w:vMerge w:val="continue"/>
            <w:vAlign w:val="center"/>
          </w:tcPr>
          <w:p>
            <w:pPr>
              <w:pStyle w:val="22"/>
            </w:pPr>
          </w:p>
        </w:tc>
        <w:tc>
          <w:tcPr>
            <w:tcW w:w="1553" w:type="dxa"/>
            <w:vAlign w:val="center"/>
          </w:tcPr>
          <w:p>
            <w:pPr>
              <w:pStyle w:val="22"/>
              <w:bidi w:val="0"/>
            </w:pPr>
            <w:r>
              <w:rPr>
                <w:rFonts w:hint="eastAsia"/>
              </w:rPr>
              <w:t>废润滑油</w:t>
            </w:r>
          </w:p>
        </w:tc>
        <w:tc>
          <w:tcPr>
            <w:tcW w:w="1701" w:type="dxa"/>
            <w:vAlign w:val="center"/>
          </w:tcPr>
          <w:p>
            <w:pPr>
              <w:pStyle w:val="22"/>
              <w:bidi w:val="0"/>
            </w:pPr>
            <w:r>
              <w:rPr>
                <w:rFonts w:hint="eastAsia"/>
              </w:rPr>
              <w:t>/</w:t>
            </w:r>
          </w:p>
        </w:tc>
        <w:tc>
          <w:tcPr>
            <w:tcW w:w="1417" w:type="dxa"/>
            <w:vAlign w:val="center"/>
          </w:tcPr>
          <w:p>
            <w:pPr>
              <w:pStyle w:val="22"/>
              <w:bidi w:val="0"/>
            </w:pPr>
            <w:r>
              <w:rPr>
                <w:rFonts w:hint="eastAsia"/>
              </w:rPr>
              <w:t>/</w:t>
            </w:r>
          </w:p>
        </w:tc>
        <w:tc>
          <w:tcPr>
            <w:tcW w:w="1418" w:type="dxa"/>
            <w:vAlign w:val="center"/>
          </w:tcPr>
          <w:p>
            <w:pPr>
              <w:pStyle w:val="22"/>
              <w:bidi w:val="0"/>
            </w:pPr>
            <w:r>
              <w:rPr>
                <w:rFonts w:hint="eastAsia"/>
              </w:rPr>
              <w:t>/</w:t>
            </w:r>
          </w:p>
        </w:tc>
        <w:tc>
          <w:tcPr>
            <w:tcW w:w="1984" w:type="dxa"/>
            <w:vAlign w:val="center"/>
          </w:tcPr>
          <w:p>
            <w:pPr>
              <w:pStyle w:val="22"/>
              <w:bidi w:val="0"/>
              <w:rPr>
                <w:rFonts w:hint="eastAsia" w:eastAsia="宋体"/>
                <w:lang w:eastAsia="zh-CN"/>
              </w:rPr>
            </w:pPr>
            <w:r>
              <w:rPr>
                <w:rFonts w:hint="eastAsia"/>
              </w:rPr>
              <w:t>0.</w:t>
            </w:r>
            <w:r>
              <w:rPr>
                <w:rFonts w:hint="eastAsia"/>
                <w:lang w:val="en-US" w:eastAsia="zh-CN"/>
              </w:rPr>
              <w:t>3</w:t>
            </w:r>
          </w:p>
        </w:tc>
        <w:tc>
          <w:tcPr>
            <w:tcW w:w="1418" w:type="dxa"/>
            <w:vAlign w:val="center"/>
          </w:tcPr>
          <w:p>
            <w:pPr>
              <w:pStyle w:val="22"/>
              <w:bidi w:val="0"/>
              <w:ind w:firstLine="0" w:firstLineChars="0"/>
            </w:pPr>
            <w:r>
              <w:rPr>
                <w:rFonts w:hint="eastAsia"/>
              </w:rPr>
              <w:t>/</w:t>
            </w:r>
          </w:p>
        </w:tc>
        <w:tc>
          <w:tcPr>
            <w:tcW w:w="1842" w:type="dxa"/>
            <w:vAlign w:val="center"/>
          </w:tcPr>
          <w:p>
            <w:pPr>
              <w:pStyle w:val="22"/>
              <w:bidi w:val="0"/>
            </w:pPr>
            <w:r>
              <w:rPr>
                <w:rFonts w:hint="eastAsia"/>
              </w:rPr>
              <w:t>0.</w:t>
            </w:r>
            <w:r>
              <w:rPr>
                <w:rFonts w:hint="eastAsia"/>
                <w:lang w:val="en-US" w:eastAsia="zh-CN"/>
              </w:rPr>
              <w:t>3</w:t>
            </w:r>
          </w:p>
        </w:tc>
        <w:tc>
          <w:tcPr>
            <w:tcW w:w="1286" w:type="dxa"/>
            <w:vAlign w:val="center"/>
          </w:tcPr>
          <w:p>
            <w:pPr>
              <w:pStyle w:val="22"/>
              <w:bidi w:val="0"/>
            </w:pPr>
            <w:r>
              <w:rPr>
                <w:rFonts w:hint="eastAsia"/>
              </w:rPr>
              <w:t>+0.</w:t>
            </w:r>
            <w:r>
              <w:rPr>
                <w:rFonts w:hint="eastAsia"/>
                <w:lang w:val="en-US" w:eastAsia="zh-CN"/>
              </w:rPr>
              <w:t>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69" w:type="dxa"/>
            <w:vMerge w:val="continue"/>
            <w:vAlign w:val="center"/>
          </w:tcPr>
          <w:p>
            <w:pPr>
              <w:pStyle w:val="22"/>
            </w:pPr>
          </w:p>
        </w:tc>
        <w:tc>
          <w:tcPr>
            <w:tcW w:w="1553" w:type="dxa"/>
            <w:vAlign w:val="center"/>
          </w:tcPr>
          <w:p>
            <w:pPr>
              <w:pStyle w:val="22"/>
              <w:bidi w:val="0"/>
            </w:pPr>
            <w:r>
              <w:rPr>
                <w:rFonts w:hint="eastAsia"/>
              </w:rPr>
              <w:t>废液压油</w:t>
            </w:r>
          </w:p>
        </w:tc>
        <w:tc>
          <w:tcPr>
            <w:tcW w:w="1701" w:type="dxa"/>
            <w:vAlign w:val="center"/>
          </w:tcPr>
          <w:p>
            <w:pPr>
              <w:pStyle w:val="22"/>
              <w:bidi w:val="0"/>
            </w:pPr>
            <w:r>
              <w:rPr>
                <w:rFonts w:hint="eastAsia"/>
              </w:rPr>
              <w:t>/</w:t>
            </w:r>
          </w:p>
        </w:tc>
        <w:tc>
          <w:tcPr>
            <w:tcW w:w="1417" w:type="dxa"/>
            <w:vAlign w:val="center"/>
          </w:tcPr>
          <w:p>
            <w:pPr>
              <w:pStyle w:val="22"/>
              <w:bidi w:val="0"/>
            </w:pPr>
            <w:r>
              <w:rPr>
                <w:rFonts w:hint="eastAsia"/>
              </w:rPr>
              <w:t>/</w:t>
            </w:r>
          </w:p>
        </w:tc>
        <w:tc>
          <w:tcPr>
            <w:tcW w:w="1418" w:type="dxa"/>
            <w:vAlign w:val="center"/>
          </w:tcPr>
          <w:p>
            <w:pPr>
              <w:pStyle w:val="22"/>
              <w:bidi w:val="0"/>
            </w:pPr>
            <w:r>
              <w:rPr>
                <w:rFonts w:hint="eastAsia"/>
              </w:rPr>
              <w:t>/</w:t>
            </w:r>
          </w:p>
        </w:tc>
        <w:tc>
          <w:tcPr>
            <w:tcW w:w="1984" w:type="dxa"/>
            <w:vAlign w:val="center"/>
          </w:tcPr>
          <w:p>
            <w:pPr>
              <w:pStyle w:val="22"/>
              <w:bidi w:val="0"/>
            </w:pPr>
            <w:r>
              <w:rPr>
                <w:rFonts w:hint="eastAsia"/>
              </w:rPr>
              <w:t>0.2</w:t>
            </w:r>
          </w:p>
        </w:tc>
        <w:tc>
          <w:tcPr>
            <w:tcW w:w="1418" w:type="dxa"/>
            <w:vAlign w:val="center"/>
          </w:tcPr>
          <w:p>
            <w:pPr>
              <w:pStyle w:val="22"/>
              <w:bidi w:val="0"/>
              <w:ind w:firstLine="0" w:firstLineChars="0"/>
            </w:pPr>
            <w:r>
              <w:rPr>
                <w:rFonts w:hint="eastAsia"/>
              </w:rPr>
              <w:t>/</w:t>
            </w:r>
          </w:p>
        </w:tc>
        <w:tc>
          <w:tcPr>
            <w:tcW w:w="1842" w:type="dxa"/>
            <w:vAlign w:val="center"/>
          </w:tcPr>
          <w:p>
            <w:pPr>
              <w:pStyle w:val="22"/>
              <w:bidi w:val="0"/>
            </w:pPr>
            <w:r>
              <w:rPr>
                <w:rFonts w:hint="eastAsia"/>
              </w:rPr>
              <w:t>0.2</w:t>
            </w:r>
          </w:p>
        </w:tc>
        <w:tc>
          <w:tcPr>
            <w:tcW w:w="1286" w:type="dxa"/>
            <w:vAlign w:val="center"/>
          </w:tcPr>
          <w:p>
            <w:pPr>
              <w:pStyle w:val="22"/>
              <w:bidi w:val="0"/>
            </w:pPr>
            <w:r>
              <w:rPr>
                <w:rFonts w:hint="eastAsia"/>
              </w:rPr>
              <w:t>+0.2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69" w:type="dxa"/>
            <w:vMerge w:val="continue"/>
            <w:vAlign w:val="center"/>
          </w:tcPr>
          <w:p>
            <w:pPr>
              <w:pStyle w:val="22"/>
            </w:pPr>
          </w:p>
        </w:tc>
        <w:tc>
          <w:tcPr>
            <w:tcW w:w="1553" w:type="dxa"/>
            <w:vAlign w:val="center"/>
          </w:tcPr>
          <w:p>
            <w:pPr>
              <w:pStyle w:val="22"/>
              <w:bidi w:val="0"/>
            </w:pPr>
            <w:r>
              <w:rPr>
                <w:rFonts w:hint="eastAsia"/>
              </w:rPr>
              <w:t>废含油抹布手套</w:t>
            </w:r>
          </w:p>
        </w:tc>
        <w:tc>
          <w:tcPr>
            <w:tcW w:w="1701" w:type="dxa"/>
            <w:vAlign w:val="center"/>
          </w:tcPr>
          <w:p>
            <w:pPr>
              <w:pStyle w:val="22"/>
              <w:bidi w:val="0"/>
            </w:pPr>
            <w:r>
              <w:rPr>
                <w:rFonts w:hint="eastAsia"/>
              </w:rPr>
              <w:t>/</w:t>
            </w:r>
          </w:p>
        </w:tc>
        <w:tc>
          <w:tcPr>
            <w:tcW w:w="1417" w:type="dxa"/>
            <w:vAlign w:val="center"/>
          </w:tcPr>
          <w:p>
            <w:pPr>
              <w:pStyle w:val="22"/>
              <w:bidi w:val="0"/>
            </w:pPr>
            <w:r>
              <w:rPr>
                <w:rFonts w:hint="eastAsia"/>
              </w:rPr>
              <w:t>/</w:t>
            </w:r>
          </w:p>
        </w:tc>
        <w:tc>
          <w:tcPr>
            <w:tcW w:w="1418" w:type="dxa"/>
            <w:vAlign w:val="center"/>
          </w:tcPr>
          <w:p>
            <w:pPr>
              <w:pStyle w:val="22"/>
              <w:bidi w:val="0"/>
            </w:pPr>
            <w:r>
              <w:rPr>
                <w:rFonts w:hint="eastAsia"/>
              </w:rPr>
              <w:t>/</w:t>
            </w:r>
          </w:p>
        </w:tc>
        <w:tc>
          <w:tcPr>
            <w:tcW w:w="1984" w:type="dxa"/>
            <w:vAlign w:val="center"/>
          </w:tcPr>
          <w:p>
            <w:pPr>
              <w:pStyle w:val="22"/>
              <w:bidi w:val="0"/>
              <w:rPr>
                <w:rFonts w:hint="eastAsia" w:eastAsia="宋体"/>
                <w:lang w:val="en-US" w:eastAsia="zh-CN"/>
              </w:rPr>
            </w:pPr>
            <w:r>
              <w:rPr>
                <w:rFonts w:hint="eastAsia"/>
              </w:rPr>
              <w:t>0.1</w:t>
            </w:r>
            <w:r>
              <w:rPr>
                <w:rFonts w:hint="eastAsia"/>
                <w:lang w:val="en-US" w:eastAsia="zh-CN"/>
              </w:rPr>
              <w:t>2</w:t>
            </w:r>
          </w:p>
        </w:tc>
        <w:tc>
          <w:tcPr>
            <w:tcW w:w="1418" w:type="dxa"/>
            <w:vAlign w:val="center"/>
          </w:tcPr>
          <w:p>
            <w:pPr>
              <w:pStyle w:val="22"/>
              <w:bidi w:val="0"/>
              <w:ind w:firstLine="0" w:firstLineChars="0"/>
            </w:pPr>
            <w:r>
              <w:rPr>
                <w:rFonts w:hint="eastAsia"/>
              </w:rPr>
              <w:t>/</w:t>
            </w:r>
          </w:p>
        </w:tc>
        <w:tc>
          <w:tcPr>
            <w:tcW w:w="1842" w:type="dxa"/>
            <w:vAlign w:val="center"/>
          </w:tcPr>
          <w:p>
            <w:pPr>
              <w:pStyle w:val="22"/>
              <w:bidi w:val="0"/>
              <w:rPr>
                <w:rFonts w:hint="eastAsia" w:eastAsia="宋体"/>
                <w:lang w:val="en-US" w:eastAsia="zh-CN"/>
              </w:rPr>
            </w:pPr>
            <w:r>
              <w:rPr>
                <w:rFonts w:hint="eastAsia"/>
              </w:rPr>
              <w:t>0.1</w:t>
            </w:r>
            <w:r>
              <w:rPr>
                <w:rFonts w:hint="eastAsia"/>
                <w:lang w:val="en-US" w:eastAsia="zh-CN"/>
              </w:rPr>
              <w:t>2</w:t>
            </w:r>
          </w:p>
        </w:tc>
        <w:tc>
          <w:tcPr>
            <w:tcW w:w="1286" w:type="dxa"/>
            <w:vAlign w:val="center"/>
          </w:tcPr>
          <w:p>
            <w:pPr>
              <w:pStyle w:val="22"/>
              <w:bidi w:val="0"/>
              <w:rPr>
                <w:rFonts w:hint="eastAsia" w:eastAsia="宋体"/>
                <w:lang w:val="en-US" w:eastAsia="zh-CN"/>
              </w:rPr>
            </w:pPr>
            <w:r>
              <w:rPr>
                <w:rFonts w:hint="eastAsia"/>
              </w:rPr>
              <w:t>+0.1</w:t>
            </w:r>
            <w:r>
              <w:rPr>
                <w:rFonts w:hint="eastAsia"/>
                <w:lang w:val="en-US" w:eastAsia="zh-CN"/>
              </w:rPr>
              <w:t>2</w:t>
            </w:r>
          </w:p>
        </w:tc>
      </w:tr>
    </w:tbl>
    <w:p>
      <w:pPr>
        <w:ind w:firstLine="480"/>
        <w:jc w:val="left"/>
        <w:rPr>
          <w:snapToGrid w:val="0"/>
          <w:spacing w:val="-6"/>
          <w:kern w:val="21"/>
          <w:szCs w:val="21"/>
        </w:rPr>
        <w:sectPr>
          <w:pgSz w:w="16838" w:h="11906" w:orient="landscape"/>
          <w:pgMar w:top="1531" w:right="1440" w:bottom="1531" w:left="1440" w:header="851" w:footer="992" w:gutter="0"/>
          <w:pgBorders>
            <w:top w:val="none" w:sz="0" w:space="0"/>
            <w:left w:val="none" w:sz="0" w:space="0"/>
            <w:bottom w:val="none" w:sz="0" w:space="0"/>
            <w:right w:val="none" w:sz="0" w:space="0"/>
          </w:pgBorders>
          <w:cols w:space="0" w:num="1"/>
          <w:rtlGutter w:val="0"/>
          <w:docGrid w:linePitch="312" w:charSpace="0"/>
        </w:sectPr>
      </w:pPr>
      <w:r>
        <w:rPr>
          <w:snapToGrid w:val="0"/>
          <w:kern w:val="21"/>
          <w:szCs w:val="21"/>
        </w:rPr>
        <w:t>注：</w:t>
      </w:r>
      <w:r>
        <w:rPr>
          <w:snapToGrid w:val="0"/>
          <w:spacing w:val="-16"/>
          <w:kern w:val="21"/>
          <w:szCs w:val="21"/>
        </w:rPr>
        <w:fldChar w:fldCharType="begin"/>
      </w:r>
      <w:r>
        <w:rPr>
          <w:snapToGrid w:val="0"/>
          <w:spacing w:val="-16"/>
          <w:kern w:val="21"/>
          <w:szCs w:val="21"/>
        </w:rPr>
        <w:instrText xml:space="preserve"> = 6 \* GB3 \* MERGEFORMAT </w:instrText>
      </w:r>
      <w:r>
        <w:rPr>
          <w:snapToGrid w:val="0"/>
          <w:spacing w:val="-16"/>
          <w:kern w:val="21"/>
          <w:szCs w:val="21"/>
        </w:rPr>
        <w:fldChar w:fldCharType="separate"/>
      </w:r>
      <w:r>
        <w:rPr>
          <w:rFonts w:hint="eastAsia"/>
          <w:szCs w:val="21"/>
        </w:rPr>
        <w:t>⑥</w:t>
      </w:r>
      <w:r>
        <w:rPr>
          <w:snapToGrid w:val="0"/>
          <w:spacing w:val="-16"/>
          <w:kern w:val="21"/>
          <w:szCs w:val="21"/>
        </w:rPr>
        <w:fldChar w:fldCharType="end"/>
      </w:r>
      <w:r>
        <w:rPr>
          <w:snapToGrid w:val="0"/>
          <w:spacing w:val="-16"/>
          <w:kern w:val="21"/>
          <w:szCs w:val="21"/>
        </w:rPr>
        <w:t>=</w:t>
      </w:r>
      <w:r>
        <w:rPr>
          <w:snapToGrid w:val="0"/>
          <w:spacing w:val="-6"/>
          <w:kern w:val="21"/>
          <w:szCs w:val="21"/>
        </w:rPr>
        <w:fldChar w:fldCharType="begin"/>
      </w:r>
      <w:r>
        <w:rPr>
          <w:snapToGrid w:val="0"/>
          <w:spacing w:val="-6"/>
          <w:kern w:val="21"/>
          <w:szCs w:val="21"/>
        </w:rPr>
        <w:instrText xml:space="preserve"> = 1 \* GB3 \* MERGEFORMAT </w:instrText>
      </w:r>
      <w:r>
        <w:rPr>
          <w:snapToGrid w:val="0"/>
          <w:spacing w:val="-6"/>
          <w:kern w:val="21"/>
          <w:szCs w:val="21"/>
        </w:rPr>
        <w:fldChar w:fldCharType="separate"/>
      </w:r>
      <w:r>
        <w:rPr>
          <w:rFonts w:hint="eastAsia"/>
          <w:szCs w:val="21"/>
        </w:rPr>
        <w:t>①</w:t>
      </w:r>
      <w:r>
        <w:rPr>
          <w:snapToGrid w:val="0"/>
          <w:spacing w:val="-6"/>
          <w:kern w:val="21"/>
          <w:szCs w:val="21"/>
        </w:rPr>
        <w:fldChar w:fldCharType="end"/>
      </w:r>
      <w:r>
        <w:rPr>
          <w:snapToGrid w:val="0"/>
          <w:spacing w:val="-6"/>
          <w:kern w:val="21"/>
          <w:szCs w:val="21"/>
        </w:rPr>
        <w:t>+</w:t>
      </w:r>
      <w:r>
        <w:rPr>
          <w:snapToGrid w:val="0"/>
          <w:spacing w:val="-6"/>
          <w:kern w:val="21"/>
          <w:szCs w:val="21"/>
        </w:rPr>
        <w:fldChar w:fldCharType="begin"/>
      </w:r>
      <w:r>
        <w:rPr>
          <w:snapToGrid w:val="0"/>
          <w:spacing w:val="-6"/>
          <w:kern w:val="21"/>
          <w:szCs w:val="21"/>
        </w:rPr>
        <w:instrText xml:space="preserve"> = 3 \* GB3 \* MERGEFORMAT </w:instrText>
      </w:r>
      <w:r>
        <w:rPr>
          <w:snapToGrid w:val="0"/>
          <w:spacing w:val="-6"/>
          <w:kern w:val="21"/>
          <w:szCs w:val="21"/>
        </w:rPr>
        <w:fldChar w:fldCharType="separate"/>
      </w:r>
      <w:r>
        <w:rPr>
          <w:rFonts w:hint="eastAsia"/>
          <w:szCs w:val="21"/>
        </w:rPr>
        <w:t>③</w:t>
      </w:r>
      <w:r>
        <w:rPr>
          <w:snapToGrid w:val="0"/>
          <w:spacing w:val="-6"/>
          <w:kern w:val="21"/>
          <w:szCs w:val="21"/>
        </w:rPr>
        <w:fldChar w:fldCharType="end"/>
      </w:r>
      <w:r>
        <w:rPr>
          <w:snapToGrid w:val="0"/>
          <w:spacing w:val="-6"/>
          <w:kern w:val="21"/>
          <w:szCs w:val="21"/>
        </w:rPr>
        <w:t>+</w:t>
      </w:r>
      <w:r>
        <w:rPr>
          <w:snapToGrid w:val="0"/>
          <w:spacing w:val="-6"/>
          <w:kern w:val="21"/>
          <w:szCs w:val="21"/>
        </w:rPr>
        <w:fldChar w:fldCharType="begin"/>
      </w:r>
      <w:r>
        <w:rPr>
          <w:snapToGrid w:val="0"/>
          <w:spacing w:val="-6"/>
          <w:kern w:val="21"/>
          <w:szCs w:val="21"/>
        </w:rPr>
        <w:instrText xml:space="preserve"> = 4 \* GB3 \* MERGEFORMAT </w:instrText>
      </w:r>
      <w:r>
        <w:rPr>
          <w:snapToGrid w:val="0"/>
          <w:spacing w:val="-6"/>
          <w:kern w:val="21"/>
          <w:szCs w:val="21"/>
        </w:rPr>
        <w:fldChar w:fldCharType="separate"/>
      </w:r>
      <w:r>
        <w:rPr>
          <w:rFonts w:hint="eastAsia"/>
          <w:szCs w:val="21"/>
        </w:rPr>
        <w:t>④</w:t>
      </w:r>
      <w:r>
        <w:rPr>
          <w:snapToGrid w:val="0"/>
          <w:spacing w:val="-6"/>
          <w:kern w:val="21"/>
          <w:szCs w:val="21"/>
        </w:rPr>
        <w:fldChar w:fldCharType="end"/>
      </w:r>
      <w:r>
        <w:rPr>
          <w:snapToGrid w:val="0"/>
          <w:spacing w:val="-6"/>
          <w:kern w:val="21"/>
          <w:szCs w:val="21"/>
        </w:rPr>
        <w:t>-</w:t>
      </w:r>
      <w:r>
        <w:rPr>
          <w:snapToGrid w:val="0"/>
          <w:spacing w:val="-16"/>
          <w:kern w:val="21"/>
          <w:szCs w:val="21"/>
        </w:rPr>
        <w:fldChar w:fldCharType="begin"/>
      </w:r>
      <w:r>
        <w:rPr>
          <w:snapToGrid w:val="0"/>
          <w:spacing w:val="-16"/>
          <w:kern w:val="21"/>
          <w:szCs w:val="21"/>
        </w:rPr>
        <w:instrText xml:space="preserve"> = 5 \* GB3 \* MERGEFORMAT </w:instrText>
      </w:r>
      <w:r>
        <w:rPr>
          <w:snapToGrid w:val="0"/>
          <w:spacing w:val="-16"/>
          <w:kern w:val="21"/>
          <w:szCs w:val="21"/>
        </w:rPr>
        <w:fldChar w:fldCharType="separate"/>
      </w:r>
      <w:r>
        <w:rPr>
          <w:rFonts w:hint="eastAsia"/>
          <w:szCs w:val="21"/>
        </w:rPr>
        <w:t>⑤</w:t>
      </w:r>
      <w:r>
        <w:rPr>
          <w:snapToGrid w:val="0"/>
          <w:spacing w:val="-16"/>
          <w:kern w:val="21"/>
          <w:szCs w:val="21"/>
        </w:rPr>
        <w:fldChar w:fldCharType="end"/>
      </w:r>
      <w:r>
        <w:rPr>
          <w:snapToGrid w:val="0"/>
          <w:spacing w:val="-16"/>
          <w:kern w:val="21"/>
          <w:szCs w:val="21"/>
        </w:rPr>
        <w:t>；</w:t>
      </w:r>
      <w:r>
        <w:rPr>
          <w:snapToGrid w:val="0"/>
          <w:spacing w:val="-6"/>
          <w:kern w:val="21"/>
          <w:szCs w:val="21"/>
        </w:rPr>
        <w:fldChar w:fldCharType="begin"/>
      </w:r>
      <w:r>
        <w:rPr>
          <w:snapToGrid w:val="0"/>
          <w:spacing w:val="-6"/>
          <w:kern w:val="21"/>
          <w:szCs w:val="21"/>
        </w:rPr>
        <w:instrText xml:space="preserve"> = 7 \* GB3 \* MERGEFORMAT </w:instrText>
      </w:r>
      <w:r>
        <w:rPr>
          <w:snapToGrid w:val="0"/>
          <w:spacing w:val="-6"/>
          <w:kern w:val="21"/>
          <w:szCs w:val="21"/>
        </w:rPr>
        <w:fldChar w:fldCharType="separate"/>
      </w:r>
      <w:r>
        <w:rPr>
          <w:rFonts w:hint="eastAsia"/>
          <w:szCs w:val="21"/>
        </w:rPr>
        <w:t>⑦</w:t>
      </w:r>
      <w:r>
        <w:rPr>
          <w:snapToGrid w:val="0"/>
          <w:spacing w:val="-6"/>
          <w:kern w:val="21"/>
          <w:szCs w:val="21"/>
        </w:rPr>
        <w:fldChar w:fldCharType="end"/>
      </w:r>
      <w:r>
        <w:rPr>
          <w:snapToGrid w:val="0"/>
          <w:spacing w:val="-6"/>
          <w:kern w:val="21"/>
          <w:szCs w:val="21"/>
        </w:rPr>
        <w:t>=</w:t>
      </w:r>
      <w:r>
        <w:rPr>
          <w:snapToGrid w:val="0"/>
          <w:spacing w:val="-16"/>
          <w:kern w:val="21"/>
          <w:szCs w:val="21"/>
        </w:rPr>
        <w:fldChar w:fldCharType="begin"/>
      </w:r>
      <w:r>
        <w:rPr>
          <w:snapToGrid w:val="0"/>
          <w:spacing w:val="-16"/>
          <w:kern w:val="21"/>
          <w:szCs w:val="21"/>
        </w:rPr>
        <w:instrText xml:space="preserve"> = 6 \* GB3 \* MERGEFORMAT </w:instrText>
      </w:r>
      <w:r>
        <w:rPr>
          <w:snapToGrid w:val="0"/>
          <w:spacing w:val="-16"/>
          <w:kern w:val="21"/>
          <w:szCs w:val="21"/>
        </w:rPr>
        <w:fldChar w:fldCharType="separate"/>
      </w:r>
      <w:r>
        <w:rPr>
          <w:rFonts w:hint="eastAsia"/>
          <w:szCs w:val="21"/>
        </w:rPr>
        <w:t>⑥</w:t>
      </w:r>
      <w:r>
        <w:rPr>
          <w:snapToGrid w:val="0"/>
          <w:spacing w:val="-16"/>
          <w:kern w:val="21"/>
          <w:szCs w:val="21"/>
        </w:rPr>
        <w:fldChar w:fldCharType="end"/>
      </w:r>
      <w:r>
        <w:rPr>
          <w:snapToGrid w:val="0"/>
          <w:spacing w:val="-16"/>
          <w:kern w:val="21"/>
          <w:szCs w:val="21"/>
        </w:rPr>
        <w:t>-</w:t>
      </w:r>
      <w:r>
        <w:rPr>
          <w:snapToGrid w:val="0"/>
          <w:spacing w:val="-6"/>
          <w:kern w:val="21"/>
          <w:szCs w:val="21"/>
        </w:rPr>
        <w:fldChar w:fldCharType="begin"/>
      </w:r>
      <w:r>
        <w:rPr>
          <w:snapToGrid w:val="0"/>
          <w:spacing w:val="-6"/>
          <w:kern w:val="21"/>
          <w:szCs w:val="21"/>
        </w:rPr>
        <w:instrText xml:space="preserve"> = 1 \* GB3 \* MERGEFORMAT </w:instrText>
      </w:r>
      <w:r>
        <w:rPr>
          <w:snapToGrid w:val="0"/>
          <w:spacing w:val="-6"/>
          <w:kern w:val="21"/>
          <w:szCs w:val="21"/>
        </w:rPr>
        <w:fldChar w:fldCharType="separate"/>
      </w:r>
      <w:r>
        <w:rPr>
          <w:rFonts w:hint="eastAsia"/>
          <w:szCs w:val="21"/>
        </w:rPr>
        <w:t>①</w:t>
      </w:r>
      <w:r>
        <w:rPr>
          <w:snapToGrid w:val="0"/>
          <w:spacing w:val="-6"/>
          <w:kern w:val="21"/>
          <w:szCs w:val="21"/>
        </w:rPr>
        <w:fldChar w:fldCharType="end"/>
      </w:r>
    </w:p>
    <w:tbl>
      <w:tblPr>
        <w:tblStyle w:val="15"/>
        <w:tblW w:w="5000" w:type="pct"/>
        <w:jc w:val="center"/>
        <w:tblBorders>
          <w:top w:val="single" w:color="auto" w:sz="12" w:space="0"/>
          <w:left w:val="single" w:color="auto" w:sz="12" w:space="0"/>
          <w:bottom w:val="single" w:color="auto" w:sz="12" w:space="0"/>
          <w:right w:val="single" w:color="auto" w:sz="12" w:space="0"/>
          <w:insideH w:val="single" w:color="auto" w:sz="8" w:space="0"/>
          <w:insideV w:val="none" w:color="auto" w:sz="0" w:space="0"/>
        </w:tblBorders>
        <w:tblLayout w:type="autofit"/>
        <w:tblCellMar>
          <w:top w:w="0" w:type="dxa"/>
          <w:left w:w="108" w:type="dxa"/>
          <w:bottom w:w="0" w:type="dxa"/>
          <w:right w:w="108" w:type="dxa"/>
        </w:tblCellMar>
      </w:tblPr>
      <w:tblGrid>
        <w:gridCol w:w="9060"/>
      </w:tblGrid>
      <w:tr>
        <w:tblPrEx>
          <w:tblBorders>
            <w:top w:val="single" w:color="auto" w:sz="12" w:space="0"/>
            <w:left w:val="single" w:color="auto" w:sz="12" w:space="0"/>
            <w:bottom w:val="single" w:color="auto" w:sz="12" w:space="0"/>
            <w:right w:val="single" w:color="auto" w:sz="12" w:space="0"/>
            <w:insideH w:val="single" w:color="auto" w:sz="8" w:space="0"/>
            <w:insideV w:val="none" w:color="auto" w:sz="0" w:space="0"/>
          </w:tblBorders>
        </w:tblPrEx>
        <w:trPr>
          <w:trHeight w:val="5265" w:hRule="atLeast"/>
          <w:jc w:val="center"/>
        </w:trPr>
        <w:tc>
          <w:tcPr>
            <w:tcW w:w="5000" w:type="pct"/>
            <w:tcBorders>
              <w:tl2br w:val="nil"/>
              <w:tr2bl w:val="nil"/>
            </w:tcBorders>
            <w:vAlign w:val="top"/>
          </w:tcPr>
          <w:p>
            <w:pPr>
              <w:spacing w:line="400" w:lineRule="exact"/>
              <w:ind w:right="113" w:firstLine="0" w:firstLineChars="0"/>
              <w:rPr>
                <w:kern w:val="24"/>
                <w:sz w:val="28"/>
              </w:rPr>
            </w:pPr>
            <w:r>
              <w:rPr>
                <w:sz w:val="28"/>
              </w:rPr>
              <w:t>预审意见：</w:t>
            </w:r>
          </w:p>
          <w:p>
            <w:pPr>
              <w:spacing w:before="120" w:line="400" w:lineRule="exact"/>
              <w:ind w:left="113" w:right="113" w:firstLine="560"/>
              <w:rPr>
                <w:kern w:val="24"/>
                <w:sz w:val="28"/>
              </w:rPr>
            </w:pPr>
          </w:p>
          <w:p>
            <w:pPr>
              <w:spacing w:before="120" w:line="400" w:lineRule="exact"/>
              <w:ind w:right="113" w:firstLine="560"/>
              <w:rPr>
                <w:kern w:val="24"/>
                <w:sz w:val="28"/>
              </w:rPr>
            </w:pPr>
          </w:p>
          <w:p>
            <w:pPr>
              <w:spacing w:before="120" w:line="400" w:lineRule="exact"/>
              <w:ind w:left="113" w:right="113" w:firstLine="560"/>
              <w:rPr>
                <w:kern w:val="24"/>
                <w:sz w:val="28"/>
              </w:rPr>
            </w:pPr>
          </w:p>
          <w:p>
            <w:pPr>
              <w:spacing w:before="120" w:line="400" w:lineRule="exact"/>
              <w:ind w:left="113" w:right="113" w:firstLine="560"/>
              <w:rPr>
                <w:kern w:val="24"/>
                <w:sz w:val="28"/>
              </w:rPr>
            </w:pPr>
          </w:p>
          <w:p>
            <w:pPr>
              <w:spacing w:before="120" w:line="400" w:lineRule="exact"/>
              <w:ind w:left="113" w:right="113" w:firstLine="560"/>
              <w:rPr>
                <w:kern w:val="24"/>
                <w:sz w:val="28"/>
              </w:rPr>
            </w:pPr>
          </w:p>
          <w:p>
            <w:pPr>
              <w:spacing w:before="120" w:line="400" w:lineRule="exact"/>
              <w:ind w:left="113" w:right="113" w:firstLine="560"/>
              <w:rPr>
                <w:kern w:val="24"/>
                <w:sz w:val="28"/>
              </w:rPr>
            </w:pPr>
          </w:p>
          <w:p>
            <w:pPr>
              <w:spacing w:before="120" w:line="400" w:lineRule="exact"/>
              <w:ind w:left="113" w:right="113" w:firstLine="560"/>
              <w:rPr>
                <w:kern w:val="24"/>
                <w:sz w:val="28"/>
              </w:rPr>
            </w:pPr>
          </w:p>
          <w:p>
            <w:pPr>
              <w:spacing w:before="120" w:line="400" w:lineRule="exact"/>
              <w:ind w:left="113" w:right="113" w:firstLine="560"/>
              <w:rPr>
                <w:kern w:val="24"/>
                <w:sz w:val="28"/>
              </w:rPr>
            </w:pPr>
          </w:p>
          <w:p>
            <w:pPr>
              <w:spacing w:before="120" w:line="400" w:lineRule="exact"/>
              <w:ind w:right="113" w:firstLine="0" w:firstLineChars="0"/>
              <w:rPr>
                <w:kern w:val="24"/>
                <w:sz w:val="28"/>
              </w:rPr>
            </w:pPr>
            <w:r>
              <w:t xml:space="preserve">                                                                  </w:t>
            </w:r>
            <w:r>
              <w:rPr>
                <w:sz w:val="28"/>
              </w:rPr>
              <w:t xml:space="preserve"> 公章</w:t>
            </w:r>
          </w:p>
          <w:p>
            <w:pPr>
              <w:spacing w:before="120" w:line="400" w:lineRule="exact"/>
              <w:ind w:left="113" w:right="113" w:firstLine="560"/>
              <w:rPr>
                <w:kern w:val="24"/>
                <w:sz w:val="28"/>
              </w:rPr>
            </w:pPr>
          </w:p>
          <w:p>
            <w:pPr>
              <w:spacing w:line="400" w:lineRule="exact"/>
              <w:ind w:firstLine="0" w:firstLineChars="0"/>
              <w:jc w:val="left"/>
              <w:rPr>
                <w:rFonts w:eastAsia="黑体"/>
                <w:sz w:val="28"/>
                <w:szCs w:val="28"/>
              </w:rPr>
            </w:pPr>
            <w:r>
              <w:rPr>
                <w:sz w:val="28"/>
              </w:rPr>
              <w:t>经办人：                                          年    月    日</w:t>
            </w:r>
          </w:p>
        </w:tc>
      </w:tr>
      <w:tr>
        <w:tblPrEx>
          <w:tblBorders>
            <w:top w:val="single" w:color="auto" w:sz="12" w:space="0"/>
            <w:left w:val="single" w:color="auto" w:sz="12" w:space="0"/>
            <w:bottom w:val="single" w:color="auto" w:sz="12" w:space="0"/>
            <w:right w:val="single" w:color="auto" w:sz="12" w:space="0"/>
            <w:insideH w:val="single" w:color="auto" w:sz="8" w:space="0"/>
            <w:insideV w:val="none" w:color="auto" w:sz="0" w:space="0"/>
          </w:tblBorders>
          <w:tblCellMar>
            <w:top w:w="0" w:type="dxa"/>
            <w:left w:w="108" w:type="dxa"/>
            <w:bottom w:w="0" w:type="dxa"/>
            <w:right w:w="108" w:type="dxa"/>
          </w:tblCellMar>
        </w:tblPrEx>
        <w:trPr>
          <w:trHeight w:val="5732" w:hRule="atLeast"/>
          <w:jc w:val="center"/>
        </w:trPr>
        <w:tc>
          <w:tcPr>
            <w:tcW w:w="5000" w:type="pct"/>
            <w:tcBorders>
              <w:tl2br w:val="nil"/>
              <w:tr2bl w:val="nil"/>
            </w:tcBorders>
            <w:vAlign w:val="top"/>
          </w:tcPr>
          <w:p>
            <w:pPr>
              <w:spacing w:line="400" w:lineRule="exact"/>
              <w:ind w:right="113" w:firstLine="0" w:firstLineChars="0"/>
              <w:rPr>
                <w:kern w:val="24"/>
                <w:sz w:val="28"/>
              </w:rPr>
            </w:pPr>
            <w:r>
              <w:rPr>
                <w:sz w:val="28"/>
              </w:rPr>
              <w:t>下一级环境保护行政主管部门审查意见：</w:t>
            </w:r>
          </w:p>
          <w:p>
            <w:pPr>
              <w:spacing w:before="120" w:line="400" w:lineRule="exact"/>
              <w:ind w:left="113" w:right="113" w:firstLine="560"/>
              <w:rPr>
                <w:kern w:val="24"/>
                <w:sz w:val="28"/>
              </w:rPr>
            </w:pPr>
          </w:p>
          <w:p>
            <w:pPr>
              <w:spacing w:before="120" w:line="400" w:lineRule="exact"/>
              <w:ind w:left="113" w:right="113" w:firstLine="560"/>
              <w:rPr>
                <w:kern w:val="24"/>
                <w:sz w:val="28"/>
              </w:rPr>
            </w:pPr>
          </w:p>
          <w:p>
            <w:pPr>
              <w:spacing w:before="120" w:line="400" w:lineRule="exact"/>
              <w:ind w:left="113" w:right="113" w:firstLine="560"/>
              <w:rPr>
                <w:kern w:val="24"/>
                <w:sz w:val="28"/>
              </w:rPr>
            </w:pPr>
          </w:p>
          <w:p>
            <w:pPr>
              <w:spacing w:before="120" w:line="400" w:lineRule="exact"/>
              <w:ind w:left="113" w:right="113" w:firstLine="560"/>
              <w:rPr>
                <w:kern w:val="24"/>
                <w:sz w:val="28"/>
              </w:rPr>
            </w:pPr>
          </w:p>
          <w:p>
            <w:pPr>
              <w:spacing w:before="120" w:line="400" w:lineRule="exact"/>
              <w:ind w:right="113" w:firstLine="560"/>
              <w:rPr>
                <w:kern w:val="24"/>
                <w:sz w:val="28"/>
              </w:rPr>
            </w:pPr>
          </w:p>
          <w:p>
            <w:pPr>
              <w:spacing w:before="120" w:line="400" w:lineRule="exact"/>
              <w:ind w:right="113" w:firstLine="560"/>
              <w:rPr>
                <w:kern w:val="24"/>
                <w:sz w:val="28"/>
              </w:rPr>
            </w:pPr>
          </w:p>
          <w:p>
            <w:pPr>
              <w:spacing w:before="120" w:line="400" w:lineRule="exact"/>
              <w:ind w:right="113" w:firstLine="560"/>
              <w:rPr>
                <w:kern w:val="24"/>
                <w:sz w:val="28"/>
              </w:rPr>
            </w:pPr>
          </w:p>
          <w:p>
            <w:pPr>
              <w:spacing w:before="120" w:line="400" w:lineRule="exact"/>
              <w:ind w:right="113" w:firstLine="560"/>
              <w:rPr>
                <w:kern w:val="24"/>
                <w:sz w:val="28"/>
              </w:rPr>
            </w:pPr>
          </w:p>
          <w:p>
            <w:pPr>
              <w:spacing w:before="120" w:line="400" w:lineRule="exact"/>
              <w:ind w:right="113" w:firstLine="560"/>
              <w:rPr>
                <w:kern w:val="24"/>
                <w:sz w:val="28"/>
              </w:rPr>
            </w:pPr>
          </w:p>
          <w:p>
            <w:pPr>
              <w:spacing w:before="120" w:line="400" w:lineRule="exact"/>
              <w:ind w:right="113" w:firstLine="0" w:firstLineChars="0"/>
              <w:rPr>
                <w:kern w:val="24"/>
                <w:sz w:val="28"/>
              </w:rPr>
            </w:pPr>
            <w:r>
              <w:rPr>
                <w:sz w:val="28"/>
              </w:rPr>
              <w:t xml:space="preserve">                                                      公章</w:t>
            </w:r>
          </w:p>
          <w:p>
            <w:pPr>
              <w:spacing w:before="120" w:line="400" w:lineRule="exact"/>
              <w:ind w:left="113" w:right="113" w:firstLine="560"/>
              <w:rPr>
                <w:kern w:val="24"/>
                <w:sz w:val="28"/>
              </w:rPr>
            </w:pPr>
          </w:p>
          <w:p>
            <w:pPr>
              <w:spacing w:before="156" w:beforeLines="50" w:after="156" w:afterLines="50" w:line="400" w:lineRule="exact"/>
              <w:ind w:firstLine="0" w:firstLineChars="0"/>
              <w:jc w:val="left"/>
              <w:rPr>
                <w:sz w:val="28"/>
              </w:rPr>
            </w:pPr>
            <w:r>
              <w:rPr>
                <w:sz w:val="28"/>
              </w:rPr>
              <w:t>经办人：                                          年    月    日</w:t>
            </w:r>
          </w:p>
          <w:p>
            <w:pPr>
              <w:spacing w:before="120" w:line="400" w:lineRule="exact"/>
              <w:ind w:left="113" w:right="113" w:firstLine="560"/>
              <w:rPr>
                <w:sz w:val="28"/>
              </w:rPr>
            </w:pPr>
          </w:p>
          <w:p>
            <w:pPr>
              <w:spacing w:before="120" w:line="400" w:lineRule="exact"/>
              <w:ind w:right="113" w:firstLine="0" w:firstLineChars="0"/>
              <w:rPr>
                <w:kern w:val="24"/>
                <w:sz w:val="28"/>
              </w:rPr>
            </w:pPr>
            <w:r>
              <w:rPr>
                <w:sz w:val="28"/>
              </w:rPr>
              <w:t>审批意见：</w:t>
            </w:r>
          </w:p>
          <w:p>
            <w:pPr>
              <w:spacing w:before="120" w:line="400" w:lineRule="exact"/>
              <w:ind w:left="113" w:right="113" w:firstLine="560"/>
              <w:rPr>
                <w:kern w:val="24"/>
                <w:sz w:val="28"/>
              </w:rPr>
            </w:pPr>
          </w:p>
          <w:p>
            <w:pPr>
              <w:spacing w:before="120" w:line="400" w:lineRule="exact"/>
              <w:ind w:left="113" w:right="113" w:firstLine="560"/>
              <w:rPr>
                <w:kern w:val="24"/>
                <w:sz w:val="28"/>
              </w:rPr>
            </w:pPr>
          </w:p>
          <w:p>
            <w:pPr>
              <w:spacing w:before="120" w:line="400" w:lineRule="exact"/>
              <w:ind w:left="113" w:right="113" w:firstLine="560"/>
              <w:rPr>
                <w:kern w:val="24"/>
                <w:sz w:val="28"/>
              </w:rPr>
            </w:pPr>
          </w:p>
          <w:p>
            <w:pPr>
              <w:spacing w:before="120" w:line="400" w:lineRule="exact"/>
              <w:ind w:left="113" w:right="113" w:firstLine="560"/>
              <w:rPr>
                <w:kern w:val="24"/>
                <w:sz w:val="28"/>
              </w:rPr>
            </w:pPr>
          </w:p>
          <w:p>
            <w:pPr>
              <w:spacing w:before="120" w:line="400" w:lineRule="exact"/>
              <w:ind w:left="113" w:right="113" w:firstLine="560"/>
              <w:rPr>
                <w:kern w:val="24"/>
                <w:sz w:val="28"/>
              </w:rPr>
            </w:pPr>
          </w:p>
          <w:p>
            <w:pPr>
              <w:spacing w:before="120" w:line="400" w:lineRule="exact"/>
              <w:ind w:left="113" w:right="113" w:firstLine="560"/>
              <w:rPr>
                <w:kern w:val="24"/>
                <w:sz w:val="28"/>
              </w:rPr>
            </w:pPr>
          </w:p>
          <w:p>
            <w:pPr>
              <w:spacing w:before="120" w:line="400" w:lineRule="exact"/>
              <w:ind w:left="113" w:right="113" w:firstLine="560"/>
              <w:rPr>
                <w:kern w:val="24"/>
                <w:sz w:val="28"/>
              </w:rPr>
            </w:pPr>
          </w:p>
          <w:p>
            <w:pPr>
              <w:spacing w:before="120" w:line="400" w:lineRule="exact"/>
              <w:ind w:left="113" w:right="113" w:firstLine="560"/>
              <w:rPr>
                <w:kern w:val="24"/>
                <w:sz w:val="28"/>
              </w:rPr>
            </w:pPr>
          </w:p>
          <w:p>
            <w:pPr>
              <w:spacing w:before="120" w:line="400" w:lineRule="exact"/>
              <w:ind w:left="113" w:right="113" w:firstLine="560"/>
              <w:rPr>
                <w:kern w:val="24"/>
                <w:sz w:val="28"/>
              </w:rPr>
            </w:pPr>
          </w:p>
          <w:p>
            <w:pPr>
              <w:spacing w:before="120" w:line="400" w:lineRule="exact"/>
              <w:ind w:left="113" w:right="113" w:firstLine="560"/>
              <w:rPr>
                <w:kern w:val="24"/>
                <w:sz w:val="28"/>
              </w:rPr>
            </w:pPr>
          </w:p>
          <w:p>
            <w:pPr>
              <w:spacing w:before="120" w:line="400" w:lineRule="exact"/>
              <w:ind w:right="113" w:firstLine="560"/>
              <w:rPr>
                <w:kern w:val="24"/>
                <w:sz w:val="28"/>
              </w:rPr>
            </w:pPr>
          </w:p>
          <w:p>
            <w:pPr>
              <w:spacing w:before="120" w:line="400" w:lineRule="exact"/>
              <w:ind w:right="113" w:firstLine="560"/>
              <w:rPr>
                <w:kern w:val="24"/>
                <w:sz w:val="28"/>
              </w:rPr>
            </w:pPr>
          </w:p>
          <w:p>
            <w:pPr>
              <w:spacing w:before="120" w:line="400" w:lineRule="exact"/>
              <w:ind w:right="113" w:firstLine="560"/>
              <w:rPr>
                <w:kern w:val="24"/>
                <w:sz w:val="28"/>
              </w:rPr>
            </w:pPr>
          </w:p>
          <w:p>
            <w:pPr>
              <w:spacing w:before="120" w:line="400" w:lineRule="exact"/>
              <w:ind w:right="113" w:firstLine="560"/>
              <w:rPr>
                <w:kern w:val="24"/>
                <w:sz w:val="28"/>
              </w:rPr>
            </w:pPr>
          </w:p>
          <w:p>
            <w:pPr>
              <w:spacing w:before="120" w:line="400" w:lineRule="exact"/>
              <w:ind w:right="113" w:firstLine="560"/>
              <w:rPr>
                <w:kern w:val="24"/>
                <w:sz w:val="28"/>
              </w:rPr>
            </w:pPr>
          </w:p>
          <w:p>
            <w:pPr>
              <w:spacing w:before="120" w:line="400" w:lineRule="exact"/>
              <w:ind w:right="113" w:firstLine="560"/>
              <w:rPr>
                <w:kern w:val="24"/>
                <w:sz w:val="28"/>
              </w:rPr>
            </w:pPr>
          </w:p>
          <w:p>
            <w:pPr>
              <w:spacing w:before="120" w:line="400" w:lineRule="exact"/>
              <w:ind w:right="113" w:firstLine="560"/>
              <w:rPr>
                <w:kern w:val="24"/>
                <w:sz w:val="28"/>
              </w:rPr>
            </w:pPr>
          </w:p>
          <w:p>
            <w:pPr>
              <w:spacing w:before="120" w:line="400" w:lineRule="exact"/>
              <w:ind w:right="113" w:firstLine="0" w:firstLineChars="0"/>
              <w:rPr>
                <w:kern w:val="24"/>
                <w:sz w:val="28"/>
              </w:rPr>
            </w:pPr>
            <w:r>
              <w:t xml:space="preserve">   </w:t>
            </w:r>
            <w:r>
              <w:rPr>
                <w:sz w:val="28"/>
              </w:rPr>
              <w:t xml:space="preserve">                                                   公章</w:t>
            </w:r>
          </w:p>
          <w:p>
            <w:pPr>
              <w:spacing w:before="120" w:line="400" w:lineRule="exact"/>
              <w:ind w:left="113" w:right="113" w:firstLine="560"/>
              <w:rPr>
                <w:kern w:val="24"/>
                <w:sz w:val="28"/>
              </w:rPr>
            </w:pPr>
          </w:p>
          <w:p>
            <w:pPr>
              <w:spacing w:before="156" w:beforeLines="50" w:after="156" w:afterLines="50" w:line="400" w:lineRule="exact"/>
              <w:ind w:firstLine="0" w:firstLineChars="0"/>
              <w:jc w:val="left"/>
              <w:rPr>
                <w:sz w:val="28"/>
              </w:rPr>
            </w:pPr>
            <w:r>
              <w:rPr>
                <w:sz w:val="28"/>
              </w:rPr>
              <w:t>经办人：                                         年    月    日</w:t>
            </w:r>
          </w:p>
          <w:p>
            <w:pPr>
              <w:spacing w:line="560" w:lineRule="exact"/>
              <w:ind w:firstLine="560"/>
              <w:rPr>
                <w:sz w:val="28"/>
              </w:rPr>
            </w:pPr>
          </w:p>
          <w:p>
            <w:pPr>
              <w:spacing w:line="560" w:lineRule="exact"/>
              <w:ind w:firstLine="560"/>
              <w:rPr>
                <w:sz w:val="28"/>
              </w:rPr>
            </w:pPr>
          </w:p>
          <w:p>
            <w:pPr>
              <w:spacing w:line="560" w:lineRule="exact"/>
              <w:ind w:firstLine="560"/>
              <w:rPr>
                <w:sz w:val="28"/>
              </w:rPr>
            </w:pPr>
          </w:p>
        </w:tc>
      </w:tr>
    </w:tbl>
    <w:p>
      <w:pPr>
        <w:ind w:firstLine="456"/>
        <w:rPr>
          <w:snapToGrid w:val="0"/>
          <w:spacing w:val="-6"/>
          <w:kern w:val="21"/>
          <w:szCs w:val="21"/>
        </w:rPr>
      </w:pPr>
      <w:r>
        <w:rPr>
          <w:rFonts w:hint="eastAsia"/>
          <w:snapToGrid w:val="0"/>
          <w:spacing w:val="-6"/>
          <w:kern w:val="21"/>
          <w:szCs w:val="21"/>
        </w:rPr>
        <w:br w:type="page"/>
      </w:r>
    </w:p>
    <w:p>
      <w:pPr>
        <w:widowControl/>
        <w:spacing w:line="440" w:lineRule="exact"/>
        <w:ind w:firstLine="0" w:firstLineChars="0"/>
        <w:jc w:val="left"/>
        <w:rPr>
          <w:b/>
          <w:kern w:val="0"/>
          <w:sz w:val="28"/>
          <w:szCs w:val="28"/>
        </w:rPr>
      </w:pPr>
      <w:r>
        <w:rPr>
          <w:rFonts w:hint="eastAsia"/>
          <w:b/>
          <w:kern w:val="0"/>
          <w:sz w:val="28"/>
          <w:szCs w:val="28"/>
        </w:rPr>
        <w:t>附件:</w:t>
      </w:r>
    </w:p>
    <w:p>
      <w:pPr>
        <w:bidi w:val="0"/>
        <w:rPr>
          <w:rFonts w:hint="default" w:eastAsia="宋体"/>
        </w:rPr>
      </w:pPr>
      <w:r>
        <w:rPr>
          <w:rFonts w:hint="default" w:eastAsia="宋体"/>
        </w:rPr>
        <w:t>附件1  委托书</w:t>
      </w:r>
    </w:p>
    <w:p>
      <w:pPr>
        <w:bidi w:val="0"/>
        <w:rPr>
          <w:rFonts w:hint="default" w:eastAsia="宋体"/>
        </w:rPr>
      </w:pPr>
      <w:r>
        <w:rPr>
          <w:rFonts w:hint="default" w:eastAsia="宋体"/>
        </w:rPr>
        <w:t>附件2  危废承诺</w:t>
      </w:r>
    </w:p>
    <w:p>
      <w:pPr>
        <w:bidi w:val="0"/>
        <w:rPr>
          <w:rFonts w:hint="default" w:eastAsia="宋体"/>
        </w:rPr>
      </w:pPr>
      <w:r>
        <w:rPr>
          <w:rFonts w:hint="default" w:eastAsia="宋体"/>
        </w:rPr>
        <w:t>附件3  真实性承诺</w:t>
      </w:r>
    </w:p>
    <w:p>
      <w:pPr>
        <w:bidi w:val="0"/>
        <w:rPr>
          <w:rFonts w:hint="default" w:eastAsia="宋体"/>
        </w:rPr>
      </w:pPr>
      <w:r>
        <w:rPr>
          <w:rFonts w:hint="default" w:eastAsia="宋体"/>
        </w:rPr>
        <w:t>附件4  立项文件</w:t>
      </w:r>
    </w:p>
    <w:p>
      <w:pPr>
        <w:bidi w:val="0"/>
        <w:rPr>
          <w:rFonts w:hint="default" w:eastAsia="宋体"/>
        </w:rPr>
      </w:pPr>
      <w:r>
        <w:rPr>
          <w:rFonts w:hint="default" w:eastAsia="宋体"/>
        </w:rPr>
        <w:t>附件5  营业执照</w:t>
      </w:r>
    </w:p>
    <w:p>
      <w:pPr>
        <w:bidi w:val="0"/>
        <w:rPr>
          <w:rFonts w:hint="default" w:eastAsia="宋体"/>
        </w:rPr>
      </w:pPr>
      <w:r>
        <w:rPr>
          <w:rFonts w:hint="default" w:eastAsia="宋体"/>
        </w:rPr>
        <w:t>附件</w:t>
      </w:r>
      <w:r>
        <w:rPr>
          <w:rFonts w:hint="eastAsia" w:eastAsia="宋体"/>
        </w:rPr>
        <w:t>6</w:t>
      </w:r>
      <w:r>
        <w:rPr>
          <w:rFonts w:hint="default" w:eastAsia="宋体"/>
        </w:rPr>
        <w:t xml:space="preserve">  </w:t>
      </w:r>
      <w:r>
        <w:rPr>
          <w:rFonts w:hint="eastAsia" w:eastAsia="宋体"/>
        </w:rPr>
        <w:t>租赁合同</w:t>
      </w:r>
    </w:p>
    <w:p>
      <w:pPr>
        <w:bidi w:val="0"/>
        <w:rPr>
          <w:rFonts w:hint="default" w:eastAsia="宋体"/>
        </w:rPr>
      </w:pPr>
      <w:r>
        <w:rPr>
          <w:rFonts w:hint="default" w:eastAsia="宋体"/>
        </w:rPr>
        <w:t xml:space="preserve">附件7  </w:t>
      </w:r>
      <w:r>
        <w:rPr>
          <w:rFonts w:hint="eastAsia" w:eastAsia="宋体"/>
        </w:rPr>
        <w:t>土地证</w:t>
      </w:r>
    </w:p>
    <w:p>
      <w:pPr>
        <w:bidi w:val="0"/>
        <w:rPr>
          <w:rFonts w:hint="default" w:eastAsia="宋体"/>
        </w:rPr>
      </w:pPr>
      <w:r>
        <w:rPr>
          <w:rFonts w:hint="default" w:eastAsia="宋体"/>
        </w:rPr>
        <w:t xml:space="preserve">附件8  </w:t>
      </w:r>
      <w:r>
        <w:rPr>
          <w:rFonts w:hint="eastAsia" w:eastAsia="宋体"/>
        </w:rPr>
        <w:t>公示证明</w:t>
      </w:r>
    </w:p>
    <w:p>
      <w:pPr>
        <w:widowControl/>
        <w:spacing w:line="440" w:lineRule="exact"/>
        <w:ind w:firstLine="0" w:firstLineChars="0"/>
        <w:jc w:val="left"/>
        <w:rPr>
          <w:b/>
          <w:kern w:val="0"/>
          <w:sz w:val="28"/>
          <w:szCs w:val="28"/>
        </w:rPr>
      </w:pPr>
      <w:r>
        <w:rPr>
          <w:rFonts w:hint="eastAsia"/>
          <w:b/>
          <w:kern w:val="0"/>
          <w:sz w:val="28"/>
          <w:szCs w:val="28"/>
        </w:rPr>
        <w:t>附图:</w:t>
      </w:r>
    </w:p>
    <w:p>
      <w:pPr>
        <w:bidi w:val="0"/>
        <w:rPr>
          <w:rFonts w:hint="default"/>
        </w:rPr>
      </w:pPr>
      <w:r>
        <w:rPr>
          <w:rFonts w:hint="default"/>
        </w:rPr>
        <w:t>附图1  项目地理位置图</w:t>
      </w:r>
    </w:p>
    <w:p>
      <w:pPr>
        <w:bidi w:val="0"/>
        <w:rPr>
          <w:rFonts w:hint="default"/>
        </w:rPr>
      </w:pPr>
      <w:r>
        <w:rPr>
          <w:rFonts w:hint="default"/>
        </w:rPr>
        <w:t>附图2  项目周边关系图</w:t>
      </w:r>
    </w:p>
    <w:p>
      <w:pPr>
        <w:bidi w:val="0"/>
        <w:rPr>
          <w:rFonts w:hint="default" w:eastAsia="宋体"/>
          <w:lang w:val="en-US" w:eastAsia="zh-CN"/>
        </w:rPr>
      </w:pPr>
      <w:r>
        <w:rPr>
          <w:rFonts w:hint="default"/>
        </w:rPr>
        <w:t>附图3  芜湖经济技术开发区</w:t>
      </w:r>
      <w:r>
        <w:rPr>
          <w:rFonts w:hint="eastAsia"/>
          <w:lang w:val="en-US" w:eastAsia="zh-CN"/>
        </w:rPr>
        <w:t>总体</w:t>
      </w:r>
      <w:r>
        <w:rPr>
          <w:rFonts w:hint="default"/>
        </w:rPr>
        <w:t>规划图</w:t>
      </w:r>
      <w:r>
        <w:rPr>
          <w:rFonts w:hint="eastAsia"/>
          <w:lang w:val="en-US" w:eastAsia="zh-CN"/>
        </w:rPr>
        <w:t>及项目位置</w:t>
      </w:r>
    </w:p>
    <w:p>
      <w:pPr>
        <w:bidi w:val="0"/>
        <w:rPr>
          <w:rFonts w:hint="default"/>
        </w:rPr>
      </w:pPr>
      <w:r>
        <w:rPr>
          <w:rFonts w:hint="default"/>
        </w:rPr>
        <w:t>附图</w:t>
      </w:r>
      <w:r>
        <w:rPr>
          <w:rFonts w:hint="eastAsia"/>
          <w:lang w:val="en-US" w:eastAsia="zh-CN"/>
        </w:rPr>
        <w:t>4</w:t>
      </w:r>
      <w:r>
        <w:rPr>
          <w:rFonts w:hint="default"/>
        </w:rPr>
        <w:t xml:space="preserve">  </w:t>
      </w:r>
      <w:r>
        <w:rPr>
          <w:rFonts w:hint="eastAsia"/>
          <w:lang w:val="en-US" w:eastAsia="zh-CN"/>
        </w:rPr>
        <w:t>芜湖市</w:t>
      </w:r>
      <w:r>
        <w:rPr>
          <w:rFonts w:hint="default"/>
        </w:rPr>
        <w:t>生态红线图</w:t>
      </w:r>
      <w:r>
        <w:rPr>
          <w:rFonts w:hint="eastAsia"/>
          <w:lang w:val="en-US" w:eastAsia="zh-CN"/>
        </w:rPr>
        <w:t>及</w:t>
      </w:r>
      <w:r>
        <w:rPr>
          <w:rFonts w:hint="default"/>
        </w:rPr>
        <w:t>项目</w:t>
      </w:r>
      <w:r>
        <w:rPr>
          <w:rFonts w:hint="eastAsia"/>
          <w:lang w:val="en-US" w:eastAsia="zh-CN"/>
        </w:rPr>
        <w:t>位置</w:t>
      </w:r>
    </w:p>
    <w:p>
      <w:pPr>
        <w:bidi w:val="0"/>
        <w:rPr>
          <w:rFonts w:hint="default"/>
        </w:rPr>
      </w:pPr>
      <w:r>
        <w:rPr>
          <w:rFonts w:hint="default"/>
        </w:rPr>
        <w:t>附图</w:t>
      </w:r>
      <w:r>
        <w:rPr>
          <w:rFonts w:hint="default"/>
          <w:lang w:val="en-US" w:eastAsia="zh-CN"/>
        </w:rPr>
        <w:t>5</w:t>
      </w:r>
      <w:r>
        <w:rPr>
          <w:rFonts w:hint="default"/>
        </w:rPr>
        <w:t xml:space="preserve">  项目</w:t>
      </w:r>
      <w:r>
        <w:rPr>
          <w:rFonts w:hint="eastAsia"/>
          <w:lang w:val="en-US" w:eastAsia="zh-CN"/>
        </w:rPr>
        <w:t>厂区</w:t>
      </w:r>
      <w:r>
        <w:rPr>
          <w:rFonts w:hint="default"/>
        </w:rPr>
        <w:t>平面布置</w:t>
      </w:r>
      <w:r>
        <w:rPr>
          <w:rFonts w:hint="eastAsia"/>
          <w:lang w:val="en-US" w:eastAsia="zh-CN"/>
        </w:rPr>
        <w:t>及</w:t>
      </w:r>
      <w:r>
        <w:rPr>
          <w:rFonts w:hint="default"/>
        </w:rPr>
        <w:t>雨</w:t>
      </w:r>
      <w:r>
        <w:rPr>
          <w:rFonts w:hint="eastAsia"/>
          <w:lang w:val="en-US" w:eastAsia="zh-CN"/>
        </w:rPr>
        <w:t>污水管网</w:t>
      </w:r>
      <w:r>
        <w:rPr>
          <w:rFonts w:hint="default"/>
        </w:rPr>
        <w:t>图</w:t>
      </w:r>
    </w:p>
    <w:p>
      <w:pPr>
        <w:bidi w:val="0"/>
        <w:rPr>
          <w:rFonts w:hint="eastAsia"/>
          <w:lang w:val="en-US" w:eastAsia="zh-CN"/>
        </w:rPr>
      </w:pPr>
      <w:r>
        <w:rPr>
          <w:rFonts w:hint="default"/>
        </w:rPr>
        <w:t>附图</w:t>
      </w:r>
      <w:r>
        <w:rPr>
          <w:rFonts w:hint="eastAsia"/>
          <w:lang w:val="en-US" w:eastAsia="zh-CN"/>
        </w:rPr>
        <w:t>6</w:t>
      </w:r>
      <w:r>
        <w:rPr>
          <w:rFonts w:hint="default"/>
        </w:rPr>
        <w:t xml:space="preserve">  项目生产</w:t>
      </w:r>
      <w:r>
        <w:rPr>
          <w:rFonts w:hint="eastAsia"/>
          <w:lang w:val="en-US" w:eastAsia="zh-CN"/>
        </w:rPr>
        <w:t>车间</w:t>
      </w:r>
      <w:r>
        <w:rPr>
          <w:rFonts w:hint="default"/>
        </w:rPr>
        <w:t>平面布置</w:t>
      </w:r>
      <w:r>
        <w:rPr>
          <w:rFonts w:hint="eastAsia"/>
          <w:lang w:val="en-US" w:eastAsia="zh-CN"/>
        </w:rPr>
        <w:t>图</w:t>
      </w:r>
    </w:p>
    <w:p>
      <w:pPr>
        <w:bidi w:val="0"/>
        <w:rPr>
          <w:rFonts w:hint="default"/>
          <w:lang w:val="en-US" w:eastAsia="zh-CN"/>
        </w:rPr>
      </w:pPr>
      <w:r>
        <w:rPr>
          <w:rFonts w:hint="eastAsia"/>
          <w:lang w:val="en-US" w:eastAsia="zh-CN"/>
        </w:rPr>
        <w:t xml:space="preserve">附图7  </w:t>
      </w:r>
      <w:r>
        <w:rPr>
          <w:rFonts w:hint="default"/>
        </w:rPr>
        <w:t>项目生产车间分区</w:t>
      </w:r>
      <w:r>
        <w:rPr>
          <w:rFonts w:hint="eastAsia"/>
          <w:lang w:val="en-US" w:eastAsia="zh-CN"/>
        </w:rPr>
        <w:t>防渗图</w:t>
      </w:r>
    </w:p>
    <w:p>
      <w:pPr>
        <w:bidi w:val="0"/>
      </w:pPr>
    </w:p>
    <w:sectPr>
      <w:pgSz w:w="11906" w:h="16838"/>
      <w:pgMar w:top="1440" w:right="1531" w:bottom="1440" w:left="1531" w:header="851" w:footer="992" w:gutter="0"/>
      <w:pgBorders>
        <w:top w:val="none" w:sz="0" w:space="0"/>
        <w:left w:val="none" w:sz="0" w:space="0"/>
        <w:bottom w:val="none" w:sz="0" w:space="0"/>
        <w:right w:val="none" w:sz="0" w:space="0"/>
      </w:pgBorders>
      <w:cols w:space="0" w:num="1"/>
      <w:rtlGutter w:val="0"/>
      <w:docGrid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ulysses" w:date="2024-08-01T08:09:25Z" w:initials="">
    <w:p w14:paraId="254C1C73">
      <w:pPr>
        <w:pStyle w:val="11"/>
        <w:numPr>
          <w:ilvl w:val="0"/>
          <w:numId w:val="4"/>
        </w:numPr>
        <w:rPr>
          <w:rFonts w:hint="eastAsia"/>
          <w:lang w:val="en-US" w:eastAsia="zh-CN"/>
        </w:rPr>
      </w:pPr>
      <w:r>
        <w:rPr>
          <w:rFonts w:hint="eastAsia"/>
          <w:lang w:val="en-US" w:eastAsia="zh-CN"/>
        </w:rPr>
        <w:t>不要删除批注，修改处请标红</w:t>
      </w:r>
    </w:p>
    <w:p w14:paraId="3F2B70E2">
      <w:pPr>
        <w:pStyle w:val="11"/>
        <w:numPr>
          <w:ilvl w:val="0"/>
          <w:numId w:val="4"/>
        </w:numPr>
        <w:rPr>
          <w:rFonts w:hint="eastAsia"/>
          <w:lang w:val="en-US" w:eastAsia="zh-CN"/>
        </w:rPr>
      </w:pPr>
      <w:r>
        <w:rPr>
          <w:rFonts w:hint="eastAsia"/>
          <w:lang w:val="en-US" w:eastAsia="zh-CN"/>
        </w:rPr>
        <w:t>根据管理目录这个项目是不是不用做报告表？</w:t>
      </w:r>
    </w:p>
    <w:p w14:paraId="06F356E3">
      <w:pPr>
        <w:pStyle w:val="11"/>
        <w:numPr>
          <w:ilvl w:val="0"/>
          <w:numId w:val="4"/>
        </w:numPr>
        <w:rPr>
          <w:rFonts w:hint="eastAsia"/>
          <w:lang w:val="en-US" w:eastAsia="zh-CN"/>
        </w:rPr>
      </w:pPr>
      <w:r>
        <w:rPr>
          <w:rFonts w:hint="eastAsia"/>
          <w:lang w:val="en-US" w:eastAsia="zh-CN"/>
        </w:rPr>
        <w:t>优化平面布置图，突出污染防治措施、功能区，字体放大，删掉和环评无关内容简化</w:t>
      </w:r>
    </w:p>
  </w:comment>
  <w:comment w:id="1" w:author="王仁保" w:date="2024-08-01T08:49:53Z" w:initials="">
    <w:p w14:paraId="4A12544C">
      <w:pPr>
        <w:pStyle w:val="11"/>
        <w:numPr>
          <w:ilvl w:val="0"/>
          <w:numId w:val="5"/>
        </w:numPr>
        <w:rPr>
          <w:rFonts w:hint="eastAsia"/>
          <w:lang w:val="en-US" w:eastAsia="zh-CN"/>
        </w:rPr>
      </w:pPr>
      <w:r>
        <w:rPr>
          <w:rFonts w:hint="eastAsia"/>
          <w:lang w:val="en-US" w:eastAsia="zh-CN"/>
        </w:rPr>
        <w:t>地方环保局要求，汽车零部件都要做</w:t>
      </w:r>
    </w:p>
    <w:p w14:paraId="665E2C01">
      <w:pPr>
        <w:pStyle w:val="11"/>
        <w:numPr>
          <w:ilvl w:val="0"/>
          <w:numId w:val="5"/>
        </w:numPr>
        <w:rPr>
          <w:rFonts w:hint="eastAsia"/>
          <w:lang w:val="en-US" w:eastAsia="zh-CN"/>
        </w:rPr>
      </w:pPr>
      <w:r>
        <w:rPr>
          <w:rFonts w:hint="eastAsia"/>
          <w:lang w:val="en-US" w:eastAsia="zh-CN"/>
        </w:rPr>
        <w:t>平面布置图已优化，详见附图6（A3图纸）</w:t>
      </w:r>
    </w:p>
    <w:p w14:paraId="158858F9">
      <w:pPr>
        <w:pStyle w:val="11"/>
        <w:rPr>
          <w:rFonts w:hint="default"/>
          <w:lang w:val="en-US" w:eastAsia="zh-CN"/>
        </w:rPr>
      </w:pPr>
    </w:p>
  </w:comment>
  <w:comment w:id="2" w:author="ulysses" w:date="2024-08-01T08:14:37Z" w:initials="">
    <w:p w14:paraId="55137668">
      <w:pPr>
        <w:pStyle w:val="11"/>
        <w:rPr>
          <w:rFonts w:hint="eastAsia" w:eastAsia="宋体"/>
          <w:lang w:eastAsia="zh-CN"/>
        </w:rPr>
      </w:pPr>
      <w:r>
        <w:rPr>
          <w:rFonts w:hint="eastAsia"/>
          <w:lang w:eastAsia="zh-CN"/>
        </w:rPr>
        <w:t>是否过于简化</w:t>
      </w:r>
    </w:p>
  </w:comment>
  <w:comment w:id="3" w:author="王仁保" w:date="2024-08-02T15:54:38Z" w:initials="">
    <w:p w14:paraId="56F32662">
      <w:pPr>
        <w:pStyle w:val="11"/>
        <w:rPr>
          <w:rFonts w:hint="default" w:eastAsia="宋体"/>
          <w:lang w:val="en-US" w:eastAsia="zh-CN"/>
        </w:rPr>
      </w:pPr>
      <w:r>
        <w:rPr>
          <w:rFonts w:hint="eastAsia"/>
          <w:lang w:eastAsia="zh-CN"/>
        </w:rPr>
        <w:t>？？</w:t>
      </w:r>
      <w:r>
        <w:rPr>
          <w:rFonts w:hint="eastAsia"/>
          <w:lang w:val="en-US" w:eastAsia="zh-CN"/>
        </w:rPr>
        <w:t>是三线一单过于简化吗？</w:t>
      </w:r>
    </w:p>
  </w:comment>
  <w:comment w:id="4" w:author="ulysses" w:date="2024-08-01T08:17:20Z" w:initials="">
    <w:p w14:paraId="08485274">
      <w:pPr>
        <w:pStyle w:val="11"/>
        <w:rPr>
          <w:rFonts w:hint="eastAsia" w:eastAsia="宋体"/>
          <w:lang w:eastAsia="zh-CN"/>
        </w:rPr>
      </w:pPr>
      <w:r>
        <w:rPr>
          <w:rFonts w:hint="eastAsia"/>
          <w:lang w:eastAsia="zh-CN"/>
        </w:rPr>
        <w:t>附原项目立项环评批复和验收资料</w:t>
      </w:r>
    </w:p>
  </w:comment>
  <w:comment w:id="5" w:author="王仁保" w:date="2024-08-01T14:27:13Z" w:initials="">
    <w:p w14:paraId="66D03DF8">
      <w:pPr>
        <w:pStyle w:val="11"/>
        <w:rPr>
          <w:rFonts w:hint="default" w:eastAsia="宋体"/>
          <w:lang w:val="en-US" w:eastAsia="zh-CN"/>
        </w:rPr>
      </w:pPr>
      <w:r>
        <w:rPr>
          <w:rFonts w:hint="eastAsia"/>
          <w:lang w:val="en-US" w:eastAsia="zh-CN"/>
        </w:rPr>
        <w:t>增加附件原环评立项、批复、验收意见</w:t>
      </w:r>
    </w:p>
  </w:comment>
  <w:comment w:id="6" w:author="ulysses" w:date="2024-08-01T08:18:39Z" w:initials="">
    <w:p w14:paraId="6303603E">
      <w:pPr>
        <w:pStyle w:val="11"/>
        <w:rPr>
          <w:rFonts w:hint="eastAsia"/>
          <w:lang w:eastAsia="zh-CN"/>
        </w:rPr>
      </w:pPr>
      <w:r>
        <w:rPr>
          <w:rFonts w:hint="eastAsia"/>
          <w:lang w:eastAsia="zh-CN"/>
        </w:rPr>
        <w:t>细化建设内容说明主要生产设备、工序和产能</w:t>
      </w:r>
    </w:p>
    <w:p w14:paraId="3BF86CB8">
      <w:pPr>
        <w:pStyle w:val="11"/>
        <w:rPr>
          <w:rFonts w:hint="eastAsia"/>
          <w:lang w:eastAsia="zh-CN"/>
        </w:rPr>
      </w:pPr>
    </w:p>
  </w:comment>
  <w:comment w:id="7" w:author="王仁保" w:date="2024-08-01T14:28:08Z" w:initials="">
    <w:p w14:paraId="6B8161CD">
      <w:pPr>
        <w:pStyle w:val="11"/>
        <w:rPr>
          <w:rFonts w:hint="default" w:eastAsia="宋体"/>
          <w:lang w:val="en-US" w:eastAsia="zh-CN"/>
        </w:rPr>
      </w:pPr>
      <w:r>
        <w:rPr>
          <w:rFonts w:hint="eastAsia"/>
          <w:lang w:val="en-US" w:eastAsia="zh-CN"/>
        </w:rPr>
        <w:t>按要求细化</w:t>
      </w:r>
    </w:p>
  </w:comment>
  <w:comment w:id="8" w:author="ulysses" w:date="2024-08-01T08:19:42Z" w:initials="">
    <w:p w14:paraId="2C227B00">
      <w:pPr>
        <w:pStyle w:val="11"/>
        <w:rPr>
          <w:rFonts w:hint="eastAsia" w:eastAsia="宋体"/>
          <w:lang w:eastAsia="zh-CN"/>
        </w:rPr>
      </w:pPr>
      <w:r>
        <w:rPr>
          <w:rFonts w:hint="eastAsia"/>
          <w:lang w:eastAsia="zh-CN"/>
        </w:rPr>
        <w:t>使用量</w:t>
      </w:r>
    </w:p>
  </w:comment>
  <w:comment w:id="9" w:author="王仁保" w:date="2024-08-01T16:26:26Z" w:initials="">
    <w:p w14:paraId="2FD5098A">
      <w:pPr>
        <w:pStyle w:val="11"/>
        <w:rPr>
          <w:rFonts w:hint="default" w:eastAsia="宋体"/>
          <w:lang w:val="en-US" w:eastAsia="zh-CN"/>
        </w:rPr>
      </w:pPr>
      <w:r>
        <w:rPr>
          <w:rFonts w:hint="eastAsia"/>
          <w:lang w:val="en-US" w:eastAsia="zh-CN"/>
        </w:rPr>
        <w:t>已补充</w:t>
      </w:r>
    </w:p>
  </w:comment>
  <w:comment w:id="10" w:author="ulysses" w:date="2024-08-01T08:20:21Z" w:initials="">
    <w:p w14:paraId="15AA0EA1">
      <w:pPr>
        <w:pStyle w:val="11"/>
        <w:rPr>
          <w:rFonts w:hint="eastAsia" w:eastAsia="宋体"/>
          <w:lang w:eastAsia="zh-CN"/>
        </w:rPr>
      </w:pPr>
      <w:r>
        <w:rPr>
          <w:rFonts w:hint="eastAsia"/>
          <w:lang w:eastAsia="zh-CN"/>
        </w:rPr>
        <w:t>细化环保工程，给出污水水量，细化废气收集和处理效率风量等</w:t>
      </w:r>
    </w:p>
  </w:comment>
  <w:comment w:id="11" w:author="王仁保" w:date="2024-08-01T16:26:50Z" w:initials="">
    <w:p w14:paraId="5DD10CF5">
      <w:pPr>
        <w:pStyle w:val="11"/>
        <w:rPr>
          <w:rFonts w:hint="default" w:eastAsia="宋体"/>
          <w:lang w:val="en-US" w:eastAsia="zh-CN"/>
        </w:rPr>
      </w:pPr>
      <w:r>
        <w:rPr>
          <w:rFonts w:hint="eastAsia"/>
          <w:lang w:val="en-US" w:eastAsia="zh-CN"/>
        </w:rPr>
        <w:t>已细化</w:t>
      </w:r>
    </w:p>
  </w:comment>
  <w:comment w:id="12" w:author="ulysses" w:date="2024-08-01T08:20:04Z" w:initials="">
    <w:p w14:paraId="56917335">
      <w:pPr>
        <w:pStyle w:val="11"/>
        <w:rPr>
          <w:rFonts w:hint="eastAsia" w:eastAsia="宋体"/>
          <w:lang w:eastAsia="zh-CN"/>
        </w:rPr>
      </w:pPr>
      <w:r>
        <w:rPr>
          <w:rFonts w:hint="eastAsia"/>
          <w:lang w:eastAsia="zh-CN"/>
        </w:rPr>
        <w:t>细化防渗措施</w:t>
      </w:r>
    </w:p>
  </w:comment>
  <w:comment w:id="13" w:author="王仁保" w:date="2024-08-01T16:26:40Z" w:initials="">
    <w:p w14:paraId="12294F97">
      <w:pPr>
        <w:pStyle w:val="11"/>
        <w:rPr>
          <w:rFonts w:hint="default" w:eastAsia="宋体"/>
          <w:lang w:val="en-US" w:eastAsia="zh-CN"/>
        </w:rPr>
      </w:pPr>
      <w:r>
        <w:rPr>
          <w:rFonts w:hint="eastAsia"/>
          <w:lang w:val="en-US" w:eastAsia="zh-CN"/>
        </w:rPr>
        <w:t>已细化</w:t>
      </w:r>
    </w:p>
  </w:comment>
  <w:comment w:id="14" w:author="ulysses" w:date="2024-08-01T08:23:31Z" w:initials="">
    <w:p w14:paraId="34C43CB3">
      <w:pPr>
        <w:pStyle w:val="11"/>
        <w:rPr>
          <w:rFonts w:hint="eastAsia"/>
          <w:lang w:eastAsia="zh-CN"/>
        </w:rPr>
      </w:pPr>
      <w:r>
        <w:rPr>
          <w:rFonts w:hint="eastAsia"/>
          <w:lang w:eastAsia="zh-CN"/>
        </w:rPr>
        <w:t>切割、钻孔应该有金属粉尘</w:t>
      </w:r>
    </w:p>
    <w:p w14:paraId="22D63A37">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both"/>
        <w:rPr>
          <w:rFonts w:hint="eastAsia" w:ascii="微软雅黑" w:hAnsi="微软雅黑" w:eastAsia="微软雅黑" w:cs="微软雅黑"/>
          <w:i w:val="0"/>
          <w:iCs w:val="0"/>
          <w:caps w:val="0"/>
          <w:color w:val="000000"/>
          <w:spacing w:val="0"/>
          <w:sz w:val="24"/>
          <w:szCs w:val="24"/>
        </w:rPr>
      </w:pPr>
      <w:r>
        <w:rPr>
          <w:rFonts w:hint="eastAsia" w:ascii="宋体" w:hAnsi="宋体" w:eastAsia="宋体" w:cs="宋体"/>
          <w:i w:val="0"/>
          <w:iCs w:val="0"/>
          <w:caps w:val="0"/>
          <w:color w:val="000000"/>
          <w:spacing w:val="0"/>
          <w:sz w:val="21"/>
          <w:szCs w:val="21"/>
          <w:shd w:val="clear" w:fill="FFFFFF"/>
        </w:rPr>
        <w:t>切割粉尘：本项目对钨、钼进行线切割，此过程会产生粉尘。根据生态环境部发布的《排放源统计调查产排污核算方法和系数手册》中《</w:t>
      </w:r>
      <w:r>
        <w:rPr>
          <w:rFonts w:hint="default" w:ascii="Times New Roman" w:hAnsi="Times New Roman" w:eastAsia="宋体" w:cs="Times New Roman"/>
          <w:i w:val="0"/>
          <w:iCs w:val="0"/>
          <w:caps w:val="0"/>
          <w:color w:val="000000"/>
          <w:spacing w:val="0"/>
          <w:sz w:val="21"/>
          <w:szCs w:val="21"/>
          <w:shd w:val="clear" w:fill="FFFFFF"/>
        </w:rPr>
        <w:t>33-37,431-434</w:t>
      </w:r>
      <w:r>
        <w:rPr>
          <w:rFonts w:hint="eastAsia" w:ascii="宋体" w:hAnsi="宋体" w:eastAsia="宋体" w:cs="宋体"/>
          <w:i w:val="0"/>
          <w:iCs w:val="0"/>
          <w:caps w:val="0"/>
          <w:color w:val="000000"/>
          <w:spacing w:val="0"/>
          <w:sz w:val="21"/>
          <w:szCs w:val="21"/>
          <w:shd w:val="clear" w:fill="FFFFFF"/>
        </w:rPr>
        <w:t>机械行业系数手册》表</w:t>
      </w:r>
      <w:r>
        <w:rPr>
          <w:rFonts w:hint="default" w:ascii="Times New Roman" w:hAnsi="Times New Roman" w:eastAsia="宋体" w:cs="Times New Roman"/>
          <w:i w:val="0"/>
          <w:iCs w:val="0"/>
          <w:caps w:val="0"/>
          <w:color w:val="000000"/>
          <w:spacing w:val="0"/>
          <w:sz w:val="21"/>
          <w:szCs w:val="21"/>
          <w:shd w:val="clear" w:fill="FFFFFF"/>
        </w:rPr>
        <w:t>1</w:t>
      </w:r>
      <w:r>
        <w:rPr>
          <w:rFonts w:hint="eastAsia" w:ascii="宋体" w:hAnsi="宋体" w:eastAsia="宋体" w:cs="宋体"/>
          <w:i w:val="0"/>
          <w:iCs w:val="0"/>
          <w:caps w:val="0"/>
          <w:color w:val="000000"/>
          <w:spacing w:val="0"/>
          <w:sz w:val="21"/>
          <w:szCs w:val="21"/>
          <w:shd w:val="clear" w:fill="FFFFFF"/>
        </w:rPr>
        <w:t>中机械加工中数控中心加工产污系数，金属粉尘在切割过程中产生系数为</w:t>
      </w:r>
      <w:r>
        <w:rPr>
          <w:rFonts w:hint="default" w:ascii="Times New Roman" w:hAnsi="Times New Roman" w:eastAsia="宋体" w:cs="Times New Roman"/>
          <w:i w:val="0"/>
          <w:iCs w:val="0"/>
          <w:caps w:val="0"/>
          <w:color w:val="000000"/>
          <w:spacing w:val="0"/>
          <w:sz w:val="21"/>
          <w:szCs w:val="21"/>
          <w:shd w:val="clear" w:fill="FFFFFF"/>
        </w:rPr>
        <w:t>2kg/t</w:t>
      </w:r>
      <w:r>
        <w:rPr>
          <w:rFonts w:hint="eastAsia" w:ascii="宋体" w:hAnsi="宋体" w:eastAsia="宋体" w:cs="宋体"/>
          <w:i w:val="0"/>
          <w:iCs w:val="0"/>
          <w:caps w:val="0"/>
          <w:color w:val="000000"/>
          <w:spacing w:val="0"/>
          <w:sz w:val="21"/>
          <w:szCs w:val="21"/>
          <w:shd w:val="clear" w:fill="FFFFFF"/>
        </w:rPr>
        <w:t>，本项目钨钼年用量为</w:t>
      </w:r>
      <w:r>
        <w:rPr>
          <w:rFonts w:hint="default" w:ascii="Times New Roman" w:hAnsi="Times New Roman" w:eastAsia="宋体" w:cs="Times New Roman"/>
          <w:i w:val="0"/>
          <w:iCs w:val="0"/>
          <w:caps w:val="0"/>
          <w:color w:val="000000"/>
          <w:spacing w:val="0"/>
          <w:sz w:val="21"/>
          <w:szCs w:val="21"/>
          <w:shd w:val="clear" w:fill="FFFFFF"/>
        </w:rPr>
        <w:t>10t/a</w:t>
      </w:r>
      <w:r>
        <w:rPr>
          <w:rFonts w:hint="eastAsia" w:ascii="宋体" w:hAnsi="宋体" w:eastAsia="宋体" w:cs="宋体"/>
          <w:i w:val="0"/>
          <w:iCs w:val="0"/>
          <w:caps w:val="0"/>
          <w:color w:val="000000"/>
          <w:spacing w:val="0"/>
          <w:sz w:val="21"/>
          <w:szCs w:val="21"/>
          <w:shd w:val="clear" w:fill="FFFFFF"/>
        </w:rPr>
        <w:t>，则颗粒物产生量为</w:t>
      </w:r>
      <w:r>
        <w:rPr>
          <w:rFonts w:hint="default" w:ascii="Times New Roman" w:hAnsi="Times New Roman" w:eastAsia="宋体" w:cs="Times New Roman"/>
          <w:i w:val="0"/>
          <w:iCs w:val="0"/>
          <w:caps w:val="0"/>
          <w:color w:val="000000"/>
          <w:spacing w:val="0"/>
          <w:sz w:val="21"/>
          <w:szCs w:val="21"/>
          <w:shd w:val="clear" w:fill="FFFFFF"/>
        </w:rPr>
        <w:t>20kg/a</w:t>
      </w:r>
      <w:r>
        <w:rPr>
          <w:rFonts w:hint="eastAsia" w:ascii="宋体" w:hAnsi="宋体" w:eastAsia="宋体" w:cs="宋体"/>
          <w:i w:val="0"/>
          <w:iCs w:val="0"/>
          <w:caps w:val="0"/>
          <w:color w:val="000000"/>
          <w:spacing w:val="0"/>
          <w:sz w:val="21"/>
          <w:szCs w:val="21"/>
          <w:shd w:val="clear" w:fill="FFFFFF"/>
        </w:rPr>
        <w:t>。</w:t>
      </w:r>
    </w:p>
    <w:p w14:paraId="1BA17840">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both"/>
        <w:rPr>
          <w:rFonts w:hint="eastAsia" w:ascii="微软雅黑" w:hAnsi="微软雅黑" w:eastAsia="微软雅黑" w:cs="微软雅黑"/>
          <w:i w:val="0"/>
          <w:iCs w:val="0"/>
          <w:caps w:val="0"/>
          <w:color w:val="000000"/>
          <w:spacing w:val="0"/>
          <w:sz w:val="24"/>
          <w:szCs w:val="24"/>
        </w:rPr>
      </w:pPr>
      <w:r>
        <w:rPr>
          <w:rFonts w:hint="eastAsia" w:ascii="宋体" w:hAnsi="宋体" w:eastAsia="宋体" w:cs="宋体"/>
          <w:i w:val="0"/>
          <w:iCs w:val="0"/>
          <w:caps w:val="0"/>
          <w:color w:val="000000"/>
          <w:spacing w:val="0"/>
          <w:sz w:val="21"/>
          <w:szCs w:val="21"/>
          <w:shd w:val="clear" w:fill="FFFFFF"/>
        </w:rPr>
        <w:t>项目拟对一台线切割机设备密闭后经集气管道收集废气经滤筒除尘器装置处理，由</w:t>
      </w:r>
      <w:r>
        <w:rPr>
          <w:rFonts w:hint="default" w:ascii="Times New Roman" w:hAnsi="Times New Roman" w:eastAsia="宋体" w:cs="Times New Roman"/>
          <w:i w:val="0"/>
          <w:iCs w:val="0"/>
          <w:caps w:val="0"/>
          <w:color w:val="000000"/>
          <w:spacing w:val="0"/>
          <w:sz w:val="21"/>
          <w:szCs w:val="21"/>
          <w:shd w:val="clear" w:fill="FFFFFF"/>
        </w:rPr>
        <w:t>15m</w:t>
      </w:r>
      <w:r>
        <w:rPr>
          <w:rFonts w:hint="eastAsia" w:ascii="宋体" w:hAnsi="宋体" w:eastAsia="宋体" w:cs="宋体"/>
          <w:i w:val="0"/>
          <w:iCs w:val="0"/>
          <w:caps w:val="0"/>
          <w:color w:val="000000"/>
          <w:spacing w:val="0"/>
          <w:sz w:val="21"/>
          <w:szCs w:val="21"/>
          <w:shd w:val="clear" w:fill="FFFFFF"/>
        </w:rPr>
        <w:t>高</w:t>
      </w:r>
      <w:r>
        <w:rPr>
          <w:rFonts w:hint="default" w:ascii="Times New Roman" w:hAnsi="Times New Roman" w:eastAsia="宋体" w:cs="Times New Roman"/>
          <w:i w:val="0"/>
          <w:iCs w:val="0"/>
          <w:caps w:val="0"/>
          <w:color w:val="000000"/>
          <w:spacing w:val="0"/>
          <w:sz w:val="21"/>
          <w:szCs w:val="21"/>
          <w:shd w:val="clear" w:fill="FFFFFF"/>
        </w:rPr>
        <w:t>DA001</w:t>
      </w:r>
      <w:r>
        <w:rPr>
          <w:rFonts w:hint="eastAsia" w:ascii="宋体" w:hAnsi="宋体" w:eastAsia="宋体" w:cs="宋体"/>
          <w:i w:val="0"/>
          <w:iCs w:val="0"/>
          <w:caps w:val="0"/>
          <w:color w:val="000000"/>
          <w:spacing w:val="0"/>
          <w:sz w:val="21"/>
          <w:szCs w:val="21"/>
          <w:shd w:val="clear" w:fill="FFFFFF"/>
        </w:rPr>
        <w:t>排气筒排放，密闭管道收集效率</w:t>
      </w:r>
      <w:r>
        <w:rPr>
          <w:rFonts w:hint="default" w:ascii="Times New Roman" w:hAnsi="Times New Roman" w:eastAsia="宋体" w:cs="Times New Roman"/>
          <w:i w:val="0"/>
          <w:iCs w:val="0"/>
          <w:caps w:val="0"/>
          <w:color w:val="000000"/>
          <w:spacing w:val="0"/>
          <w:sz w:val="21"/>
          <w:szCs w:val="21"/>
          <w:shd w:val="clear" w:fill="FFFFFF"/>
        </w:rPr>
        <w:t>97%</w:t>
      </w:r>
      <w:r>
        <w:rPr>
          <w:rFonts w:hint="eastAsia" w:ascii="宋体" w:hAnsi="宋体" w:eastAsia="宋体" w:cs="宋体"/>
          <w:i w:val="0"/>
          <w:iCs w:val="0"/>
          <w:caps w:val="0"/>
          <w:color w:val="000000"/>
          <w:spacing w:val="0"/>
          <w:sz w:val="21"/>
          <w:szCs w:val="21"/>
          <w:shd w:val="clear" w:fill="FFFFFF"/>
        </w:rPr>
        <w:t>，滤筒除尘器处理效率</w:t>
      </w:r>
      <w:r>
        <w:rPr>
          <w:rFonts w:hint="default" w:ascii="Times New Roman" w:hAnsi="Times New Roman" w:eastAsia="宋体" w:cs="Times New Roman"/>
          <w:i w:val="0"/>
          <w:iCs w:val="0"/>
          <w:caps w:val="0"/>
          <w:color w:val="000000"/>
          <w:spacing w:val="0"/>
          <w:sz w:val="21"/>
          <w:szCs w:val="21"/>
          <w:shd w:val="clear" w:fill="FFFFFF"/>
        </w:rPr>
        <w:t>90%</w:t>
      </w:r>
      <w:r>
        <w:rPr>
          <w:rFonts w:hint="eastAsia" w:ascii="宋体" w:hAnsi="宋体" w:eastAsia="宋体" w:cs="宋体"/>
          <w:i w:val="0"/>
          <w:iCs w:val="0"/>
          <w:caps w:val="0"/>
          <w:color w:val="000000"/>
          <w:spacing w:val="0"/>
          <w:sz w:val="21"/>
          <w:szCs w:val="21"/>
          <w:shd w:val="clear" w:fill="FFFFFF"/>
        </w:rPr>
        <w:t>。</w:t>
      </w:r>
    </w:p>
    <w:p w14:paraId="68B91251">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both"/>
        <w:rPr>
          <w:rFonts w:hint="eastAsia" w:ascii="微软雅黑" w:hAnsi="微软雅黑" w:eastAsia="微软雅黑" w:cs="微软雅黑"/>
          <w:i w:val="0"/>
          <w:iCs w:val="0"/>
          <w:caps w:val="0"/>
          <w:color w:val="000000"/>
          <w:spacing w:val="0"/>
          <w:sz w:val="24"/>
          <w:szCs w:val="24"/>
        </w:rPr>
      </w:pPr>
      <w:r>
        <w:rPr>
          <w:rFonts w:hint="eastAsia" w:ascii="宋体" w:hAnsi="宋体" w:eastAsia="宋体" w:cs="宋体"/>
          <w:i w:val="0"/>
          <w:iCs w:val="0"/>
          <w:caps w:val="0"/>
          <w:color w:val="000000"/>
          <w:spacing w:val="0"/>
          <w:sz w:val="21"/>
          <w:szCs w:val="21"/>
          <w:shd w:val="clear" w:fill="FFFFFF"/>
        </w:rPr>
        <w:t>根据建设单位提供材料，一台线切割机连接一根</w:t>
      </w:r>
      <w:r>
        <w:rPr>
          <w:rFonts w:hint="default" w:ascii="Times New Roman" w:hAnsi="Times New Roman" w:eastAsia="宋体" w:cs="Times New Roman"/>
          <w:i w:val="0"/>
          <w:iCs w:val="0"/>
          <w:caps w:val="0"/>
          <w:color w:val="000000"/>
          <w:spacing w:val="0"/>
          <w:sz w:val="21"/>
          <w:szCs w:val="21"/>
          <w:shd w:val="clear" w:fill="FFFFFF"/>
        </w:rPr>
        <w:t>0.3m</w:t>
      </w:r>
      <w:r>
        <w:rPr>
          <w:rFonts w:hint="eastAsia" w:ascii="宋体" w:hAnsi="宋体" w:eastAsia="宋体" w:cs="宋体"/>
          <w:i w:val="0"/>
          <w:iCs w:val="0"/>
          <w:caps w:val="0"/>
          <w:color w:val="000000"/>
          <w:spacing w:val="0"/>
          <w:sz w:val="21"/>
          <w:szCs w:val="21"/>
          <w:shd w:val="clear" w:fill="FFFFFF"/>
        </w:rPr>
        <w:t>的风管，风量</w:t>
      </w:r>
      <w:r>
        <w:rPr>
          <w:rFonts w:hint="default" w:ascii="Times New Roman" w:hAnsi="Times New Roman" w:eastAsia="宋体" w:cs="Times New Roman"/>
          <w:i w:val="0"/>
          <w:iCs w:val="0"/>
          <w:caps w:val="0"/>
          <w:color w:val="000000"/>
          <w:spacing w:val="0"/>
          <w:sz w:val="21"/>
          <w:szCs w:val="21"/>
          <w:shd w:val="clear" w:fill="FFFFFF"/>
        </w:rPr>
        <w:t>3000m</w:t>
      </w:r>
      <w:r>
        <w:rPr>
          <w:rFonts w:hint="default" w:ascii="Times New Roman" w:hAnsi="Times New Roman" w:eastAsia="宋体" w:cs="Times New Roman"/>
          <w:i w:val="0"/>
          <w:iCs w:val="0"/>
          <w:caps w:val="0"/>
          <w:color w:val="000000"/>
          <w:spacing w:val="0"/>
          <w:sz w:val="21"/>
          <w:szCs w:val="21"/>
          <w:shd w:val="clear" w:fill="FFFFFF"/>
          <w:vertAlign w:val="superscript"/>
        </w:rPr>
        <w:t>3</w:t>
      </w:r>
      <w:r>
        <w:rPr>
          <w:rFonts w:hint="default" w:ascii="Times New Roman" w:hAnsi="Times New Roman" w:eastAsia="宋体" w:cs="Times New Roman"/>
          <w:i w:val="0"/>
          <w:iCs w:val="0"/>
          <w:caps w:val="0"/>
          <w:color w:val="000000"/>
          <w:spacing w:val="0"/>
          <w:sz w:val="21"/>
          <w:szCs w:val="21"/>
          <w:shd w:val="clear" w:fill="FFFFFF"/>
        </w:rPr>
        <w:t>/h</w:t>
      </w:r>
      <w:r>
        <w:rPr>
          <w:rFonts w:hint="eastAsia" w:ascii="宋体" w:hAnsi="宋体" w:eastAsia="宋体" w:cs="宋体"/>
          <w:i w:val="0"/>
          <w:iCs w:val="0"/>
          <w:caps w:val="0"/>
          <w:color w:val="000000"/>
          <w:spacing w:val="0"/>
          <w:sz w:val="21"/>
          <w:szCs w:val="21"/>
          <w:shd w:val="clear" w:fill="FFFFFF"/>
        </w:rPr>
        <w:t>。则切割粉尘产生量为</w:t>
      </w:r>
      <w:r>
        <w:rPr>
          <w:rFonts w:hint="default" w:ascii="Times New Roman" w:hAnsi="Times New Roman" w:eastAsia="宋体" w:cs="Times New Roman"/>
          <w:i w:val="0"/>
          <w:iCs w:val="0"/>
          <w:caps w:val="0"/>
          <w:color w:val="000000"/>
          <w:spacing w:val="0"/>
          <w:sz w:val="21"/>
          <w:szCs w:val="21"/>
          <w:shd w:val="clear" w:fill="FFFFFF"/>
        </w:rPr>
        <w:t>0.02t/a</w:t>
      </w:r>
      <w:r>
        <w:rPr>
          <w:rFonts w:hint="eastAsia" w:ascii="宋体" w:hAnsi="宋体" w:eastAsia="宋体" w:cs="宋体"/>
          <w:i w:val="0"/>
          <w:iCs w:val="0"/>
          <w:caps w:val="0"/>
          <w:color w:val="000000"/>
          <w:spacing w:val="0"/>
          <w:sz w:val="21"/>
          <w:szCs w:val="21"/>
          <w:shd w:val="clear" w:fill="FFFFFF"/>
        </w:rPr>
        <w:t>，产生速率为</w:t>
      </w:r>
      <w:r>
        <w:rPr>
          <w:rFonts w:hint="default" w:ascii="Times New Roman" w:hAnsi="Times New Roman" w:eastAsia="宋体" w:cs="Times New Roman"/>
          <w:i w:val="0"/>
          <w:iCs w:val="0"/>
          <w:caps w:val="0"/>
          <w:color w:val="000000"/>
          <w:spacing w:val="0"/>
          <w:sz w:val="21"/>
          <w:szCs w:val="21"/>
          <w:shd w:val="clear" w:fill="FFFFFF"/>
        </w:rPr>
        <w:t>0.0083kg/h</w:t>
      </w:r>
      <w:r>
        <w:rPr>
          <w:rFonts w:hint="eastAsia" w:ascii="宋体" w:hAnsi="宋体" w:eastAsia="宋体" w:cs="宋体"/>
          <w:i w:val="0"/>
          <w:iCs w:val="0"/>
          <w:caps w:val="0"/>
          <w:color w:val="000000"/>
          <w:spacing w:val="0"/>
          <w:sz w:val="21"/>
          <w:szCs w:val="21"/>
          <w:shd w:val="clear" w:fill="FFFFFF"/>
        </w:rPr>
        <w:t>，产生浓度为</w:t>
      </w:r>
      <w:r>
        <w:rPr>
          <w:rFonts w:hint="default" w:ascii="Times New Roman" w:hAnsi="Times New Roman" w:eastAsia="宋体" w:cs="Times New Roman"/>
          <w:i w:val="0"/>
          <w:iCs w:val="0"/>
          <w:caps w:val="0"/>
          <w:color w:val="000000"/>
          <w:spacing w:val="0"/>
          <w:sz w:val="21"/>
          <w:szCs w:val="21"/>
          <w:shd w:val="clear" w:fill="FFFFFF"/>
        </w:rPr>
        <w:t>2.77mg/m</w:t>
      </w:r>
      <w:r>
        <w:rPr>
          <w:rFonts w:hint="default" w:ascii="Times New Roman" w:hAnsi="Times New Roman" w:eastAsia="宋体" w:cs="Times New Roman"/>
          <w:i w:val="0"/>
          <w:iCs w:val="0"/>
          <w:caps w:val="0"/>
          <w:color w:val="000000"/>
          <w:spacing w:val="0"/>
          <w:sz w:val="21"/>
          <w:szCs w:val="21"/>
          <w:shd w:val="clear" w:fill="FFFFFF"/>
          <w:vertAlign w:val="superscript"/>
        </w:rPr>
        <w:t>3</w:t>
      </w:r>
      <w:r>
        <w:rPr>
          <w:rFonts w:hint="default" w:ascii="Times New Roman" w:hAnsi="Times New Roman" w:eastAsia="宋体" w:cs="Times New Roman"/>
          <w:i w:val="0"/>
          <w:iCs w:val="0"/>
          <w:caps w:val="0"/>
          <w:color w:val="000000"/>
          <w:spacing w:val="0"/>
          <w:sz w:val="21"/>
          <w:szCs w:val="21"/>
          <w:shd w:val="clear" w:fill="FFFFFF"/>
        </w:rPr>
        <w:t>,</w:t>
      </w:r>
      <w:r>
        <w:rPr>
          <w:rFonts w:hint="eastAsia" w:ascii="宋体" w:hAnsi="宋体" w:eastAsia="宋体" w:cs="宋体"/>
          <w:i w:val="0"/>
          <w:iCs w:val="0"/>
          <w:caps w:val="0"/>
          <w:color w:val="000000"/>
          <w:spacing w:val="0"/>
          <w:sz w:val="21"/>
          <w:szCs w:val="21"/>
          <w:shd w:val="clear" w:fill="FFFFFF"/>
        </w:rPr>
        <w:t>排放量为</w:t>
      </w:r>
      <w:r>
        <w:rPr>
          <w:rFonts w:hint="default" w:ascii="Times New Roman" w:hAnsi="Times New Roman" w:eastAsia="宋体" w:cs="Times New Roman"/>
          <w:i w:val="0"/>
          <w:iCs w:val="0"/>
          <w:caps w:val="0"/>
          <w:color w:val="000000"/>
          <w:spacing w:val="0"/>
          <w:sz w:val="21"/>
          <w:szCs w:val="21"/>
          <w:shd w:val="clear" w:fill="FFFFFF"/>
        </w:rPr>
        <w:t>0.0019t/a</w:t>
      </w:r>
      <w:r>
        <w:rPr>
          <w:rFonts w:hint="eastAsia" w:ascii="宋体" w:hAnsi="宋体" w:eastAsia="宋体" w:cs="宋体"/>
          <w:i w:val="0"/>
          <w:iCs w:val="0"/>
          <w:caps w:val="0"/>
          <w:color w:val="000000"/>
          <w:spacing w:val="0"/>
          <w:sz w:val="21"/>
          <w:szCs w:val="21"/>
          <w:shd w:val="clear" w:fill="FFFFFF"/>
        </w:rPr>
        <w:t>，排放速率为</w:t>
      </w:r>
      <w:r>
        <w:rPr>
          <w:rFonts w:hint="default" w:ascii="Times New Roman" w:hAnsi="Times New Roman" w:eastAsia="宋体" w:cs="Times New Roman"/>
          <w:i w:val="0"/>
          <w:iCs w:val="0"/>
          <w:caps w:val="0"/>
          <w:color w:val="000000"/>
          <w:spacing w:val="0"/>
          <w:sz w:val="21"/>
          <w:szCs w:val="21"/>
          <w:shd w:val="clear" w:fill="FFFFFF"/>
        </w:rPr>
        <w:t>0.00079kg/h</w:t>
      </w:r>
      <w:r>
        <w:rPr>
          <w:rFonts w:hint="eastAsia" w:ascii="宋体" w:hAnsi="宋体" w:eastAsia="宋体" w:cs="宋体"/>
          <w:i w:val="0"/>
          <w:iCs w:val="0"/>
          <w:caps w:val="0"/>
          <w:color w:val="000000"/>
          <w:spacing w:val="0"/>
          <w:sz w:val="21"/>
          <w:szCs w:val="21"/>
          <w:shd w:val="clear" w:fill="FFFFFF"/>
        </w:rPr>
        <w:t>，排放浓度为</w:t>
      </w:r>
      <w:r>
        <w:rPr>
          <w:rFonts w:hint="default" w:ascii="Times New Roman" w:hAnsi="Times New Roman" w:eastAsia="宋体" w:cs="Times New Roman"/>
          <w:i w:val="0"/>
          <w:iCs w:val="0"/>
          <w:caps w:val="0"/>
          <w:color w:val="000000"/>
          <w:spacing w:val="0"/>
          <w:sz w:val="21"/>
          <w:szCs w:val="21"/>
          <w:shd w:val="clear" w:fill="FFFFFF"/>
        </w:rPr>
        <w:t>0.26mg/m</w:t>
      </w:r>
      <w:r>
        <w:rPr>
          <w:rFonts w:hint="default" w:ascii="Times New Roman" w:hAnsi="Times New Roman" w:eastAsia="宋体" w:cs="Times New Roman"/>
          <w:i w:val="0"/>
          <w:iCs w:val="0"/>
          <w:caps w:val="0"/>
          <w:color w:val="000000"/>
          <w:spacing w:val="0"/>
          <w:sz w:val="21"/>
          <w:szCs w:val="21"/>
          <w:shd w:val="clear" w:fill="FFFFFF"/>
          <w:vertAlign w:val="superscript"/>
        </w:rPr>
        <w:t>3</w:t>
      </w:r>
      <w:r>
        <w:rPr>
          <w:rFonts w:hint="eastAsia" w:ascii="宋体" w:hAnsi="宋体" w:eastAsia="宋体" w:cs="宋体"/>
          <w:i w:val="0"/>
          <w:iCs w:val="0"/>
          <w:caps w:val="0"/>
          <w:color w:val="000000"/>
          <w:spacing w:val="0"/>
          <w:sz w:val="21"/>
          <w:szCs w:val="21"/>
          <w:shd w:val="clear" w:fill="FFFFFF"/>
        </w:rPr>
        <w:t>。</w:t>
      </w:r>
    </w:p>
    <w:p w14:paraId="52B75F48">
      <w:pPr>
        <w:pStyle w:val="11"/>
        <w:rPr>
          <w:rFonts w:hint="eastAsia"/>
          <w:lang w:eastAsia="zh-CN"/>
        </w:rPr>
      </w:pPr>
    </w:p>
  </w:comment>
  <w:comment w:id="15" w:author="王仁保" w:date="2024-08-01T15:15:18Z" w:initials="">
    <w:p w14:paraId="4C8165C4">
      <w:pPr>
        <w:pStyle w:val="11"/>
        <w:rPr>
          <w:rFonts w:hint="default" w:eastAsia="宋体"/>
          <w:lang w:val="en-US" w:eastAsia="zh-CN"/>
        </w:rPr>
      </w:pPr>
      <w:r>
        <w:rPr>
          <w:rFonts w:hint="eastAsia"/>
          <w:lang w:val="en-US" w:eastAsia="zh-CN"/>
        </w:rPr>
        <w:t>已与建设单位核实，切割、钻孔过程中均需要使用切削液，湿法加工不会产生粉尘</w:t>
      </w:r>
    </w:p>
  </w:comment>
  <w:comment w:id="16" w:author="ulysses" w:date="2024-08-01T08:24:05Z" w:initials="">
    <w:p w14:paraId="11CD40CE">
      <w:pPr>
        <w:pStyle w:val="11"/>
        <w:rPr>
          <w:rFonts w:hint="eastAsia" w:eastAsia="宋体"/>
          <w:lang w:eastAsia="zh-CN"/>
        </w:rPr>
      </w:pPr>
      <w:r>
        <w:rPr>
          <w:rFonts w:hint="eastAsia"/>
          <w:lang w:eastAsia="zh-CN"/>
        </w:rPr>
        <w:t>工艺和上面一样可以合并</w:t>
      </w:r>
    </w:p>
  </w:comment>
  <w:comment w:id="17" w:author="王仁保" w:date="2024-08-01T16:12:45Z" w:initials="">
    <w:p w14:paraId="1ACE5ECB">
      <w:pPr>
        <w:pStyle w:val="11"/>
        <w:rPr>
          <w:rFonts w:hint="eastAsia" w:eastAsia="宋体"/>
          <w:lang w:val="en-US" w:eastAsia="zh-CN"/>
        </w:rPr>
      </w:pPr>
      <w:r>
        <w:rPr>
          <w:rFonts w:hint="eastAsia"/>
          <w:lang w:val="en-US" w:eastAsia="zh-CN"/>
        </w:rPr>
        <w:t>已合并</w:t>
      </w:r>
    </w:p>
  </w:comment>
  <w:comment w:id="18" w:author="ulysses" w:date="2024-08-01T08:25:13Z" w:initials="">
    <w:p w14:paraId="16261500">
      <w:pPr>
        <w:pStyle w:val="11"/>
        <w:rPr>
          <w:rFonts w:hint="eastAsia" w:eastAsia="宋体"/>
          <w:lang w:eastAsia="zh-CN"/>
        </w:rPr>
      </w:pPr>
      <w:r>
        <w:rPr>
          <w:rFonts w:hint="eastAsia"/>
          <w:lang w:eastAsia="zh-CN"/>
        </w:rPr>
        <w:t>不能这样描述，原有项目还是有验收等资料可以调查的。根据验收资料说明</w:t>
      </w:r>
    </w:p>
  </w:comment>
  <w:comment w:id="19" w:author="王仁保" w:date="2024-08-01T14:56:16Z" w:initials="">
    <w:p w14:paraId="6396142E">
      <w:pPr>
        <w:pStyle w:val="11"/>
        <w:rPr>
          <w:rFonts w:hint="default" w:eastAsia="宋体"/>
          <w:lang w:val="en-US" w:eastAsia="zh-CN"/>
        </w:rPr>
      </w:pPr>
      <w:r>
        <w:rPr>
          <w:rFonts w:hint="eastAsia"/>
          <w:lang w:val="en-US" w:eastAsia="zh-CN"/>
        </w:rPr>
        <w:t>已重新描述</w:t>
      </w:r>
    </w:p>
  </w:comment>
  <w:comment w:id="20" w:author="ulysses" w:date="2024-08-01T08:38:40Z" w:initials="">
    <w:p w14:paraId="1D046F0F">
      <w:pPr>
        <w:pStyle w:val="11"/>
        <w:rPr>
          <w:rFonts w:hint="eastAsia" w:eastAsia="宋体"/>
          <w:lang w:eastAsia="zh-CN"/>
        </w:rPr>
      </w:pPr>
      <w:r>
        <w:rPr>
          <w:rFonts w:hint="eastAsia"/>
          <w:lang w:eastAsia="zh-CN"/>
        </w:rPr>
        <w:t>补充线切割粉尘</w:t>
      </w:r>
    </w:p>
  </w:comment>
  <w:comment w:id="21" w:author="王仁保" w:date="2024-08-01T16:24:44Z" w:initials="">
    <w:p w14:paraId="68C929BA">
      <w:pPr>
        <w:pStyle w:val="11"/>
        <w:rPr>
          <w:rFonts w:hint="default" w:eastAsia="宋体"/>
          <w:lang w:val="en-US" w:eastAsia="zh-CN"/>
        </w:rPr>
      </w:pPr>
      <w:r>
        <w:rPr>
          <w:rFonts w:hint="eastAsia"/>
          <w:lang w:val="en-US" w:eastAsia="zh-CN"/>
        </w:rPr>
        <w:t>与企业核实，线切割为湿法切割，无粉尘产生</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06F356E3" w15:done="0"/>
  <w15:commentEx w15:paraId="158858F9" w15:done="0" w15:paraIdParent="06F356E3"/>
  <w15:commentEx w15:paraId="55137668" w15:done="0"/>
  <w15:commentEx w15:paraId="56F32662" w15:done="0" w15:paraIdParent="55137668"/>
  <w15:commentEx w15:paraId="08485274" w15:done="0"/>
  <w15:commentEx w15:paraId="66D03DF8" w15:done="0" w15:paraIdParent="08485274"/>
  <w15:commentEx w15:paraId="3BF86CB8" w15:done="0"/>
  <w15:commentEx w15:paraId="6B8161CD" w15:done="0" w15:paraIdParent="3BF86CB8"/>
  <w15:commentEx w15:paraId="2C227B00" w15:done="0"/>
  <w15:commentEx w15:paraId="2FD5098A" w15:done="0" w15:paraIdParent="2C227B00"/>
  <w15:commentEx w15:paraId="15AA0EA1" w15:done="0"/>
  <w15:commentEx w15:paraId="5DD10CF5" w15:done="0" w15:paraIdParent="15AA0EA1"/>
  <w15:commentEx w15:paraId="56917335" w15:done="0"/>
  <w15:commentEx w15:paraId="12294F97" w15:done="0" w15:paraIdParent="56917335"/>
  <w15:commentEx w15:paraId="52B75F48" w15:done="0"/>
  <w15:commentEx w15:paraId="4C8165C4" w15:done="0" w15:paraIdParent="52B75F48"/>
  <w15:commentEx w15:paraId="11CD40CE" w15:done="0"/>
  <w15:commentEx w15:paraId="1ACE5ECB" w15:done="0" w15:paraIdParent="11CD40CE"/>
  <w15:commentEx w15:paraId="16261500" w15:done="0"/>
  <w15:commentEx w15:paraId="6396142E" w15:done="0" w15:paraIdParent="16261500"/>
  <w15:commentEx w15:paraId="1D046F0F" w15:done="0"/>
  <w15:commentEx w15:paraId="68C929BA" w15:done="0" w15:paraIdParent="1D046F0F"/>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Wingdings 2">
    <w:panose1 w:val="05020102010507070707"/>
    <w:charset w:val="02"/>
    <w:family w:val="roman"/>
    <w:pitch w:val="default"/>
    <w:sig w:usb0="00000000" w:usb1="00000000" w:usb2="00000000" w:usb3="00000000" w:csb0="80000000" w:csb1="00000000"/>
  </w:font>
  <w:font w:name="Cambria Math">
    <w:panose1 w:val="02040503050406030204"/>
    <w:charset w:val="00"/>
    <w:family w:val="roman"/>
    <w:pitch w:val="default"/>
    <w:sig w:usb0="E00006FF" w:usb1="420024FF" w:usb2="02000000" w:usb3="00000000" w:csb0="2000019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ind w:firstLine="360"/>
                          </w:pPr>
                          <w:r>
                            <w:rPr>
                              <w:rFonts w:hint="eastAsia"/>
                            </w:rPr>
                            <w:fldChar w:fldCharType="begin"/>
                          </w:r>
                          <w:r>
                            <w:rPr>
                              <w:rFonts w:hint="eastAsia"/>
                            </w:rPr>
                            <w:instrText xml:space="preserve"> PAGE  \* MERGEFORMAT </w:instrText>
                          </w:r>
                          <w:r>
                            <w:rPr>
                              <w:rFonts w:hint="eastAsia"/>
                            </w:rPr>
                            <w:fldChar w:fldCharType="separate"/>
                          </w:r>
                          <w:r>
                            <w:t>63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12"/>
                      <w:ind w:firstLine="360"/>
                    </w:pPr>
                    <w:r>
                      <w:rPr>
                        <w:rFonts w:hint="eastAsia"/>
                      </w:rPr>
                      <w:fldChar w:fldCharType="begin"/>
                    </w:r>
                    <w:r>
                      <w:rPr>
                        <w:rFonts w:hint="eastAsia"/>
                      </w:rPr>
                      <w:instrText xml:space="preserve"> PAGE  \* MERGEFORMAT </w:instrText>
                    </w:r>
                    <w:r>
                      <w:rPr>
                        <w:rFonts w:hint="eastAsia"/>
                      </w:rPr>
                      <w:fldChar w:fldCharType="separate"/>
                    </w:r>
                    <w:r>
                      <w:t>63</w:t>
                    </w:r>
                    <w:r>
                      <w:rPr>
                        <w:rFonts w:hint="eastAsia"/>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C427EB"/>
    <w:multiLevelType w:val="singleLevel"/>
    <w:tmpl w:val="81C427EB"/>
    <w:lvl w:ilvl="0" w:tentative="0">
      <w:start w:val="1"/>
      <w:numFmt w:val="decimal"/>
      <w:suff w:val="nothing"/>
      <w:lvlText w:val="%1、"/>
      <w:lvlJc w:val="left"/>
    </w:lvl>
  </w:abstractNum>
  <w:abstractNum w:abstractNumId="1">
    <w:nsid w:val="85D21DC9"/>
    <w:multiLevelType w:val="singleLevel"/>
    <w:tmpl w:val="85D21DC9"/>
    <w:lvl w:ilvl="0" w:tentative="0">
      <w:start w:val="1"/>
      <w:numFmt w:val="decimal"/>
      <w:suff w:val="nothing"/>
      <w:lvlText w:val="（%1）"/>
      <w:lvlJc w:val="left"/>
    </w:lvl>
  </w:abstractNum>
  <w:abstractNum w:abstractNumId="2">
    <w:nsid w:val="93277E03"/>
    <w:multiLevelType w:val="multilevel"/>
    <w:tmpl w:val="93277E03"/>
    <w:lvl w:ilvl="0" w:tentative="0">
      <w:start w:val="1"/>
      <w:numFmt w:val="decimal"/>
      <w:lvlText w:val="%1."/>
      <w:lvlJc w:val="left"/>
      <w:pPr>
        <w:ind w:left="432" w:hanging="432"/>
      </w:pPr>
      <w:rPr>
        <w:rFonts w:hint="default"/>
      </w:rPr>
    </w:lvl>
    <w:lvl w:ilvl="1" w:tentative="0">
      <w:start w:val="1"/>
      <w:numFmt w:val="decimal"/>
      <w:pStyle w:val="4"/>
      <w:lvlText w:val="%1.%2."/>
      <w:lvlJc w:val="left"/>
      <w:pPr>
        <w:ind w:left="575" w:hanging="575"/>
      </w:pPr>
      <w:rPr>
        <w:rFonts w:hint="default"/>
      </w:rPr>
    </w:lvl>
    <w:lvl w:ilvl="2" w:tentative="0">
      <w:start w:val="1"/>
      <w:numFmt w:val="decimal"/>
      <w:pStyle w:val="5"/>
      <w:lvlText w:val="%1.%2.%3."/>
      <w:lvlJc w:val="left"/>
      <w:pPr>
        <w:ind w:left="720" w:hanging="720"/>
      </w:pPr>
      <w:rPr>
        <w:rFonts w:hint="default"/>
      </w:rPr>
    </w:lvl>
    <w:lvl w:ilvl="3" w:tentative="0">
      <w:start w:val="1"/>
      <w:numFmt w:val="decimal"/>
      <w:pStyle w:val="2"/>
      <w:lvlText w:val="%1.%2.%3.%4."/>
      <w:lvlJc w:val="left"/>
      <w:pPr>
        <w:ind w:left="864" w:hanging="864"/>
      </w:pPr>
      <w:rPr>
        <w:rFonts w:hint="default"/>
      </w:rPr>
    </w:lvl>
    <w:lvl w:ilvl="4" w:tentative="0">
      <w:start w:val="1"/>
      <w:numFmt w:val="decimal"/>
      <w:pStyle w:val="6"/>
      <w:lvlText w:val="%1.%2.%3.%4.%5."/>
      <w:lvlJc w:val="left"/>
      <w:pPr>
        <w:ind w:left="1008" w:hanging="1008"/>
      </w:pPr>
      <w:rPr>
        <w:rFonts w:hint="default"/>
      </w:rPr>
    </w:lvl>
    <w:lvl w:ilvl="5" w:tentative="0">
      <w:start w:val="1"/>
      <w:numFmt w:val="decimal"/>
      <w:pStyle w:val="7"/>
      <w:lvlText w:val="%1.%2.%3.%4.%5.%6."/>
      <w:lvlJc w:val="left"/>
      <w:pPr>
        <w:ind w:left="1151" w:hanging="1151"/>
      </w:pPr>
      <w:rPr>
        <w:rFonts w:hint="default"/>
      </w:rPr>
    </w:lvl>
    <w:lvl w:ilvl="6" w:tentative="0">
      <w:start w:val="1"/>
      <w:numFmt w:val="decimal"/>
      <w:pStyle w:val="8"/>
      <w:lvlText w:val="%1.%2.%3.%4.%5.%6.%7."/>
      <w:lvlJc w:val="left"/>
      <w:pPr>
        <w:ind w:left="1296" w:hanging="1296"/>
      </w:pPr>
      <w:rPr>
        <w:rFonts w:hint="default"/>
      </w:rPr>
    </w:lvl>
    <w:lvl w:ilvl="7" w:tentative="0">
      <w:start w:val="1"/>
      <w:numFmt w:val="decimal"/>
      <w:pStyle w:val="9"/>
      <w:lvlText w:val="%1.%2.%3.%4.%5.%6.%7.%8."/>
      <w:lvlJc w:val="left"/>
      <w:pPr>
        <w:ind w:left="1440" w:hanging="1440"/>
      </w:pPr>
      <w:rPr>
        <w:rFonts w:hint="default"/>
      </w:rPr>
    </w:lvl>
    <w:lvl w:ilvl="8" w:tentative="0">
      <w:start w:val="1"/>
      <w:numFmt w:val="decimal"/>
      <w:pStyle w:val="10"/>
      <w:lvlText w:val="%1.%2.%3.%4.%5.%6.%7.%8.%9."/>
      <w:lvlJc w:val="left"/>
      <w:pPr>
        <w:ind w:left="1583" w:hanging="1583"/>
      </w:pPr>
      <w:rPr>
        <w:rFonts w:hint="default"/>
      </w:rPr>
    </w:lvl>
  </w:abstractNum>
  <w:abstractNum w:abstractNumId="3">
    <w:nsid w:val="AAD8C224"/>
    <w:multiLevelType w:val="singleLevel"/>
    <w:tmpl w:val="AAD8C224"/>
    <w:lvl w:ilvl="0" w:tentative="0">
      <w:start w:val="1"/>
      <w:numFmt w:val="decimal"/>
      <w:suff w:val="nothing"/>
      <w:lvlText w:val="%1、"/>
      <w:lvlJc w:val="left"/>
    </w:lvl>
  </w:abstractNum>
  <w:abstractNum w:abstractNumId="4">
    <w:nsid w:val="C1FDDB00"/>
    <w:multiLevelType w:val="singleLevel"/>
    <w:tmpl w:val="C1FDDB00"/>
    <w:lvl w:ilvl="0" w:tentative="0">
      <w:start w:val="1"/>
      <w:numFmt w:val="decimal"/>
      <w:suff w:val="nothing"/>
      <w:lvlText w:val="%1、"/>
      <w:lvlJc w:val="left"/>
    </w:lvl>
  </w:abstractNum>
  <w:abstractNum w:abstractNumId="5">
    <w:nsid w:val="C41F3B28"/>
    <w:multiLevelType w:val="singleLevel"/>
    <w:tmpl w:val="C41F3B28"/>
    <w:lvl w:ilvl="0" w:tentative="0">
      <w:start w:val="1"/>
      <w:numFmt w:val="chineseCounting"/>
      <w:pStyle w:val="3"/>
      <w:suff w:val="nothing"/>
      <w:lvlText w:val="%1、"/>
      <w:lvlJc w:val="left"/>
      <w:pPr>
        <w:ind w:left="0" w:firstLine="420"/>
      </w:pPr>
      <w:rPr>
        <w:rFonts w:hint="eastAsia"/>
      </w:rPr>
    </w:lvl>
  </w:abstractNum>
  <w:abstractNum w:abstractNumId="6">
    <w:nsid w:val="DD4940B7"/>
    <w:multiLevelType w:val="singleLevel"/>
    <w:tmpl w:val="DD4940B7"/>
    <w:lvl w:ilvl="0" w:tentative="0">
      <w:start w:val="1"/>
      <w:numFmt w:val="decimal"/>
      <w:suff w:val="nothing"/>
      <w:lvlText w:val="%1、"/>
      <w:lvlJc w:val="left"/>
    </w:lvl>
  </w:abstractNum>
  <w:abstractNum w:abstractNumId="7">
    <w:nsid w:val="E9886FCB"/>
    <w:multiLevelType w:val="singleLevel"/>
    <w:tmpl w:val="E9886FCB"/>
    <w:lvl w:ilvl="0" w:tentative="0">
      <w:start w:val="1"/>
      <w:numFmt w:val="decimal"/>
      <w:suff w:val="nothing"/>
      <w:lvlText w:val="%1、"/>
      <w:lvlJc w:val="left"/>
    </w:lvl>
  </w:abstractNum>
  <w:abstractNum w:abstractNumId="8">
    <w:nsid w:val="06C5348C"/>
    <w:multiLevelType w:val="singleLevel"/>
    <w:tmpl w:val="06C5348C"/>
    <w:lvl w:ilvl="0" w:tentative="0">
      <w:start w:val="3"/>
      <w:numFmt w:val="decimal"/>
      <w:suff w:val="nothing"/>
      <w:lvlText w:val="%1、"/>
      <w:lvlJc w:val="left"/>
    </w:lvl>
  </w:abstractNum>
  <w:abstractNum w:abstractNumId="9">
    <w:nsid w:val="0A5184A4"/>
    <w:multiLevelType w:val="singleLevel"/>
    <w:tmpl w:val="0A5184A4"/>
    <w:lvl w:ilvl="0" w:tentative="0">
      <w:start w:val="1"/>
      <w:numFmt w:val="decimal"/>
      <w:suff w:val="nothing"/>
      <w:lvlText w:val="%1、"/>
      <w:lvlJc w:val="left"/>
    </w:lvl>
  </w:abstractNum>
  <w:abstractNum w:abstractNumId="10">
    <w:nsid w:val="183BFFCD"/>
    <w:multiLevelType w:val="singleLevel"/>
    <w:tmpl w:val="183BFFCD"/>
    <w:lvl w:ilvl="0" w:tentative="0">
      <w:start w:val="1"/>
      <w:numFmt w:val="decimal"/>
      <w:pStyle w:val="21"/>
      <w:suff w:val="nothing"/>
      <w:lvlText w:val="表%1："/>
      <w:lvlJc w:val="left"/>
      <w:pPr>
        <w:ind w:left="0" w:firstLine="0"/>
      </w:pPr>
      <w:rPr>
        <w:rFonts w:hint="default"/>
      </w:rPr>
    </w:lvl>
  </w:abstractNum>
  <w:abstractNum w:abstractNumId="11">
    <w:nsid w:val="25626D9B"/>
    <w:multiLevelType w:val="singleLevel"/>
    <w:tmpl w:val="25626D9B"/>
    <w:lvl w:ilvl="0" w:tentative="0">
      <w:start w:val="1"/>
      <w:numFmt w:val="decimal"/>
      <w:suff w:val="nothing"/>
      <w:lvlText w:val="%1、"/>
      <w:lvlJc w:val="left"/>
    </w:lvl>
  </w:abstractNum>
  <w:abstractNum w:abstractNumId="12">
    <w:nsid w:val="39DB811C"/>
    <w:multiLevelType w:val="singleLevel"/>
    <w:tmpl w:val="39DB811C"/>
    <w:lvl w:ilvl="0" w:tentative="0">
      <w:start w:val="1"/>
      <w:numFmt w:val="decimal"/>
      <w:suff w:val="nothing"/>
      <w:lvlText w:val="（%1）"/>
      <w:lvlJc w:val="left"/>
    </w:lvl>
  </w:abstractNum>
  <w:abstractNum w:abstractNumId="13">
    <w:nsid w:val="5698A60A"/>
    <w:multiLevelType w:val="singleLevel"/>
    <w:tmpl w:val="5698A60A"/>
    <w:lvl w:ilvl="0" w:tentative="0">
      <w:start w:val="1"/>
      <w:numFmt w:val="decimal"/>
      <w:suff w:val="nothing"/>
      <w:lvlText w:val="%1、"/>
      <w:lvlJc w:val="left"/>
    </w:lvl>
  </w:abstractNum>
  <w:abstractNum w:abstractNumId="14">
    <w:nsid w:val="663EDC7F"/>
    <w:multiLevelType w:val="singleLevel"/>
    <w:tmpl w:val="663EDC7F"/>
    <w:lvl w:ilvl="0" w:tentative="0">
      <w:start w:val="1"/>
      <w:numFmt w:val="decimal"/>
      <w:suff w:val="nothing"/>
      <w:lvlText w:val="%1、"/>
      <w:lvlJc w:val="left"/>
    </w:lvl>
  </w:abstractNum>
  <w:num w:numId="1">
    <w:abstractNumId w:val="5"/>
  </w:num>
  <w:num w:numId="2">
    <w:abstractNumId w:val="2"/>
  </w:num>
  <w:num w:numId="3">
    <w:abstractNumId w:val="10"/>
  </w:num>
  <w:num w:numId="4">
    <w:abstractNumId w:val="4"/>
  </w:num>
  <w:num w:numId="5">
    <w:abstractNumId w:val="13"/>
  </w:num>
  <w:num w:numId="6">
    <w:abstractNumId w:val="9"/>
  </w:num>
  <w:num w:numId="7">
    <w:abstractNumId w:val="11"/>
  </w:num>
  <w:num w:numId="8">
    <w:abstractNumId w:val="6"/>
  </w:num>
  <w:num w:numId="9">
    <w:abstractNumId w:val="0"/>
  </w:num>
  <w:num w:numId="10">
    <w:abstractNumId w:val="14"/>
  </w:num>
  <w:num w:numId="11">
    <w:abstractNumId w:val="3"/>
  </w:num>
  <w:num w:numId="12">
    <w:abstractNumId w:val="12"/>
  </w:num>
  <w:num w:numId="13">
    <w:abstractNumId w:val="7"/>
  </w:num>
  <w:num w:numId="14">
    <w:abstractNumId w:val="1"/>
  </w:num>
  <w:num w:numId="15">
    <w:abstractNumId w:val="8"/>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ulysses">
    <w15:presenceInfo w15:providerId="WPS Office" w15:userId="4038784460"/>
  </w15:person>
  <w15:person w15:author="王仁保">
    <w15:presenceInfo w15:providerId="WPS Office" w15:userId="417374666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hideSpellingErrors/>
  <w:revisionView w:markup="0"/>
  <w:documentProtection w:enforcement="0"/>
  <w:defaultTabStop w:val="420"/>
  <w:drawingGridHorizontalSpacing w:val="24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YyZjQ5MmQ5NGYxNzVjNTRiMzQyNDdiMzYwMjcyMDAifQ=="/>
    <w:docVar w:name="KSO_WPS_MARK_KEY" w:val="1215ea55-9678-4c87-b16d-a1c384b8b699"/>
  </w:docVars>
  <w:rsids>
    <w:rsidRoot w:val="00437F6F"/>
    <w:rsid w:val="00437F6F"/>
    <w:rsid w:val="006A4F47"/>
    <w:rsid w:val="00744649"/>
    <w:rsid w:val="0082680C"/>
    <w:rsid w:val="0096710C"/>
    <w:rsid w:val="00EB1F9F"/>
    <w:rsid w:val="00FE5E1F"/>
    <w:rsid w:val="01596A05"/>
    <w:rsid w:val="016F67D5"/>
    <w:rsid w:val="022507CF"/>
    <w:rsid w:val="03672C0B"/>
    <w:rsid w:val="04100C33"/>
    <w:rsid w:val="05683103"/>
    <w:rsid w:val="06591471"/>
    <w:rsid w:val="06DF7E45"/>
    <w:rsid w:val="070E254C"/>
    <w:rsid w:val="07E01DA1"/>
    <w:rsid w:val="07E51AAD"/>
    <w:rsid w:val="08501270"/>
    <w:rsid w:val="085E1958"/>
    <w:rsid w:val="09A2634C"/>
    <w:rsid w:val="09A90A88"/>
    <w:rsid w:val="0B0812EF"/>
    <w:rsid w:val="0B0D4888"/>
    <w:rsid w:val="0C6F2B5B"/>
    <w:rsid w:val="0C755B13"/>
    <w:rsid w:val="0DE95827"/>
    <w:rsid w:val="0DEA0DC2"/>
    <w:rsid w:val="0E0139B2"/>
    <w:rsid w:val="0E1D2A33"/>
    <w:rsid w:val="0E853758"/>
    <w:rsid w:val="0F2D5D0A"/>
    <w:rsid w:val="0F753B64"/>
    <w:rsid w:val="0F795E23"/>
    <w:rsid w:val="10290F76"/>
    <w:rsid w:val="10C1473A"/>
    <w:rsid w:val="123E1245"/>
    <w:rsid w:val="13171E78"/>
    <w:rsid w:val="13301B4F"/>
    <w:rsid w:val="145A237E"/>
    <w:rsid w:val="149B3FC3"/>
    <w:rsid w:val="16B971C0"/>
    <w:rsid w:val="1706261E"/>
    <w:rsid w:val="176757D0"/>
    <w:rsid w:val="17D859EF"/>
    <w:rsid w:val="17DA6C57"/>
    <w:rsid w:val="18650E47"/>
    <w:rsid w:val="1873378F"/>
    <w:rsid w:val="1AEA4A8F"/>
    <w:rsid w:val="1C5A20D8"/>
    <w:rsid w:val="1C7755C3"/>
    <w:rsid w:val="1D422A8B"/>
    <w:rsid w:val="1DF02F80"/>
    <w:rsid w:val="1E9022D1"/>
    <w:rsid w:val="1EAF406C"/>
    <w:rsid w:val="1F2732D5"/>
    <w:rsid w:val="1F340F5C"/>
    <w:rsid w:val="1FB445DC"/>
    <w:rsid w:val="209C4309"/>
    <w:rsid w:val="20FE17F4"/>
    <w:rsid w:val="21595C4A"/>
    <w:rsid w:val="21C93759"/>
    <w:rsid w:val="21E660AA"/>
    <w:rsid w:val="2262552B"/>
    <w:rsid w:val="22B32467"/>
    <w:rsid w:val="22F32DB1"/>
    <w:rsid w:val="231920B0"/>
    <w:rsid w:val="23B83287"/>
    <w:rsid w:val="2427754A"/>
    <w:rsid w:val="25C87BC1"/>
    <w:rsid w:val="268C4AB1"/>
    <w:rsid w:val="275A31DF"/>
    <w:rsid w:val="28B76A7C"/>
    <w:rsid w:val="2962272F"/>
    <w:rsid w:val="2A6308E4"/>
    <w:rsid w:val="2A721EBF"/>
    <w:rsid w:val="2DB35AE8"/>
    <w:rsid w:val="2DF33C9A"/>
    <w:rsid w:val="2E5D7317"/>
    <w:rsid w:val="2E916F35"/>
    <w:rsid w:val="2E9B2B9A"/>
    <w:rsid w:val="2EA71545"/>
    <w:rsid w:val="2EE214EF"/>
    <w:rsid w:val="2F325615"/>
    <w:rsid w:val="2F8625E5"/>
    <w:rsid w:val="2FB63264"/>
    <w:rsid w:val="304271ED"/>
    <w:rsid w:val="30894D2A"/>
    <w:rsid w:val="31074B17"/>
    <w:rsid w:val="31245247"/>
    <w:rsid w:val="319622EF"/>
    <w:rsid w:val="31B44DEB"/>
    <w:rsid w:val="31BD3D33"/>
    <w:rsid w:val="32033FF4"/>
    <w:rsid w:val="32736772"/>
    <w:rsid w:val="330B1DB9"/>
    <w:rsid w:val="33366F63"/>
    <w:rsid w:val="335A2971"/>
    <w:rsid w:val="33A61F0C"/>
    <w:rsid w:val="349D7F93"/>
    <w:rsid w:val="35EA6D7E"/>
    <w:rsid w:val="36C63EC8"/>
    <w:rsid w:val="37461D0A"/>
    <w:rsid w:val="38AA7D58"/>
    <w:rsid w:val="39113EF2"/>
    <w:rsid w:val="398C3BD1"/>
    <w:rsid w:val="3BD21132"/>
    <w:rsid w:val="3BD47FEC"/>
    <w:rsid w:val="3C9B30B3"/>
    <w:rsid w:val="3D8A5D30"/>
    <w:rsid w:val="3E726059"/>
    <w:rsid w:val="3F1219B8"/>
    <w:rsid w:val="3F2A77CA"/>
    <w:rsid w:val="3FA1118B"/>
    <w:rsid w:val="3FAB0A2E"/>
    <w:rsid w:val="415469FD"/>
    <w:rsid w:val="41584950"/>
    <w:rsid w:val="436112CF"/>
    <w:rsid w:val="43BB2E9F"/>
    <w:rsid w:val="44070E56"/>
    <w:rsid w:val="441256B0"/>
    <w:rsid w:val="444F57AE"/>
    <w:rsid w:val="449712F5"/>
    <w:rsid w:val="44BD47B4"/>
    <w:rsid w:val="44D16D86"/>
    <w:rsid w:val="46535303"/>
    <w:rsid w:val="46AB11F1"/>
    <w:rsid w:val="470F5C8E"/>
    <w:rsid w:val="478D47C3"/>
    <w:rsid w:val="4792415F"/>
    <w:rsid w:val="47AF48FF"/>
    <w:rsid w:val="493E2C43"/>
    <w:rsid w:val="494220A3"/>
    <w:rsid w:val="49630E28"/>
    <w:rsid w:val="498659CC"/>
    <w:rsid w:val="499E43D8"/>
    <w:rsid w:val="4A8C4FF8"/>
    <w:rsid w:val="4A9F5468"/>
    <w:rsid w:val="4AC07235"/>
    <w:rsid w:val="4ADF6293"/>
    <w:rsid w:val="4B8416D0"/>
    <w:rsid w:val="4F5B1EEC"/>
    <w:rsid w:val="507B3203"/>
    <w:rsid w:val="515C4CC4"/>
    <w:rsid w:val="51D76565"/>
    <w:rsid w:val="52DD5B36"/>
    <w:rsid w:val="53557191"/>
    <w:rsid w:val="53B27ADE"/>
    <w:rsid w:val="553C4118"/>
    <w:rsid w:val="55C37BD9"/>
    <w:rsid w:val="56804CAA"/>
    <w:rsid w:val="56D922C0"/>
    <w:rsid w:val="58B02697"/>
    <w:rsid w:val="58B961AD"/>
    <w:rsid w:val="58EB3DF0"/>
    <w:rsid w:val="594218B0"/>
    <w:rsid w:val="599C0E6D"/>
    <w:rsid w:val="59C730B7"/>
    <w:rsid w:val="5A2A1374"/>
    <w:rsid w:val="5AA1673B"/>
    <w:rsid w:val="5B097976"/>
    <w:rsid w:val="5BE30A4C"/>
    <w:rsid w:val="5C5D7FD5"/>
    <w:rsid w:val="5D2941A7"/>
    <w:rsid w:val="5E9C60C3"/>
    <w:rsid w:val="5F3958CA"/>
    <w:rsid w:val="5FC3486D"/>
    <w:rsid w:val="6060109A"/>
    <w:rsid w:val="60C33B8E"/>
    <w:rsid w:val="60F21264"/>
    <w:rsid w:val="61137E58"/>
    <w:rsid w:val="611743A3"/>
    <w:rsid w:val="61222533"/>
    <w:rsid w:val="614B194C"/>
    <w:rsid w:val="61E54CCC"/>
    <w:rsid w:val="61F57167"/>
    <w:rsid w:val="622959B2"/>
    <w:rsid w:val="625534CA"/>
    <w:rsid w:val="625B79A7"/>
    <w:rsid w:val="627E78BA"/>
    <w:rsid w:val="62AF077F"/>
    <w:rsid w:val="62B2360E"/>
    <w:rsid w:val="63D4670E"/>
    <w:rsid w:val="6540785C"/>
    <w:rsid w:val="65446AD1"/>
    <w:rsid w:val="654F553A"/>
    <w:rsid w:val="655874DD"/>
    <w:rsid w:val="6593368B"/>
    <w:rsid w:val="65AA5C4E"/>
    <w:rsid w:val="662E49C4"/>
    <w:rsid w:val="666E4F00"/>
    <w:rsid w:val="66C4525D"/>
    <w:rsid w:val="67254250"/>
    <w:rsid w:val="676A4358"/>
    <w:rsid w:val="67F40B89"/>
    <w:rsid w:val="68F336EF"/>
    <w:rsid w:val="690305C1"/>
    <w:rsid w:val="69272F21"/>
    <w:rsid w:val="6A012460"/>
    <w:rsid w:val="6A1C0493"/>
    <w:rsid w:val="6B145505"/>
    <w:rsid w:val="6B357D1F"/>
    <w:rsid w:val="6C2975EB"/>
    <w:rsid w:val="6C324FAB"/>
    <w:rsid w:val="6C5B1850"/>
    <w:rsid w:val="6CAD17EF"/>
    <w:rsid w:val="6CDD47ED"/>
    <w:rsid w:val="6D433FD6"/>
    <w:rsid w:val="6D9569FD"/>
    <w:rsid w:val="6DF2459C"/>
    <w:rsid w:val="6E2C6A1E"/>
    <w:rsid w:val="6F0254C0"/>
    <w:rsid w:val="6F4F4405"/>
    <w:rsid w:val="71BE3C1E"/>
    <w:rsid w:val="71C67BCF"/>
    <w:rsid w:val="721F14EF"/>
    <w:rsid w:val="72AC6C0E"/>
    <w:rsid w:val="748922C2"/>
    <w:rsid w:val="74EA0887"/>
    <w:rsid w:val="7521074C"/>
    <w:rsid w:val="7548761C"/>
    <w:rsid w:val="7564142F"/>
    <w:rsid w:val="75926B54"/>
    <w:rsid w:val="75C10863"/>
    <w:rsid w:val="75E8126A"/>
    <w:rsid w:val="76172620"/>
    <w:rsid w:val="768F511C"/>
    <w:rsid w:val="76DF14BC"/>
    <w:rsid w:val="771D34B5"/>
    <w:rsid w:val="778920FE"/>
    <w:rsid w:val="78B41C66"/>
    <w:rsid w:val="78D36201"/>
    <w:rsid w:val="78DB50B6"/>
    <w:rsid w:val="793307D4"/>
    <w:rsid w:val="799C0886"/>
    <w:rsid w:val="7A6E117F"/>
    <w:rsid w:val="7C754539"/>
    <w:rsid w:val="7DDB4957"/>
    <w:rsid w:val="7DDF5688"/>
    <w:rsid w:val="7F556A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643" w:firstLineChars="200"/>
      <w:jc w:val="both"/>
    </w:pPr>
    <w:rPr>
      <w:rFonts w:ascii="Times New Roman" w:hAnsi="Times New Roman" w:eastAsia="宋体" w:cs="Times New Roman"/>
      <w:kern w:val="2"/>
      <w:sz w:val="24"/>
      <w:szCs w:val="24"/>
      <w:lang w:val="en-US" w:eastAsia="zh-CN" w:bidi="ar-SA"/>
    </w:rPr>
  </w:style>
  <w:style w:type="paragraph" w:styleId="3">
    <w:name w:val="heading 1"/>
    <w:basedOn w:val="1"/>
    <w:next w:val="1"/>
    <w:qFormat/>
    <w:uiPriority w:val="0"/>
    <w:pPr>
      <w:keepNext/>
      <w:keepLines/>
      <w:numPr>
        <w:ilvl w:val="0"/>
        <w:numId w:val="1"/>
      </w:numPr>
      <w:spacing w:line="360" w:lineRule="auto"/>
      <w:ind w:left="0" w:firstLine="0" w:firstLineChars="0"/>
      <w:jc w:val="center"/>
      <w:outlineLvl w:val="0"/>
    </w:pPr>
    <w:rPr>
      <w:rFonts w:ascii="Times New Roman" w:hAnsi="Times New Roman" w:eastAsia="宋体"/>
      <w:b/>
      <w:kern w:val="44"/>
      <w:sz w:val="32"/>
    </w:rPr>
  </w:style>
  <w:style w:type="paragraph" w:styleId="4">
    <w:name w:val="heading 2"/>
    <w:basedOn w:val="1"/>
    <w:next w:val="1"/>
    <w:semiHidden/>
    <w:unhideWhenUsed/>
    <w:qFormat/>
    <w:uiPriority w:val="0"/>
    <w:pPr>
      <w:keepNext/>
      <w:keepLines/>
      <w:numPr>
        <w:ilvl w:val="1"/>
        <w:numId w:val="2"/>
      </w:numPr>
      <w:ind w:firstLine="0" w:firstLineChars="0"/>
      <w:outlineLvl w:val="1"/>
    </w:pPr>
    <w:rPr>
      <w:rFonts w:ascii="Arial" w:hAnsi="Arial"/>
      <w:b/>
      <w:sz w:val="28"/>
    </w:rPr>
  </w:style>
  <w:style w:type="paragraph" w:styleId="5">
    <w:name w:val="heading 3"/>
    <w:basedOn w:val="1"/>
    <w:next w:val="1"/>
    <w:unhideWhenUsed/>
    <w:qFormat/>
    <w:uiPriority w:val="0"/>
    <w:pPr>
      <w:keepNext/>
      <w:keepLines/>
      <w:numPr>
        <w:ilvl w:val="2"/>
        <w:numId w:val="2"/>
      </w:numPr>
      <w:spacing w:line="480" w:lineRule="auto"/>
      <w:ind w:left="0" w:firstLine="643"/>
      <w:outlineLvl w:val="2"/>
    </w:pPr>
    <w:rPr>
      <w:b/>
    </w:rPr>
  </w:style>
  <w:style w:type="paragraph" w:styleId="2">
    <w:name w:val="heading 4"/>
    <w:basedOn w:val="1"/>
    <w:next w:val="1"/>
    <w:unhideWhenUsed/>
    <w:qFormat/>
    <w:uiPriority w:val="0"/>
    <w:pPr>
      <w:keepNext/>
      <w:keepLines/>
      <w:numPr>
        <w:ilvl w:val="3"/>
        <w:numId w:val="2"/>
      </w:numPr>
      <w:ind w:firstLine="0" w:firstLineChars="0"/>
      <w:jc w:val="left"/>
      <w:outlineLvl w:val="3"/>
    </w:pPr>
    <w:rPr>
      <w:rFonts w:ascii="Arial" w:hAnsi="Arial" w:cstheme="minorBidi"/>
      <w:bCs/>
      <w:szCs w:val="28"/>
    </w:rPr>
  </w:style>
  <w:style w:type="paragraph" w:styleId="6">
    <w:name w:val="heading 5"/>
    <w:basedOn w:val="1"/>
    <w:next w:val="1"/>
    <w:semiHidden/>
    <w:unhideWhenUsed/>
    <w:qFormat/>
    <w:uiPriority w:val="0"/>
    <w:pPr>
      <w:keepNext/>
      <w:keepLines/>
      <w:numPr>
        <w:ilvl w:val="4"/>
        <w:numId w:val="2"/>
      </w:numPr>
      <w:spacing w:before="280" w:after="290" w:line="372" w:lineRule="auto"/>
      <w:ind w:firstLine="0" w:firstLineChars="0"/>
      <w:outlineLvl w:val="4"/>
    </w:pPr>
    <w:rPr>
      <w:b/>
      <w:sz w:val="28"/>
    </w:rPr>
  </w:style>
  <w:style w:type="paragraph" w:styleId="7">
    <w:name w:val="heading 6"/>
    <w:basedOn w:val="1"/>
    <w:next w:val="1"/>
    <w:semiHidden/>
    <w:unhideWhenUsed/>
    <w:qFormat/>
    <w:uiPriority w:val="0"/>
    <w:pPr>
      <w:keepNext/>
      <w:keepLines/>
      <w:numPr>
        <w:ilvl w:val="5"/>
        <w:numId w:val="2"/>
      </w:numPr>
      <w:spacing w:before="240" w:after="64" w:line="317" w:lineRule="auto"/>
      <w:ind w:firstLine="0" w:firstLineChars="0"/>
      <w:outlineLvl w:val="5"/>
    </w:pPr>
    <w:rPr>
      <w:rFonts w:ascii="Arial" w:hAnsi="Arial" w:eastAsia="黑体"/>
      <w:b/>
    </w:rPr>
  </w:style>
  <w:style w:type="paragraph" w:styleId="8">
    <w:name w:val="heading 7"/>
    <w:basedOn w:val="1"/>
    <w:next w:val="1"/>
    <w:semiHidden/>
    <w:unhideWhenUsed/>
    <w:qFormat/>
    <w:uiPriority w:val="0"/>
    <w:pPr>
      <w:keepNext/>
      <w:keepLines/>
      <w:numPr>
        <w:ilvl w:val="6"/>
        <w:numId w:val="2"/>
      </w:numPr>
      <w:spacing w:before="240" w:after="64" w:line="317" w:lineRule="auto"/>
      <w:ind w:firstLine="0" w:firstLineChars="0"/>
      <w:outlineLvl w:val="6"/>
    </w:pPr>
    <w:rPr>
      <w:b/>
    </w:rPr>
  </w:style>
  <w:style w:type="paragraph" w:styleId="9">
    <w:name w:val="heading 8"/>
    <w:basedOn w:val="1"/>
    <w:next w:val="1"/>
    <w:semiHidden/>
    <w:unhideWhenUsed/>
    <w:qFormat/>
    <w:uiPriority w:val="0"/>
    <w:pPr>
      <w:keepNext/>
      <w:keepLines/>
      <w:numPr>
        <w:ilvl w:val="7"/>
        <w:numId w:val="2"/>
      </w:numPr>
      <w:spacing w:before="240" w:after="64" w:line="317" w:lineRule="auto"/>
      <w:ind w:firstLine="0" w:firstLineChars="0"/>
      <w:outlineLvl w:val="7"/>
    </w:pPr>
    <w:rPr>
      <w:rFonts w:ascii="Arial" w:hAnsi="Arial" w:eastAsia="黑体"/>
    </w:rPr>
  </w:style>
  <w:style w:type="paragraph" w:styleId="10">
    <w:name w:val="heading 9"/>
    <w:basedOn w:val="1"/>
    <w:next w:val="1"/>
    <w:semiHidden/>
    <w:unhideWhenUsed/>
    <w:qFormat/>
    <w:uiPriority w:val="0"/>
    <w:pPr>
      <w:keepNext/>
      <w:keepLines/>
      <w:numPr>
        <w:ilvl w:val="8"/>
        <w:numId w:val="2"/>
      </w:numPr>
      <w:spacing w:before="240" w:after="64" w:line="317" w:lineRule="auto"/>
      <w:ind w:firstLine="0" w:firstLineChars="0"/>
      <w:outlineLvl w:val="8"/>
    </w:pPr>
    <w:rPr>
      <w:rFonts w:ascii="Arial" w:hAnsi="Arial" w:eastAsia="黑体"/>
      <w:sz w:val="21"/>
    </w:rPr>
  </w:style>
  <w:style w:type="character" w:default="1" w:styleId="17">
    <w:name w:val="Default Paragraph Font"/>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11">
    <w:name w:val="annotation text"/>
    <w:basedOn w:val="1"/>
    <w:qFormat/>
    <w:uiPriority w:val="0"/>
    <w:pPr>
      <w:jc w:val="left"/>
    </w:pPr>
  </w:style>
  <w:style w:type="paragraph" w:styleId="12">
    <w:name w:val="footer"/>
    <w:basedOn w:val="1"/>
    <w:qFormat/>
    <w:uiPriority w:val="99"/>
    <w:pPr>
      <w:tabs>
        <w:tab w:val="center" w:pos="4153"/>
        <w:tab w:val="right" w:pos="8306"/>
      </w:tabs>
      <w:snapToGrid w:val="0"/>
      <w:jc w:val="left"/>
    </w:pPr>
    <w:rPr>
      <w:kern w:val="0"/>
      <w:sz w:val="18"/>
      <w:szCs w:val="20"/>
    </w:rPr>
  </w:style>
  <w:style w:type="paragraph" w:styleId="13">
    <w:name w:val="header"/>
    <w:basedOn w:val="1"/>
    <w:qFormat/>
    <w:uiPriority w:val="0"/>
    <w:pPr>
      <w:pBdr>
        <w:bottom w:val="single" w:color="auto" w:sz="6" w:space="1"/>
      </w:pBdr>
      <w:tabs>
        <w:tab w:val="center" w:pos="4153"/>
        <w:tab w:val="right" w:pos="8306"/>
      </w:tabs>
      <w:snapToGrid w:val="0"/>
      <w:spacing w:line="240" w:lineRule="auto"/>
      <w:ind w:firstLine="0" w:firstLineChars="0"/>
      <w:jc w:val="right"/>
    </w:pPr>
    <w:rPr>
      <w:sz w:val="18"/>
      <w:szCs w:val="18"/>
    </w:rPr>
  </w:style>
  <w:style w:type="paragraph" w:styleId="14">
    <w:name w:val="Normal (Web)"/>
    <w:basedOn w:val="1"/>
    <w:qFormat/>
    <w:uiPriority w:val="0"/>
    <w:rPr>
      <w:sz w:val="24"/>
    </w:rPr>
  </w:style>
  <w:style w:type="table" w:styleId="16">
    <w:name w:val="Table Grid"/>
    <w:basedOn w:val="1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page number"/>
    <w:basedOn w:val="17"/>
    <w:qFormat/>
    <w:uiPriority w:val="0"/>
  </w:style>
  <w:style w:type="character" w:styleId="19">
    <w:name w:val="Hyperlink"/>
    <w:basedOn w:val="17"/>
    <w:qFormat/>
    <w:uiPriority w:val="0"/>
    <w:rPr>
      <w:color w:val="0000FF"/>
      <w:u w:val="single"/>
    </w:rPr>
  </w:style>
  <w:style w:type="character" w:styleId="20">
    <w:name w:val="annotation reference"/>
    <w:qFormat/>
    <w:uiPriority w:val="99"/>
    <w:rPr>
      <w:sz w:val="21"/>
    </w:rPr>
  </w:style>
  <w:style w:type="paragraph" w:customStyle="1" w:styleId="21">
    <w:name w:val="表格"/>
    <w:basedOn w:val="1"/>
    <w:next w:val="1"/>
    <w:qFormat/>
    <w:uiPriority w:val="0"/>
    <w:pPr>
      <w:numPr>
        <w:ilvl w:val="0"/>
        <w:numId w:val="3"/>
      </w:numPr>
      <w:spacing w:line="240" w:lineRule="auto"/>
      <w:ind w:firstLineChars="0"/>
      <w:jc w:val="center"/>
    </w:pPr>
    <w:rPr>
      <w:b/>
      <w:sz w:val="21"/>
    </w:rPr>
  </w:style>
  <w:style w:type="paragraph" w:customStyle="1" w:styleId="22">
    <w:name w:val="表格内容"/>
    <w:basedOn w:val="1"/>
    <w:qFormat/>
    <w:uiPriority w:val="0"/>
    <w:pPr>
      <w:spacing w:line="240" w:lineRule="auto"/>
      <w:ind w:firstLine="0" w:firstLineChars="0"/>
      <w:jc w:val="center"/>
    </w:pPr>
    <w:rPr>
      <w:sz w:val="21"/>
    </w:rPr>
  </w:style>
  <w:style w:type="paragraph" w:customStyle="1" w:styleId="23">
    <w:name w:val="表格图片标题"/>
    <w:basedOn w:val="1"/>
    <w:qFormat/>
    <w:uiPriority w:val="0"/>
    <w:pPr>
      <w:ind w:firstLine="0" w:firstLineChars="0"/>
      <w:jc w:val="center"/>
    </w:pPr>
    <w:rPr>
      <w:b/>
    </w:rPr>
  </w:style>
  <w:style w:type="paragraph" w:customStyle="1" w:styleId="24">
    <w:name w:val="表格标题"/>
    <w:basedOn w:val="1"/>
    <w:qFormat/>
    <w:uiPriority w:val="0"/>
    <w:pPr>
      <w:spacing w:line="320" w:lineRule="exact"/>
      <w:ind w:firstLine="0" w:firstLineChars="0"/>
      <w:jc w:val="center"/>
    </w:pPr>
    <w:rPr>
      <w:b/>
      <w:color w:val="000000"/>
      <w:lang w:val="zh-CN"/>
    </w:rPr>
  </w:style>
  <w:style w:type="paragraph" w:customStyle="1" w:styleId="25">
    <w:name w:val="表格内部"/>
    <w:basedOn w:val="1"/>
    <w:qFormat/>
    <w:uiPriority w:val="0"/>
    <w:pPr>
      <w:spacing w:line="240" w:lineRule="auto"/>
      <w:ind w:firstLine="0" w:firstLineChars="0"/>
      <w:jc w:val="center"/>
    </w:pPr>
    <w:rPr>
      <w:kern w:val="0"/>
      <w:sz w:val="21"/>
      <w:szCs w:val="18"/>
    </w:rPr>
  </w:style>
  <w:style w:type="paragraph" w:customStyle="1" w:styleId="26">
    <w:name w:val="表标题"/>
    <w:basedOn w:val="1"/>
    <w:qFormat/>
    <w:uiPriority w:val="0"/>
    <w:pPr>
      <w:spacing w:line="320" w:lineRule="exact"/>
      <w:ind w:firstLine="0" w:firstLineChars="0"/>
      <w:jc w:val="center"/>
    </w:pPr>
    <w:rPr>
      <w:b/>
      <w:color w:val="000000"/>
      <w:lang w:val="zh-CN"/>
    </w:rPr>
  </w:style>
  <w:style w:type="paragraph" w:customStyle="1" w:styleId="27">
    <w:name w:val="表格内容自定"/>
    <w:basedOn w:val="1"/>
    <w:qFormat/>
    <w:uiPriority w:val="0"/>
    <w:pPr>
      <w:spacing w:line="280" w:lineRule="exact"/>
      <w:jc w:val="center"/>
    </w:pPr>
    <w:rPr>
      <w:kern w:val="0"/>
      <w:sz w:val="18"/>
      <w:szCs w:val="21"/>
    </w:rPr>
  </w:style>
  <w:style w:type="table" w:customStyle="1" w:styleId="28">
    <w:name w:val="Table Normal"/>
    <w:basedOn w:val="15"/>
    <w:qFormat/>
    <w:uiPriority w:val="0"/>
    <w:pPr>
      <w:keepNext w:val="0"/>
      <w:keepLines w:val="0"/>
      <w:widowControl w:val="0"/>
      <w:suppressLineNumbers w:val="0"/>
      <w:autoSpaceDE w:val="0"/>
      <w:autoSpaceDN w:val="0"/>
      <w:spacing w:before="0" w:beforeAutospacing="0" w:after="0" w:afterAutospacing="0"/>
      <w:ind w:left="0" w:right="0"/>
    </w:pPr>
    <w:rPr>
      <w:rFonts w:hint="default" w:ascii="Calibri" w:hAnsi="Calibri" w:eastAsia="宋体" w:cs="Times New Roman"/>
      <w:sz w:val="22"/>
      <w:szCs w:val="22"/>
      <w:lang w:eastAsia="en-US"/>
    </w:rPr>
    <w:tblPr>
      <w:tblCellMar>
        <w:top w:w="0" w:type="dxa"/>
        <w:left w:w="0" w:type="dxa"/>
        <w:bottom w:w="0" w:type="dxa"/>
        <w:right w:w="0" w:type="dxa"/>
      </w:tblCellMar>
    </w:tblPr>
  </w:style>
  <w:style w:type="paragraph" w:styleId="29">
    <w:name w:val="List Paragraph"/>
    <w:basedOn w:val="1"/>
    <w:qFormat/>
    <w:uiPriority w:val="0"/>
    <w:pPr>
      <w:widowControl/>
      <w:ind w:firstLine="420" w:firstLineChars="200"/>
      <w:jc w:val="left"/>
    </w:pPr>
    <w:rPr>
      <w:kern w:val="0"/>
      <w:sz w:val="20"/>
      <w:szCs w:val="20"/>
    </w:rPr>
  </w:style>
  <w:style w:type="character" w:customStyle="1" w:styleId="30">
    <w:name w:val="font61"/>
    <w:basedOn w:val="17"/>
    <w:qFormat/>
    <w:uiPriority w:val="0"/>
    <w:rPr>
      <w:rFonts w:hint="eastAsia" w:ascii="宋体" w:hAnsi="宋体" w:eastAsia="宋体" w:cs="宋体"/>
      <w:color w:val="000000"/>
      <w:sz w:val="24"/>
      <w:szCs w:val="24"/>
      <w:u w:val="none"/>
    </w:rPr>
  </w:style>
  <w:style w:type="character" w:customStyle="1" w:styleId="31">
    <w:name w:val="font21"/>
    <w:basedOn w:val="17"/>
    <w:qFormat/>
    <w:uiPriority w:val="0"/>
    <w:rPr>
      <w:rFonts w:hint="eastAsia" w:ascii="宋体" w:hAnsi="宋体" w:eastAsia="宋体" w:cs="宋体"/>
      <w:color w:val="000000"/>
      <w:sz w:val="22"/>
      <w:szCs w:val="22"/>
      <w:u w:val="none"/>
    </w:rPr>
  </w:style>
  <w:style w:type="character" w:customStyle="1" w:styleId="32">
    <w:name w:val="font101"/>
    <w:basedOn w:val="17"/>
    <w:qFormat/>
    <w:uiPriority w:val="0"/>
    <w:rPr>
      <w:rFonts w:hint="default" w:ascii="Times New Roman" w:hAnsi="Times New Roman" w:cs="Times New Roman"/>
      <w:color w:val="000000"/>
      <w:sz w:val="24"/>
      <w:szCs w:val="24"/>
      <w:u w:val="none"/>
    </w:rPr>
  </w:style>
  <w:style w:type="paragraph" w:customStyle="1" w:styleId="33">
    <w:name w:val="列出段落1"/>
    <w:basedOn w:val="1"/>
    <w:qFormat/>
    <w:uiPriority w:val="0"/>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endnotes" Target="endnotes.xml"/><Relationship Id="rId5" Type="http://schemas.openxmlformats.org/officeDocument/2006/relationships/footnotes" Target="footnotes.xml"/><Relationship Id="rId4" Type="http://schemas.microsoft.com/office/2011/relationships/commentsExtended" Target="commentsExtended.xml"/><Relationship Id="rId3" Type="http://schemas.openxmlformats.org/officeDocument/2006/relationships/comments" Target="comments.xml"/><Relationship Id="rId25" Type="http://schemas.microsoft.com/office/2011/relationships/people" Target="people.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13.png"/><Relationship Id="rId20" Type="http://schemas.openxmlformats.org/officeDocument/2006/relationships/image" Target="media/image12.png"/><Relationship Id="rId2" Type="http://schemas.openxmlformats.org/officeDocument/2006/relationships/settings" Target="settings.xml"/><Relationship Id="rId19" Type="http://schemas.openxmlformats.org/officeDocument/2006/relationships/image" Target="media/image11.png"/><Relationship Id="rId18" Type="http://schemas.openxmlformats.org/officeDocument/2006/relationships/image" Target="media/image10.png"/><Relationship Id="rId17" Type="http://schemas.openxmlformats.org/officeDocument/2006/relationships/image" Target="media/image9.png"/><Relationship Id="rId16" Type="http://schemas.openxmlformats.org/officeDocument/2006/relationships/image" Target="media/image8.png"/><Relationship Id="rId15" Type="http://schemas.openxmlformats.org/officeDocument/2006/relationships/image" Target="media/image7.png"/><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extobjs>
    <extobj name="ECB019B1-382A-4266-B25C-5B523AA43C14-1">
      <extobjdata type="ECB019B1-382A-4266-B25C-5B523AA43C14" data="ewoJIkZpbGVJZCIgOiAiMzE1Njg1NDg2OTIyIiwKCSJHcm91cElkIiA6ICI3MzM1NjA3NCIsCgkiSW1hZ2UiIDogImlWQk9SdzBLR2dvQUFBQU5TVWhFVWdBQUJMd0FBQUc3Q0FZQUFBREo0b3dsQUFBQUFYTlNSMElBcnM0YzZRQUFJQUJKUkVGVWVKenMzWGQ4RkhYNkIvRFBNN3RwRUVLUkpxQWdCSkNZc3JOUmlnMFBFYkYzVDgrT2lub2dudVduSW9xaUozb25vcUFIS2tjVGhGTTVDeFlRVHhFRVZDQTdtd1FRSkFKcVFLUW1vYVR0enZQN0k3c3htMDBqQkpMZzUvMTY4U0w3bmUvTVBKUGt1NU41OWxzQ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TRMajhIK3hNc0Z2UEZvdXpBQUFBQUVsRlRrU3VRbUNDIiwKCSJUaGVtZSIgOiAiIiwKCSJUeXBlIiA6ICJmbG93IiwKCSJWZXJzaW9uIiA6ICIyOSIKfQo="/>
    </extobj>
    <extobj name="ECB019B1-382A-4266-B25C-5B523AA43C14-2">
      <extobjdata type="ECB019B1-382A-4266-B25C-5B523AA43C14" data="ewoJIkZpbGVJZCIgOiAiMzE3NTA1NTUxMDQ2IiwKCSJHcm91cElkIiA6ICI3MzM1NjA3NCIsCgkiSW1hZ2UiIDogImlWQk9SdzBLR2dvQUFBQU5TVWhFVWdBQUJKTUFBQUlpQ0FZQUFBQjhOWWx1QUFBQUFYTlNSMElBcnM0YzZRQUFJQUJKUkVGVWVKenMzWGw4WFhXZC8vSDM1OXliclNXMUxXMEJMVU1IbzRVMHZUbmZjL1dIdUNLNDRyNGdpcnVJT282NDQ0TEx1TXlvbzRqajZDaU9pZ3VLeTZDak11N2pETExJSU9hZW03UU5MVmFzVWhVb3RFQVgwaVQzZkg1LzNIUHJiWnEwb1UyYkpyeWVqd2VQSnVkODc3bWZtL0RKOTV6UCtaN3ZWd0l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PaGwvdy9MTlQ4c1ZoL1VBQUFBQUFCSlJVNUVya0pnZ2c9PSIsCgkiVGhlbWUiIDogIiIsCgkiVHlwZSIgOiAiZmxvdyIsCgkiVmVyc2lvbiIgOiAiIgp9Cg=="/>
    </extobj>
    <extobj name="ECB019B1-382A-4266-B25C-5B523AA43C14-3">
      <extobjdata type="ECB019B1-382A-4266-B25C-5B523AA43C14" data="ewoJIkZpbGVJZCIgOiAiMzE2MjY1MzEyODYzIiwKCSJHcm91cElkIiA6ICI3MzM1NjA3NCIsCgkiSW1hZ2UiIDogImlWQk9SdzBLR2dvQUFBQU5TVWhFVWdBQUJIVUFBQUhBQ0FZQUFBQXNyVlJNQUFBQUFYTlNSMElBcnM0YzZRQUFJQUJKUkVGVWVKenMzWGw4WEZYNVAvRFBjKzVNTWttNmI3U2xRdEZDeTlCTTdqa0RJdUFDb2dncW13Z29naUF1NEk3TFZ3RkJSSEg5b1Y4VlpjY05CQkg4b3VLK3NxZ0ltSHNuYVFrdFZxeGE2QVl0cGFUTk51ZjUvVEYzNGpTZExGMG5LWi8zNjhXTDVDNW5ua252bVRuM3VXY0J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WNHRDYvM3JOSW9sQWE0Z0ZBQUFBQUVsRlRrU3VRbUNDIiwKCSJUaGVtZSIgOiAiIiwKCSJUeXBlIiA6ICJmbG93IiwKCSJWZXJzaW9uIiA6ICIiCn0K"/>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67</Pages>
  <Words>35475</Words>
  <Characters>40680</Characters>
  <Lines>406</Lines>
  <Paragraphs>114</Paragraphs>
  <TotalTime>23</TotalTime>
  <ScaleCrop>false</ScaleCrop>
  <LinksUpToDate>false</LinksUpToDate>
  <CharactersWithSpaces>41251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2020-05-18T05:36:00Z</dcterms:created>
  <dc:creator>Administrator</dc:creator>
  <cp:lastModifiedBy>王仁保</cp:lastModifiedBy>
  <cp:lastPrinted>2024-08-08T06:22:26Z</cp:lastPrinted>
  <dcterms:modified xsi:type="dcterms:W3CDTF">2024-08-08T07:17:30Z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3631235CA7304F17B9597303E3438653_13</vt:lpwstr>
  </property>
</Properties>
</file>