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6C7B3">
      <w:pPr>
        <w:pStyle w:val="27"/>
        <w:adjustRightInd w:val="0"/>
        <w:snapToGrid w:val="0"/>
        <w:spacing w:before="0" w:beforeAutospacing="0" w:after="0" w:afterAutospacing="0"/>
        <w:jc w:val="center"/>
        <w:outlineLvl w:val="0"/>
        <w:rPr>
          <w:rFonts w:ascii="Times New Roman" w:hAnsi="Times New Roman"/>
          <w:b/>
          <w:bCs/>
          <w:snapToGrid w:val="0"/>
          <w:sz w:val="30"/>
          <w:szCs w:val="30"/>
        </w:rPr>
      </w:pPr>
      <w:bookmarkStart w:id="0" w:name="_Toc9163"/>
      <w:r>
        <w:rPr>
          <w:rFonts w:ascii="Times New Roman" w:hAnsi="Times New Roman"/>
          <w:b/>
          <w:bCs/>
          <w:snapToGrid w:val="0"/>
          <w:sz w:val="30"/>
          <w:szCs w:val="30"/>
        </w:rPr>
        <w:t>一、建设项目基本情况</w:t>
      </w:r>
      <w:bookmarkEnd w:id="0"/>
    </w:p>
    <w:tbl>
      <w:tblPr>
        <w:tblStyle w:val="29"/>
        <w:tblW w:w="898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102"/>
        <w:gridCol w:w="2063"/>
        <w:gridCol w:w="2057"/>
        <w:gridCol w:w="3761"/>
      </w:tblGrid>
      <w:tr w14:paraId="11716A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tcBorders>
              <w:tl2br w:val="nil"/>
              <w:tr2bl w:val="nil"/>
            </w:tcBorders>
            <w:tcMar>
              <w:top w:w="16" w:type="dxa"/>
              <w:left w:w="16" w:type="dxa"/>
              <w:right w:w="16" w:type="dxa"/>
            </w:tcMar>
            <w:vAlign w:val="center"/>
          </w:tcPr>
          <w:p w14:paraId="17AF1AA6">
            <w:pPr>
              <w:adjustRightInd w:val="0"/>
              <w:snapToGrid w:val="0"/>
              <w:jc w:val="center"/>
              <w:rPr>
                <w:sz w:val="24"/>
              </w:rPr>
            </w:pPr>
            <w:r>
              <w:rPr>
                <w:sz w:val="24"/>
              </w:rPr>
              <w:t>建设项目名称</w:t>
            </w:r>
          </w:p>
        </w:tc>
        <w:tc>
          <w:tcPr>
            <w:tcW w:w="7881" w:type="dxa"/>
            <w:gridSpan w:val="3"/>
            <w:tcBorders>
              <w:tl2br w:val="nil"/>
              <w:tr2bl w:val="nil"/>
            </w:tcBorders>
            <w:vAlign w:val="center"/>
          </w:tcPr>
          <w:p w14:paraId="03C7AA54">
            <w:pPr>
              <w:adjustRightInd w:val="0"/>
              <w:snapToGrid w:val="0"/>
              <w:jc w:val="center"/>
              <w:rPr>
                <w:sz w:val="24"/>
              </w:rPr>
            </w:pPr>
            <w:r>
              <w:rPr>
                <w:rFonts w:hint="eastAsia"/>
                <w:sz w:val="24"/>
              </w:rPr>
              <w:t>年产150万个汽车内饰包覆件产品项目</w:t>
            </w:r>
          </w:p>
        </w:tc>
      </w:tr>
      <w:tr w14:paraId="08E4E9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8" w:hRule="atLeast"/>
          <w:jc w:val="center"/>
        </w:trPr>
        <w:tc>
          <w:tcPr>
            <w:tcW w:w="1102" w:type="dxa"/>
            <w:tcBorders>
              <w:tl2br w:val="nil"/>
              <w:tr2bl w:val="nil"/>
            </w:tcBorders>
            <w:tcMar>
              <w:top w:w="16" w:type="dxa"/>
              <w:left w:w="16" w:type="dxa"/>
              <w:right w:w="16" w:type="dxa"/>
            </w:tcMar>
            <w:vAlign w:val="center"/>
          </w:tcPr>
          <w:p w14:paraId="79B42016">
            <w:pPr>
              <w:adjustRightInd w:val="0"/>
              <w:snapToGrid w:val="0"/>
              <w:jc w:val="center"/>
              <w:rPr>
                <w:sz w:val="24"/>
              </w:rPr>
            </w:pPr>
            <w:r>
              <w:rPr>
                <w:sz w:val="24"/>
              </w:rPr>
              <w:t>项目代码</w:t>
            </w:r>
          </w:p>
        </w:tc>
        <w:tc>
          <w:tcPr>
            <w:tcW w:w="7881" w:type="dxa"/>
            <w:gridSpan w:val="3"/>
            <w:tcBorders>
              <w:tl2br w:val="nil"/>
              <w:tr2bl w:val="nil"/>
            </w:tcBorders>
            <w:vAlign w:val="center"/>
          </w:tcPr>
          <w:p w14:paraId="589556DF">
            <w:pPr>
              <w:adjustRightInd w:val="0"/>
              <w:snapToGrid w:val="0"/>
              <w:jc w:val="center"/>
              <w:rPr>
                <w:sz w:val="24"/>
              </w:rPr>
            </w:pPr>
            <w:r>
              <w:rPr>
                <w:sz w:val="24"/>
              </w:rPr>
              <w:t>2407-340207-04-01-687357</w:t>
            </w:r>
          </w:p>
        </w:tc>
      </w:tr>
      <w:tr w14:paraId="3F1FE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tcBorders>
              <w:tl2br w:val="nil"/>
              <w:tr2bl w:val="nil"/>
            </w:tcBorders>
            <w:tcMar>
              <w:top w:w="16" w:type="dxa"/>
              <w:left w:w="16" w:type="dxa"/>
              <w:right w:w="16" w:type="dxa"/>
            </w:tcMar>
            <w:vAlign w:val="center"/>
          </w:tcPr>
          <w:p w14:paraId="6A6DC1E0">
            <w:pPr>
              <w:adjustRightInd w:val="0"/>
              <w:snapToGrid w:val="0"/>
              <w:jc w:val="center"/>
              <w:rPr>
                <w:sz w:val="24"/>
              </w:rPr>
            </w:pPr>
            <w:r>
              <w:rPr>
                <w:sz w:val="24"/>
              </w:rPr>
              <w:t>建设单位联系人</w:t>
            </w:r>
          </w:p>
        </w:tc>
        <w:tc>
          <w:tcPr>
            <w:tcW w:w="2063" w:type="dxa"/>
            <w:tcBorders>
              <w:tl2br w:val="nil"/>
              <w:tr2bl w:val="nil"/>
            </w:tcBorders>
            <w:vAlign w:val="center"/>
          </w:tcPr>
          <w:p w14:paraId="173DA676">
            <w:pPr>
              <w:adjustRightInd w:val="0"/>
              <w:snapToGrid w:val="0"/>
              <w:jc w:val="center"/>
              <w:rPr>
                <w:sz w:val="24"/>
              </w:rPr>
            </w:pPr>
            <w:r>
              <w:rPr>
                <w:rFonts w:hint="eastAsia"/>
                <w:sz w:val="24"/>
              </w:rPr>
              <w:t>殷杰</w:t>
            </w:r>
          </w:p>
        </w:tc>
        <w:tc>
          <w:tcPr>
            <w:tcW w:w="2057" w:type="dxa"/>
            <w:tcBorders>
              <w:tl2br w:val="nil"/>
              <w:tr2bl w:val="nil"/>
            </w:tcBorders>
            <w:vAlign w:val="center"/>
          </w:tcPr>
          <w:p w14:paraId="4070A9A3">
            <w:pPr>
              <w:adjustRightInd w:val="0"/>
              <w:snapToGrid w:val="0"/>
              <w:jc w:val="center"/>
              <w:rPr>
                <w:sz w:val="24"/>
              </w:rPr>
            </w:pPr>
            <w:r>
              <w:rPr>
                <w:sz w:val="24"/>
              </w:rPr>
              <w:t>联系方式</w:t>
            </w:r>
          </w:p>
        </w:tc>
        <w:tc>
          <w:tcPr>
            <w:tcW w:w="3761" w:type="dxa"/>
            <w:tcBorders>
              <w:tl2br w:val="nil"/>
              <w:tr2bl w:val="nil"/>
            </w:tcBorders>
            <w:vAlign w:val="center"/>
          </w:tcPr>
          <w:p w14:paraId="6F336501">
            <w:pPr>
              <w:adjustRightInd w:val="0"/>
              <w:snapToGrid w:val="0"/>
              <w:jc w:val="center"/>
              <w:rPr>
                <w:sz w:val="24"/>
              </w:rPr>
            </w:pPr>
            <w:r>
              <w:rPr>
                <w:rFonts w:hint="eastAsia"/>
                <w:sz w:val="24"/>
              </w:rPr>
              <w:t>18855329979</w:t>
            </w:r>
          </w:p>
        </w:tc>
      </w:tr>
      <w:tr w14:paraId="2953B9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tcBorders>
              <w:tl2br w:val="nil"/>
              <w:tr2bl w:val="nil"/>
            </w:tcBorders>
            <w:tcMar>
              <w:top w:w="16" w:type="dxa"/>
              <w:left w:w="16" w:type="dxa"/>
              <w:right w:w="16" w:type="dxa"/>
            </w:tcMar>
            <w:vAlign w:val="center"/>
          </w:tcPr>
          <w:p w14:paraId="734FC6A4">
            <w:pPr>
              <w:adjustRightInd w:val="0"/>
              <w:snapToGrid w:val="0"/>
              <w:jc w:val="center"/>
              <w:rPr>
                <w:sz w:val="24"/>
              </w:rPr>
            </w:pPr>
            <w:r>
              <w:rPr>
                <w:sz w:val="24"/>
              </w:rPr>
              <w:t>建设地点</w:t>
            </w:r>
          </w:p>
        </w:tc>
        <w:tc>
          <w:tcPr>
            <w:tcW w:w="7881" w:type="dxa"/>
            <w:gridSpan w:val="3"/>
            <w:tcBorders>
              <w:tl2br w:val="nil"/>
              <w:tr2bl w:val="nil"/>
            </w:tcBorders>
            <w:vAlign w:val="center"/>
          </w:tcPr>
          <w:p w14:paraId="29E18558">
            <w:pPr>
              <w:adjustRightInd w:val="0"/>
              <w:snapToGrid w:val="0"/>
              <w:jc w:val="center"/>
              <w:rPr>
                <w:sz w:val="24"/>
              </w:rPr>
            </w:pPr>
            <w:r>
              <w:rPr>
                <w:rFonts w:hint="eastAsia"/>
                <w:sz w:val="24"/>
              </w:rPr>
              <w:t>安徽省芜湖市鸠江经济开发区徽州路152号</w:t>
            </w:r>
          </w:p>
        </w:tc>
      </w:tr>
      <w:tr w14:paraId="32144C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tcBorders>
              <w:tl2br w:val="nil"/>
              <w:tr2bl w:val="nil"/>
            </w:tcBorders>
            <w:tcMar>
              <w:top w:w="16" w:type="dxa"/>
              <w:left w:w="16" w:type="dxa"/>
              <w:right w:w="16" w:type="dxa"/>
            </w:tcMar>
            <w:vAlign w:val="center"/>
          </w:tcPr>
          <w:p w14:paraId="0F3C9D74">
            <w:pPr>
              <w:adjustRightInd w:val="0"/>
              <w:snapToGrid w:val="0"/>
              <w:jc w:val="center"/>
              <w:rPr>
                <w:sz w:val="24"/>
              </w:rPr>
            </w:pPr>
            <w:r>
              <w:rPr>
                <w:sz w:val="24"/>
              </w:rPr>
              <w:t>地理坐标</w:t>
            </w:r>
          </w:p>
        </w:tc>
        <w:tc>
          <w:tcPr>
            <w:tcW w:w="7881" w:type="dxa"/>
            <w:gridSpan w:val="3"/>
            <w:tcBorders>
              <w:tl2br w:val="nil"/>
              <w:tr2bl w:val="nil"/>
            </w:tcBorders>
            <w:vAlign w:val="center"/>
          </w:tcPr>
          <w:p w14:paraId="42806ABB">
            <w:pPr>
              <w:jc w:val="center"/>
              <w:rPr>
                <w:sz w:val="24"/>
              </w:rPr>
            </w:pPr>
            <w:r>
              <w:rPr>
                <w:sz w:val="24"/>
              </w:rPr>
              <w:t>（</w:t>
            </w:r>
            <w:r>
              <w:rPr>
                <w:rFonts w:hint="eastAsia" w:cs="宋体"/>
                <w:bCs/>
                <w:sz w:val="24"/>
              </w:rPr>
              <w:t>北纬N</w:t>
            </w:r>
            <w:r>
              <w:rPr>
                <w:rFonts w:cs="宋体"/>
                <w:bCs/>
                <w:sz w:val="24"/>
              </w:rPr>
              <w:t xml:space="preserve"> 31°</w:t>
            </w:r>
            <w:r>
              <w:rPr>
                <w:rFonts w:hint="eastAsia" w:cs="宋体"/>
                <w:bCs/>
                <w:sz w:val="24"/>
              </w:rPr>
              <w:t>2</w:t>
            </w:r>
            <w:r>
              <w:rPr>
                <w:rFonts w:hint="eastAsia" w:cs="宋体"/>
                <w:bCs/>
                <w:sz w:val="24"/>
                <w:lang w:val="en-US" w:eastAsia="zh-CN"/>
              </w:rPr>
              <w:t>3</w:t>
            </w:r>
            <w:r>
              <w:rPr>
                <w:rFonts w:cs="宋体"/>
                <w:bCs/>
                <w:sz w:val="24"/>
              </w:rPr>
              <w:t xml:space="preserve">' </w:t>
            </w:r>
            <w:r>
              <w:rPr>
                <w:rFonts w:hint="eastAsia" w:cs="宋体"/>
                <w:bCs/>
                <w:sz w:val="24"/>
              </w:rPr>
              <w:t>13.044055″ 东经E</w:t>
            </w:r>
            <w:r>
              <w:rPr>
                <w:rFonts w:cs="宋体"/>
                <w:bCs/>
                <w:sz w:val="24"/>
              </w:rPr>
              <w:t xml:space="preserve"> 118°</w:t>
            </w:r>
            <w:r>
              <w:rPr>
                <w:rFonts w:hint="eastAsia" w:cs="宋体"/>
                <w:bCs/>
                <w:sz w:val="24"/>
              </w:rPr>
              <w:t>2</w:t>
            </w:r>
            <w:r>
              <w:rPr>
                <w:rFonts w:hint="eastAsia" w:cs="宋体"/>
                <w:bCs/>
                <w:sz w:val="24"/>
                <w:lang w:val="en-US" w:eastAsia="zh-CN"/>
              </w:rPr>
              <w:t>6</w:t>
            </w:r>
            <w:r>
              <w:rPr>
                <w:rFonts w:cs="宋体"/>
                <w:bCs/>
                <w:sz w:val="24"/>
              </w:rPr>
              <w:t>'</w:t>
            </w:r>
            <w:r>
              <w:t xml:space="preserve"> </w:t>
            </w:r>
            <w:r>
              <w:rPr>
                <w:rFonts w:hint="eastAsia"/>
                <w:sz w:val="24"/>
              </w:rPr>
              <w:t>53.09121</w:t>
            </w:r>
            <w:r>
              <w:rPr>
                <w:rFonts w:hint="eastAsia"/>
                <w:sz w:val="24"/>
                <w:lang w:val="en-US" w:eastAsia="zh-CN"/>
              </w:rPr>
              <w:t>5</w:t>
            </w:r>
            <w:r>
              <w:rPr>
                <w:rFonts w:hint="eastAsia" w:cs="宋体"/>
                <w:bCs/>
                <w:sz w:val="24"/>
              </w:rPr>
              <w:t>″</w:t>
            </w:r>
            <w:r>
              <w:rPr>
                <w:sz w:val="24"/>
              </w:rPr>
              <w:t>）</w:t>
            </w:r>
          </w:p>
        </w:tc>
      </w:tr>
      <w:tr w14:paraId="22BB9B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48" w:hRule="atLeast"/>
          <w:jc w:val="center"/>
        </w:trPr>
        <w:tc>
          <w:tcPr>
            <w:tcW w:w="1102" w:type="dxa"/>
            <w:tcBorders>
              <w:tl2br w:val="nil"/>
              <w:tr2bl w:val="nil"/>
            </w:tcBorders>
            <w:tcMar>
              <w:top w:w="16" w:type="dxa"/>
              <w:left w:w="16" w:type="dxa"/>
              <w:right w:w="16" w:type="dxa"/>
            </w:tcMar>
            <w:vAlign w:val="center"/>
          </w:tcPr>
          <w:p w14:paraId="43F528E5">
            <w:pPr>
              <w:adjustRightInd w:val="0"/>
              <w:snapToGrid w:val="0"/>
              <w:jc w:val="center"/>
              <w:rPr>
                <w:sz w:val="24"/>
              </w:rPr>
            </w:pPr>
            <w:r>
              <w:rPr>
                <w:sz w:val="24"/>
              </w:rPr>
              <w:t>国民经济</w:t>
            </w:r>
          </w:p>
          <w:p w14:paraId="6E9C6BF0">
            <w:pPr>
              <w:adjustRightInd w:val="0"/>
              <w:snapToGrid w:val="0"/>
              <w:jc w:val="center"/>
              <w:rPr>
                <w:sz w:val="24"/>
              </w:rPr>
            </w:pPr>
            <w:r>
              <w:rPr>
                <w:sz w:val="24"/>
              </w:rPr>
              <w:t>行业类别</w:t>
            </w:r>
          </w:p>
        </w:tc>
        <w:tc>
          <w:tcPr>
            <w:tcW w:w="2063" w:type="dxa"/>
            <w:tcBorders>
              <w:tl2br w:val="nil"/>
              <w:tr2bl w:val="nil"/>
            </w:tcBorders>
            <w:vAlign w:val="center"/>
          </w:tcPr>
          <w:p w14:paraId="1B31EA7F">
            <w:pPr>
              <w:adjustRightInd w:val="0"/>
              <w:snapToGrid w:val="0"/>
              <w:jc w:val="center"/>
              <w:rPr>
                <w:rFonts w:cs="宋体"/>
                <w:sz w:val="24"/>
              </w:rPr>
            </w:pPr>
            <w:r>
              <w:rPr>
                <w:rFonts w:hint="eastAsia"/>
                <w:kern w:val="0"/>
                <w:sz w:val="24"/>
              </w:rPr>
              <w:t>汽车零部件及配件制造</w:t>
            </w:r>
            <w:r>
              <w:rPr>
                <w:rFonts w:cs="宋体"/>
                <w:sz w:val="24"/>
              </w:rPr>
              <w:t>［</w:t>
            </w:r>
            <w:r>
              <w:rPr>
                <w:rFonts w:hint="eastAsia"/>
                <w:kern w:val="0"/>
                <w:sz w:val="24"/>
              </w:rPr>
              <w:t>C3670</w:t>
            </w:r>
            <w:r>
              <w:rPr>
                <w:rFonts w:cs="宋体"/>
                <w:sz w:val="24"/>
              </w:rPr>
              <w:t>］</w:t>
            </w:r>
          </w:p>
          <w:p w14:paraId="729890C2">
            <w:pPr>
              <w:pStyle w:val="9"/>
              <w:ind w:firstLine="0" w:firstLineChars="0"/>
              <w:jc w:val="center"/>
              <w:rPr>
                <w:rFonts w:hint="eastAsia"/>
                <w:sz w:val="24"/>
                <w:lang w:val="en-US" w:eastAsia="zh-CN"/>
              </w:rPr>
            </w:pPr>
            <w:r>
              <w:rPr>
                <w:sz w:val="24"/>
              </w:rPr>
              <w:t>塑料零件及其他塑料制品制</w:t>
            </w:r>
            <w:r>
              <w:rPr>
                <w:rFonts w:hint="eastAsia"/>
                <w:sz w:val="24"/>
                <w:lang w:val="en-US" w:eastAsia="zh-CN"/>
              </w:rPr>
              <w:t>造</w:t>
            </w:r>
          </w:p>
          <w:p w14:paraId="23E691FF">
            <w:pPr>
              <w:pStyle w:val="9"/>
              <w:ind w:firstLine="0" w:firstLineChars="0"/>
              <w:jc w:val="center"/>
            </w:pPr>
            <w:r>
              <w:rPr>
                <w:sz w:val="24"/>
              </w:rPr>
              <w:t>［C2929］</w:t>
            </w:r>
          </w:p>
        </w:tc>
        <w:tc>
          <w:tcPr>
            <w:tcW w:w="2057" w:type="dxa"/>
            <w:tcBorders>
              <w:tl2br w:val="nil"/>
              <w:tr2bl w:val="nil"/>
            </w:tcBorders>
            <w:vAlign w:val="center"/>
          </w:tcPr>
          <w:p w14:paraId="3F13A66B">
            <w:pPr>
              <w:adjustRightInd w:val="0"/>
              <w:snapToGrid w:val="0"/>
              <w:jc w:val="center"/>
              <w:rPr>
                <w:sz w:val="24"/>
              </w:rPr>
            </w:pPr>
            <w:bookmarkStart w:id="1" w:name="_Hlk49843745"/>
            <w:r>
              <w:rPr>
                <w:sz w:val="24"/>
              </w:rPr>
              <w:t>建设项目</w:t>
            </w:r>
          </w:p>
          <w:p w14:paraId="656B0C1B">
            <w:pPr>
              <w:adjustRightInd w:val="0"/>
              <w:snapToGrid w:val="0"/>
              <w:jc w:val="center"/>
              <w:rPr>
                <w:sz w:val="24"/>
              </w:rPr>
            </w:pPr>
            <w:r>
              <w:rPr>
                <w:sz w:val="24"/>
              </w:rPr>
              <w:t>行业类别</w:t>
            </w:r>
            <w:bookmarkEnd w:id="1"/>
          </w:p>
        </w:tc>
        <w:tc>
          <w:tcPr>
            <w:tcW w:w="3761" w:type="dxa"/>
            <w:tcBorders>
              <w:tl2br w:val="nil"/>
              <w:tr2bl w:val="nil"/>
            </w:tcBorders>
            <w:vAlign w:val="center"/>
          </w:tcPr>
          <w:p w14:paraId="2D4DE8F9">
            <w:pPr>
              <w:adjustRightInd w:val="0"/>
              <w:snapToGrid w:val="0"/>
              <w:jc w:val="left"/>
              <w:rPr>
                <w:rFonts w:cs="宋体"/>
                <w:sz w:val="24"/>
              </w:rPr>
            </w:pPr>
            <w:r>
              <w:rPr>
                <w:rFonts w:hint="eastAsia" w:cs="宋体"/>
                <w:sz w:val="24"/>
              </w:rPr>
              <w:t>三十三“汽车制造业 36”中</w:t>
            </w:r>
          </w:p>
          <w:p w14:paraId="78626113">
            <w:pPr>
              <w:adjustRightInd w:val="0"/>
              <w:snapToGrid w:val="0"/>
              <w:rPr>
                <w:rFonts w:cs="宋体"/>
                <w:color w:val="000000"/>
                <w:sz w:val="24"/>
              </w:rPr>
            </w:pPr>
            <w:r>
              <w:rPr>
                <w:rFonts w:hint="eastAsia" w:cs="宋体"/>
                <w:sz w:val="24"/>
              </w:rPr>
              <w:t>“71 汽车零部件及配件制造367”</w:t>
            </w:r>
            <w:r>
              <w:rPr>
                <w:rFonts w:hint="eastAsia" w:cs="宋体"/>
                <w:color w:val="000000"/>
                <w:sz w:val="24"/>
              </w:rPr>
              <w:t>“其他（年用非溶剂型低VOCs 含量涂料10 吨以下的除外）”</w:t>
            </w:r>
          </w:p>
          <w:p w14:paraId="4145F2BC">
            <w:pPr>
              <w:adjustRightInd w:val="0"/>
              <w:snapToGrid w:val="0"/>
              <w:rPr>
                <w:sz w:val="24"/>
              </w:rPr>
            </w:pPr>
            <w:r>
              <w:rPr>
                <w:rFonts w:hint="eastAsia" w:cs="宋体"/>
                <w:color w:val="000000"/>
                <w:sz w:val="24"/>
              </w:rPr>
              <w:t>二十六、橡胶和塑料制品业29，第53 条塑料制品业292“其他（年用非溶剂型低VOCs 含量涂料10 吨以下的除外）”</w:t>
            </w:r>
          </w:p>
        </w:tc>
      </w:tr>
      <w:tr w14:paraId="61A509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02" w:type="dxa"/>
            <w:tcBorders>
              <w:tl2br w:val="nil"/>
              <w:tr2bl w:val="nil"/>
            </w:tcBorders>
            <w:tcMar>
              <w:top w:w="16" w:type="dxa"/>
              <w:left w:w="16" w:type="dxa"/>
              <w:right w:w="16" w:type="dxa"/>
            </w:tcMar>
            <w:vAlign w:val="center"/>
          </w:tcPr>
          <w:p w14:paraId="6DA0894B">
            <w:pPr>
              <w:adjustRightInd w:val="0"/>
              <w:snapToGrid w:val="0"/>
              <w:jc w:val="center"/>
              <w:rPr>
                <w:sz w:val="24"/>
              </w:rPr>
            </w:pPr>
            <w:r>
              <w:rPr>
                <w:sz w:val="24"/>
              </w:rPr>
              <w:t>建设性质</w:t>
            </w:r>
          </w:p>
        </w:tc>
        <w:tc>
          <w:tcPr>
            <w:tcW w:w="2063" w:type="dxa"/>
            <w:tcBorders>
              <w:tl2br w:val="nil"/>
              <w:tr2bl w:val="nil"/>
            </w:tcBorders>
            <w:vAlign w:val="center"/>
          </w:tcPr>
          <w:p w14:paraId="0F55FA4E">
            <w:pPr>
              <w:jc w:val="left"/>
              <w:rPr>
                <w:sz w:val="24"/>
              </w:rPr>
            </w:pPr>
            <w:r>
              <w:rPr>
                <w:sz w:val="24"/>
              </w:rPr>
              <w:sym w:font="Wingdings" w:char="00FE"/>
            </w:r>
            <w:r>
              <w:rPr>
                <w:sz w:val="24"/>
              </w:rPr>
              <w:t>新建（迁建）</w:t>
            </w:r>
          </w:p>
          <w:p w14:paraId="50B8FD4B">
            <w:pPr>
              <w:jc w:val="left"/>
              <w:rPr>
                <w:sz w:val="24"/>
              </w:rPr>
            </w:pPr>
            <w:r>
              <w:rPr>
                <w:sz w:val="24"/>
              </w:rPr>
              <w:sym w:font="Wingdings" w:char="00A8"/>
            </w:r>
            <w:r>
              <w:rPr>
                <w:sz w:val="24"/>
              </w:rPr>
              <w:t>改建</w:t>
            </w:r>
          </w:p>
          <w:p w14:paraId="4AD08390">
            <w:pPr>
              <w:jc w:val="left"/>
              <w:rPr>
                <w:sz w:val="24"/>
              </w:rPr>
            </w:pPr>
            <w:r>
              <w:rPr>
                <w:sz w:val="24"/>
              </w:rPr>
              <w:sym w:font="Wingdings" w:char="00A8"/>
            </w:r>
            <w:r>
              <w:rPr>
                <w:sz w:val="24"/>
              </w:rPr>
              <w:t>扩建</w:t>
            </w:r>
          </w:p>
          <w:p w14:paraId="6CAEB556">
            <w:pPr>
              <w:jc w:val="left"/>
              <w:rPr>
                <w:sz w:val="24"/>
              </w:rPr>
            </w:pPr>
            <w:r>
              <w:rPr>
                <w:sz w:val="24"/>
              </w:rPr>
              <w:sym w:font="Wingdings" w:char="00A8"/>
            </w:r>
            <w:r>
              <w:rPr>
                <w:sz w:val="24"/>
              </w:rPr>
              <w:t>技术改造</w:t>
            </w:r>
          </w:p>
        </w:tc>
        <w:tc>
          <w:tcPr>
            <w:tcW w:w="2057" w:type="dxa"/>
            <w:tcBorders>
              <w:tl2br w:val="nil"/>
              <w:tr2bl w:val="nil"/>
            </w:tcBorders>
            <w:vAlign w:val="center"/>
          </w:tcPr>
          <w:p w14:paraId="5DA4ADF4">
            <w:pPr>
              <w:adjustRightInd w:val="0"/>
              <w:snapToGrid w:val="0"/>
              <w:jc w:val="center"/>
              <w:rPr>
                <w:sz w:val="24"/>
              </w:rPr>
            </w:pPr>
            <w:r>
              <w:rPr>
                <w:sz w:val="24"/>
              </w:rPr>
              <w:t>建设项目</w:t>
            </w:r>
          </w:p>
          <w:p w14:paraId="1360EBF8">
            <w:pPr>
              <w:adjustRightInd w:val="0"/>
              <w:snapToGrid w:val="0"/>
              <w:jc w:val="center"/>
              <w:rPr>
                <w:sz w:val="24"/>
              </w:rPr>
            </w:pPr>
            <w:r>
              <w:rPr>
                <w:sz w:val="24"/>
              </w:rPr>
              <w:t>申报情形</w:t>
            </w:r>
          </w:p>
        </w:tc>
        <w:tc>
          <w:tcPr>
            <w:tcW w:w="3761" w:type="dxa"/>
            <w:tcBorders>
              <w:tl2br w:val="nil"/>
              <w:tr2bl w:val="nil"/>
            </w:tcBorders>
            <w:vAlign w:val="center"/>
          </w:tcPr>
          <w:p w14:paraId="6143E6D2">
            <w:pPr>
              <w:jc w:val="left"/>
              <w:rPr>
                <w:sz w:val="24"/>
              </w:rPr>
            </w:pPr>
            <w:r>
              <w:rPr>
                <w:sz w:val="24"/>
              </w:rPr>
              <w:sym w:font="Wingdings" w:char="00FE"/>
            </w:r>
            <w:r>
              <w:rPr>
                <w:sz w:val="24"/>
              </w:rPr>
              <w:t>首次申报项目</w:t>
            </w:r>
          </w:p>
          <w:p w14:paraId="3B461836">
            <w:pPr>
              <w:jc w:val="left"/>
              <w:rPr>
                <w:sz w:val="24"/>
              </w:rPr>
            </w:pPr>
            <w:r>
              <w:rPr>
                <w:sz w:val="24"/>
              </w:rPr>
              <w:sym w:font="Wingdings" w:char="00A8"/>
            </w:r>
            <w:r>
              <w:rPr>
                <w:sz w:val="24"/>
              </w:rPr>
              <w:t>不予批准后再次申报项目</w:t>
            </w:r>
          </w:p>
          <w:p w14:paraId="24A72FCD">
            <w:pPr>
              <w:jc w:val="left"/>
              <w:rPr>
                <w:sz w:val="24"/>
              </w:rPr>
            </w:pPr>
            <w:r>
              <w:rPr>
                <w:sz w:val="24"/>
              </w:rPr>
              <w:sym w:font="Wingdings" w:char="00A8"/>
            </w:r>
            <w:r>
              <w:rPr>
                <w:sz w:val="24"/>
              </w:rPr>
              <w:t>超五年重新审核项目</w:t>
            </w:r>
          </w:p>
          <w:p w14:paraId="5383648D">
            <w:pPr>
              <w:jc w:val="left"/>
              <w:rPr>
                <w:sz w:val="24"/>
              </w:rPr>
            </w:pPr>
            <w:r>
              <w:rPr>
                <w:sz w:val="24"/>
              </w:rPr>
              <w:sym w:font="Wingdings" w:char="00A8"/>
            </w:r>
            <w:r>
              <w:rPr>
                <w:sz w:val="24"/>
              </w:rPr>
              <w:t>重大变动重新报批项目</w:t>
            </w:r>
          </w:p>
        </w:tc>
      </w:tr>
      <w:tr w14:paraId="4620A6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02" w:type="dxa"/>
            <w:tcBorders>
              <w:tl2br w:val="nil"/>
              <w:tr2bl w:val="nil"/>
            </w:tcBorders>
            <w:tcMar>
              <w:top w:w="16" w:type="dxa"/>
              <w:left w:w="16" w:type="dxa"/>
              <w:right w:w="16" w:type="dxa"/>
            </w:tcMar>
            <w:vAlign w:val="center"/>
          </w:tcPr>
          <w:p w14:paraId="5655B3DF">
            <w:pPr>
              <w:adjustRightInd w:val="0"/>
              <w:snapToGrid w:val="0"/>
              <w:jc w:val="center"/>
              <w:rPr>
                <w:sz w:val="24"/>
              </w:rPr>
            </w:pPr>
            <w:r>
              <w:rPr>
                <w:sz w:val="24"/>
              </w:rPr>
              <w:t>项目审批（核准/备案）部门（选填）</w:t>
            </w:r>
          </w:p>
        </w:tc>
        <w:tc>
          <w:tcPr>
            <w:tcW w:w="2063" w:type="dxa"/>
            <w:tcBorders>
              <w:tl2br w:val="nil"/>
              <w:tr2bl w:val="nil"/>
            </w:tcBorders>
            <w:vAlign w:val="center"/>
          </w:tcPr>
          <w:p w14:paraId="64632973">
            <w:pPr>
              <w:adjustRightInd w:val="0"/>
              <w:snapToGrid w:val="0"/>
              <w:jc w:val="center"/>
              <w:rPr>
                <w:sz w:val="24"/>
              </w:rPr>
            </w:pPr>
            <w:r>
              <w:rPr>
                <w:rFonts w:hint="eastAsia"/>
                <w:bCs/>
                <w:sz w:val="24"/>
                <w:lang w:val="en-US" w:eastAsia="zh-CN"/>
              </w:rPr>
              <w:t>芜湖市鸠江区发展和改革</w:t>
            </w:r>
            <w:r>
              <w:rPr>
                <w:bCs/>
                <w:sz w:val="24"/>
              </w:rPr>
              <w:t>委员会</w:t>
            </w:r>
          </w:p>
        </w:tc>
        <w:tc>
          <w:tcPr>
            <w:tcW w:w="2057" w:type="dxa"/>
            <w:tcBorders>
              <w:tl2br w:val="nil"/>
              <w:tr2bl w:val="nil"/>
            </w:tcBorders>
            <w:vAlign w:val="center"/>
          </w:tcPr>
          <w:p w14:paraId="7094E54B">
            <w:pPr>
              <w:adjustRightInd w:val="0"/>
              <w:snapToGrid w:val="0"/>
              <w:jc w:val="center"/>
              <w:rPr>
                <w:sz w:val="24"/>
              </w:rPr>
            </w:pPr>
            <w:r>
              <w:rPr>
                <w:sz w:val="24"/>
              </w:rPr>
              <w:t>项目审批（核准/</w:t>
            </w:r>
          </w:p>
          <w:p w14:paraId="69B33BEC">
            <w:pPr>
              <w:adjustRightInd w:val="0"/>
              <w:snapToGrid w:val="0"/>
              <w:jc w:val="center"/>
              <w:rPr>
                <w:sz w:val="24"/>
              </w:rPr>
            </w:pPr>
            <w:r>
              <w:rPr>
                <w:sz w:val="24"/>
              </w:rPr>
              <w:t>备案）文号（选填）</w:t>
            </w:r>
          </w:p>
        </w:tc>
        <w:tc>
          <w:tcPr>
            <w:tcW w:w="3761" w:type="dxa"/>
            <w:tcBorders>
              <w:tl2br w:val="nil"/>
              <w:tr2bl w:val="nil"/>
            </w:tcBorders>
            <w:vAlign w:val="center"/>
          </w:tcPr>
          <w:p w14:paraId="76154F12">
            <w:pPr>
              <w:adjustRightInd w:val="0"/>
              <w:snapToGrid w:val="0"/>
              <w:jc w:val="center"/>
              <w:rPr>
                <w:rFonts w:ascii="宋体" w:hAnsi="宋体" w:cs="宋体"/>
                <w:sz w:val="24"/>
              </w:rPr>
            </w:pPr>
            <w:r>
              <w:rPr>
                <w:rFonts w:hint="eastAsia"/>
                <w:bCs/>
                <w:sz w:val="24"/>
                <w:lang w:val="en-US" w:eastAsia="zh-CN"/>
              </w:rPr>
              <w:t>鸠发改</w:t>
            </w:r>
            <w:r>
              <w:rPr>
                <w:bCs/>
                <w:sz w:val="24"/>
              </w:rPr>
              <w:t>〔202</w:t>
            </w:r>
            <w:r>
              <w:rPr>
                <w:rFonts w:hint="eastAsia"/>
                <w:bCs/>
                <w:sz w:val="24"/>
              </w:rPr>
              <w:t>4</w:t>
            </w:r>
            <w:r>
              <w:rPr>
                <w:bCs/>
                <w:sz w:val="24"/>
              </w:rPr>
              <w:t>〕</w:t>
            </w:r>
            <w:r>
              <w:rPr>
                <w:rFonts w:hint="eastAsia"/>
                <w:bCs/>
                <w:sz w:val="24"/>
                <w:lang w:val="en-US" w:eastAsia="zh-CN"/>
              </w:rPr>
              <w:t>26</w:t>
            </w:r>
            <w:r>
              <w:rPr>
                <w:rFonts w:hint="eastAsia"/>
                <w:bCs/>
                <w:sz w:val="24"/>
              </w:rPr>
              <w:t>5</w:t>
            </w:r>
            <w:r>
              <w:rPr>
                <w:bCs/>
                <w:sz w:val="24"/>
              </w:rPr>
              <w:t>号</w:t>
            </w:r>
          </w:p>
        </w:tc>
      </w:tr>
      <w:tr w14:paraId="0C78F3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tcBorders>
              <w:tl2br w:val="nil"/>
              <w:tr2bl w:val="nil"/>
            </w:tcBorders>
            <w:tcMar>
              <w:top w:w="16" w:type="dxa"/>
              <w:left w:w="16" w:type="dxa"/>
              <w:right w:w="16" w:type="dxa"/>
            </w:tcMar>
            <w:vAlign w:val="center"/>
          </w:tcPr>
          <w:p w14:paraId="23F7181B">
            <w:pPr>
              <w:adjustRightInd w:val="0"/>
              <w:snapToGrid w:val="0"/>
              <w:jc w:val="center"/>
              <w:rPr>
                <w:sz w:val="24"/>
              </w:rPr>
            </w:pPr>
            <w:r>
              <w:rPr>
                <w:sz w:val="24"/>
              </w:rPr>
              <w:t>总投资（万元）</w:t>
            </w:r>
          </w:p>
        </w:tc>
        <w:tc>
          <w:tcPr>
            <w:tcW w:w="2063" w:type="dxa"/>
            <w:tcBorders>
              <w:tl2br w:val="nil"/>
              <w:tr2bl w:val="nil"/>
            </w:tcBorders>
            <w:vAlign w:val="center"/>
          </w:tcPr>
          <w:p w14:paraId="05B2E43A">
            <w:pPr>
              <w:adjustRightInd w:val="0"/>
              <w:snapToGrid w:val="0"/>
              <w:jc w:val="center"/>
              <w:rPr>
                <w:rFonts w:hint="default" w:eastAsia="宋体"/>
                <w:sz w:val="24"/>
                <w:lang w:val="en-US" w:eastAsia="zh-CN"/>
              </w:rPr>
            </w:pPr>
            <w:r>
              <w:rPr>
                <w:rFonts w:hint="eastAsia"/>
                <w:sz w:val="24"/>
                <w:lang w:val="en-US" w:eastAsia="zh-CN"/>
              </w:rPr>
              <w:t>1058</w:t>
            </w:r>
          </w:p>
        </w:tc>
        <w:tc>
          <w:tcPr>
            <w:tcW w:w="2057" w:type="dxa"/>
            <w:tcBorders>
              <w:tl2br w:val="nil"/>
              <w:tr2bl w:val="nil"/>
            </w:tcBorders>
            <w:tcMar>
              <w:top w:w="16" w:type="dxa"/>
              <w:left w:w="16" w:type="dxa"/>
              <w:right w:w="16" w:type="dxa"/>
            </w:tcMar>
            <w:vAlign w:val="center"/>
          </w:tcPr>
          <w:p w14:paraId="215FA595">
            <w:pPr>
              <w:adjustRightInd w:val="0"/>
              <w:snapToGrid w:val="0"/>
              <w:jc w:val="center"/>
              <w:rPr>
                <w:sz w:val="24"/>
              </w:rPr>
            </w:pPr>
            <w:r>
              <w:rPr>
                <w:sz w:val="24"/>
              </w:rPr>
              <w:t>环保投资（万元）</w:t>
            </w:r>
          </w:p>
        </w:tc>
        <w:tc>
          <w:tcPr>
            <w:tcW w:w="3761" w:type="dxa"/>
            <w:tcBorders>
              <w:tl2br w:val="nil"/>
              <w:tr2bl w:val="nil"/>
            </w:tcBorders>
            <w:vAlign w:val="center"/>
          </w:tcPr>
          <w:p w14:paraId="061637C1">
            <w:pPr>
              <w:adjustRightInd w:val="0"/>
              <w:snapToGrid w:val="0"/>
              <w:jc w:val="center"/>
              <w:rPr>
                <w:rFonts w:hint="default" w:eastAsia="宋体"/>
                <w:sz w:val="24"/>
                <w:lang w:val="en-US" w:eastAsia="zh-CN"/>
              </w:rPr>
            </w:pPr>
            <w:r>
              <w:rPr>
                <w:rFonts w:hint="eastAsia"/>
                <w:sz w:val="24"/>
                <w:lang w:val="en-US" w:eastAsia="zh-CN"/>
              </w:rPr>
              <w:t>61</w:t>
            </w:r>
          </w:p>
        </w:tc>
      </w:tr>
      <w:tr w14:paraId="66246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tcBorders>
              <w:tl2br w:val="nil"/>
              <w:tr2bl w:val="nil"/>
            </w:tcBorders>
            <w:tcMar>
              <w:top w:w="16" w:type="dxa"/>
              <w:left w:w="16" w:type="dxa"/>
              <w:right w:w="16" w:type="dxa"/>
            </w:tcMar>
            <w:vAlign w:val="center"/>
          </w:tcPr>
          <w:p w14:paraId="16B9F275">
            <w:pPr>
              <w:adjustRightInd w:val="0"/>
              <w:snapToGrid w:val="0"/>
              <w:jc w:val="center"/>
              <w:rPr>
                <w:sz w:val="24"/>
              </w:rPr>
            </w:pPr>
            <w:r>
              <w:rPr>
                <w:sz w:val="24"/>
              </w:rPr>
              <w:t>环保投资占比（%）</w:t>
            </w:r>
          </w:p>
        </w:tc>
        <w:tc>
          <w:tcPr>
            <w:tcW w:w="2063" w:type="dxa"/>
            <w:tcBorders>
              <w:tl2br w:val="nil"/>
              <w:tr2bl w:val="nil"/>
            </w:tcBorders>
            <w:vAlign w:val="center"/>
          </w:tcPr>
          <w:p w14:paraId="6AA4D329">
            <w:pPr>
              <w:adjustRightInd w:val="0"/>
              <w:snapToGrid w:val="0"/>
              <w:jc w:val="center"/>
              <w:rPr>
                <w:sz w:val="24"/>
              </w:rPr>
            </w:pPr>
          </w:p>
        </w:tc>
        <w:tc>
          <w:tcPr>
            <w:tcW w:w="2057" w:type="dxa"/>
            <w:tcBorders>
              <w:tl2br w:val="nil"/>
              <w:tr2bl w:val="nil"/>
            </w:tcBorders>
            <w:tcMar>
              <w:top w:w="16" w:type="dxa"/>
              <w:left w:w="16" w:type="dxa"/>
              <w:right w:w="16" w:type="dxa"/>
            </w:tcMar>
            <w:vAlign w:val="center"/>
          </w:tcPr>
          <w:p w14:paraId="02E3E5CD">
            <w:pPr>
              <w:adjustRightInd w:val="0"/>
              <w:snapToGrid w:val="0"/>
              <w:jc w:val="center"/>
              <w:rPr>
                <w:sz w:val="24"/>
              </w:rPr>
            </w:pPr>
            <w:r>
              <w:rPr>
                <w:sz w:val="24"/>
              </w:rPr>
              <w:t>施工工期</w:t>
            </w:r>
          </w:p>
        </w:tc>
        <w:tc>
          <w:tcPr>
            <w:tcW w:w="3761" w:type="dxa"/>
            <w:tcBorders>
              <w:tl2br w:val="nil"/>
              <w:tr2bl w:val="nil"/>
            </w:tcBorders>
            <w:vAlign w:val="center"/>
          </w:tcPr>
          <w:p w14:paraId="4AE37073">
            <w:pPr>
              <w:adjustRightInd w:val="0"/>
              <w:snapToGrid w:val="0"/>
              <w:jc w:val="center"/>
              <w:rPr>
                <w:sz w:val="24"/>
              </w:rPr>
            </w:pPr>
            <w:r>
              <w:rPr>
                <w:rFonts w:hint="eastAsia"/>
                <w:sz w:val="24"/>
                <w:lang w:val="en-US" w:eastAsia="zh-CN"/>
              </w:rPr>
              <w:t>2</w:t>
            </w:r>
            <w:r>
              <w:rPr>
                <w:sz w:val="24"/>
              </w:rPr>
              <w:t>个月</w:t>
            </w:r>
          </w:p>
        </w:tc>
      </w:tr>
      <w:tr w14:paraId="2FF31C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vMerge w:val="restart"/>
            <w:tcBorders>
              <w:tl2br w:val="nil"/>
              <w:tr2bl w:val="nil"/>
            </w:tcBorders>
            <w:tcMar>
              <w:top w:w="16" w:type="dxa"/>
              <w:left w:w="16" w:type="dxa"/>
              <w:right w:w="16" w:type="dxa"/>
            </w:tcMar>
            <w:vAlign w:val="center"/>
          </w:tcPr>
          <w:p w14:paraId="1E658775">
            <w:pPr>
              <w:adjustRightInd w:val="0"/>
              <w:snapToGrid w:val="0"/>
              <w:jc w:val="center"/>
              <w:rPr>
                <w:sz w:val="24"/>
              </w:rPr>
            </w:pPr>
            <w:r>
              <w:rPr>
                <w:sz w:val="24"/>
              </w:rPr>
              <w:t>是否开工建设</w:t>
            </w:r>
          </w:p>
        </w:tc>
        <w:tc>
          <w:tcPr>
            <w:tcW w:w="2063" w:type="dxa"/>
            <w:tcBorders>
              <w:tl2br w:val="nil"/>
              <w:tr2bl w:val="nil"/>
            </w:tcBorders>
            <w:vAlign w:val="center"/>
          </w:tcPr>
          <w:p w14:paraId="76397058">
            <w:pPr>
              <w:adjustRightInd w:val="0"/>
              <w:snapToGrid w:val="0"/>
              <w:rPr>
                <w:sz w:val="24"/>
              </w:rPr>
            </w:pPr>
            <w:r>
              <w:rPr>
                <w:sz w:val="24"/>
              </w:rPr>
              <w:sym w:font="Wingdings" w:char="00FE"/>
            </w:r>
            <w:r>
              <w:rPr>
                <w:sz w:val="24"/>
              </w:rPr>
              <w:t>否</w:t>
            </w:r>
          </w:p>
          <w:p w14:paraId="11F61DA4">
            <w:pPr>
              <w:adjustRightInd w:val="0"/>
              <w:snapToGrid w:val="0"/>
              <w:rPr>
                <w:sz w:val="24"/>
              </w:rPr>
            </w:pPr>
            <w:r>
              <w:rPr>
                <w:sz w:val="24"/>
              </w:rPr>
              <w:sym w:font="Wingdings" w:char="00A8"/>
            </w:r>
            <w:r>
              <w:rPr>
                <w:sz w:val="24"/>
              </w:rPr>
              <w:t>是</w:t>
            </w:r>
          </w:p>
        </w:tc>
        <w:tc>
          <w:tcPr>
            <w:tcW w:w="2057" w:type="dxa"/>
            <w:tcBorders>
              <w:tl2br w:val="nil"/>
              <w:tr2bl w:val="nil"/>
            </w:tcBorders>
            <w:tcMar>
              <w:top w:w="16" w:type="dxa"/>
              <w:left w:w="16" w:type="dxa"/>
              <w:right w:w="16" w:type="dxa"/>
            </w:tcMar>
            <w:vAlign w:val="center"/>
          </w:tcPr>
          <w:p w14:paraId="43A5B9B3">
            <w:pPr>
              <w:adjustRightInd w:val="0"/>
              <w:snapToGrid w:val="0"/>
              <w:jc w:val="center"/>
              <w:rPr>
                <w:spacing w:val="-6"/>
                <w:sz w:val="24"/>
              </w:rPr>
            </w:pPr>
            <w:r>
              <w:rPr>
                <w:spacing w:val="-6"/>
                <w:sz w:val="24"/>
              </w:rPr>
              <w:t>用地（用海）</w:t>
            </w:r>
          </w:p>
          <w:p w14:paraId="39FE74B9">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3761" w:type="dxa"/>
            <w:tcBorders>
              <w:tl2br w:val="nil"/>
              <w:tr2bl w:val="nil"/>
            </w:tcBorders>
            <w:vAlign w:val="center"/>
          </w:tcPr>
          <w:p w14:paraId="3D28E1B4">
            <w:pPr>
              <w:adjustRightInd w:val="0"/>
              <w:snapToGrid w:val="0"/>
              <w:jc w:val="center"/>
              <w:rPr>
                <w:rFonts w:hint="default" w:eastAsia="宋体"/>
                <w:sz w:val="24"/>
                <w:lang w:val="en-US" w:eastAsia="zh-CN"/>
              </w:rPr>
            </w:pPr>
            <w:r>
              <w:rPr>
                <w:rFonts w:hint="eastAsia"/>
                <w:sz w:val="24"/>
                <w:lang w:val="en-US" w:eastAsia="zh-CN"/>
              </w:rPr>
              <w:t>2210</w:t>
            </w:r>
          </w:p>
        </w:tc>
      </w:tr>
      <w:tr w14:paraId="246066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02" w:type="dxa"/>
            <w:vMerge w:val="continue"/>
            <w:tcBorders>
              <w:tl2br w:val="nil"/>
              <w:tr2bl w:val="nil"/>
            </w:tcBorders>
            <w:tcMar>
              <w:top w:w="16" w:type="dxa"/>
              <w:left w:w="16" w:type="dxa"/>
              <w:right w:w="16" w:type="dxa"/>
            </w:tcMar>
            <w:vAlign w:val="center"/>
          </w:tcPr>
          <w:p w14:paraId="1FFA6133">
            <w:pPr>
              <w:adjustRightInd w:val="0"/>
              <w:snapToGrid w:val="0"/>
              <w:jc w:val="center"/>
              <w:rPr>
                <w:sz w:val="24"/>
              </w:rPr>
            </w:pPr>
          </w:p>
        </w:tc>
        <w:tc>
          <w:tcPr>
            <w:tcW w:w="7881" w:type="dxa"/>
            <w:gridSpan w:val="3"/>
            <w:tcBorders>
              <w:tl2br w:val="nil"/>
              <w:tr2bl w:val="nil"/>
            </w:tcBorders>
            <w:vAlign w:val="center"/>
          </w:tcPr>
          <w:p w14:paraId="3F8BFD9C">
            <w:pPr>
              <w:adjustRightInd w:val="0"/>
              <w:snapToGrid w:val="0"/>
              <w:ind w:firstLine="480" w:firstLineChars="200"/>
              <w:rPr>
                <w:sz w:val="24"/>
              </w:rPr>
            </w:pPr>
          </w:p>
        </w:tc>
      </w:tr>
      <w:tr w14:paraId="114E59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102" w:type="dxa"/>
            <w:tcBorders>
              <w:tl2br w:val="nil"/>
              <w:tr2bl w:val="nil"/>
            </w:tcBorders>
            <w:vAlign w:val="center"/>
          </w:tcPr>
          <w:p w14:paraId="3AB78871">
            <w:pPr>
              <w:autoSpaceDE w:val="0"/>
              <w:autoSpaceDN w:val="0"/>
              <w:adjustRightInd w:val="0"/>
              <w:snapToGrid w:val="0"/>
              <w:jc w:val="center"/>
              <w:rPr>
                <w:kern w:val="0"/>
                <w:sz w:val="24"/>
              </w:rPr>
            </w:pPr>
            <w:r>
              <w:rPr>
                <w:kern w:val="0"/>
                <w:sz w:val="24"/>
              </w:rPr>
              <w:t>专项评价设置情况</w:t>
            </w:r>
          </w:p>
        </w:tc>
        <w:tc>
          <w:tcPr>
            <w:tcW w:w="7881" w:type="dxa"/>
            <w:gridSpan w:val="3"/>
            <w:tcBorders>
              <w:tl2br w:val="nil"/>
              <w:tr2bl w:val="nil"/>
            </w:tcBorders>
            <w:vAlign w:val="center"/>
          </w:tcPr>
          <w:p w14:paraId="23DFC60A">
            <w:pPr>
              <w:pStyle w:val="10"/>
              <w:spacing w:line="360" w:lineRule="auto"/>
              <w:jc w:val="center"/>
            </w:pPr>
            <w:r>
              <w:rPr>
                <w:rFonts w:hint="eastAsia"/>
              </w:rPr>
              <w:t>无</w:t>
            </w:r>
          </w:p>
        </w:tc>
      </w:tr>
      <w:tr w14:paraId="65FF72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102" w:type="dxa"/>
            <w:tcBorders>
              <w:tl2br w:val="nil"/>
              <w:tr2bl w:val="nil"/>
            </w:tcBorders>
            <w:vAlign w:val="center"/>
          </w:tcPr>
          <w:p w14:paraId="1A9E3B7C">
            <w:pPr>
              <w:autoSpaceDE w:val="0"/>
              <w:autoSpaceDN w:val="0"/>
              <w:adjustRightInd w:val="0"/>
              <w:snapToGrid w:val="0"/>
              <w:jc w:val="center"/>
              <w:rPr>
                <w:kern w:val="0"/>
                <w:sz w:val="24"/>
              </w:rPr>
            </w:pPr>
            <w:r>
              <w:rPr>
                <w:sz w:val="24"/>
              </w:rPr>
              <w:t>规划情况</w:t>
            </w:r>
          </w:p>
        </w:tc>
        <w:tc>
          <w:tcPr>
            <w:tcW w:w="7881" w:type="dxa"/>
            <w:gridSpan w:val="3"/>
            <w:tcBorders>
              <w:tl2br w:val="nil"/>
              <w:tr2bl w:val="nil"/>
            </w:tcBorders>
            <w:vAlign w:val="center"/>
          </w:tcPr>
          <w:p w14:paraId="67D19ACC">
            <w:pPr>
              <w:autoSpaceDE w:val="0"/>
              <w:autoSpaceDN w:val="0"/>
              <w:adjustRightInd w:val="0"/>
              <w:snapToGrid w:val="0"/>
              <w:spacing w:line="360" w:lineRule="auto"/>
              <w:jc w:val="left"/>
              <w:rPr>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规划名称</w:t>
            </w:r>
            <w:r>
              <w:rPr>
                <w:color w:val="000000" w:themeColor="text1"/>
                <w:sz w:val="24"/>
                <w:szCs w:val="24"/>
                <w14:textFill>
                  <w14:solidFill>
                    <w14:schemeClr w14:val="tx1"/>
                  </w14:solidFill>
                </w14:textFill>
              </w:rPr>
              <w:t>：</w:t>
            </w:r>
            <w:r>
              <w:rPr>
                <w:rFonts w:hint="eastAsia" w:cs="宋体"/>
                <w:color w:val="000000"/>
                <w:kern w:val="0"/>
                <w:sz w:val="24"/>
              </w:rPr>
              <w:t>《安徽芜湖鸠江经济开发区总体发展规划（201</w:t>
            </w:r>
            <w:r>
              <w:rPr>
                <w:rFonts w:hint="eastAsia" w:cs="宋体"/>
                <w:color w:val="000000"/>
                <w:kern w:val="0"/>
                <w:sz w:val="24"/>
                <w:lang w:val="en-US" w:eastAsia="zh-CN"/>
              </w:rPr>
              <w:t>2</w:t>
            </w:r>
            <w:r>
              <w:rPr>
                <w:rFonts w:hint="eastAsia" w:cs="宋体"/>
                <w:color w:val="000000"/>
                <w:kern w:val="0"/>
                <w:sz w:val="24"/>
              </w:rPr>
              <w:t>-2020）》</w:t>
            </w:r>
            <w:r>
              <w:rPr>
                <w:color w:val="000000" w:themeColor="text1"/>
                <w:sz w:val="24"/>
                <w:szCs w:val="24"/>
                <w14:textFill>
                  <w14:solidFill>
                    <w14:schemeClr w14:val="tx1"/>
                  </w14:solidFill>
                </w14:textFill>
              </w:rPr>
              <w:t>；</w:t>
            </w:r>
          </w:p>
          <w:p w14:paraId="6D4F4F3C">
            <w:pPr>
              <w:pStyle w:val="3"/>
              <w:adjustRightInd w:val="0"/>
              <w:spacing w:before="0" w:after="0" w:line="360" w:lineRule="auto"/>
              <w:ind w:right="0"/>
              <w:rPr>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审批机关</w:t>
            </w:r>
            <w:r>
              <w:rPr>
                <w:color w:val="000000" w:themeColor="text1"/>
                <w:sz w:val="24"/>
                <w:szCs w:val="24"/>
                <w14:textFill>
                  <w14:solidFill>
                    <w14:schemeClr w14:val="tx1"/>
                  </w14:solidFill>
                </w14:textFill>
              </w:rPr>
              <w:t>：安徽省人民政府；</w:t>
            </w:r>
          </w:p>
          <w:p w14:paraId="2A2C7452">
            <w:pPr>
              <w:pStyle w:val="3"/>
              <w:adjustRightInd w:val="0"/>
              <w:spacing w:before="0" w:after="0" w:line="360" w:lineRule="auto"/>
              <w:ind w:right="0"/>
              <w:rPr>
                <w:rFonts w:hint="eastAsia"/>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审批文件名称及文号</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《安徽省人民政府关于同意安徽芜湖鸠江经济开发区扩区的批复》(皖政秘[2014113号)</w:t>
            </w:r>
          </w:p>
          <w:p w14:paraId="160C6340">
            <w:pPr>
              <w:pStyle w:val="3"/>
              <w:adjustRightInd w:val="0"/>
              <w:spacing w:before="0" w:after="0" w:line="360" w:lineRule="auto"/>
              <w:ind w:right="0"/>
              <w:rPr>
                <w:rFonts w:hint="eastAsia"/>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规划名</w:t>
            </w:r>
            <w:r>
              <w:rPr>
                <w:rFonts w:hint="eastAsia"/>
                <w:b/>
                <w:bCs/>
                <w:color w:val="000000" w:themeColor="text1"/>
                <w:sz w:val="24"/>
                <w:szCs w:val="24"/>
                <w:lang w:val="en-US" w:eastAsia="zh-CN"/>
                <w14:textFill>
                  <w14:solidFill>
                    <w14:schemeClr w14:val="tx1"/>
                  </w14:solidFill>
                </w14:textFill>
              </w:rPr>
              <w:t>称</w:t>
            </w:r>
            <w:r>
              <w:rPr>
                <w:rFonts w:hint="eastAsia"/>
                <w:color w:val="000000" w:themeColor="text1"/>
                <w:sz w:val="24"/>
                <w:szCs w:val="24"/>
                <w:lang w:val="en-US" w:eastAsia="zh-CN"/>
                <w14:textFill>
                  <w14:solidFill>
                    <w14:schemeClr w14:val="tx1"/>
                  </w14:solidFill>
                </w14:textFill>
              </w:rPr>
              <w:t>:《安徽芜湖鸠江经济开发区控制性详细规划(2021年)》</w:t>
            </w:r>
          </w:p>
          <w:p w14:paraId="755CBC3F">
            <w:pPr>
              <w:pStyle w:val="3"/>
              <w:adjustRightInd w:val="0"/>
              <w:spacing w:before="0" w:after="0" w:line="360" w:lineRule="auto"/>
              <w:ind w:right="0"/>
              <w:rPr>
                <w:rFonts w:hint="eastAsia"/>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审批机关</w:t>
            </w:r>
            <w:r>
              <w:rPr>
                <w:rFonts w:hint="eastAsia"/>
                <w:color w:val="000000" w:themeColor="text1"/>
                <w:sz w:val="24"/>
                <w:szCs w:val="24"/>
                <w:lang w:val="en-US" w:eastAsia="zh-CN"/>
                <w14:textFill>
                  <w14:solidFill>
                    <w14:schemeClr w14:val="tx1"/>
                  </w14:solidFill>
                </w14:textFill>
              </w:rPr>
              <w:t>:鸠江经济开发区管委会</w:t>
            </w:r>
          </w:p>
          <w:p w14:paraId="3BF7E612">
            <w:pPr>
              <w:pStyle w:val="3"/>
              <w:adjustRightInd w:val="0"/>
              <w:spacing w:before="0" w:after="0" w:line="360" w:lineRule="auto"/>
              <w:ind w:right="0"/>
              <w:rPr>
                <w:rFonts w:hint="eastAsia" w:eastAsia="宋体"/>
                <w:color w:val="000000" w:themeColor="text1"/>
                <w:sz w:val="24"/>
                <w:szCs w:val="24"/>
                <w:lang w:val="en-US" w:eastAsia="zh-CN"/>
                <w14:textFill>
                  <w14:solidFill>
                    <w14:schemeClr w14:val="tx1"/>
                  </w14:solidFill>
                </w14:textFill>
              </w:rPr>
            </w:pPr>
            <w:r>
              <w:rPr>
                <w:b/>
                <w:bCs/>
                <w:color w:val="000000" w:themeColor="text1"/>
                <w:sz w:val="24"/>
                <w:szCs w:val="24"/>
                <w14:textFill>
                  <w14:solidFill>
                    <w14:schemeClr w14:val="tx1"/>
                  </w14:solidFill>
                </w14:textFill>
              </w:rPr>
              <w:t>审批文件名称及文号</w:t>
            </w:r>
            <w:r>
              <w:rPr>
                <w:rFonts w:hint="eastAsia"/>
                <w:color w:val="000000" w:themeColor="text1"/>
                <w:sz w:val="24"/>
                <w:szCs w:val="24"/>
                <w:lang w:val="en-US" w:eastAsia="zh-CN"/>
                <w14:textFill>
                  <w14:solidFill>
                    <w14:schemeClr w14:val="tx1"/>
                  </w14:solidFill>
                </w14:textFill>
              </w:rPr>
              <w:t>: /</w:t>
            </w:r>
          </w:p>
          <w:p w14:paraId="501048BE">
            <w:pPr>
              <w:rPr>
                <w:rFonts w:hint="eastAsia"/>
                <w:color w:val="000000" w:themeColor="text1"/>
                <w:sz w:val="24"/>
                <w:szCs w:val="24"/>
                <w14:textFill>
                  <w14:solidFill>
                    <w14:schemeClr w14:val="tx1"/>
                  </w14:solidFill>
                </w14:textFill>
              </w:rPr>
            </w:pPr>
          </w:p>
          <w:p w14:paraId="2DF2CA36">
            <w:pPr>
              <w:rPr>
                <w:rFonts w:hint="eastAsia"/>
                <w:color w:val="000000" w:themeColor="text1"/>
                <w:sz w:val="24"/>
                <w:szCs w:val="24"/>
                <w14:textFill>
                  <w14:solidFill>
                    <w14:schemeClr w14:val="tx1"/>
                  </w14:solidFill>
                </w14:textFill>
              </w:rPr>
            </w:pPr>
          </w:p>
          <w:p w14:paraId="06A290EE">
            <w:pPr>
              <w:rPr>
                <w:rFonts w:hint="eastAsia"/>
                <w:color w:val="000000" w:themeColor="text1"/>
                <w:sz w:val="24"/>
                <w:szCs w:val="24"/>
                <w14:textFill>
                  <w14:solidFill>
                    <w14:schemeClr w14:val="tx1"/>
                  </w14:solidFill>
                </w14:textFill>
              </w:rPr>
            </w:pPr>
          </w:p>
          <w:p w14:paraId="18F842F3">
            <w:pPr>
              <w:rPr>
                <w:rFonts w:hint="eastAsia"/>
                <w:color w:val="000000" w:themeColor="text1"/>
                <w:sz w:val="24"/>
                <w:szCs w:val="24"/>
                <w:lang w:eastAsia="zh-CN"/>
                <w14:textFill>
                  <w14:solidFill>
                    <w14:schemeClr w14:val="tx1"/>
                  </w14:solidFill>
                </w14:textFill>
              </w:rPr>
            </w:pPr>
          </w:p>
        </w:tc>
      </w:tr>
      <w:tr w14:paraId="2E1253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02" w:type="dxa"/>
            <w:tcBorders>
              <w:tl2br w:val="nil"/>
              <w:tr2bl w:val="nil"/>
            </w:tcBorders>
            <w:vAlign w:val="center"/>
          </w:tcPr>
          <w:p w14:paraId="2BE01254">
            <w:pPr>
              <w:adjustRightInd w:val="0"/>
              <w:snapToGrid w:val="0"/>
              <w:jc w:val="center"/>
              <w:rPr>
                <w:sz w:val="24"/>
              </w:rPr>
            </w:pPr>
            <w:r>
              <w:rPr>
                <w:sz w:val="24"/>
              </w:rPr>
              <w:t>规划环境影响评价情况</w:t>
            </w:r>
          </w:p>
        </w:tc>
        <w:tc>
          <w:tcPr>
            <w:tcW w:w="7881" w:type="dxa"/>
            <w:gridSpan w:val="3"/>
            <w:tcBorders>
              <w:tl2br w:val="nil"/>
              <w:tr2bl w:val="nil"/>
            </w:tcBorders>
            <w:vAlign w:val="center"/>
          </w:tcPr>
          <w:p w14:paraId="6FD2BD2F">
            <w:pPr>
              <w:pStyle w:val="9"/>
              <w:spacing w:line="360" w:lineRule="auto"/>
              <w:ind w:firstLine="0" w:firstLineChars="0"/>
              <w:jc w:val="left"/>
              <w:rPr>
                <w:rFonts w:hint="eastAsia" w:eastAsia="宋体"/>
                <w:sz w:val="24"/>
                <w:lang w:val="en-US" w:eastAsia="zh-CN"/>
              </w:rPr>
            </w:pPr>
            <w:r>
              <w:rPr>
                <w:rFonts w:hint="eastAsia"/>
                <w:b/>
                <w:bCs/>
                <w:sz w:val="24"/>
              </w:rPr>
              <w:t>规划环评文件名称</w:t>
            </w:r>
            <w:r>
              <w:rPr>
                <w:rFonts w:hint="eastAsia"/>
                <w:sz w:val="24"/>
              </w:rPr>
              <w:t>:《安徽芜湖鸠江经济开发区总体发展规划环境影响报告书》</w:t>
            </w:r>
            <w:r>
              <w:rPr>
                <w:rFonts w:hint="eastAsia"/>
                <w:sz w:val="24"/>
                <w:lang w:val="en-US" w:eastAsia="zh-CN"/>
              </w:rPr>
              <w:t>;</w:t>
            </w:r>
          </w:p>
          <w:p w14:paraId="2F191622">
            <w:pPr>
              <w:pStyle w:val="9"/>
              <w:spacing w:line="360" w:lineRule="auto"/>
              <w:ind w:firstLine="0" w:firstLineChars="0"/>
              <w:jc w:val="left"/>
              <w:rPr>
                <w:rFonts w:hint="eastAsia" w:eastAsia="宋体"/>
                <w:sz w:val="24"/>
                <w:lang w:val="en-US" w:eastAsia="zh-CN"/>
              </w:rPr>
            </w:pPr>
            <w:r>
              <w:rPr>
                <w:rFonts w:hint="eastAsia"/>
                <w:b/>
                <w:bCs/>
                <w:sz w:val="24"/>
              </w:rPr>
              <w:t>规划环评召集审查机关</w:t>
            </w:r>
            <w:r>
              <w:rPr>
                <w:rFonts w:hint="eastAsia"/>
                <w:sz w:val="24"/>
              </w:rPr>
              <w:t>:原安徽省环境保护厅</w:t>
            </w:r>
            <w:r>
              <w:rPr>
                <w:rFonts w:hint="eastAsia"/>
                <w:sz w:val="24"/>
                <w:lang w:val="en-US" w:eastAsia="zh-CN"/>
              </w:rPr>
              <w:t>;</w:t>
            </w:r>
          </w:p>
          <w:p w14:paraId="4F5E7B15">
            <w:pPr>
              <w:pStyle w:val="9"/>
              <w:spacing w:line="360" w:lineRule="auto"/>
              <w:ind w:firstLine="0" w:firstLineChars="0"/>
              <w:jc w:val="left"/>
              <w:rPr>
                <w:rFonts w:hint="eastAsia"/>
                <w:sz w:val="24"/>
              </w:rPr>
            </w:pPr>
            <w:r>
              <w:rPr>
                <w:rFonts w:hint="eastAsia"/>
                <w:b/>
                <w:bCs/>
                <w:sz w:val="24"/>
              </w:rPr>
              <w:t>规划环评文件名称及文号</w:t>
            </w:r>
            <w:r>
              <w:rPr>
                <w:rFonts w:hint="eastAsia"/>
                <w:sz w:val="24"/>
              </w:rPr>
              <w:t>:《关于安徽芜湖鸠江经济开发区总体发展规划环境影响报告书的审查意见》，皖环函</w:t>
            </w:r>
            <w:r>
              <w:rPr>
                <w:rFonts w:hint="eastAsia"/>
                <w:sz w:val="24"/>
                <w:lang w:val="en-US" w:eastAsia="zh-CN"/>
              </w:rPr>
              <w:t>[</w:t>
            </w:r>
            <w:r>
              <w:rPr>
                <w:rFonts w:hint="eastAsia"/>
                <w:sz w:val="24"/>
              </w:rPr>
              <w:t>2013</w:t>
            </w:r>
            <w:r>
              <w:rPr>
                <w:rFonts w:hint="eastAsia"/>
                <w:sz w:val="24"/>
                <w:lang w:val="en-US" w:eastAsia="zh-CN"/>
              </w:rPr>
              <w:t>]</w:t>
            </w:r>
            <w:r>
              <w:rPr>
                <w:rFonts w:hint="eastAsia"/>
                <w:sz w:val="24"/>
              </w:rPr>
              <w:t>999号;</w:t>
            </w:r>
          </w:p>
          <w:p w14:paraId="7E4773CA">
            <w:pPr>
              <w:pStyle w:val="9"/>
              <w:spacing w:line="360" w:lineRule="auto"/>
              <w:ind w:firstLine="0" w:firstLineChars="0"/>
              <w:jc w:val="left"/>
              <w:rPr>
                <w:rFonts w:hint="eastAsia" w:eastAsia="宋体"/>
                <w:sz w:val="24"/>
                <w:lang w:val="en-US" w:eastAsia="zh-CN"/>
              </w:rPr>
            </w:pPr>
            <w:r>
              <w:rPr>
                <w:rFonts w:hint="eastAsia"/>
                <w:b/>
                <w:bCs/>
                <w:sz w:val="24"/>
              </w:rPr>
              <w:t>规划跟踪环评文件名称</w:t>
            </w:r>
            <w:r>
              <w:rPr>
                <w:rFonts w:hint="eastAsia"/>
                <w:sz w:val="24"/>
              </w:rPr>
              <w:t>:《安徽芜湖鸠江经济开发区总体发展规划环境影响跟踪评价报告书》</w:t>
            </w:r>
            <w:r>
              <w:rPr>
                <w:rFonts w:hint="eastAsia"/>
                <w:sz w:val="24"/>
                <w:lang w:val="en-US" w:eastAsia="zh-CN"/>
              </w:rPr>
              <w:t>;</w:t>
            </w:r>
          </w:p>
          <w:p w14:paraId="772D7EC8">
            <w:pPr>
              <w:pStyle w:val="9"/>
              <w:spacing w:line="360" w:lineRule="auto"/>
              <w:ind w:firstLine="0" w:firstLineChars="0"/>
              <w:jc w:val="left"/>
              <w:rPr>
                <w:rFonts w:hint="eastAsia" w:eastAsia="宋体"/>
                <w:sz w:val="24"/>
                <w:lang w:val="en-US" w:eastAsia="zh-CN"/>
              </w:rPr>
            </w:pPr>
            <w:r>
              <w:rPr>
                <w:rFonts w:hint="eastAsia"/>
                <w:b/>
                <w:bCs/>
                <w:sz w:val="24"/>
              </w:rPr>
              <w:t>规划跟踪环评召集审查机关</w:t>
            </w:r>
            <w:r>
              <w:rPr>
                <w:rFonts w:hint="eastAsia"/>
                <w:sz w:val="24"/>
              </w:rPr>
              <w:t>:芜湖市生态环境局</w:t>
            </w:r>
            <w:r>
              <w:rPr>
                <w:rFonts w:hint="eastAsia"/>
                <w:sz w:val="24"/>
                <w:lang w:val="en-US" w:eastAsia="zh-CN"/>
              </w:rPr>
              <w:t>;</w:t>
            </w:r>
          </w:p>
          <w:p w14:paraId="01DE5C89">
            <w:pPr>
              <w:pStyle w:val="9"/>
              <w:spacing w:line="360" w:lineRule="auto"/>
              <w:ind w:firstLine="0" w:firstLineChars="0"/>
              <w:jc w:val="left"/>
            </w:pPr>
            <w:r>
              <w:rPr>
                <w:rFonts w:hint="eastAsia"/>
                <w:b/>
                <w:bCs/>
                <w:sz w:val="24"/>
              </w:rPr>
              <w:t>规划跟踪环评文件名称及文号</w:t>
            </w:r>
            <w:r>
              <w:rPr>
                <w:rFonts w:hint="eastAsia"/>
                <w:sz w:val="24"/>
              </w:rPr>
              <w:t>:《芜湖市生态环境局关于印发安徽芜湖鸠江经济开发区总体发展规划环境影响跟踪评价报告书技术审查意见的函》(2019年12月31日)。</w:t>
            </w:r>
          </w:p>
        </w:tc>
      </w:tr>
      <w:tr w14:paraId="06BC72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2" w:type="dxa"/>
            <w:tcBorders>
              <w:tl2br w:val="nil"/>
              <w:tr2bl w:val="nil"/>
            </w:tcBorders>
            <w:vAlign w:val="center"/>
          </w:tcPr>
          <w:p w14:paraId="0B408526">
            <w:pPr>
              <w:autoSpaceDE w:val="0"/>
              <w:autoSpaceDN w:val="0"/>
              <w:adjustRightInd w:val="0"/>
              <w:snapToGrid w:val="0"/>
              <w:jc w:val="center"/>
              <w:rPr>
                <w:kern w:val="0"/>
                <w:sz w:val="24"/>
              </w:rPr>
            </w:pPr>
            <w:r>
              <w:rPr>
                <w:kern w:val="0"/>
                <w:sz w:val="24"/>
              </w:rPr>
              <w:t>规划及规划环境影响评价符合性分析</w:t>
            </w:r>
          </w:p>
        </w:tc>
        <w:tc>
          <w:tcPr>
            <w:tcW w:w="7881" w:type="dxa"/>
            <w:gridSpan w:val="3"/>
            <w:tcBorders>
              <w:tl2br w:val="nil"/>
              <w:tr2bl w:val="nil"/>
            </w:tcBorders>
            <w:vAlign w:val="center"/>
          </w:tcPr>
          <w:p w14:paraId="159880CB">
            <w:pPr>
              <w:spacing w:before="120" w:beforeLines="50" w:line="360" w:lineRule="auto"/>
              <w:ind w:firstLine="540" w:firstLineChars="224"/>
              <w:rPr>
                <w:b/>
                <w:sz w:val="24"/>
              </w:rPr>
            </w:pPr>
            <w:r>
              <w:rPr>
                <w:rFonts w:hint="eastAsia"/>
                <w:b/>
                <w:sz w:val="24"/>
              </w:rPr>
              <w:t>1、</w:t>
            </w:r>
            <w:r>
              <w:rPr>
                <w:b/>
                <w:sz w:val="24"/>
              </w:rPr>
              <w:t>规划</w:t>
            </w:r>
            <w:r>
              <w:rPr>
                <w:rFonts w:hint="eastAsia"/>
                <w:b/>
                <w:sz w:val="24"/>
              </w:rPr>
              <w:t>符合性</w:t>
            </w:r>
            <w:r>
              <w:rPr>
                <w:b/>
                <w:sz w:val="24"/>
              </w:rPr>
              <w:t>分析</w:t>
            </w:r>
          </w:p>
          <w:p w14:paraId="22F8B3F9">
            <w:pPr>
              <w:spacing w:line="360" w:lineRule="auto"/>
              <w:ind w:firstLine="540" w:firstLineChars="225"/>
              <w:rPr>
                <w:rFonts w:hint="eastAsia"/>
                <w:sz w:val="24"/>
              </w:rPr>
            </w:pPr>
            <w:r>
              <w:rPr>
                <w:rFonts w:hint="eastAsia"/>
                <w:sz w:val="24"/>
              </w:rPr>
              <w:t>开发区总规划面积为 15.146 平方公里，其中，新增规划面积12.316 平方公里，原核准面积 2.83 平方公里。开发区按“一区两园模式建设，包括鸠江经济开发区东区(规划面积 12.7平方公里含原核准的1平方公里)，桥北工业园(规划面积1.83平方公里，为原核准范围)，电器部件工业园(规划面积0.616平方公里)。四至范围己经国土部门基本确认。</w:t>
            </w:r>
          </w:p>
          <w:p w14:paraId="0383C603">
            <w:pPr>
              <w:spacing w:line="360" w:lineRule="auto"/>
              <w:ind w:firstLine="540" w:firstLineChars="225"/>
              <w:rPr>
                <w:rFonts w:hint="eastAsia"/>
                <w:sz w:val="24"/>
              </w:rPr>
            </w:pPr>
            <w:r>
              <w:rPr>
                <w:rFonts w:hint="eastAsia"/>
                <w:sz w:val="24"/>
              </w:rPr>
              <w:t>本项目位于安徽省芜湖市鸠江经济开发区徽州路152号，交通条件便利，园区供电、供水及排水设施完善。对照国土资源部、国家发改委关于发布实施《限制用地项目目录(2012年本)》和《禁止用地项目目录(2012年本)》的通知，本项目不在限制用地项目目录和禁止用地项目目录内。</w:t>
            </w:r>
          </w:p>
          <w:p w14:paraId="1D117751">
            <w:pPr>
              <w:spacing w:line="360" w:lineRule="auto"/>
              <w:ind w:firstLine="540" w:firstLineChars="225"/>
              <w:rPr>
                <w:rFonts w:hint="eastAsia"/>
                <w:sz w:val="24"/>
              </w:rPr>
            </w:pPr>
            <w:r>
              <w:rPr>
                <w:rFonts w:hint="eastAsia"/>
                <w:sz w:val="24"/>
              </w:rPr>
              <w:t>根据《安徽芜湖鸠江经济开发区控制性详细规划》，形成“一一心、两带、多园(多园:分别为园区一期工业组团、园区轴、期工业组团、园区三期工业组团及物流园区组团)”既相互独立、自成一体，又有机生长、互动发展的空间布局结构。项目位于规划中工业组团，对照鸠江经济开发区用地规划图(附图五)可知项目所在地为二类工业用地，符合鸠江经济开发区用地规划。</w:t>
            </w:r>
          </w:p>
          <w:p w14:paraId="3374D279">
            <w:pPr>
              <w:spacing w:line="360" w:lineRule="auto"/>
              <w:ind w:firstLine="540" w:firstLineChars="225"/>
              <w:rPr>
                <w:rFonts w:hint="eastAsia" w:eastAsia="宋体"/>
                <w:sz w:val="24"/>
                <w:lang w:val="en-US" w:eastAsia="zh-CN"/>
              </w:rPr>
            </w:pPr>
            <w:r>
              <w:rPr>
                <w:rFonts w:hint="eastAsia"/>
                <w:sz w:val="24"/>
              </w:rPr>
              <w:t>根据安徽芜湖鸠江经济开发区总体发展规划对区域在产业选择上有:汽车及零部件产业、装备制造业、电子信息产业。严禁建设国家明令禁止的项目，严格控制高耗水、高耗能、污水排放量大的项目建设。不得建设电镀及含电镀工序项目。本项目属于</w:t>
            </w:r>
            <w:r>
              <w:rPr>
                <w:rFonts w:hint="eastAsia"/>
                <w:kern w:val="0"/>
                <w:sz w:val="24"/>
              </w:rPr>
              <w:t>C3670汽车零部件及配件制造</w:t>
            </w:r>
            <w:r>
              <w:rPr>
                <w:rFonts w:hint="eastAsia"/>
                <w:kern w:val="0"/>
                <w:sz w:val="24"/>
                <w:lang w:val="en-US" w:eastAsia="zh-CN"/>
              </w:rPr>
              <w:t>和</w:t>
            </w:r>
            <w:r>
              <w:rPr>
                <w:rFonts w:hint="eastAsia"/>
                <w:sz w:val="24"/>
              </w:rPr>
              <w:t>C2929塑料零件及其他塑料制品制造，不属于高耗水、高耗能、污水排放量大的项目，不涉及电镀及含电镀工序，符合开发区产业准入要求。</w:t>
            </w:r>
            <w:r>
              <w:rPr>
                <w:rFonts w:hint="eastAsia"/>
                <w:sz w:val="24"/>
                <w:lang w:eastAsia="zh-CN"/>
              </w:rPr>
              <w:t>。</w:t>
            </w:r>
          </w:p>
          <w:p w14:paraId="38D1BC1C">
            <w:pPr>
              <w:spacing w:line="360" w:lineRule="auto"/>
              <w:ind w:firstLine="542" w:firstLineChars="225"/>
              <w:rPr>
                <w:b/>
                <w:bCs/>
                <w:sz w:val="24"/>
              </w:rPr>
            </w:pPr>
            <w:r>
              <w:rPr>
                <w:rFonts w:hint="eastAsia"/>
                <w:b/>
                <w:bCs/>
                <w:sz w:val="24"/>
              </w:rPr>
              <w:t>2、规划环评符合性分析</w:t>
            </w:r>
          </w:p>
          <w:p w14:paraId="4F6FDAA6">
            <w:pPr>
              <w:spacing w:line="360" w:lineRule="auto"/>
              <w:ind w:firstLine="480" w:firstLineChars="200"/>
              <w:rPr>
                <w:rFonts w:hAnsi="宋体"/>
                <w:color w:val="000000"/>
                <w:sz w:val="24"/>
              </w:rPr>
            </w:pPr>
            <w:r>
              <w:rPr>
                <w:rFonts w:hint="eastAsia" w:ascii="宋体" w:hAnsi="宋体"/>
                <w:color w:val="000000"/>
                <w:sz w:val="24"/>
              </w:rPr>
              <w:t>根据《安徽芜湖鸠江经济开发区总体发展规划环境影响报告书》，安徽芜湖鸠江经济开发区面积为 2.83km</w:t>
            </w:r>
            <w:r>
              <w:rPr>
                <w:rFonts w:hint="eastAsia" w:ascii="宋体" w:hAnsi="宋体"/>
                <w:color w:val="000000"/>
                <w:sz w:val="24"/>
                <w:vertAlign w:val="superscript"/>
              </w:rPr>
              <w:t>2</w:t>
            </w:r>
            <w:r>
              <w:rPr>
                <w:rFonts w:hint="eastAsia" w:ascii="宋体" w:hAnsi="宋体"/>
                <w:color w:val="000000"/>
                <w:sz w:val="24"/>
              </w:rPr>
              <w:t>，北区（1.83km</w:t>
            </w:r>
            <w:r>
              <w:rPr>
                <w:rFonts w:hint="eastAsia" w:ascii="宋体" w:hAnsi="宋体"/>
                <w:color w:val="000000"/>
                <w:sz w:val="24"/>
                <w:vertAlign w:val="superscript"/>
              </w:rPr>
              <w:t>2</w:t>
            </w:r>
            <w:r>
              <w:rPr>
                <w:rFonts w:hint="eastAsia" w:ascii="宋体" w:hAnsi="宋体"/>
                <w:color w:val="000000"/>
                <w:sz w:val="24"/>
              </w:rPr>
              <w:t>）四至范围为：东至秦王河，南至永丰路，西至扁担河，北至东梁路，东区（1km</w:t>
            </w:r>
            <w:r>
              <w:rPr>
                <w:rFonts w:hint="eastAsia" w:ascii="宋体" w:hAnsi="宋体"/>
                <w:color w:val="000000"/>
                <w:sz w:val="24"/>
                <w:vertAlign w:val="superscript"/>
              </w:rPr>
              <w:t>2</w:t>
            </w:r>
            <w:r>
              <w:rPr>
                <w:rFonts w:hint="eastAsia" w:ascii="宋体" w:hAnsi="宋体"/>
                <w:color w:val="000000"/>
                <w:sz w:val="24"/>
              </w:rPr>
              <w:t>）四至范围为：东至华阳公司、亚夏汽车公司，南至赭山东路，西至经八路，北至神山南路。汽车及零部件产业、装备制造业、电子信息作为主导产业，同时积极培育现代服务业</w:t>
            </w:r>
            <w:r>
              <w:rPr>
                <w:rFonts w:hint="eastAsia" w:ascii="宋体" w:hAnsi="宋体"/>
                <w:color w:val="000000"/>
                <w:kern w:val="0"/>
                <w:sz w:val="24"/>
              </w:rPr>
              <w:t>。</w:t>
            </w:r>
          </w:p>
          <w:p w14:paraId="112403F9">
            <w:pPr>
              <w:jc w:val="center"/>
              <w:rPr>
                <w:rFonts w:cs="Arial"/>
                <w:b/>
                <w:color w:val="000000"/>
                <w:kern w:val="0"/>
                <w:sz w:val="24"/>
                <w:shd w:val="clear" w:color="auto" w:fill="FFFFFF"/>
              </w:rPr>
            </w:pPr>
            <w:r>
              <w:rPr>
                <w:rFonts w:ascii="宋体" w:hAnsi="宋体" w:cs="Arial"/>
                <w:b/>
                <w:color w:val="000000"/>
                <w:kern w:val="0"/>
                <w:sz w:val="24"/>
                <w:shd w:val="clear" w:color="auto" w:fill="FFFFFF"/>
              </w:rPr>
              <w:t>表</w:t>
            </w:r>
            <w:r>
              <w:rPr>
                <w:rFonts w:hint="eastAsia"/>
                <w:b/>
                <w:color w:val="000000"/>
                <w:kern w:val="0"/>
                <w:sz w:val="24"/>
                <w:shd w:val="clear" w:color="auto" w:fill="FFFFFF"/>
              </w:rPr>
              <w:t>1</w:t>
            </w:r>
            <w:r>
              <w:rPr>
                <w:rFonts w:cs="Arial"/>
                <w:b/>
                <w:color w:val="000000"/>
                <w:kern w:val="0"/>
                <w:sz w:val="24"/>
                <w:shd w:val="clear" w:color="auto" w:fill="FFFFFF"/>
              </w:rPr>
              <w:t>-</w:t>
            </w:r>
            <w:r>
              <w:rPr>
                <w:rFonts w:hint="eastAsia"/>
                <w:b/>
                <w:color w:val="000000"/>
                <w:kern w:val="0"/>
                <w:sz w:val="24"/>
                <w:shd w:val="clear" w:color="auto" w:fill="FFFFFF"/>
              </w:rPr>
              <w:t xml:space="preserve">1 </w:t>
            </w:r>
            <w:r>
              <w:rPr>
                <w:rFonts w:cs="Arial"/>
                <w:b/>
                <w:color w:val="000000"/>
                <w:kern w:val="0"/>
                <w:sz w:val="24"/>
                <w:shd w:val="clear" w:color="auto" w:fill="FFFFFF"/>
              </w:rPr>
              <w:t xml:space="preserve"> </w:t>
            </w:r>
            <w:r>
              <w:rPr>
                <w:rFonts w:hint="eastAsia" w:ascii="宋体" w:hAnsi="宋体" w:cs="Arial"/>
                <w:b/>
                <w:color w:val="000000"/>
                <w:kern w:val="0"/>
                <w:sz w:val="24"/>
                <w:shd w:val="clear" w:color="auto" w:fill="FFFFFF"/>
              </w:rPr>
              <w:t>鸠江经济开发区入区主导项目行业参考建议一览表</w:t>
            </w:r>
          </w:p>
          <w:tbl>
            <w:tblPr>
              <w:tblStyle w:val="29"/>
              <w:tblW w:w="7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4933"/>
              <w:gridCol w:w="1324"/>
            </w:tblGrid>
            <w:tr w14:paraId="5D968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vAlign w:val="center"/>
                </w:tcPr>
                <w:p w14:paraId="2DB92FFD">
                  <w:pPr>
                    <w:snapToGrid w:val="0"/>
                    <w:jc w:val="center"/>
                    <w:rPr>
                      <w:b/>
                      <w:szCs w:val="21"/>
                    </w:rPr>
                  </w:pPr>
                  <w:r>
                    <w:rPr>
                      <w:rFonts w:hint="eastAsia"/>
                      <w:b/>
                    </w:rPr>
                    <w:t>行业门类</w:t>
                  </w:r>
                </w:p>
              </w:tc>
              <w:tc>
                <w:tcPr>
                  <w:tcW w:w="4933" w:type="dxa"/>
                  <w:vAlign w:val="center"/>
                </w:tcPr>
                <w:p w14:paraId="3472D028">
                  <w:pPr>
                    <w:snapToGrid w:val="0"/>
                    <w:jc w:val="center"/>
                    <w:rPr>
                      <w:b/>
                    </w:rPr>
                  </w:pPr>
                  <w:r>
                    <w:rPr>
                      <w:b/>
                    </w:rPr>
                    <w:t>行业名称</w:t>
                  </w:r>
                </w:p>
              </w:tc>
              <w:tc>
                <w:tcPr>
                  <w:tcW w:w="1324" w:type="dxa"/>
                  <w:vAlign w:val="center"/>
                </w:tcPr>
                <w:p w14:paraId="33A860CE">
                  <w:pPr>
                    <w:snapToGrid w:val="0"/>
                    <w:jc w:val="center"/>
                    <w:rPr>
                      <w:b/>
                    </w:rPr>
                  </w:pPr>
                  <w:r>
                    <w:rPr>
                      <w:rFonts w:hint="eastAsia"/>
                      <w:b/>
                    </w:rPr>
                    <w:t>入区建议</w:t>
                  </w:r>
                </w:p>
              </w:tc>
            </w:tr>
            <w:tr w14:paraId="5C26D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vMerge w:val="restart"/>
                  <w:vAlign w:val="center"/>
                </w:tcPr>
                <w:p w14:paraId="7235DB81">
                  <w:pPr>
                    <w:autoSpaceDE w:val="0"/>
                    <w:autoSpaceDN w:val="0"/>
                    <w:adjustRightInd w:val="0"/>
                    <w:snapToGrid w:val="0"/>
                    <w:spacing w:line="340" w:lineRule="exact"/>
                    <w:jc w:val="center"/>
                    <w:rPr>
                      <w:b/>
                      <w:color w:val="000000"/>
                    </w:rPr>
                  </w:pPr>
                  <w:r>
                    <w:rPr>
                      <w:rFonts w:hint="eastAsia"/>
                      <w:b/>
                      <w:color w:val="000000"/>
                    </w:rPr>
                    <w:t>汽车及装备制造业</w:t>
                  </w:r>
                </w:p>
              </w:tc>
              <w:tc>
                <w:tcPr>
                  <w:tcW w:w="4933" w:type="dxa"/>
                  <w:vAlign w:val="center"/>
                </w:tcPr>
                <w:p w14:paraId="1732D8FB">
                  <w:pPr>
                    <w:autoSpaceDE w:val="0"/>
                    <w:autoSpaceDN w:val="0"/>
                    <w:adjustRightInd w:val="0"/>
                    <w:snapToGrid w:val="0"/>
                    <w:spacing w:line="340" w:lineRule="exact"/>
                    <w:jc w:val="left"/>
                    <w:rPr>
                      <w:b/>
                      <w:color w:val="000000"/>
                    </w:rPr>
                  </w:pPr>
                  <w:r>
                    <w:rPr>
                      <w:rFonts w:hint="eastAsia"/>
                      <w:b/>
                      <w:color w:val="000000"/>
                    </w:rPr>
                    <w:t>汽车零部件及配件制造、工程机械设备加工、大型机械设备制造、农具加工等</w:t>
                  </w:r>
                </w:p>
              </w:tc>
              <w:tc>
                <w:tcPr>
                  <w:tcW w:w="1324" w:type="dxa"/>
                  <w:vAlign w:val="center"/>
                </w:tcPr>
                <w:p w14:paraId="14BAC511">
                  <w:pPr>
                    <w:autoSpaceDE w:val="0"/>
                    <w:autoSpaceDN w:val="0"/>
                    <w:adjustRightInd w:val="0"/>
                    <w:snapToGrid w:val="0"/>
                    <w:spacing w:line="340" w:lineRule="exact"/>
                    <w:jc w:val="center"/>
                    <w:rPr>
                      <w:b/>
                      <w:color w:val="000000"/>
                    </w:rPr>
                  </w:pPr>
                  <w:r>
                    <w:rPr>
                      <w:rFonts w:hint="eastAsia"/>
                      <w:b/>
                      <w:color w:val="000000"/>
                    </w:rPr>
                    <w:t>优先鼓励</w:t>
                  </w:r>
                </w:p>
              </w:tc>
            </w:tr>
            <w:tr w14:paraId="72554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vMerge w:val="continue"/>
                  <w:vAlign w:val="center"/>
                </w:tcPr>
                <w:p w14:paraId="588403D0">
                  <w:pPr>
                    <w:autoSpaceDE w:val="0"/>
                    <w:autoSpaceDN w:val="0"/>
                    <w:adjustRightInd w:val="0"/>
                    <w:snapToGrid w:val="0"/>
                    <w:spacing w:line="340" w:lineRule="exact"/>
                    <w:jc w:val="center"/>
                    <w:rPr>
                      <w:b/>
                      <w:color w:val="000000"/>
                    </w:rPr>
                  </w:pPr>
                </w:p>
              </w:tc>
              <w:tc>
                <w:tcPr>
                  <w:tcW w:w="4933" w:type="dxa"/>
                  <w:vAlign w:val="center"/>
                </w:tcPr>
                <w:p w14:paraId="5B93252B">
                  <w:pPr>
                    <w:autoSpaceDE w:val="0"/>
                    <w:autoSpaceDN w:val="0"/>
                    <w:adjustRightInd w:val="0"/>
                    <w:snapToGrid w:val="0"/>
                    <w:spacing w:line="340" w:lineRule="exact"/>
                    <w:jc w:val="left"/>
                    <w:rPr>
                      <w:b/>
                      <w:color w:val="000000"/>
                    </w:rPr>
                  </w:pPr>
                  <w:r>
                    <w:rPr>
                      <w:rFonts w:hint="eastAsia"/>
                      <w:b/>
                      <w:color w:val="000000"/>
                    </w:rPr>
                    <w:t>含电镀工序</w:t>
                  </w:r>
                </w:p>
              </w:tc>
              <w:tc>
                <w:tcPr>
                  <w:tcW w:w="1324" w:type="dxa"/>
                  <w:vAlign w:val="center"/>
                </w:tcPr>
                <w:p w14:paraId="3705BDF6">
                  <w:pPr>
                    <w:autoSpaceDE w:val="0"/>
                    <w:autoSpaceDN w:val="0"/>
                    <w:adjustRightInd w:val="0"/>
                    <w:snapToGrid w:val="0"/>
                    <w:spacing w:line="340" w:lineRule="exact"/>
                    <w:jc w:val="center"/>
                    <w:rPr>
                      <w:b/>
                      <w:color w:val="000000"/>
                    </w:rPr>
                  </w:pPr>
                  <w:r>
                    <w:rPr>
                      <w:rFonts w:hint="eastAsia"/>
                      <w:b/>
                      <w:color w:val="000000"/>
                    </w:rPr>
                    <w:t>禁止发展</w:t>
                  </w:r>
                </w:p>
              </w:tc>
            </w:tr>
            <w:tr w14:paraId="2889B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vMerge w:val="restart"/>
                  <w:vAlign w:val="center"/>
                </w:tcPr>
                <w:p w14:paraId="4D02E956">
                  <w:pPr>
                    <w:autoSpaceDE w:val="0"/>
                    <w:autoSpaceDN w:val="0"/>
                    <w:adjustRightInd w:val="0"/>
                    <w:snapToGrid w:val="0"/>
                    <w:spacing w:line="340" w:lineRule="exact"/>
                    <w:jc w:val="center"/>
                    <w:rPr>
                      <w:b/>
                      <w:color w:val="000000"/>
                    </w:rPr>
                  </w:pPr>
                  <w:r>
                    <w:rPr>
                      <w:rFonts w:hint="eastAsia"/>
                      <w:b/>
                      <w:color w:val="000000"/>
                    </w:rPr>
                    <w:t>电子信息</w:t>
                  </w:r>
                </w:p>
              </w:tc>
              <w:tc>
                <w:tcPr>
                  <w:tcW w:w="4933" w:type="dxa"/>
                  <w:vAlign w:val="center"/>
                </w:tcPr>
                <w:p w14:paraId="03BE5E0A">
                  <w:pPr>
                    <w:autoSpaceDE w:val="0"/>
                    <w:autoSpaceDN w:val="0"/>
                    <w:adjustRightInd w:val="0"/>
                    <w:snapToGrid w:val="0"/>
                    <w:spacing w:line="340" w:lineRule="exact"/>
                    <w:jc w:val="left"/>
                    <w:rPr>
                      <w:b/>
                      <w:color w:val="000000"/>
                    </w:rPr>
                  </w:pPr>
                  <w:r>
                    <w:rPr>
                      <w:rFonts w:hint="eastAsia"/>
                      <w:b/>
                      <w:color w:val="000000"/>
                    </w:rPr>
                    <w:t>智能电视、智能空调、智能洗衣机、智能冰箱、可视电话、家庭网关、家庭安防、LED 照明</w:t>
                  </w:r>
                </w:p>
              </w:tc>
              <w:tc>
                <w:tcPr>
                  <w:tcW w:w="1324" w:type="dxa"/>
                  <w:vAlign w:val="center"/>
                </w:tcPr>
                <w:p w14:paraId="392A5849">
                  <w:pPr>
                    <w:autoSpaceDE w:val="0"/>
                    <w:autoSpaceDN w:val="0"/>
                    <w:adjustRightInd w:val="0"/>
                    <w:snapToGrid w:val="0"/>
                    <w:spacing w:line="340" w:lineRule="exact"/>
                    <w:jc w:val="center"/>
                    <w:rPr>
                      <w:b/>
                      <w:color w:val="000000"/>
                    </w:rPr>
                  </w:pPr>
                  <w:r>
                    <w:rPr>
                      <w:rFonts w:hint="eastAsia"/>
                      <w:b/>
                      <w:color w:val="000000"/>
                    </w:rPr>
                    <w:t>优先鼓励</w:t>
                  </w:r>
                </w:p>
              </w:tc>
            </w:tr>
            <w:tr w14:paraId="73A42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vMerge w:val="continue"/>
                  <w:vAlign w:val="center"/>
                </w:tcPr>
                <w:p w14:paraId="46BBA310">
                  <w:pPr>
                    <w:autoSpaceDE w:val="0"/>
                    <w:autoSpaceDN w:val="0"/>
                    <w:adjustRightInd w:val="0"/>
                    <w:snapToGrid w:val="0"/>
                    <w:spacing w:line="340" w:lineRule="exact"/>
                    <w:jc w:val="center"/>
                    <w:rPr>
                      <w:b/>
                      <w:color w:val="000000"/>
                    </w:rPr>
                  </w:pPr>
                </w:p>
              </w:tc>
              <w:tc>
                <w:tcPr>
                  <w:tcW w:w="4933" w:type="dxa"/>
                  <w:vAlign w:val="center"/>
                </w:tcPr>
                <w:p w14:paraId="276B66EB">
                  <w:pPr>
                    <w:autoSpaceDE w:val="0"/>
                    <w:autoSpaceDN w:val="0"/>
                    <w:adjustRightInd w:val="0"/>
                    <w:snapToGrid w:val="0"/>
                    <w:spacing w:line="340" w:lineRule="exact"/>
                    <w:jc w:val="left"/>
                    <w:rPr>
                      <w:b/>
                      <w:color w:val="000000"/>
                    </w:rPr>
                  </w:pPr>
                  <w:r>
                    <w:rPr>
                      <w:rFonts w:hint="eastAsia"/>
                      <w:b/>
                      <w:color w:val="000000"/>
                    </w:rPr>
                    <w:t>铅蓄电池、技术落后、能耗高、污染重的家电及电子产品</w:t>
                  </w:r>
                </w:p>
              </w:tc>
              <w:tc>
                <w:tcPr>
                  <w:tcW w:w="1324" w:type="dxa"/>
                  <w:vAlign w:val="center"/>
                </w:tcPr>
                <w:p w14:paraId="5E58117F">
                  <w:pPr>
                    <w:autoSpaceDE w:val="0"/>
                    <w:autoSpaceDN w:val="0"/>
                    <w:adjustRightInd w:val="0"/>
                    <w:snapToGrid w:val="0"/>
                    <w:spacing w:line="340" w:lineRule="exact"/>
                    <w:jc w:val="center"/>
                    <w:rPr>
                      <w:b/>
                      <w:color w:val="000000"/>
                    </w:rPr>
                  </w:pPr>
                  <w:r>
                    <w:rPr>
                      <w:rFonts w:hint="eastAsia"/>
                      <w:b/>
                      <w:color w:val="000000"/>
                    </w:rPr>
                    <w:t>禁止进入</w:t>
                  </w:r>
                </w:p>
              </w:tc>
            </w:tr>
            <w:tr w14:paraId="74066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vAlign w:val="center"/>
                </w:tcPr>
                <w:p w14:paraId="7B043A47">
                  <w:pPr>
                    <w:autoSpaceDE w:val="0"/>
                    <w:autoSpaceDN w:val="0"/>
                    <w:adjustRightInd w:val="0"/>
                    <w:snapToGrid w:val="0"/>
                    <w:spacing w:line="340" w:lineRule="exact"/>
                    <w:jc w:val="center"/>
                    <w:rPr>
                      <w:b/>
                      <w:color w:val="000000"/>
                    </w:rPr>
                  </w:pPr>
                  <w:r>
                    <w:rPr>
                      <w:rFonts w:hint="eastAsia"/>
                      <w:b/>
                      <w:color w:val="000000"/>
                    </w:rPr>
                    <w:t>194</w:t>
                  </w:r>
                </w:p>
              </w:tc>
              <w:tc>
                <w:tcPr>
                  <w:tcW w:w="4933" w:type="dxa"/>
                  <w:vAlign w:val="center"/>
                </w:tcPr>
                <w:p w14:paraId="6C3CB2B2">
                  <w:pPr>
                    <w:autoSpaceDE w:val="0"/>
                    <w:autoSpaceDN w:val="0"/>
                    <w:adjustRightInd w:val="0"/>
                    <w:snapToGrid w:val="0"/>
                    <w:spacing w:line="340" w:lineRule="exact"/>
                    <w:jc w:val="left"/>
                    <w:rPr>
                      <w:b/>
                      <w:color w:val="000000"/>
                    </w:rPr>
                  </w:pPr>
                  <w:r>
                    <w:rPr>
                      <w:rFonts w:hint="eastAsia"/>
                      <w:b/>
                      <w:color w:val="000000"/>
                    </w:rPr>
                    <w:t>商贸物流、金融服务、商务办公、科技研发、文化创意、动漫产业、休闲娱乐、现代物流业、旅游休闲等</w:t>
                  </w:r>
                </w:p>
              </w:tc>
              <w:tc>
                <w:tcPr>
                  <w:tcW w:w="1324" w:type="dxa"/>
                  <w:vAlign w:val="center"/>
                </w:tcPr>
                <w:p w14:paraId="6FA04F12">
                  <w:pPr>
                    <w:autoSpaceDE w:val="0"/>
                    <w:autoSpaceDN w:val="0"/>
                    <w:adjustRightInd w:val="0"/>
                    <w:snapToGrid w:val="0"/>
                    <w:spacing w:line="340" w:lineRule="exact"/>
                    <w:jc w:val="center"/>
                    <w:rPr>
                      <w:b/>
                      <w:color w:val="000000"/>
                    </w:rPr>
                  </w:pPr>
                  <w:r>
                    <w:rPr>
                      <w:rFonts w:hint="eastAsia"/>
                      <w:b/>
                      <w:color w:val="000000"/>
                    </w:rPr>
                    <w:t>优先鼓励</w:t>
                  </w:r>
                </w:p>
              </w:tc>
            </w:tr>
            <w:tr w14:paraId="6C23C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vAlign w:val="center"/>
                </w:tcPr>
                <w:p w14:paraId="33E4827F">
                  <w:pPr>
                    <w:autoSpaceDE w:val="0"/>
                    <w:autoSpaceDN w:val="0"/>
                    <w:adjustRightInd w:val="0"/>
                    <w:snapToGrid w:val="0"/>
                    <w:spacing w:line="340" w:lineRule="exact"/>
                    <w:jc w:val="center"/>
                    <w:rPr>
                      <w:b/>
                      <w:color w:val="000000"/>
                    </w:rPr>
                  </w:pPr>
                  <w:r>
                    <w:rPr>
                      <w:rFonts w:hint="eastAsia"/>
                      <w:b/>
                      <w:color w:val="000000"/>
                    </w:rPr>
                    <w:t>26</w:t>
                  </w:r>
                </w:p>
              </w:tc>
              <w:tc>
                <w:tcPr>
                  <w:tcW w:w="4933" w:type="dxa"/>
                  <w:vAlign w:val="center"/>
                </w:tcPr>
                <w:p w14:paraId="606F12AF">
                  <w:pPr>
                    <w:autoSpaceDE w:val="0"/>
                    <w:autoSpaceDN w:val="0"/>
                    <w:adjustRightInd w:val="0"/>
                    <w:snapToGrid w:val="0"/>
                    <w:spacing w:line="340" w:lineRule="exact"/>
                    <w:jc w:val="left"/>
                    <w:rPr>
                      <w:b/>
                      <w:color w:val="000000"/>
                    </w:rPr>
                  </w:pPr>
                  <w:r>
                    <w:rPr>
                      <w:rFonts w:hint="eastAsia"/>
                      <w:b/>
                      <w:color w:val="000000"/>
                    </w:rPr>
                    <w:t>化工、造纸、发酵、多晶硅、玻璃制造、铸造、冶炼及化工等高污染行业及国家及地方禁止和限制发展的项目</w:t>
                  </w:r>
                </w:p>
              </w:tc>
              <w:tc>
                <w:tcPr>
                  <w:tcW w:w="1324" w:type="dxa"/>
                  <w:vAlign w:val="center"/>
                </w:tcPr>
                <w:p w14:paraId="202CA788">
                  <w:pPr>
                    <w:autoSpaceDE w:val="0"/>
                    <w:autoSpaceDN w:val="0"/>
                    <w:adjustRightInd w:val="0"/>
                    <w:snapToGrid w:val="0"/>
                    <w:spacing w:line="340" w:lineRule="exact"/>
                    <w:jc w:val="center"/>
                    <w:rPr>
                      <w:b/>
                      <w:color w:val="000000"/>
                    </w:rPr>
                  </w:pPr>
                  <w:r>
                    <w:rPr>
                      <w:rFonts w:hint="eastAsia"/>
                      <w:b/>
                      <w:color w:val="000000"/>
                    </w:rPr>
                    <w:t>禁止发展</w:t>
                  </w:r>
                </w:p>
              </w:tc>
            </w:tr>
          </w:tbl>
          <w:p w14:paraId="344B3E57">
            <w:pPr>
              <w:spacing w:line="360" w:lineRule="auto"/>
              <w:ind w:firstLine="540" w:firstLineChars="225"/>
              <w:rPr>
                <w:color w:val="000000"/>
                <w:sz w:val="24"/>
              </w:rPr>
            </w:pPr>
            <w:r>
              <w:rPr>
                <w:color w:val="000000"/>
                <w:sz w:val="24"/>
              </w:rPr>
              <w:t>本项目选址位于</w:t>
            </w:r>
            <w:r>
              <w:rPr>
                <w:rFonts w:hint="eastAsia"/>
                <w:sz w:val="24"/>
              </w:rPr>
              <w:t>芜湖市鸠江经济开发区徽州路152号</w:t>
            </w:r>
            <w:r>
              <w:rPr>
                <w:rFonts w:hint="eastAsia"/>
                <w:color w:val="000000"/>
                <w:sz w:val="24"/>
              </w:rPr>
              <w:t>，属于芜湖鸠江经济开发区的规划范围，本项目属于</w:t>
            </w:r>
            <w:r>
              <w:rPr>
                <w:rFonts w:hint="eastAsia"/>
                <w:kern w:val="0"/>
                <w:sz w:val="24"/>
              </w:rPr>
              <w:t>汽车零部件及配件制造</w:t>
            </w:r>
            <w:r>
              <w:rPr>
                <w:rFonts w:hint="eastAsia"/>
                <w:kern w:val="0"/>
                <w:sz w:val="24"/>
                <w:lang w:val="en-US" w:eastAsia="zh-CN"/>
              </w:rPr>
              <w:t>和</w:t>
            </w:r>
            <w:r>
              <w:rPr>
                <w:rFonts w:hint="eastAsia"/>
                <w:color w:val="000000"/>
                <w:sz w:val="24"/>
              </w:rPr>
              <w:t xml:space="preserve">塑料零件及其他塑料制品制造行业，不属于鸠江经济开发区的禁止发展行业和优先鼓励行业，视为准入行业，符合规划要求。 </w:t>
            </w:r>
          </w:p>
          <w:p w14:paraId="45A36A0B">
            <w:pPr>
              <w:spacing w:line="360" w:lineRule="auto"/>
              <w:ind w:firstLine="540" w:firstLineChars="225"/>
              <w:rPr>
                <w:color w:val="000000"/>
                <w:sz w:val="24"/>
              </w:rPr>
            </w:pPr>
            <w:r>
              <w:rPr>
                <w:rFonts w:hint="eastAsia"/>
                <w:color w:val="000000"/>
                <w:sz w:val="24"/>
              </w:rPr>
              <w:t>本项目与《安徽省环保厅关于安徽芜湖鸠江经济开发区总体发展规划环境影响报告书审查意见的函》符合性分析见下表：</w:t>
            </w:r>
            <w:r>
              <w:rPr>
                <w:color w:val="000000"/>
                <w:kern w:val="0"/>
                <w:szCs w:val="21"/>
              </w:rPr>
              <w:t xml:space="preserve"> </w:t>
            </w:r>
          </w:p>
          <w:p w14:paraId="29280B0E">
            <w:pPr>
              <w:jc w:val="center"/>
              <w:rPr>
                <w:rFonts w:cs="Arial"/>
                <w:b/>
                <w:color w:val="000000"/>
                <w:kern w:val="0"/>
                <w:sz w:val="24"/>
                <w:shd w:val="clear" w:color="auto" w:fill="FFFFFF"/>
              </w:rPr>
            </w:pPr>
            <w:r>
              <w:rPr>
                <w:rFonts w:cs="Arial"/>
                <w:b/>
                <w:color w:val="000000"/>
                <w:kern w:val="0"/>
                <w:sz w:val="24"/>
                <w:shd w:val="clear" w:color="auto" w:fill="FFFFFF"/>
              </w:rPr>
              <w:t>表1-</w:t>
            </w:r>
            <w:r>
              <w:rPr>
                <w:rFonts w:hint="eastAsia" w:cs="Arial"/>
                <w:b/>
                <w:color w:val="000000"/>
                <w:kern w:val="0"/>
                <w:sz w:val="24"/>
                <w:shd w:val="clear" w:color="auto" w:fill="FFFFFF"/>
              </w:rPr>
              <w:t xml:space="preserve">2 </w:t>
            </w:r>
            <w:r>
              <w:rPr>
                <w:rFonts w:cs="Arial"/>
                <w:b/>
                <w:color w:val="000000"/>
                <w:kern w:val="0"/>
                <w:sz w:val="24"/>
                <w:shd w:val="clear" w:color="auto" w:fill="FFFFFF"/>
              </w:rPr>
              <w:t xml:space="preserve"> </w:t>
            </w:r>
            <w:r>
              <w:rPr>
                <w:rFonts w:hint="eastAsia" w:cs="Arial"/>
                <w:b/>
                <w:color w:val="000000"/>
                <w:kern w:val="0"/>
                <w:sz w:val="24"/>
                <w:shd w:val="clear" w:color="auto" w:fill="FFFFFF"/>
              </w:rPr>
              <w:t>本项目与《安徽省环保厅关于安徽芜湖鸠江经济开发区总体发展规划环境影响报告书审查意见的函》相符性分析一览</w:t>
            </w:r>
            <w:r>
              <w:rPr>
                <w:rFonts w:cs="Arial"/>
                <w:b/>
                <w:color w:val="000000"/>
                <w:kern w:val="0"/>
                <w:sz w:val="24"/>
                <w:shd w:val="clear" w:color="auto" w:fill="FFFFFF"/>
              </w:rPr>
              <w:t>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9"/>
              <w:gridCol w:w="4062"/>
              <w:gridCol w:w="2413"/>
              <w:gridCol w:w="671"/>
            </w:tblGrid>
            <w:tr w14:paraId="397C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003CD083">
                  <w:pPr>
                    <w:widowControl/>
                    <w:ind w:left="-105" w:leftChars="-50" w:right="-105" w:rightChars="-50"/>
                    <w:jc w:val="center"/>
                    <w:rPr>
                      <w:b/>
                      <w:color w:val="000000"/>
                      <w:kern w:val="0"/>
                      <w:szCs w:val="21"/>
                    </w:rPr>
                  </w:pPr>
                  <w:r>
                    <w:rPr>
                      <w:b/>
                      <w:color w:val="000000"/>
                      <w:kern w:val="0"/>
                      <w:szCs w:val="21"/>
                    </w:rPr>
                    <w:t>序号</w:t>
                  </w:r>
                </w:p>
              </w:tc>
              <w:tc>
                <w:tcPr>
                  <w:tcW w:w="2653" w:type="pct"/>
                  <w:shd w:val="clear" w:color="auto" w:fill="auto"/>
                  <w:vAlign w:val="center"/>
                </w:tcPr>
                <w:p w14:paraId="3817DC73">
                  <w:pPr>
                    <w:widowControl/>
                    <w:ind w:left="-105" w:leftChars="-50" w:right="-105" w:rightChars="-50"/>
                    <w:jc w:val="center"/>
                    <w:rPr>
                      <w:b/>
                      <w:color w:val="000000"/>
                      <w:kern w:val="0"/>
                      <w:szCs w:val="21"/>
                    </w:rPr>
                  </w:pPr>
                  <w:r>
                    <w:rPr>
                      <w:b/>
                      <w:color w:val="000000"/>
                      <w:kern w:val="0"/>
                      <w:szCs w:val="21"/>
                    </w:rPr>
                    <w:t>规划环评及其审查意见</w:t>
                  </w:r>
                </w:p>
              </w:tc>
              <w:tc>
                <w:tcPr>
                  <w:tcW w:w="1576" w:type="pct"/>
                  <w:shd w:val="clear" w:color="auto" w:fill="auto"/>
                  <w:vAlign w:val="center"/>
                </w:tcPr>
                <w:p w14:paraId="0670FDBA">
                  <w:pPr>
                    <w:widowControl/>
                    <w:ind w:left="-105" w:leftChars="-50" w:right="-105" w:rightChars="-50"/>
                    <w:jc w:val="center"/>
                    <w:rPr>
                      <w:b/>
                      <w:color w:val="000000"/>
                      <w:kern w:val="0"/>
                      <w:szCs w:val="21"/>
                    </w:rPr>
                  </w:pPr>
                  <w:r>
                    <w:rPr>
                      <w:b/>
                      <w:color w:val="000000"/>
                      <w:kern w:val="0"/>
                      <w:szCs w:val="21"/>
                    </w:rPr>
                    <w:t>本项目情况</w:t>
                  </w:r>
                </w:p>
              </w:tc>
              <w:tc>
                <w:tcPr>
                  <w:tcW w:w="438" w:type="pct"/>
                  <w:shd w:val="clear" w:color="auto" w:fill="auto"/>
                  <w:vAlign w:val="center"/>
                </w:tcPr>
                <w:p w14:paraId="37C2712F">
                  <w:pPr>
                    <w:widowControl/>
                    <w:ind w:left="-105" w:leftChars="-50" w:right="-105" w:rightChars="-50"/>
                    <w:jc w:val="center"/>
                    <w:rPr>
                      <w:b/>
                      <w:color w:val="000000"/>
                      <w:kern w:val="0"/>
                      <w:szCs w:val="21"/>
                    </w:rPr>
                  </w:pPr>
                  <w:r>
                    <w:rPr>
                      <w:b/>
                      <w:color w:val="000000"/>
                      <w:kern w:val="0"/>
                      <w:szCs w:val="21"/>
                    </w:rPr>
                    <w:t>符合性</w:t>
                  </w:r>
                </w:p>
              </w:tc>
            </w:tr>
            <w:tr w14:paraId="6E160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062ED427">
                  <w:pPr>
                    <w:widowControl/>
                    <w:jc w:val="center"/>
                    <w:rPr>
                      <w:color w:val="000000"/>
                      <w:kern w:val="0"/>
                      <w:szCs w:val="21"/>
                    </w:rPr>
                  </w:pPr>
                  <w:r>
                    <w:rPr>
                      <w:color w:val="000000"/>
                      <w:kern w:val="0"/>
                      <w:szCs w:val="21"/>
                    </w:rPr>
                    <w:t>1</w:t>
                  </w:r>
                </w:p>
              </w:tc>
              <w:tc>
                <w:tcPr>
                  <w:tcW w:w="2653" w:type="pct"/>
                  <w:shd w:val="clear" w:color="auto" w:fill="auto"/>
                  <w:vAlign w:val="center"/>
                </w:tcPr>
                <w:p w14:paraId="4D8D9A6F">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进一步优化开发区空间布局。根据开发区各产业特点，充分考虑居住区域环境要求，进一步优化调整空间布局，减轻和避免各功能区之间、项目之间在环境要求方面的相互影响，靠近居住区的工业用地应控制为一类工业用地或服务设施用地，以确保居住区环境质量。现有不符合功能分区的项目，要逐步进行调整或搬迁。需要设置卫生防护距离的企业，应按规定设置防护距离。要严格控制开发区周边用地性质，加强对环境敏感点的保护。开发区内现有的天然水体应予以保留</w:t>
                  </w:r>
                </w:p>
              </w:tc>
              <w:tc>
                <w:tcPr>
                  <w:tcW w:w="1576" w:type="pct"/>
                  <w:shd w:val="clear" w:color="auto" w:fill="auto"/>
                  <w:vAlign w:val="center"/>
                </w:tcPr>
                <w:p w14:paraId="4C6A6BFD">
                  <w:pPr>
                    <w:widowControl/>
                    <w:jc w:val="center"/>
                    <w:rPr>
                      <w:bCs/>
                      <w:color w:val="0D0D0D" w:themeColor="text1" w:themeTint="F2"/>
                      <w:kern w:val="0"/>
                      <w:szCs w:val="21"/>
                      <w14:textFill>
                        <w14:solidFill>
                          <w14:schemeClr w14:val="tx1">
                            <w14:lumMod w14:val="95000"/>
                            <w14:lumOff w14:val="5000"/>
                          </w14:schemeClr>
                        </w14:solidFill>
                      </w14:textFill>
                    </w:rPr>
                  </w:pPr>
                  <w:r>
                    <w:rPr>
                      <w:bCs/>
                      <w:color w:val="0D0D0D" w:themeColor="text1" w:themeTint="F2"/>
                      <w:kern w:val="0"/>
                      <w:szCs w:val="21"/>
                      <w14:textFill>
                        <w14:solidFill>
                          <w14:schemeClr w14:val="tx1">
                            <w14:lumMod w14:val="95000"/>
                            <w14:lumOff w14:val="5000"/>
                          </w14:schemeClr>
                        </w14:solidFill>
                      </w14:textFill>
                    </w:rPr>
                    <w:t>本项</w:t>
                  </w:r>
                  <w:r>
                    <w:rPr>
                      <w:color w:val="0D0D0D" w:themeColor="text1" w:themeTint="F2"/>
                      <w:kern w:val="0"/>
                      <w:szCs w:val="21"/>
                      <w14:textFill>
                        <w14:solidFill>
                          <w14:schemeClr w14:val="tx1">
                            <w14:lumMod w14:val="95000"/>
                            <w14:lumOff w14:val="5000"/>
                          </w14:schemeClr>
                        </w14:solidFill>
                      </w14:textFill>
                    </w:rPr>
                    <w:t>目</w:t>
                  </w:r>
                  <w:r>
                    <w:rPr>
                      <w:rFonts w:hint="eastAsia"/>
                      <w:color w:val="0D0D0D" w:themeColor="text1" w:themeTint="F2"/>
                      <w:kern w:val="0"/>
                      <w:szCs w:val="21"/>
                      <w14:textFill>
                        <w14:solidFill>
                          <w14:schemeClr w14:val="tx1">
                            <w14:lumMod w14:val="95000"/>
                            <w14:lumOff w14:val="5000"/>
                          </w14:schemeClr>
                        </w14:solidFill>
                      </w14:textFill>
                    </w:rPr>
                    <w:t>芜湖市鸠江经济开发区徽州路152号，根据鸠江经济</w:t>
                  </w:r>
                  <w:r>
                    <w:rPr>
                      <w:rFonts w:hint="eastAsia"/>
                      <w:color w:val="0D0D0D" w:themeColor="text1" w:themeTint="F2"/>
                      <w:kern w:val="0"/>
                      <w:szCs w:val="21"/>
                      <w:lang w:val="en-US" w:eastAsia="zh-CN"/>
                      <w14:textFill>
                        <w14:solidFill>
                          <w14:schemeClr w14:val="tx1">
                            <w14:lumMod w14:val="95000"/>
                            <w14:lumOff w14:val="5000"/>
                          </w14:schemeClr>
                        </w14:solidFill>
                      </w14:textFill>
                    </w:rPr>
                    <w:t>开发区用地规划图及项目</w:t>
                  </w:r>
                  <w:r>
                    <w:rPr>
                      <w:rFonts w:hint="eastAsia"/>
                      <w:color w:val="0D0D0D" w:themeColor="text1" w:themeTint="F2"/>
                      <w:kern w:val="0"/>
                      <w:szCs w:val="21"/>
                      <w14:textFill>
                        <w14:solidFill>
                          <w14:schemeClr w14:val="tx1">
                            <w14:lumMod w14:val="95000"/>
                            <w14:lumOff w14:val="5000"/>
                          </w14:schemeClr>
                        </w14:solidFill>
                      </w14:textFill>
                    </w:rPr>
                    <w:t>土地证，项目用地属于工业用地。项目用地范围内不涉及天然水体</w:t>
                  </w:r>
                </w:p>
              </w:tc>
              <w:tc>
                <w:tcPr>
                  <w:tcW w:w="438" w:type="pct"/>
                  <w:shd w:val="clear" w:color="auto" w:fill="auto"/>
                  <w:vAlign w:val="center"/>
                </w:tcPr>
                <w:p w14:paraId="29BDB6AF">
                  <w:pPr>
                    <w:widowControl/>
                    <w:jc w:val="center"/>
                    <w:rPr>
                      <w:color w:val="000000"/>
                      <w:kern w:val="0"/>
                      <w:szCs w:val="21"/>
                    </w:rPr>
                  </w:pPr>
                  <w:r>
                    <w:rPr>
                      <w:color w:val="000000"/>
                      <w:kern w:val="0"/>
                      <w:szCs w:val="21"/>
                    </w:rPr>
                    <w:t>相符</w:t>
                  </w:r>
                </w:p>
              </w:tc>
            </w:tr>
            <w:tr w14:paraId="482FE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5F4B1C8A">
                  <w:pPr>
                    <w:widowControl/>
                    <w:jc w:val="center"/>
                    <w:rPr>
                      <w:color w:val="000000"/>
                      <w:kern w:val="0"/>
                      <w:szCs w:val="21"/>
                    </w:rPr>
                  </w:pPr>
                  <w:r>
                    <w:rPr>
                      <w:color w:val="000000"/>
                      <w:kern w:val="0"/>
                      <w:szCs w:val="21"/>
                    </w:rPr>
                    <w:t>2</w:t>
                  </w:r>
                </w:p>
              </w:tc>
              <w:tc>
                <w:tcPr>
                  <w:tcW w:w="2653" w:type="pct"/>
                  <w:shd w:val="clear" w:color="auto" w:fill="auto"/>
                  <w:vAlign w:val="center"/>
                </w:tcPr>
                <w:p w14:paraId="5F92BF5C">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强化水资源管理，提高水资源利用率。制定并实施开发区节水和中水利用规划，积极推进企业内、企业间水资源的梯级利用和企业用水总量控制，切实提高水资源利用率，严禁建设国家明令禁止的项目，严格控制高耗水、高耗能、污水排放量大的项目建设</w:t>
                  </w:r>
                </w:p>
              </w:tc>
              <w:tc>
                <w:tcPr>
                  <w:tcW w:w="1576" w:type="pct"/>
                  <w:shd w:val="clear" w:color="auto" w:fill="auto"/>
                  <w:vAlign w:val="center"/>
                </w:tcPr>
                <w:p w14:paraId="1BC41579">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本项目</w:t>
                  </w:r>
                  <w:r>
                    <w:rPr>
                      <w:rFonts w:hint="eastAsia"/>
                      <w:color w:val="0D0D0D" w:themeColor="text1" w:themeTint="F2"/>
                      <w:kern w:val="0"/>
                      <w:szCs w:val="21"/>
                      <w14:textFill>
                        <w14:solidFill>
                          <w14:schemeClr w14:val="tx1">
                            <w14:lumMod w14:val="95000"/>
                            <w14:lumOff w14:val="5000"/>
                          </w14:schemeClr>
                        </w14:solidFill>
                      </w14:textFill>
                    </w:rPr>
                    <w:t>用水仅为员工</w:t>
                  </w:r>
                  <w:r>
                    <w:rPr>
                      <w:color w:val="0D0D0D" w:themeColor="text1" w:themeTint="F2"/>
                      <w:kern w:val="0"/>
                      <w:szCs w:val="21"/>
                      <w14:textFill>
                        <w14:solidFill>
                          <w14:schemeClr w14:val="tx1">
                            <w14:lumMod w14:val="95000"/>
                            <w14:lumOff w14:val="5000"/>
                          </w14:schemeClr>
                        </w14:solidFill>
                      </w14:textFill>
                    </w:rPr>
                    <w:t>生活用水</w:t>
                  </w:r>
                  <w:r>
                    <w:rPr>
                      <w:rFonts w:hint="eastAsia"/>
                      <w:color w:val="0D0D0D" w:themeColor="text1" w:themeTint="F2"/>
                      <w:kern w:val="0"/>
                      <w:szCs w:val="21"/>
                      <w14:textFill>
                        <w14:solidFill>
                          <w14:schemeClr w14:val="tx1">
                            <w14:lumMod w14:val="95000"/>
                            <w14:lumOff w14:val="5000"/>
                          </w14:schemeClr>
                        </w14:solidFill>
                      </w14:textFill>
                    </w:rPr>
                    <w:t>，</w:t>
                  </w:r>
                  <w:r>
                    <w:rPr>
                      <w:color w:val="0D0D0D" w:themeColor="text1" w:themeTint="F2"/>
                      <w:kern w:val="0"/>
                      <w:szCs w:val="21"/>
                      <w14:textFill>
                        <w14:solidFill>
                          <w14:schemeClr w14:val="tx1">
                            <w14:lumMod w14:val="95000"/>
                            <w14:lumOff w14:val="5000"/>
                          </w14:schemeClr>
                        </w14:solidFill>
                      </w14:textFill>
                    </w:rPr>
                    <w:t>生活污水经化粪池预处理后经市政管网接入</w:t>
                  </w:r>
                  <w:r>
                    <w:rPr>
                      <w:rFonts w:hint="eastAsia"/>
                      <w:color w:val="0D0D0D" w:themeColor="text1" w:themeTint="F2"/>
                      <w:kern w:val="0"/>
                      <w:szCs w:val="21"/>
                      <w14:textFill>
                        <w14:solidFill>
                          <w14:schemeClr w14:val="tx1">
                            <w14:lumMod w14:val="95000"/>
                            <w14:lumOff w14:val="5000"/>
                          </w14:schemeClr>
                        </w14:solidFill>
                      </w14:textFill>
                    </w:rPr>
                    <w:t>城东</w:t>
                  </w:r>
                  <w:r>
                    <w:rPr>
                      <w:color w:val="0D0D0D" w:themeColor="text1" w:themeTint="F2"/>
                      <w:kern w:val="0"/>
                      <w:szCs w:val="21"/>
                      <w14:textFill>
                        <w14:solidFill>
                          <w14:schemeClr w14:val="tx1">
                            <w14:lumMod w14:val="95000"/>
                            <w14:lumOff w14:val="5000"/>
                          </w14:schemeClr>
                        </w14:solidFill>
                      </w14:textFill>
                    </w:rPr>
                    <w:t>污水处理厂</w:t>
                  </w:r>
                  <w:r>
                    <w:rPr>
                      <w:rFonts w:hint="eastAsia"/>
                      <w:color w:val="0D0D0D" w:themeColor="text1" w:themeTint="F2"/>
                      <w:kern w:val="0"/>
                      <w:szCs w:val="21"/>
                      <w14:textFill>
                        <w14:solidFill>
                          <w14:schemeClr w14:val="tx1">
                            <w14:lumMod w14:val="95000"/>
                            <w14:lumOff w14:val="5000"/>
                          </w14:schemeClr>
                        </w14:solidFill>
                      </w14:textFill>
                    </w:rPr>
                    <w:t>。本项目使用电能，不涉及其他能源使用，不属于高耗水、高耗能、污水排放量大的项目</w:t>
                  </w:r>
                </w:p>
              </w:tc>
              <w:tc>
                <w:tcPr>
                  <w:tcW w:w="438" w:type="pct"/>
                  <w:shd w:val="clear" w:color="auto" w:fill="auto"/>
                  <w:vAlign w:val="center"/>
                </w:tcPr>
                <w:p w14:paraId="4C788FC2">
                  <w:pPr>
                    <w:widowControl/>
                    <w:jc w:val="center"/>
                    <w:rPr>
                      <w:color w:val="000000"/>
                      <w:kern w:val="0"/>
                      <w:szCs w:val="21"/>
                    </w:rPr>
                  </w:pPr>
                  <w:r>
                    <w:rPr>
                      <w:color w:val="000000"/>
                      <w:kern w:val="0"/>
                      <w:szCs w:val="21"/>
                    </w:rPr>
                    <w:t>相符</w:t>
                  </w:r>
                </w:p>
              </w:tc>
            </w:tr>
            <w:tr w14:paraId="5D6E5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70A24C11">
                  <w:pPr>
                    <w:widowControl/>
                    <w:jc w:val="center"/>
                    <w:rPr>
                      <w:color w:val="000000"/>
                      <w:kern w:val="0"/>
                      <w:szCs w:val="21"/>
                    </w:rPr>
                  </w:pPr>
                  <w:r>
                    <w:rPr>
                      <w:color w:val="000000"/>
                      <w:kern w:val="0"/>
                      <w:szCs w:val="21"/>
                    </w:rPr>
                    <w:t>3</w:t>
                  </w:r>
                </w:p>
              </w:tc>
              <w:tc>
                <w:tcPr>
                  <w:tcW w:w="2653" w:type="pct"/>
                  <w:shd w:val="clear" w:color="auto" w:fill="auto"/>
                  <w:vAlign w:val="center"/>
                </w:tcPr>
                <w:p w14:paraId="1D4D284E">
                  <w:pPr>
                    <w:widowControl/>
                    <w:jc w:val="center"/>
                    <w:rPr>
                      <w:color w:val="000000"/>
                      <w:kern w:val="0"/>
                      <w:szCs w:val="21"/>
                    </w:rPr>
                  </w:pPr>
                  <w:r>
                    <w:rPr>
                      <w:rFonts w:hint="eastAsia"/>
                      <w:color w:val="000000"/>
                      <w:kern w:val="0"/>
                      <w:szCs w:val="21"/>
                    </w:rPr>
                    <w:t>充分考开发区产业与区城产业的定位互补，在规划确定的产业定位总体框架下，进一步优化发展重点，严格控制非主导产业定位方向项目入区建设。入区项目要采用先进的生产工艺和装备，建设究善的环境保护、安全生产和事故防范系统，强化节能、节水等各项环保措施。清洁生产水平现阶段要按国内先进水平要求,并逐步提高，最大限度控制开发区污染物排放量和排放强度。建立并实施不符合规划、产业准入和环保准入条件的项目退出机制，开发区不得建设电镀及含电镀工序项目</w:t>
                  </w:r>
                </w:p>
              </w:tc>
              <w:tc>
                <w:tcPr>
                  <w:tcW w:w="1576" w:type="pct"/>
                  <w:shd w:val="clear" w:color="auto" w:fill="auto"/>
                  <w:vAlign w:val="center"/>
                </w:tcPr>
                <w:p w14:paraId="34100331">
                  <w:pPr>
                    <w:widowControl/>
                    <w:jc w:val="center"/>
                    <w:rPr>
                      <w:color w:val="000000"/>
                      <w:kern w:val="0"/>
                      <w:szCs w:val="21"/>
                    </w:rPr>
                  </w:pPr>
                  <w:r>
                    <w:rPr>
                      <w:rFonts w:hint="eastAsia"/>
                      <w:color w:val="000000"/>
                      <w:kern w:val="0"/>
                      <w:szCs w:val="21"/>
                    </w:rPr>
                    <w:t>本项目属于汽车零部件及配件制造</w:t>
                  </w:r>
                  <w:r>
                    <w:rPr>
                      <w:rFonts w:hint="eastAsia"/>
                      <w:color w:val="000000"/>
                      <w:kern w:val="0"/>
                      <w:szCs w:val="21"/>
                      <w:lang w:val="en-US" w:eastAsia="zh-CN"/>
                    </w:rPr>
                    <w:t>和</w:t>
                  </w:r>
                  <w:r>
                    <w:rPr>
                      <w:rFonts w:hint="eastAsia"/>
                      <w:color w:val="000000"/>
                      <w:kern w:val="0"/>
                      <w:szCs w:val="21"/>
                    </w:rPr>
                    <w:t>塑料零件及其他塑料制品制造行 业，不属于鸠江经济开发区的禁止发展行业和优先鼓励行业，视为准入行业。项目采用先进的自动化生产工艺和装备；项目废气、废水处理后达标排放，严格控制污染物排放量和排放浓度</w:t>
                  </w:r>
                </w:p>
              </w:tc>
              <w:tc>
                <w:tcPr>
                  <w:tcW w:w="438" w:type="pct"/>
                  <w:shd w:val="clear" w:color="auto" w:fill="auto"/>
                  <w:vAlign w:val="center"/>
                </w:tcPr>
                <w:p w14:paraId="655733E2">
                  <w:pPr>
                    <w:widowControl/>
                    <w:jc w:val="center"/>
                    <w:rPr>
                      <w:color w:val="000000"/>
                      <w:kern w:val="0"/>
                      <w:szCs w:val="21"/>
                    </w:rPr>
                  </w:pPr>
                  <w:r>
                    <w:rPr>
                      <w:color w:val="000000"/>
                      <w:kern w:val="0"/>
                      <w:szCs w:val="21"/>
                    </w:rPr>
                    <w:t>相符</w:t>
                  </w:r>
                </w:p>
              </w:tc>
            </w:tr>
            <w:tr w14:paraId="2A67B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6C2915EC">
                  <w:pPr>
                    <w:widowControl/>
                    <w:jc w:val="center"/>
                    <w:rPr>
                      <w:color w:val="000000"/>
                      <w:kern w:val="0"/>
                      <w:szCs w:val="21"/>
                    </w:rPr>
                  </w:pPr>
                  <w:r>
                    <w:rPr>
                      <w:rFonts w:hint="eastAsia"/>
                      <w:color w:val="000000"/>
                      <w:kern w:val="0"/>
                      <w:szCs w:val="21"/>
                    </w:rPr>
                    <w:t>4</w:t>
                  </w:r>
                </w:p>
              </w:tc>
              <w:tc>
                <w:tcPr>
                  <w:tcW w:w="2653" w:type="pct"/>
                  <w:shd w:val="clear" w:color="auto" w:fill="auto"/>
                  <w:vAlign w:val="center"/>
                </w:tcPr>
                <w:p w14:paraId="7F3AFEA2">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坚持环保优先原则，强化污染治理基础设施建设，开发区内污水应做到全收集、全处理。桥北工业园和电器部件工业园污水依托天门山污水处理厂处理，鸠江经济开发区东区扁担河以西区城污水依托朱家桥污水处理厂处理，鸠江经济开发区东区扁担河以东区域污水依托在建的城东污水处理厂处理。开发区应做好与城东污水处理厂的管网衔接，在此之前,区内现有企业生产污水必须严格实行达标排放，城东污水处理厂建成及管网连通之前，扁担河以东区域原则上不得新建排放水污染物项目。充分考虑中水回用等节水措施，结合区域水环境综合整治，确保开发区建设不低于长江、青弋江、扁担河水环境质量和水体功能。进一步论证集中供热方案，加快天然气管道等基础设施建设进度，禁止新建燃煤锅炉。环境保护规划中环境空气质量标准采用《环境空气质量标准》(GB3095-2012)。做好开发区建设中的水土保持工作。</w:t>
                  </w:r>
                </w:p>
              </w:tc>
              <w:tc>
                <w:tcPr>
                  <w:tcW w:w="1576" w:type="pct"/>
                  <w:shd w:val="clear" w:color="auto" w:fill="auto"/>
                  <w:vAlign w:val="center"/>
                </w:tcPr>
                <w:p w14:paraId="15478F74">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本项目无生产废水产生，生活废水经化粪池预处理达标后排入城东污水处理厂。项目不新建燃煤锅炉</w:t>
                  </w:r>
                </w:p>
              </w:tc>
              <w:tc>
                <w:tcPr>
                  <w:tcW w:w="438" w:type="pct"/>
                  <w:shd w:val="clear" w:color="auto" w:fill="auto"/>
                  <w:vAlign w:val="center"/>
                </w:tcPr>
                <w:p w14:paraId="75571FB1">
                  <w:pPr>
                    <w:widowControl/>
                    <w:jc w:val="center"/>
                    <w:rPr>
                      <w:color w:val="000000"/>
                      <w:kern w:val="0"/>
                      <w:szCs w:val="21"/>
                    </w:rPr>
                  </w:pPr>
                  <w:r>
                    <w:rPr>
                      <w:rFonts w:hint="eastAsia"/>
                      <w:color w:val="000000"/>
                      <w:kern w:val="0"/>
                      <w:szCs w:val="21"/>
                    </w:rPr>
                    <w:t>相符</w:t>
                  </w:r>
                </w:p>
              </w:tc>
            </w:tr>
            <w:tr w14:paraId="5CA21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69205D67">
                  <w:pPr>
                    <w:widowControl/>
                    <w:jc w:val="center"/>
                    <w:rPr>
                      <w:color w:val="000000"/>
                      <w:kern w:val="0"/>
                      <w:szCs w:val="21"/>
                    </w:rPr>
                  </w:pPr>
                  <w:r>
                    <w:rPr>
                      <w:rFonts w:hint="eastAsia"/>
                      <w:color w:val="000000"/>
                      <w:kern w:val="0"/>
                      <w:szCs w:val="21"/>
                    </w:rPr>
                    <w:t>5</w:t>
                  </w:r>
                </w:p>
              </w:tc>
              <w:tc>
                <w:tcPr>
                  <w:tcW w:w="2653" w:type="pct"/>
                  <w:shd w:val="clear" w:color="auto" w:fill="auto"/>
                  <w:vAlign w:val="center"/>
                </w:tcPr>
                <w:p w14:paraId="19AC14E2">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妥善处置生活垃圾，有效管理和安全处置危险废物。开发区应确定专人对危险废物进行管理，建立危险废物环境管理台账和信息档案，严格执行危险废物转移联单制度。开发区和入区企业要按照有关要求和规范，建设完善的污染物排放在线监控系统，并与环保部门实现联网</w:t>
                  </w:r>
                </w:p>
              </w:tc>
              <w:tc>
                <w:tcPr>
                  <w:tcW w:w="1576" w:type="pct"/>
                  <w:shd w:val="clear" w:color="auto" w:fill="auto"/>
                  <w:vAlign w:val="center"/>
                </w:tcPr>
                <w:p w14:paraId="79A9DB1E">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szCs w:val="21"/>
                      <w:lang w:val="zh-CN"/>
                      <w14:textFill>
                        <w14:solidFill>
                          <w14:schemeClr w14:val="tx1">
                            <w14:lumMod w14:val="95000"/>
                            <w14:lumOff w14:val="5000"/>
                          </w14:schemeClr>
                        </w14:solidFill>
                      </w14:textFill>
                    </w:rPr>
                    <w:t>本项目危险废物收集后暂存于厂内危废暂存库，专人管理，建立管理台账和信息档案，危废定期委托资质单位处置，严格执行转移联单制度</w:t>
                  </w:r>
                </w:p>
              </w:tc>
              <w:tc>
                <w:tcPr>
                  <w:tcW w:w="438" w:type="pct"/>
                  <w:shd w:val="clear" w:color="auto" w:fill="auto"/>
                  <w:vAlign w:val="center"/>
                </w:tcPr>
                <w:p w14:paraId="044816DF">
                  <w:pPr>
                    <w:widowControl/>
                    <w:jc w:val="center"/>
                    <w:rPr>
                      <w:color w:val="000000"/>
                      <w:kern w:val="0"/>
                      <w:szCs w:val="21"/>
                    </w:rPr>
                  </w:pPr>
                  <w:r>
                    <w:rPr>
                      <w:rFonts w:hint="eastAsia"/>
                      <w:color w:val="000000"/>
                      <w:kern w:val="0"/>
                      <w:szCs w:val="21"/>
                    </w:rPr>
                    <w:t>相符</w:t>
                  </w:r>
                </w:p>
              </w:tc>
            </w:tr>
            <w:tr w14:paraId="6E4F5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5265367F">
                  <w:pPr>
                    <w:widowControl/>
                    <w:jc w:val="center"/>
                    <w:rPr>
                      <w:color w:val="000000"/>
                      <w:kern w:val="0"/>
                      <w:szCs w:val="21"/>
                    </w:rPr>
                  </w:pPr>
                  <w:r>
                    <w:rPr>
                      <w:rFonts w:hint="eastAsia"/>
                      <w:color w:val="000000"/>
                      <w:kern w:val="0"/>
                      <w:szCs w:val="21"/>
                    </w:rPr>
                    <w:t>6</w:t>
                  </w:r>
                </w:p>
              </w:tc>
              <w:tc>
                <w:tcPr>
                  <w:tcW w:w="2653" w:type="pct"/>
                  <w:shd w:val="clear" w:color="auto" w:fill="auto"/>
                  <w:vAlign w:val="center"/>
                </w:tcPr>
                <w:p w14:paraId="0FE879D6">
                  <w:pPr>
                    <w:widowControl/>
                    <w:jc w:val="center"/>
                    <w:rPr>
                      <w:color w:val="000000"/>
                      <w:kern w:val="0"/>
                      <w:szCs w:val="21"/>
                    </w:rPr>
                  </w:pPr>
                  <w:r>
                    <w:rPr>
                      <w:rFonts w:hint="eastAsia"/>
                      <w:color w:val="000000"/>
                      <w:kern w:val="0"/>
                      <w:szCs w:val="21"/>
                    </w:rPr>
                    <w:t>坚持预防为主、防控结合原则，在规划层面制定落实开发区综合环境风险防范措施，建立开发区环境应急保障体系，并结合入区项目的建设，及时更新升级各类突发环境事件应急预案，做好应急軟硬件建设和储备，建设环境风险预警体系。开发区应建立环境风险单位信息库，各入区企业，要在开发区环境风险应急处置制度的框架下，制定环境风险应急预案，在具体项目建设中细化落实</w:t>
                  </w:r>
                </w:p>
              </w:tc>
              <w:tc>
                <w:tcPr>
                  <w:tcW w:w="1576" w:type="pct"/>
                  <w:shd w:val="clear" w:color="auto" w:fill="auto"/>
                  <w:vAlign w:val="center"/>
                </w:tcPr>
                <w:p w14:paraId="6496B618">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项目厂内建设相应风险防范措施，配有相应风险防范物资。</w:t>
                  </w:r>
                </w:p>
              </w:tc>
              <w:tc>
                <w:tcPr>
                  <w:tcW w:w="438" w:type="pct"/>
                  <w:shd w:val="clear" w:color="auto" w:fill="auto"/>
                  <w:vAlign w:val="center"/>
                </w:tcPr>
                <w:p w14:paraId="04D4AF22">
                  <w:pPr>
                    <w:widowControl/>
                    <w:jc w:val="center"/>
                    <w:rPr>
                      <w:color w:val="000000"/>
                      <w:kern w:val="0"/>
                      <w:szCs w:val="21"/>
                    </w:rPr>
                  </w:pPr>
                  <w:r>
                    <w:rPr>
                      <w:rFonts w:hint="eastAsia"/>
                      <w:color w:val="000000"/>
                      <w:kern w:val="0"/>
                      <w:szCs w:val="21"/>
                    </w:rPr>
                    <w:t>相符</w:t>
                  </w:r>
                </w:p>
              </w:tc>
            </w:tr>
            <w:tr w14:paraId="02F94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3" w:type="pct"/>
                  <w:shd w:val="clear" w:color="auto" w:fill="auto"/>
                  <w:vAlign w:val="center"/>
                </w:tcPr>
                <w:p w14:paraId="755D638A">
                  <w:pPr>
                    <w:widowControl/>
                    <w:jc w:val="center"/>
                    <w:rPr>
                      <w:color w:val="000000"/>
                      <w:kern w:val="0"/>
                      <w:szCs w:val="21"/>
                    </w:rPr>
                  </w:pPr>
                  <w:r>
                    <w:rPr>
                      <w:rFonts w:hint="eastAsia"/>
                      <w:color w:val="000000"/>
                      <w:kern w:val="0"/>
                      <w:szCs w:val="21"/>
                    </w:rPr>
                    <w:t>7</w:t>
                  </w:r>
                </w:p>
              </w:tc>
              <w:tc>
                <w:tcPr>
                  <w:tcW w:w="2653" w:type="pct"/>
                  <w:shd w:val="clear" w:color="auto" w:fill="auto"/>
                  <w:vAlign w:val="center"/>
                </w:tcPr>
                <w:p w14:paraId="1AC09933">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开发区应设置环境管理机构，负责开发区和区内企业污染防治和环境保护管理。区内所有建设项目，要严格执行有关环境保护法律法规，认真履行建设项目环境影响评价制度和环境保护“三同时”制度。在规划实施过程中，每隔五年进行一次环境影响跟踪评价，规划修编要重新编制环境影响报告书</w:t>
                  </w:r>
                </w:p>
              </w:tc>
              <w:tc>
                <w:tcPr>
                  <w:tcW w:w="1576" w:type="pct"/>
                  <w:shd w:val="clear" w:color="auto" w:fill="auto"/>
                  <w:vAlign w:val="center"/>
                </w:tcPr>
                <w:p w14:paraId="69C1FAF0">
                  <w:pPr>
                    <w:widowControl/>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企业严格执行建设项目环境影响评价制度、环境保护“三同时”制度及排污许可制度，在排污前申请排污许可证。</w:t>
                  </w:r>
                </w:p>
              </w:tc>
              <w:tc>
                <w:tcPr>
                  <w:tcW w:w="438" w:type="pct"/>
                  <w:shd w:val="clear" w:color="auto" w:fill="auto"/>
                  <w:vAlign w:val="center"/>
                </w:tcPr>
                <w:p w14:paraId="51C4B8FB">
                  <w:pPr>
                    <w:widowControl/>
                    <w:jc w:val="center"/>
                    <w:rPr>
                      <w:color w:val="000000"/>
                      <w:kern w:val="0"/>
                      <w:szCs w:val="21"/>
                    </w:rPr>
                  </w:pPr>
                  <w:r>
                    <w:rPr>
                      <w:rFonts w:hint="eastAsia"/>
                      <w:color w:val="000000"/>
                      <w:kern w:val="0"/>
                      <w:szCs w:val="21"/>
                    </w:rPr>
                    <w:t>相符</w:t>
                  </w:r>
                </w:p>
              </w:tc>
            </w:tr>
          </w:tbl>
          <w:p w14:paraId="365E9481">
            <w:pPr>
              <w:tabs>
                <w:tab w:val="left" w:pos="7350"/>
              </w:tabs>
              <w:spacing w:before="120" w:beforeLines="50" w:line="360" w:lineRule="auto"/>
              <w:ind w:firstLine="480" w:firstLineChars="200"/>
              <w:rPr>
                <w:rFonts w:hint="eastAsia"/>
                <w:sz w:val="24"/>
              </w:rPr>
            </w:pPr>
            <w:r>
              <w:rPr>
                <w:rFonts w:hint="eastAsia"/>
                <w:sz w:val="24"/>
              </w:rPr>
              <w:t>综上，本项目建设符合《安徽省环保厅关于安徽芜湖鸠江经济开发区总体发展规划环境影响报告书审查意见的函》中的相关要求。</w:t>
            </w:r>
          </w:p>
          <w:p w14:paraId="3E80680B">
            <w:pPr>
              <w:spacing w:line="360" w:lineRule="auto"/>
              <w:ind w:firstLine="542" w:firstLineChars="225"/>
              <w:rPr>
                <w:b/>
                <w:bCs/>
                <w:sz w:val="24"/>
              </w:rPr>
            </w:pPr>
            <w:r>
              <w:rPr>
                <w:rFonts w:hint="eastAsia"/>
                <w:b/>
                <w:bCs/>
                <w:sz w:val="24"/>
                <w:lang w:val="en-US" w:eastAsia="zh-CN"/>
              </w:rPr>
              <w:t>3</w:t>
            </w:r>
            <w:r>
              <w:rPr>
                <w:rFonts w:hint="eastAsia"/>
                <w:b/>
                <w:bCs/>
                <w:sz w:val="24"/>
              </w:rPr>
              <w:t>、与安徽芜湖鸠江经济开发区环境影响区域评估报告相符性</w:t>
            </w:r>
          </w:p>
          <w:p w14:paraId="13EEBB03">
            <w:pPr>
              <w:keepNext w:val="0"/>
              <w:keepLines w:val="0"/>
              <w:pageBreakBefore w:val="0"/>
              <w:widowControl w:val="0"/>
              <w:numPr>
                <w:ilvl w:val="0"/>
                <w:numId w:val="0"/>
              </w:numPr>
              <w:tabs>
                <w:tab w:val="left" w:pos="7350"/>
              </w:tabs>
              <w:kinsoku/>
              <w:wordWrap/>
              <w:overflowPunct/>
              <w:topLinePunct w:val="0"/>
              <w:autoSpaceDE/>
              <w:autoSpaceDN/>
              <w:bidi w:val="0"/>
              <w:adjustRightInd/>
              <w:snapToGrid/>
              <w:spacing w:before="120" w:beforeLines="50" w:line="360" w:lineRule="auto"/>
              <w:ind w:firstLine="480" w:firstLineChars="200"/>
              <w:textAlignment w:val="auto"/>
              <w:rPr>
                <w:rStyle w:val="35"/>
                <w:rFonts w:hint="eastAsia"/>
                <w:kern w:val="0"/>
                <w:sz w:val="24"/>
              </w:rPr>
            </w:pPr>
            <w:r>
              <w:rPr>
                <w:rStyle w:val="35"/>
                <w:rFonts w:hint="eastAsia"/>
                <w:kern w:val="0"/>
                <w:sz w:val="24"/>
              </w:rPr>
              <w:t xml:space="preserve">2021年12月31日，芜湖市生态环境局发布了关于公开芜湖市环境影响区域评估成果的公告，公示了《安徽芜湖鸠江经济开发区环境影响区域评估报告》，区域评估报告总评估面积为 1389.3392公顷，包括:区块一位于鸠江区东北部，面积为 1047.1013 公顷;区块二位于鸠江区南部，面积为 </w:t>
            </w:r>
            <w:r>
              <w:rPr>
                <w:rStyle w:val="35"/>
                <w:rFonts w:hint="eastAsia"/>
                <w:kern w:val="0"/>
                <w:sz w:val="24"/>
                <w:lang w:val="en-US" w:eastAsia="zh-CN"/>
              </w:rPr>
              <w:t>100.1451</w:t>
            </w:r>
            <w:r>
              <w:rPr>
                <w:rStyle w:val="35"/>
                <w:rFonts w:hint="eastAsia"/>
                <w:kern w:val="0"/>
                <w:sz w:val="24"/>
              </w:rPr>
              <w:t>公顷;区块三位于桥北工业园，处于鸠江区北部，面积为 180.4835 公顷:区块四位于电器部件工业园，处于鸠江区北部，面积为 61.6093 公顷评价范围。本项目位于芜湖鸠江经济开发区，评估报告根据《安徽芜湖鸠江经济开发区总体发展规划环境影响跟踪评价报告书》，提出了芜湖鸠江经济开发区东区的环境准入清单，用于指导评估区域内后续项目入驻。本项目进行对照分析。</w:t>
            </w:r>
          </w:p>
          <w:p w14:paraId="130E0859">
            <w:pPr>
              <w:jc w:val="center"/>
              <w:rPr>
                <w:rFonts w:cs="Arial"/>
                <w:b/>
                <w:color w:val="000000"/>
                <w:kern w:val="0"/>
                <w:sz w:val="24"/>
                <w:shd w:val="clear" w:color="auto" w:fill="FFFFFF"/>
              </w:rPr>
            </w:pPr>
            <w:r>
              <w:rPr>
                <w:rFonts w:cs="Arial"/>
                <w:b/>
                <w:color w:val="000000"/>
                <w:kern w:val="0"/>
                <w:sz w:val="24"/>
                <w:shd w:val="clear" w:color="auto" w:fill="FFFFFF"/>
              </w:rPr>
              <w:t>表1-</w:t>
            </w:r>
            <w:r>
              <w:rPr>
                <w:rFonts w:hint="eastAsia" w:cs="Arial"/>
                <w:b/>
                <w:color w:val="000000"/>
                <w:kern w:val="0"/>
                <w:sz w:val="24"/>
                <w:shd w:val="clear" w:color="auto" w:fill="FFFFFF"/>
                <w:lang w:val="en-US" w:eastAsia="zh-CN"/>
              </w:rPr>
              <w:t>3</w:t>
            </w:r>
            <w:r>
              <w:rPr>
                <w:rFonts w:cs="Arial"/>
                <w:b/>
                <w:color w:val="000000"/>
                <w:kern w:val="0"/>
                <w:sz w:val="24"/>
                <w:shd w:val="clear" w:color="auto" w:fill="FFFFFF"/>
              </w:rPr>
              <w:t xml:space="preserve"> </w:t>
            </w:r>
            <w:r>
              <w:rPr>
                <w:rFonts w:hint="eastAsia" w:cs="Arial"/>
                <w:b/>
                <w:color w:val="000000"/>
                <w:kern w:val="0"/>
                <w:sz w:val="24"/>
                <w:shd w:val="clear" w:color="auto" w:fill="FFFFFF"/>
              </w:rPr>
              <w:t>区域评估报告对芜湖鸠江经济开发区东区提出的准入条件</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1"/>
              <w:gridCol w:w="3201"/>
              <w:gridCol w:w="2053"/>
            </w:tblGrid>
            <w:tr w14:paraId="662A3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409D1DD4">
                  <w:pPr>
                    <w:widowControl/>
                    <w:ind w:left="-105" w:leftChars="-50" w:right="-105" w:rightChars="-50"/>
                    <w:jc w:val="center"/>
                    <w:rPr>
                      <w:b/>
                      <w:color w:val="000000"/>
                      <w:kern w:val="0"/>
                      <w:szCs w:val="21"/>
                    </w:rPr>
                  </w:pPr>
                  <w:r>
                    <w:rPr>
                      <w:rFonts w:hint="eastAsia"/>
                      <w:b/>
                      <w:color w:val="000000"/>
                      <w:kern w:val="0"/>
                      <w:szCs w:val="21"/>
                    </w:rPr>
                    <w:t>行业门类</w:t>
                  </w:r>
                </w:p>
              </w:tc>
              <w:tc>
                <w:tcPr>
                  <w:tcW w:w="2090" w:type="pct"/>
                  <w:shd w:val="clear" w:color="auto" w:fill="auto"/>
                  <w:vAlign w:val="center"/>
                </w:tcPr>
                <w:p w14:paraId="5699F484">
                  <w:pPr>
                    <w:widowControl/>
                    <w:ind w:left="-105" w:leftChars="-50" w:right="-105" w:rightChars="-50"/>
                    <w:jc w:val="center"/>
                    <w:rPr>
                      <w:b/>
                      <w:color w:val="000000"/>
                      <w:kern w:val="0"/>
                      <w:szCs w:val="21"/>
                    </w:rPr>
                  </w:pPr>
                  <w:r>
                    <w:rPr>
                      <w:rFonts w:hint="eastAsia"/>
                      <w:b/>
                      <w:color w:val="000000"/>
                      <w:kern w:val="0"/>
                      <w:szCs w:val="21"/>
                    </w:rPr>
                    <w:t>行业名称</w:t>
                  </w:r>
                </w:p>
              </w:tc>
              <w:tc>
                <w:tcPr>
                  <w:tcW w:w="1340" w:type="pct"/>
                  <w:shd w:val="clear" w:color="auto" w:fill="auto"/>
                  <w:vAlign w:val="center"/>
                </w:tcPr>
                <w:p w14:paraId="12A9E649">
                  <w:pPr>
                    <w:widowControl/>
                    <w:ind w:left="-105" w:leftChars="-50" w:right="-105" w:rightChars="-50"/>
                    <w:jc w:val="center"/>
                    <w:rPr>
                      <w:b/>
                      <w:color w:val="000000"/>
                      <w:kern w:val="0"/>
                      <w:szCs w:val="21"/>
                    </w:rPr>
                  </w:pPr>
                  <w:r>
                    <w:rPr>
                      <w:rFonts w:hint="eastAsia"/>
                      <w:b/>
                      <w:color w:val="000000"/>
                      <w:kern w:val="0"/>
                      <w:szCs w:val="21"/>
                    </w:rPr>
                    <w:t>入区建议</w:t>
                  </w:r>
                </w:p>
              </w:tc>
            </w:tr>
            <w:tr w14:paraId="005D7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4CF79AC8">
                  <w:pPr>
                    <w:pStyle w:val="71"/>
                    <w:spacing w:line="233" w:lineRule="exact"/>
                    <w:ind w:left="44" w:leftChars="0" w:right="5" w:rightChars="0"/>
                    <w:jc w:val="center"/>
                    <w:rPr>
                      <w:color w:val="0D0D0D" w:themeColor="text1" w:themeTint="F2"/>
                      <w:kern w:val="0"/>
                      <w:szCs w:val="21"/>
                      <w14:textFill>
                        <w14:solidFill>
                          <w14:schemeClr w14:val="tx1">
                            <w14:lumMod w14:val="95000"/>
                            <w14:lumOff w14:val="5000"/>
                          </w14:schemeClr>
                        </w14:solidFill>
                      </w14:textFill>
                    </w:rPr>
                  </w:pPr>
                  <w:r>
                    <w:rPr>
                      <w:sz w:val="21"/>
                    </w:rPr>
                    <w:t>电子电器</w:t>
                  </w:r>
                </w:p>
              </w:tc>
              <w:tc>
                <w:tcPr>
                  <w:tcW w:w="2090" w:type="pct"/>
                  <w:shd w:val="clear" w:color="auto" w:fill="auto"/>
                  <w:vAlign w:val="center"/>
                </w:tcPr>
                <w:p w14:paraId="6C7FB137">
                  <w:pPr>
                    <w:pStyle w:val="71"/>
                    <w:spacing w:line="233" w:lineRule="exact"/>
                    <w:ind w:left="117" w:leftChars="0" w:right="78" w:rightChars="0"/>
                    <w:jc w:val="center"/>
                    <w:rPr>
                      <w:bCs/>
                      <w:color w:val="0D0D0D" w:themeColor="text1" w:themeTint="F2"/>
                      <w:kern w:val="0"/>
                      <w:szCs w:val="21"/>
                      <w14:textFill>
                        <w14:solidFill>
                          <w14:schemeClr w14:val="tx1">
                            <w14:lumMod w14:val="95000"/>
                            <w14:lumOff w14:val="5000"/>
                          </w14:schemeClr>
                        </w14:solidFill>
                      </w14:textFill>
                    </w:rPr>
                  </w:pPr>
                  <w:r>
                    <w:rPr>
                      <w:sz w:val="21"/>
                    </w:rPr>
                    <w:t>电子电器行业</w:t>
                  </w:r>
                </w:p>
              </w:tc>
              <w:tc>
                <w:tcPr>
                  <w:tcW w:w="1340" w:type="pct"/>
                  <w:shd w:val="clear" w:color="auto" w:fill="auto"/>
                  <w:vAlign w:val="center"/>
                </w:tcPr>
                <w:p w14:paraId="6A3AC71B">
                  <w:pPr>
                    <w:pStyle w:val="71"/>
                    <w:spacing w:line="233" w:lineRule="exact"/>
                    <w:ind w:left="113" w:leftChars="0" w:right="86" w:rightChars="0"/>
                    <w:jc w:val="center"/>
                    <w:rPr>
                      <w:color w:val="000000"/>
                      <w:kern w:val="0"/>
                      <w:szCs w:val="21"/>
                    </w:rPr>
                  </w:pPr>
                  <w:r>
                    <w:rPr>
                      <w:sz w:val="21"/>
                    </w:rPr>
                    <w:t>优先选择性入区</w:t>
                  </w:r>
                </w:p>
              </w:tc>
            </w:tr>
            <w:tr w14:paraId="6ADB2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7BBC03B2">
                  <w:pPr>
                    <w:pStyle w:val="71"/>
                    <w:spacing w:line="260" w:lineRule="exact"/>
                    <w:ind w:left="44" w:right="15"/>
                    <w:jc w:val="center"/>
                    <w:rPr>
                      <w:color w:val="0D0D0D" w:themeColor="text1" w:themeTint="F2"/>
                      <w:kern w:val="0"/>
                      <w:szCs w:val="21"/>
                      <w14:textFill>
                        <w14:solidFill>
                          <w14:schemeClr w14:val="tx1">
                            <w14:lumMod w14:val="95000"/>
                            <w14:lumOff w14:val="5000"/>
                          </w14:schemeClr>
                        </w14:solidFill>
                      </w14:textFill>
                    </w:rPr>
                  </w:pPr>
                  <w:r>
                    <w:rPr>
                      <w:sz w:val="21"/>
                    </w:rPr>
                    <w:t>机械加工、专用装备制造业</w:t>
                  </w:r>
                </w:p>
              </w:tc>
              <w:tc>
                <w:tcPr>
                  <w:tcW w:w="2090" w:type="pct"/>
                  <w:shd w:val="clear" w:color="auto" w:fill="auto"/>
                  <w:vAlign w:val="center"/>
                </w:tcPr>
                <w:p w14:paraId="04B5D988">
                  <w:pPr>
                    <w:pStyle w:val="71"/>
                    <w:spacing w:line="260" w:lineRule="exact"/>
                    <w:ind w:left="117" w:right="87"/>
                    <w:jc w:val="center"/>
                    <w:rPr>
                      <w:bCs/>
                      <w:color w:val="0D0D0D" w:themeColor="text1" w:themeTint="F2"/>
                      <w:kern w:val="0"/>
                      <w:szCs w:val="21"/>
                      <w14:textFill>
                        <w14:solidFill>
                          <w14:schemeClr w14:val="tx1">
                            <w14:lumMod w14:val="95000"/>
                            <w14:lumOff w14:val="5000"/>
                          </w14:schemeClr>
                        </w14:solidFill>
                      </w14:textFill>
                    </w:rPr>
                  </w:pPr>
                  <w:r>
                    <w:rPr>
                      <w:sz w:val="21"/>
                    </w:rPr>
                    <w:t>汽车部件、数控机床、矿山冶金装备和工程机械装备行业</w:t>
                  </w:r>
                </w:p>
              </w:tc>
              <w:tc>
                <w:tcPr>
                  <w:tcW w:w="1340" w:type="pct"/>
                  <w:shd w:val="clear" w:color="auto" w:fill="auto"/>
                  <w:vAlign w:val="center"/>
                </w:tcPr>
                <w:p w14:paraId="3B314139">
                  <w:pPr>
                    <w:pStyle w:val="71"/>
                    <w:spacing w:before="125"/>
                    <w:ind w:left="113" w:leftChars="0" w:right="86" w:rightChars="0"/>
                    <w:jc w:val="center"/>
                    <w:rPr>
                      <w:color w:val="000000"/>
                      <w:kern w:val="0"/>
                      <w:szCs w:val="21"/>
                    </w:rPr>
                  </w:pPr>
                  <w:r>
                    <w:rPr>
                      <w:sz w:val="21"/>
                    </w:rPr>
                    <w:t>优先选择性入区</w:t>
                  </w:r>
                </w:p>
              </w:tc>
            </w:tr>
            <w:tr w14:paraId="4694A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3C877D52">
                  <w:pPr>
                    <w:pStyle w:val="71"/>
                    <w:spacing w:before="8"/>
                    <w:jc w:val="center"/>
                    <w:rPr>
                      <w:rFonts w:ascii="Times New Roman"/>
                      <w:sz w:val="22"/>
                    </w:rPr>
                  </w:pPr>
                </w:p>
                <w:p w14:paraId="5D53A4EA">
                  <w:pPr>
                    <w:pStyle w:val="71"/>
                    <w:ind w:left="42" w:leftChars="0" w:right="15" w:rightChars="0"/>
                    <w:jc w:val="center"/>
                    <w:rPr>
                      <w:color w:val="0D0D0D" w:themeColor="text1" w:themeTint="F2"/>
                      <w:kern w:val="0"/>
                      <w:szCs w:val="21"/>
                      <w14:textFill>
                        <w14:solidFill>
                          <w14:schemeClr w14:val="tx1">
                            <w14:lumMod w14:val="95000"/>
                            <w14:lumOff w14:val="5000"/>
                          </w14:schemeClr>
                        </w14:solidFill>
                      </w14:textFill>
                    </w:rPr>
                  </w:pPr>
                  <w:r>
                    <w:rPr>
                      <w:sz w:val="21"/>
                    </w:rPr>
                    <w:t>节能环保产业</w:t>
                  </w:r>
                </w:p>
              </w:tc>
              <w:tc>
                <w:tcPr>
                  <w:tcW w:w="2090" w:type="pct"/>
                  <w:shd w:val="clear" w:color="auto" w:fill="auto"/>
                  <w:vAlign w:val="center"/>
                </w:tcPr>
                <w:p w14:paraId="198E534E">
                  <w:pPr>
                    <w:pStyle w:val="71"/>
                    <w:spacing w:line="242" w:lineRule="auto"/>
                    <w:ind w:left="117" w:right="-29"/>
                    <w:jc w:val="center"/>
                    <w:rPr>
                      <w:bCs/>
                      <w:color w:val="0D0D0D" w:themeColor="text1" w:themeTint="F2"/>
                      <w:kern w:val="0"/>
                      <w:szCs w:val="21"/>
                      <w14:textFill>
                        <w14:solidFill>
                          <w14:schemeClr w14:val="tx1">
                            <w14:lumMod w14:val="95000"/>
                            <w14:lumOff w14:val="5000"/>
                          </w14:schemeClr>
                        </w14:solidFill>
                      </w14:textFill>
                    </w:rPr>
                  </w:pPr>
                  <w:r>
                    <w:rPr>
                      <w:spacing w:val="-6"/>
                      <w:w w:val="95"/>
                      <w:sz w:val="21"/>
                    </w:rPr>
                    <w:t>节能技术和装备、高效节能产品、</w:t>
                  </w:r>
                  <w:r>
                    <w:rPr>
                      <w:spacing w:val="-3"/>
                      <w:sz w:val="21"/>
                    </w:rPr>
                    <w:t>节能服务产业、先进环保技术和</w:t>
                  </w:r>
                  <w:r>
                    <w:rPr>
                      <w:sz w:val="21"/>
                    </w:rPr>
                    <w:t>装备、环保产品与环保服务</w:t>
                  </w:r>
                </w:p>
              </w:tc>
              <w:tc>
                <w:tcPr>
                  <w:tcW w:w="1340" w:type="pct"/>
                  <w:shd w:val="clear" w:color="auto" w:fill="auto"/>
                  <w:vAlign w:val="center"/>
                </w:tcPr>
                <w:p w14:paraId="7ABE34CB">
                  <w:pPr>
                    <w:pStyle w:val="71"/>
                    <w:spacing w:before="8"/>
                    <w:jc w:val="center"/>
                    <w:rPr>
                      <w:rFonts w:ascii="Times New Roman"/>
                      <w:sz w:val="22"/>
                    </w:rPr>
                  </w:pPr>
                </w:p>
                <w:p w14:paraId="0FC1B36E">
                  <w:pPr>
                    <w:pStyle w:val="71"/>
                    <w:ind w:left="113" w:leftChars="0" w:right="86" w:rightChars="0"/>
                    <w:jc w:val="center"/>
                    <w:rPr>
                      <w:color w:val="000000"/>
                      <w:kern w:val="0"/>
                      <w:szCs w:val="21"/>
                    </w:rPr>
                  </w:pPr>
                  <w:r>
                    <w:rPr>
                      <w:sz w:val="21"/>
                    </w:rPr>
                    <w:t>优先选择性入区</w:t>
                  </w:r>
                </w:p>
              </w:tc>
            </w:tr>
            <w:tr w14:paraId="30E00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03E2DAB5">
                  <w:pPr>
                    <w:pStyle w:val="71"/>
                    <w:spacing w:before="125"/>
                    <w:ind w:left="40" w:leftChars="0" w:right="15" w:rightChars="0"/>
                    <w:jc w:val="center"/>
                    <w:rPr>
                      <w:color w:val="0D0D0D" w:themeColor="text1" w:themeTint="F2"/>
                      <w:kern w:val="0"/>
                      <w:szCs w:val="21"/>
                      <w14:textFill>
                        <w14:solidFill>
                          <w14:schemeClr w14:val="tx1">
                            <w14:lumMod w14:val="95000"/>
                            <w14:lumOff w14:val="5000"/>
                          </w14:schemeClr>
                        </w14:solidFill>
                      </w14:textFill>
                    </w:rPr>
                  </w:pPr>
                  <w:r>
                    <w:rPr>
                      <w:rFonts w:ascii="Times New Roman" w:eastAsia="Times New Roman"/>
                      <w:sz w:val="21"/>
                    </w:rPr>
                    <w:t xml:space="preserve">A~R </w:t>
                  </w:r>
                  <w:r>
                    <w:rPr>
                      <w:sz w:val="21"/>
                    </w:rPr>
                    <w:t>类</w:t>
                  </w:r>
                </w:p>
              </w:tc>
              <w:tc>
                <w:tcPr>
                  <w:tcW w:w="2090" w:type="pct"/>
                  <w:shd w:val="clear" w:color="auto" w:fill="auto"/>
                  <w:vAlign w:val="center"/>
                </w:tcPr>
                <w:p w14:paraId="18BD535C">
                  <w:pPr>
                    <w:pStyle w:val="71"/>
                    <w:spacing w:line="260" w:lineRule="exact"/>
                    <w:ind w:left="117" w:right="80"/>
                    <w:jc w:val="center"/>
                    <w:rPr>
                      <w:bCs/>
                      <w:color w:val="0D0D0D" w:themeColor="text1" w:themeTint="F2"/>
                      <w:kern w:val="0"/>
                      <w:szCs w:val="21"/>
                      <w14:textFill>
                        <w14:solidFill>
                          <w14:schemeClr w14:val="tx1">
                            <w14:lumMod w14:val="95000"/>
                            <w14:lumOff w14:val="5000"/>
                          </w14:schemeClr>
                        </w14:solidFill>
                      </w14:textFill>
                    </w:rPr>
                  </w:pPr>
                  <w:r>
                    <w:rPr>
                      <w:sz w:val="21"/>
                    </w:rPr>
                    <w:t>国民经济行业分类中其他新能源开发、高新技术等行业</w:t>
                  </w:r>
                </w:p>
              </w:tc>
              <w:tc>
                <w:tcPr>
                  <w:tcW w:w="1340" w:type="pct"/>
                  <w:shd w:val="clear" w:color="auto" w:fill="auto"/>
                  <w:vAlign w:val="center"/>
                </w:tcPr>
                <w:p w14:paraId="36943430">
                  <w:pPr>
                    <w:pStyle w:val="71"/>
                    <w:spacing w:before="125"/>
                    <w:ind w:left="113" w:leftChars="0" w:right="86" w:rightChars="0"/>
                    <w:jc w:val="center"/>
                    <w:rPr>
                      <w:color w:val="000000"/>
                      <w:kern w:val="0"/>
                      <w:szCs w:val="21"/>
                    </w:rPr>
                  </w:pPr>
                  <w:r>
                    <w:rPr>
                      <w:sz w:val="21"/>
                    </w:rPr>
                    <w:t>优先选择性入区</w:t>
                  </w:r>
                </w:p>
              </w:tc>
            </w:tr>
            <w:tr w14:paraId="1F7BD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6AD16F4C">
                  <w:pPr>
                    <w:pStyle w:val="71"/>
                    <w:spacing w:before="126"/>
                    <w:ind w:left="44" w:leftChars="0" w:right="15" w:rightChars="0"/>
                    <w:jc w:val="center"/>
                    <w:rPr>
                      <w:color w:val="0D0D0D" w:themeColor="text1" w:themeTint="F2"/>
                      <w:kern w:val="0"/>
                      <w:szCs w:val="21"/>
                      <w14:textFill>
                        <w14:solidFill>
                          <w14:schemeClr w14:val="tx1">
                            <w14:lumMod w14:val="95000"/>
                            <w14:lumOff w14:val="5000"/>
                          </w14:schemeClr>
                        </w14:solidFill>
                      </w14:textFill>
                    </w:rPr>
                  </w:pPr>
                  <w:r>
                    <w:rPr>
                      <w:sz w:val="21"/>
                    </w:rPr>
                    <w:t>物流业</w:t>
                  </w:r>
                </w:p>
              </w:tc>
              <w:tc>
                <w:tcPr>
                  <w:tcW w:w="2090" w:type="pct"/>
                  <w:shd w:val="clear" w:color="auto" w:fill="auto"/>
                  <w:vAlign w:val="center"/>
                </w:tcPr>
                <w:p w14:paraId="5C6A3ACA">
                  <w:pPr>
                    <w:pStyle w:val="71"/>
                    <w:spacing w:line="261" w:lineRule="exact"/>
                    <w:ind w:left="117" w:right="87"/>
                    <w:jc w:val="center"/>
                    <w:rPr>
                      <w:bCs/>
                      <w:color w:val="0D0D0D" w:themeColor="text1" w:themeTint="F2"/>
                      <w:kern w:val="0"/>
                      <w:szCs w:val="21"/>
                      <w14:textFill>
                        <w14:solidFill>
                          <w14:schemeClr w14:val="tx1">
                            <w14:lumMod w14:val="95000"/>
                            <w14:lumOff w14:val="5000"/>
                          </w14:schemeClr>
                        </w14:solidFill>
                      </w14:textFill>
                    </w:rPr>
                  </w:pPr>
                  <w:r>
                    <w:rPr>
                      <w:sz w:val="21"/>
                    </w:rPr>
                    <w:t>禁止贮存和输送有毒、有害化学晶和危险品</w:t>
                  </w:r>
                </w:p>
              </w:tc>
              <w:tc>
                <w:tcPr>
                  <w:tcW w:w="1340" w:type="pct"/>
                  <w:shd w:val="clear" w:color="auto" w:fill="auto"/>
                  <w:vAlign w:val="center"/>
                </w:tcPr>
                <w:p w14:paraId="634E51B6">
                  <w:pPr>
                    <w:pStyle w:val="71"/>
                    <w:spacing w:line="261" w:lineRule="exact"/>
                    <w:ind w:left="115" w:right="86"/>
                    <w:jc w:val="center"/>
                    <w:rPr>
                      <w:color w:val="000000"/>
                      <w:kern w:val="0"/>
                      <w:szCs w:val="21"/>
                    </w:rPr>
                  </w:pPr>
                  <w:r>
                    <w:rPr>
                      <w:sz w:val="21"/>
                    </w:rPr>
                    <w:t>其他类型有限选择性入区</w:t>
                  </w:r>
                </w:p>
              </w:tc>
            </w:tr>
            <w:tr w14:paraId="4FC1B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73FDF54A">
                  <w:pPr>
                    <w:pStyle w:val="71"/>
                    <w:spacing w:line="232" w:lineRule="exact"/>
                    <w:ind w:left="42" w:leftChars="0" w:right="15" w:rightChars="0"/>
                    <w:jc w:val="center"/>
                    <w:rPr>
                      <w:color w:val="0D0D0D" w:themeColor="text1" w:themeTint="F2"/>
                      <w:kern w:val="0"/>
                      <w:szCs w:val="21"/>
                      <w14:textFill>
                        <w14:solidFill>
                          <w14:schemeClr w14:val="tx1">
                            <w14:lumMod w14:val="95000"/>
                            <w14:lumOff w14:val="5000"/>
                          </w14:schemeClr>
                        </w14:solidFill>
                      </w14:textFill>
                    </w:rPr>
                  </w:pPr>
                  <w:r>
                    <w:rPr>
                      <w:sz w:val="21"/>
                    </w:rPr>
                    <w:t>食品制造业</w:t>
                  </w:r>
                </w:p>
              </w:tc>
              <w:tc>
                <w:tcPr>
                  <w:tcW w:w="2090" w:type="pct"/>
                  <w:shd w:val="clear" w:color="auto" w:fill="auto"/>
                  <w:vAlign w:val="center"/>
                </w:tcPr>
                <w:p w14:paraId="09387E30">
                  <w:pPr>
                    <w:pStyle w:val="71"/>
                    <w:spacing w:line="232" w:lineRule="exact"/>
                    <w:ind w:left="117" w:leftChars="0" w:right="90" w:rightChars="0"/>
                    <w:jc w:val="center"/>
                    <w:rPr>
                      <w:bCs/>
                      <w:color w:val="0D0D0D" w:themeColor="text1" w:themeTint="F2"/>
                      <w:kern w:val="0"/>
                      <w:szCs w:val="21"/>
                      <w14:textFill>
                        <w14:solidFill>
                          <w14:schemeClr w14:val="tx1">
                            <w14:lumMod w14:val="95000"/>
                            <w14:lumOff w14:val="5000"/>
                          </w14:schemeClr>
                        </w14:solidFill>
                      </w14:textFill>
                    </w:rPr>
                  </w:pPr>
                  <w:r>
                    <w:rPr>
                      <w:sz w:val="21"/>
                    </w:rPr>
                    <w:t>焙烤食品制造、方便食品制造</w:t>
                  </w:r>
                </w:p>
              </w:tc>
              <w:tc>
                <w:tcPr>
                  <w:tcW w:w="1340" w:type="pct"/>
                  <w:shd w:val="clear" w:color="auto" w:fill="auto"/>
                  <w:vAlign w:val="center"/>
                </w:tcPr>
                <w:p w14:paraId="5C9B2054">
                  <w:pPr>
                    <w:pStyle w:val="71"/>
                    <w:spacing w:line="232" w:lineRule="exact"/>
                    <w:ind w:left="115" w:leftChars="0" w:right="86" w:rightChars="0"/>
                    <w:jc w:val="center"/>
                    <w:rPr>
                      <w:color w:val="000000"/>
                      <w:kern w:val="0"/>
                      <w:szCs w:val="21"/>
                    </w:rPr>
                  </w:pPr>
                  <w:r>
                    <w:rPr>
                      <w:sz w:val="21"/>
                    </w:rPr>
                    <w:t>禁止入区</w:t>
                  </w:r>
                </w:p>
              </w:tc>
            </w:tr>
            <w:tr w14:paraId="6DBF6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2D3FD361">
                  <w:pPr>
                    <w:pStyle w:val="71"/>
                    <w:spacing w:before="10"/>
                    <w:jc w:val="center"/>
                    <w:rPr>
                      <w:rFonts w:ascii="Times New Roman"/>
                      <w:sz w:val="22"/>
                    </w:rPr>
                  </w:pPr>
                </w:p>
                <w:p w14:paraId="22F45498">
                  <w:pPr>
                    <w:pStyle w:val="71"/>
                    <w:ind w:left="44" w:leftChars="0" w:right="15" w:rightChars="0"/>
                    <w:jc w:val="center"/>
                    <w:rPr>
                      <w:color w:val="0D0D0D" w:themeColor="text1" w:themeTint="F2"/>
                      <w:kern w:val="0"/>
                      <w:szCs w:val="21"/>
                      <w14:textFill>
                        <w14:solidFill>
                          <w14:schemeClr w14:val="tx1">
                            <w14:lumMod w14:val="95000"/>
                            <w14:lumOff w14:val="5000"/>
                          </w14:schemeClr>
                        </w14:solidFill>
                      </w14:textFill>
                    </w:rPr>
                  </w:pPr>
                  <w:r>
                    <w:rPr>
                      <w:sz w:val="21"/>
                    </w:rPr>
                    <w:t>农副产品制造业</w:t>
                  </w:r>
                </w:p>
              </w:tc>
              <w:tc>
                <w:tcPr>
                  <w:tcW w:w="2090" w:type="pct"/>
                  <w:shd w:val="clear" w:color="auto" w:fill="auto"/>
                  <w:vAlign w:val="center"/>
                </w:tcPr>
                <w:p w14:paraId="508B4ED2">
                  <w:pPr>
                    <w:pStyle w:val="71"/>
                    <w:spacing w:line="242" w:lineRule="auto"/>
                    <w:ind w:left="158" w:right="126"/>
                    <w:jc w:val="center"/>
                    <w:rPr>
                      <w:bCs/>
                      <w:color w:val="0D0D0D" w:themeColor="text1" w:themeTint="F2"/>
                      <w:kern w:val="0"/>
                      <w:szCs w:val="21"/>
                      <w14:textFill>
                        <w14:solidFill>
                          <w14:schemeClr w14:val="tx1">
                            <w14:lumMod w14:val="95000"/>
                            <w14:lumOff w14:val="5000"/>
                          </w14:schemeClr>
                        </w14:solidFill>
                      </w14:textFill>
                    </w:rPr>
                  </w:pPr>
                  <w:r>
                    <w:rPr>
                      <w:w w:val="95"/>
                      <w:sz w:val="21"/>
                    </w:rPr>
                    <w:t>谷物磨制、饲料加工、植物油加工、蔬菜、水果和坚果加工、其</w:t>
                  </w:r>
                  <w:r>
                    <w:rPr>
                      <w:sz w:val="21"/>
                    </w:rPr>
                    <w:t>他农副食品加工</w:t>
                  </w:r>
                </w:p>
              </w:tc>
              <w:tc>
                <w:tcPr>
                  <w:tcW w:w="1340" w:type="pct"/>
                  <w:shd w:val="clear" w:color="auto" w:fill="auto"/>
                  <w:vAlign w:val="center"/>
                </w:tcPr>
                <w:p w14:paraId="189AF727">
                  <w:pPr>
                    <w:pStyle w:val="71"/>
                    <w:spacing w:before="10"/>
                    <w:jc w:val="center"/>
                    <w:rPr>
                      <w:rFonts w:ascii="Times New Roman"/>
                      <w:sz w:val="22"/>
                    </w:rPr>
                  </w:pPr>
                </w:p>
                <w:p w14:paraId="3404924F">
                  <w:pPr>
                    <w:pStyle w:val="71"/>
                    <w:ind w:left="113" w:leftChars="0" w:right="86" w:rightChars="0"/>
                    <w:jc w:val="center"/>
                    <w:rPr>
                      <w:color w:val="000000"/>
                      <w:kern w:val="0"/>
                      <w:szCs w:val="21"/>
                    </w:rPr>
                  </w:pPr>
                  <w:r>
                    <w:rPr>
                      <w:sz w:val="21"/>
                    </w:rPr>
                    <w:t>控制进入</w:t>
                  </w:r>
                </w:p>
              </w:tc>
            </w:tr>
            <w:tr w14:paraId="745DE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56264C56">
                  <w:pPr>
                    <w:pStyle w:val="71"/>
                    <w:spacing w:before="9"/>
                    <w:jc w:val="center"/>
                    <w:rPr>
                      <w:rFonts w:ascii="Times New Roman"/>
                      <w:sz w:val="22"/>
                    </w:rPr>
                  </w:pPr>
                </w:p>
                <w:p w14:paraId="6FF0D723">
                  <w:pPr>
                    <w:pStyle w:val="71"/>
                    <w:ind w:left="42" w:leftChars="0" w:right="15" w:rightChars="0"/>
                    <w:jc w:val="center"/>
                    <w:rPr>
                      <w:color w:val="0D0D0D" w:themeColor="text1" w:themeTint="F2"/>
                      <w:kern w:val="0"/>
                      <w:szCs w:val="21"/>
                      <w14:textFill>
                        <w14:solidFill>
                          <w14:schemeClr w14:val="tx1">
                            <w14:lumMod w14:val="95000"/>
                            <w14:lumOff w14:val="5000"/>
                          </w14:schemeClr>
                        </w14:solidFill>
                      </w14:textFill>
                    </w:rPr>
                  </w:pPr>
                  <w:r>
                    <w:rPr>
                      <w:sz w:val="21"/>
                    </w:rPr>
                    <w:t>采矿业</w:t>
                  </w:r>
                </w:p>
              </w:tc>
              <w:tc>
                <w:tcPr>
                  <w:tcW w:w="2090" w:type="pct"/>
                  <w:shd w:val="clear" w:color="auto" w:fill="auto"/>
                  <w:vAlign w:val="center"/>
                </w:tcPr>
                <w:p w14:paraId="2908F13B">
                  <w:pPr>
                    <w:pStyle w:val="71"/>
                    <w:spacing w:line="242" w:lineRule="auto"/>
                    <w:ind w:left="158" w:right="126"/>
                    <w:jc w:val="center"/>
                    <w:rPr>
                      <w:bCs/>
                      <w:color w:val="0D0D0D" w:themeColor="text1" w:themeTint="F2"/>
                      <w:kern w:val="0"/>
                      <w:szCs w:val="21"/>
                      <w14:textFill>
                        <w14:solidFill>
                          <w14:schemeClr w14:val="tx1">
                            <w14:lumMod w14:val="95000"/>
                            <w14:lumOff w14:val="5000"/>
                          </w14:schemeClr>
                        </w14:solidFill>
                      </w14:textFill>
                    </w:rPr>
                  </w:pPr>
                  <w:r>
                    <w:rPr>
                      <w:w w:val="95"/>
                      <w:sz w:val="21"/>
                    </w:rPr>
                    <w:t>煤炭开采和洗选行业、黑色金属采选业、有色金属矿采选业、非</w:t>
                  </w:r>
                  <w:r>
                    <w:rPr>
                      <w:sz w:val="21"/>
                    </w:rPr>
                    <w:t>金属矿采选业</w:t>
                  </w:r>
                </w:p>
              </w:tc>
              <w:tc>
                <w:tcPr>
                  <w:tcW w:w="1340" w:type="pct"/>
                  <w:shd w:val="clear" w:color="auto" w:fill="auto"/>
                  <w:vAlign w:val="center"/>
                </w:tcPr>
                <w:p w14:paraId="4B28FC40">
                  <w:pPr>
                    <w:pStyle w:val="71"/>
                    <w:spacing w:before="9"/>
                    <w:jc w:val="center"/>
                    <w:rPr>
                      <w:rFonts w:ascii="Times New Roman"/>
                      <w:sz w:val="22"/>
                    </w:rPr>
                  </w:pPr>
                </w:p>
                <w:p w14:paraId="177ADC90">
                  <w:pPr>
                    <w:pStyle w:val="71"/>
                    <w:ind w:left="115" w:leftChars="0" w:right="86" w:rightChars="0"/>
                    <w:jc w:val="center"/>
                    <w:rPr>
                      <w:color w:val="000000"/>
                      <w:kern w:val="0"/>
                      <w:szCs w:val="21"/>
                    </w:rPr>
                  </w:pPr>
                  <w:r>
                    <w:rPr>
                      <w:sz w:val="21"/>
                    </w:rPr>
                    <w:t>禁止入区</w:t>
                  </w:r>
                </w:p>
              </w:tc>
            </w:tr>
            <w:tr w14:paraId="30FBA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8" w:type="pct"/>
                  <w:shd w:val="clear" w:color="auto" w:fill="auto"/>
                  <w:vAlign w:val="center"/>
                </w:tcPr>
                <w:p w14:paraId="741E6B61">
                  <w:pPr>
                    <w:pStyle w:val="71"/>
                    <w:jc w:val="center"/>
                    <w:rPr>
                      <w:rFonts w:ascii="Times New Roman"/>
                      <w:sz w:val="20"/>
                    </w:rPr>
                  </w:pPr>
                </w:p>
                <w:p w14:paraId="5F97C354">
                  <w:pPr>
                    <w:pStyle w:val="71"/>
                    <w:spacing w:before="5"/>
                    <w:jc w:val="center"/>
                    <w:rPr>
                      <w:rFonts w:ascii="Times New Roman"/>
                      <w:sz w:val="26"/>
                    </w:rPr>
                  </w:pPr>
                </w:p>
                <w:p w14:paraId="360471D2">
                  <w:pPr>
                    <w:pStyle w:val="71"/>
                    <w:spacing w:line="244" w:lineRule="auto"/>
                    <w:ind w:left="490" w:leftChars="0" w:right="144" w:rightChars="0" w:hanging="315" w:firstLineChars="0"/>
                    <w:jc w:val="center"/>
                    <w:rPr>
                      <w:color w:val="0D0D0D" w:themeColor="text1" w:themeTint="F2"/>
                      <w:kern w:val="0"/>
                      <w:szCs w:val="21"/>
                      <w14:textFill>
                        <w14:solidFill>
                          <w14:schemeClr w14:val="tx1">
                            <w14:lumMod w14:val="95000"/>
                            <w14:lumOff w14:val="5000"/>
                          </w14:schemeClr>
                        </w14:solidFill>
                      </w14:textFill>
                    </w:rPr>
                  </w:pPr>
                  <w:r>
                    <w:rPr>
                      <w:w w:val="95"/>
                      <w:sz w:val="21"/>
                    </w:rPr>
                    <w:t>化学原料及化学</w:t>
                  </w:r>
                  <w:r>
                    <w:rPr>
                      <w:sz w:val="21"/>
                    </w:rPr>
                    <w:t>品制造业</w:t>
                  </w:r>
                </w:p>
              </w:tc>
              <w:tc>
                <w:tcPr>
                  <w:tcW w:w="2090" w:type="pct"/>
                  <w:shd w:val="clear" w:color="auto" w:fill="auto"/>
                  <w:vAlign w:val="center"/>
                </w:tcPr>
                <w:p w14:paraId="72724844">
                  <w:pPr>
                    <w:pStyle w:val="71"/>
                    <w:spacing w:line="242" w:lineRule="auto"/>
                    <w:ind w:left="117" w:right="-29" w:firstLine="40"/>
                    <w:jc w:val="center"/>
                    <w:rPr>
                      <w:sz w:val="21"/>
                    </w:rPr>
                  </w:pPr>
                  <w:r>
                    <w:rPr>
                      <w:spacing w:val="-3"/>
                      <w:sz w:val="21"/>
                    </w:rPr>
                    <w:t>基础化学原料制造、肥料制造、农药制造、涂料、油墨、颜料及</w:t>
                  </w:r>
                  <w:r>
                    <w:rPr>
                      <w:spacing w:val="-6"/>
                      <w:w w:val="95"/>
                      <w:sz w:val="21"/>
                    </w:rPr>
                    <w:t>其类似制品制造、合成材料制造、</w:t>
                  </w:r>
                  <w:r>
                    <w:rPr>
                      <w:spacing w:val="-3"/>
                      <w:sz w:val="21"/>
                    </w:rPr>
                    <w:t>炸药、火工及焰火产品制造、日用化学产品制造、农药制造、专</w:t>
                  </w:r>
                </w:p>
                <w:p w14:paraId="0288DA5C">
                  <w:pPr>
                    <w:pStyle w:val="71"/>
                    <w:keepNext w:val="0"/>
                    <w:keepLines w:val="0"/>
                    <w:pageBreakBefore w:val="0"/>
                    <w:widowControl w:val="0"/>
                    <w:kinsoku/>
                    <w:wordWrap/>
                    <w:overflowPunct/>
                    <w:topLinePunct w:val="0"/>
                    <w:autoSpaceDE/>
                    <w:autoSpaceDN/>
                    <w:bidi w:val="0"/>
                    <w:adjustRightInd/>
                    <w:snapToGrid/>
                    <w:spacing w:line="241" w:lineRule="exact"/>
                    <w:ind w:left="0" w:leftChars="0"/>
                    <w:jc w:val="center"/>
                    <w:textAlignment w:val="auto"/>
                    <w:rPr>
                      <w:bCs/>
                      <w:color w:val="0D0D0D" w:themeColor="text1" w:themeTint="F2"/>
                      <w:kern w:val="0"/>
                      <w:szCs w:val="21"/>
                      <w14:textFill>
                        <w14:solidFill>
                          <w14:schemeClr w14:val="tx1">
                            <w14:lumMod w14:val="95000"/>
                            <w14:lumOff w14:val="5000"/>
                          </w14:schemeClr>
                        </w14:solidFill>
                      </w14:textFill>
                    </w:rPr>
                  </w:pPr>
                  <w:r>
                    <w:rPr>
                      <w:sz w:val="21"/>
                    </w:rPr>
                    <w:t>用化学产品制造</w:t>
                  </w:r>
                </w:p>
              </w:tc>
              <w:tc>
                <w:tcPr>
                  <w:tcW w:w="1340" w:type="pct"/>
                  <w:shd w:val="clear" w:color="auto" w:fill="auto"/>
                  <w:vAlign w:val="center"/>
                </w:tcPr>
                <w:p w14:paraId="1D0C8A1F">
                  <w:pPr>
                    <w:pStyle w:val="71"/>
                    <w:jc w:val="center"/>
                    <w:rPr>
                      <w:rFonts w:ascii="Times New Roman"/>
                      <w:sz w:val="20"/>
                    </w:rPr>
                  </w:pPr>
                </w:p>
                <w:p w14:paraId="39B322D6">
                  <w:pPr>
                    <w:pStyle w:val="71"/>
                    <w:jc w:val="center"/>
                    <w:rPr>
                      <w:rFonts w:ascii="Times New Roman"/>
                      <w:sz w:val="20"/>
                    </w:rPr>
                  </w:pPr>
                </w:p>
                <w:p w14:paraId="750D0838">
                  <w:pPr>
                    <w:pStyle w:val="71"/>
                    <w:spacing w:before="4"/>
                    <w:jc w:val="center"/>
                    <w:rPr>
                      <w:rFonts w:ascii="Times New Roman"/>
                      <w:sz w:val="18"/>
                    </w:rPr>
                  </w:pPr>
                </w:p>
                <w:p w14:paraId="3B236A35">
                  <w:pPr>
                    <w:pStyle w:val="71"/>
                    <w:ind w:left="115" w:leftChars="0" w:right="86" w:rightChars="0"/>
                    <w:jc w:val="center"/>
                    <w:rPr>
                      <w:color w:val="000000"/>
                      <w:kern w:val="0"/>
                      <w:szCs w:val="21"/>
                    </w:rPr>
                  </w:pPr>
                  <w:r>
                    <w:rPr>
                      <w:sz w:val="21"/>
                    </w:rPr>
                    <w:t>禁止入区</w:t>
                  </w:r>
                </w:p>
              </w:tc>
            </w:tr>
            <w:tr w14:paraId="4E8E8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568" w:type="pct"/>
                  <w:shd w:val="clear" w:color="auto" w:fill="auto"/>
                  <w:vAlign w:val="center"/>
                </w:tcPr>
                <w:p w14:paraId="21D3B2DC">
                  <w:pPr>
                    <w:pStyle w:val="71"/>
                    <w:ind w:left="44" w:leftChars="0" w:right="15" w:rightChars="0"/>
                    <w:jc w:val="center"/>
                    <w:rPr>
                      <w:sz w:val="21"/>
                    </w:rPr>
                  </w:pPr>
                  <w:r>
                    <w:rPr>
                      <w:sz w:val="21"/>
                    </w:rPr>
                    <w:t>金属冶炼</w:t>
                  </w:r>
                </w:p>
              </w:tc>
              <w:tc>
                <w:tcPr>
                  <w:tcW w:w="2090" w:type="pct"/>
                  <w:shd w:val="clear" w:color="auto" w:fill="auto"/>
                  <w:vAlign w:val="center"/>
                </w:tcPr>
                <w:p w14:paraId="752D14FE">
                  <w:pPr>
                    <w:pStyle w:val="71"/>
                    <w:ind w:left="44" w:leftChars="0" w:right="15" w:rightChars="0"/>
                    <w:jc w:val="center"/>
                    <w:rPr>
                      <w:sz w:val="21"/>
                    </w:rPr>
                  </w:pPr>
                  <w:r>
                    <w:rPr>
                      <w:sz w:val="21"/>
                    </w:rPr>
                    <w:t>黑色金属冶炼、有色金属冶炼</w:t>
                  </w:r>
                </w:p>
              </w:tc>
              <w:tc>
                <w:tcPr>
                  <w:tcW w:w="1340" w:type="pct"/>
                  <w:shd w:val="clear" w:color="auto" w:fill="auto"/>
                  <w:vAlign w:val="center"/>
                </w:tcPr>
                <w:p w14:paraId="5785F674">
                  <w:pPr>
                    <w:pStyle w:val="71"/>
                    <w:ind w:left="44" w:leftChars="0" w:right="15" w:rightChars="0"/>
                    <w:jc w:val="center"/>
                    <w:rPr>
                      <w:sz w:val="21"/>
                    </w:rPr>
                  </w:pPr>
                  <w:r>
                    <w:rPr>
                      <w:sz w:val="21"/>
                    </w:rPr>
                    <w:t>禁止入区</w:t>
                  </w:r>
                </w:p>
              </w:tc>
            </w:tr>
            <w:tr w14:paraId="71BDE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5000" w:type="pct"/>
                  <w:gridSpan w:val="3"/>
                  <w:shd w:val="clear" w:color="auto" w:fill="auto"/>
                  <w:vAlign w:val="center"/>
                </w:tcPr>
                <w:p w14:paraId="4174B822">
                  <w:pPr>
                    <w:pStyle w:val="71"/>
                    <w:ind w:left="44" w:leftChars="0" w:right="15" w:rightChars="0"/>
                    <w:jc w:val="center"/>
                    <w:rPr>
                      <w:sz w:val="21"/>
                    </w:rPr>
                  </w:pPr>
                  <w:r>
                    <w:rPr>
                      <w:sz w:val="21"/>
                    </w:rPr>
                    <w:t>化学表面处理（电镀）、制浆造纸、制革及毛皮鞣制、印染及其他高耗能、</w:t>
                  </w:r>
                </w:p>
                <w:p w14:paraId="498E26A1">
                  <w:pPr>
                    <w:pStyle w:val="71"/>
                    <w:ind w:left="44" w:leftChars="0" w:right="15" w:rightChars="0"/>
                    <w:jc w:val="center"/>
                    <w:rPr>
                      <w:sz w:val="21"/>
                    </w:rPr>
                  </w:pPr>
                  <w:r>
                    <w:rPr>
                      <w:sz w:val="21"/>
                    </w:rPr>
                    <w:t>高污染型行业以及涉及铅、铬、镉、汞、砷等重金属污染物排放的相关项  目禁止入区，其他行业选择性入区</w:t>
                  </w:r>
                </w:p>
              </w:tc>
            </w:tr>
            <w:tr w14:paraId="62BE8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659" w:type="pct"/>
                  <w:gridSpan w:val="2"/>
                  <w:shd w:val="clear" w:color="auto" w:fill="auto"/>
                  <w:vAlign w:val="center"/>
                </w:tcPr>
                <w:p w14:paraId="74D0909A">
                  <w:pPr>
                    <w:pStyle w:val="71"/>
                    <w:ind w:left="44" w:leftChars="0" w:right="15" w:rightChars="0"/>
                    <w:jc w:val="center"/>
                    <w:rPr>
                      <w:sz w:val="21"/>
                    </w:rPr>
                  </w:pPr>
                  <w:r>
                    <w:rPr>
                      <w:sz w:val="21"/>
                    </w:rPr>
                    <w:t>鼓励引进和优先发展的行业主要以规划主导产业为</w:t>
                  </w:r>
                </w:p>
                <w:p w14:paraId="5DEE6BC0">
                  <w:pPr>
                    <w:pStyle w:val="71"/>
                    <w:ind w:left="44" w:leftChars="0" w:right="15" w:rightChars="0"/>
                    <w:jc w:val="center"/>
                    <w:rPr>
                      <w:sz w:val="21"/>
                    </w:rPr>
                  </w:pPr>
                  <w:r>
                    <w:rPr>
                      <w:sz w:val="21"/>
                    </w:rPr>
                    <w:t>主，鼓励清洁生产水平高、污染小的配套产业和高新 技术产业项目的入驻；鼓励建设市政基础设施及技术 改造项目；鼓励有利于开发区内企业间循环经济的项</w:t>
                  </w:r>
                </w:p>
                <w:p w14:paraId="667A35BA">
                  <w:pPr>
                    <w:pStyle w:val="71"/>
                    <w:ind w:left="44" w:leftChars="0" w:right="15" w:rightChars="0"/>
                    <w:jc w:val="center"/>
                    <w:rPr>
                      <w:sz w:val="21"/>
                    </w:rPr>
                  </w:pPr>
                  <w:r>
                    <w:rPr>
                      <w:sz w:val="21"/>
                    </w:rPr>
                    <w:t>目入驻，鼓励企业实施利用先进适用技术进行循环经 济改造的项目</w:t>
                  </w:r>
                </w:p>
              </w:tc>
              <w:tc>
                <w:tcPr>
                  <w:tcW w:w="1340" w:type="pct"/>
                  <w:vMerge w:val="restart"/>
                  <w:shd w:val="clear" w:color="auto" w:fill="auto"/>
                  <w:vAlign w:val="center"/>
                </w:tcPr>
                <w:p w14:paraId="6FB95535">
                  <w:pPr>
                    <w:pStyle w:val="71"/>
                    <w:ind w:left="44" w:leftChars="0" w:right="15" w:rightChars="0"/>
                    <w:jc w:val="center"/>
                    <w:rPr>
                      <w:sz w:val="21"/>
                    </w:rPr>
                  </w:pPr>
                  <w:r>
                    <w:rPr>
                      <w:sz w:val="21"/>
                    </w:rPr>
                    <w:t>鼓励入园</w:t>
                  </w:r>
                </w:p>
              </w:tc>
            </w:tr>
            <w:tr w14:paraId="70AA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659" w:type="pct"/>
                  <w:gridSpan w:val="2"/>
                  <w:shd w:val="clear" w:color="auto" w:fill="auto"/>
                  <w:vAlign w:val="center"/>
                </w:tcPr>
                <w:p w14:paraId="5912C120">
                  <w:pPr>
                    <w:pStyle w:val="71"/>
                    <w:ind w:left="44" w:leftChars="0" w:right="15" w:rightChars="0"/>
                    <w:jc w:val="center"/>
                    <w:rPr>
                      <w:sz w:val="21"/>
                    </w:rPr>
                  </w:pPr>
                  <w:r>
                    <w:rPr>
                      <w:sz w:val="21"/>
                    </w:rPr>
                    <w:t>产业结构调整指导目录（2019 年本）中鼓励类项目中</w:t>
                  </w:r>
                </w:p>
                <w:p w14:paraId="03BDE814">
                  <w:pPr>
                    <w:pStyle w:val="71"/>
                    <w:ind w:left="44" w:leftChars="0" w:right="15" w:rightChars="0"/>
                    <w:jc w:val="center"/>
                    <w:rPr>
                      <w:sz w:val="21"/>
                    </w:rPr>
                  </w:pPr>
                  <w:r>
                    <w:rPr>
                      <w:sz w:val="21"/>
                    </w:rPr>
                    <w:t>的汽车零部件及高端|装备制造类项目、新能源新材料</w:t>
                  </w:r>
                </w:p>
                <w:p w14:paraId="381E10E0">
                  <w:pPr>
                    <w:pStyle w:val="71"/>
                    <w:ind w:left="44" w:leftChars="0" w:right="15" w:rightChars="0"/>
                    <w:jc w:val="center"/>
                    <w:rPr>
                      <w:sz w:val="21"/>
                    </w:rPr>
                  </w:pPr>
                  <w:r>
                    <w:rPr>
                      <w:sz w:val="21"/>
                    </w:rPr>
                    <w:t>类项目、电子电器类项目</w:t>
                  </w:r>
                </w:p>
              </w:tc>
              <w:tc>
                <w:tcPr>
                  <w:tcW w:w="1340" w:type="pct"/>
                  <w:vMerge w:val="continue"/>
                  <w:shd w:val="clear" w:color="auto" w:fill="auto"/>
                  <w:vAlign w:val="center"/>
                </w:tcPr>
                <w:p w14:paraId="3C8BDF40">
                  <w:pPr>
                    <w:pStyle w:val="71"/>
                    <w:ind w:left="44" w:leftChars="0" w:right="15" w:rightChars="0"/>
                    <w:jc w:val="center"/>
                    <w:rPr>
                      <w:sz w:val="21"/>
                    </w:rPr>
                  </w:pPr>
                </w:p>
              </w:tc>
            </w:tr>
            <w:tr w14:paraId="72CDF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659" w:type="pct"/>
                  <w:gridSpan w:val="2"/>
                  <w:shd w:val="clear" w:color="auto" w:fill="auto"/>
                  <w:vAlign w:val="center"/>
                </w:tcPr>
                <w:p w14:paraId="18E77661">
                  <w:pPr>
                    <w:pStyle w:val="71"/>
                    <w:ind w:left="44" w:leftChars="0" w:right="15" w:rightChars="0"/>
                    <w:jc w:val="center"/>
                    <w:rPr>
                      <w:sz w:val="21"/>
                    </w:rPr>
                  </w:pPr>
                  <w:r>
                    <w:rPr>
                      <w:sz w:val="21"/>
                    </w:rPr>
                    <w:t>基于开发区的地理位置，为减少开发区对芜湖市中心 城市的影响，评价建议限制引进排放毒性大的特征大 气污染物项目或高 VOCs 污染类的项目；基于维护长江、青弋江、清闸沟、扁担河地表水环境质量，限制引进废水排放量大的项目</w:t>
                  </w:r>
                </w:p>
              </w:tc>
              <w:tc>
                <w:tcPr>
                  <w:tcW w:w="1340" w:type="pct"/>
                  <w:vMerge w:val="restart"/>
                  <w:shd w:val="clear" w:color="auto" w:fill="auto"/>
                  <w:vAlign w:val="center"/>
                </w:tcPr>
                <w:p w14:paraId="38BAF7AF">
                  <w:pPr>
                    <w:pStyle w:val="71"/>
                    <w:ind w:left="44" w:leftChars="0" w:right="15" w:rightChars="0"/>
                    <w:jc w:val="center"/>
                    <w:rPr>
                      <w:sz w:val="21"/>
                    </w:rPr>
                  </w:pPr>
                  <w:r>
                    <w:rPr>
                      <w:sz w:val="21"/>
                    </w:rPr>
                    <w:t>限制入园</w:t>
                  </w:r>
                </w:p>
              </w:tc>
            </w:tr>
            <w:tr w14:paraId="1380F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659" w:type="pct"/>
                  <w:gridSpan w:val="2"/>
                  <w:shd w:val="clear" w:color="auto" w:fill="auto"/>
                  <w:vAlign w:val="center"/>
                </w:tcPr>
                <w:p w14:paraId="1368F0C2">
                  <w:pPr>
                    <w:pStyle w:val="71"/>
                    <w:ind w:left="44" w:leftChars="0" w:right="15" w:rightChars="0"/>
                    <w:jc w:val="center"/>
                    <w:rPr>
                      <w:sz w:val="21"/>
                    </w:rPr>
                  </w:pPr>
                  <w:r>
                    <w:rPr>
                      <w:sz w:val="21"/>
                    </w:rPr>
                    <w:t>产业结构调整指导目录（2019 年本）中限制类项目</w:t>
                  </w:r>
                </w:p>
              </w:tc>
              <w:tc>
                <w:tcPr>
                  <w:tcW w:w="1340" w:type="pct"/>
                  <w:vMerge w:val="continue"/>
                  <w:shd w:val="clear" w:color="auto" w:fill="auto"/>
                  <w:vAlign w:val="center"/>
                </w:tcPr>
                <w:p w14:paraId="409B512C">
                  <w:pPr>
                    <w:pStyle w:val="71"/>
                    <w:ind w:left="44" w:leftChars="0" w:right="15" w:rightChars="0"/>
                    <w:jc w:val="center"/>
                    <w:rPr>
                      <w:sz w:val="21"/>
                    </w:rPr>
                  </w:pPr>
                </w:p>
              </w:tc>
            </w:tr>
            <w:tr w14:paraId="786D1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659" w:type="pct"/>
                  <w:gridSpan w:val="2"/>
                  <w:shd w:val="clear" w:color="auto" w:fill="auto"/>
                  <w:vAlign w:val="center"/>
                </w:tcPr>
                <w:p w14:paraId="668F5052">
                  <w:pPr>
                    <w:pStyle w:val="71"/>
                    <w:ind w:left="44" w:leftChars="0" w:right="15" w:rightChars="0"/>
                    <w:jc w:val="center"/>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禁止引入国家禁止以及明令淘汰的项目，禁止引入与</w:t>
                  </w:r>
                </w:p>
                <w:p w14:paraId="0109C277">
                  <w:pPr>
                    <w:pStyle w:val="71"/>
                    <w:ind w:left="44" w:leftChars="0" w:right="15" w:rightChars="0"/>
                    <w:jc w:val="center"/>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开发区主导产业定位不一致的高污染、高耗能行业及环境安全风险隐患较大项目</w:t>
                  </w:r>
                </w:p>
              </w:tc>
              <w:tc>
                <w:tcPr>
                  <w:tcW w:w="1340" w:type="pct"/>
                  <w:vMerge w:val="restart"/>
                  <w:shd w:val="clear" w:color="auto" w:fill="auto"/>
                  <w:vAlign w:val="center"/>
                </w:tcPr>
                <w:p w14:paraId="5724B6B7">
                  <w:pPr>
                    <w:pStyle w:val="71"/>
                    <w:ind w:left="44" w:leftChars="0" w:right="15" w:rightChars="0"/>
                    <w:jc w:val="center"/>
                    <w:rPr>
                      <w:sz w:val="21"/>
                    </w:rPr>
                  </w:pPr>
                  <w:r>
                    <w:rPr>
                      <w:sz w:val="21"/>
                    </w:rPr>
                    <w:t>禁止入园</w:t>
                  </w:r>
                </w:p>
              </w:tc>
            </w:tr>
            <w:tr w14:paraId="73534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659" w:type="pct"/>
                  <w:gridSpan w:val="2"/>
                  <w:shd w:val="clear" w:color="auto" w:fill="auto"/>
                  <w:vAlign w:val="center"/>
                </w:tcPr>
                <w:p w14:paraId="5EE47ADD">
                  <w:pPr>
                    <w:widowControl/>
                    <w:jc w:val="center"/>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产业结构调整指导目录（2019 年本）中淘汰类项目</w:t>
                  </w:r>
                </w:p>
              </w:tc>
              <w:tc>
                <w:tcPr>
                  <w:tcW w:w="1340" w:type="pct"/>
                  <w:vMerge w:val="continue"/>
                  <w:shd w:val="clear" w:color="auto" w:fill="auto"/>
                  <w:vAlign w:val="center"/>
                </w:tcPr>
                <w:p w14:paraId="408F64A8">
                  <w:pPr>
                    <w:widowControl/>
                    <w:jc w:val="center"/>
                    <w:rPr>
                      <w:color w:val="000000"/>
                      <w:kern w:val="0"/>
                      <w:szCs w:val="21"/>
                    </w:rPr>
                  </w:pPr>
                </w:p>
              </w:tc>
            </w:tr>
          </w:tbl>
          <w:p w14:paraId="2CA3A7D2">
            <w:pPr>
              <w:keepNext w:val="0"/>
              <w:keepLines w:val="0"/>
              <w:pageBreakBefore w:val="0"/>
              <w:widowControl w:val="0"/>
              <w:numPr>
                <w:ilvl w:val="0"/>
                <w:numId w:val="0"/>
              </w:numPr>
              <w:tabs>
                <w:tab w:val="left" w:pos="7350"/>
              </w:tabs>
              <w:kinsoku/>
              <w:wordWrap/>
              <w:overflowPunct/>
              <w:topLinePunct w:val="0"/>
              <w:autoSpaceDE/>
              <w:autoSpaceDN/>
              <w:bidi w:val="0"/>
              <w:adjustRightInd/>
              <w:snapToGrid/>
              <w:spacing w:before="120" w:beforeLines="50" w:line="360" w:lineRule="auto"/>
              <w:ind w:firstLine="480" w:firstLineChars="200"/>
              <w:textAlignment w:val="auto"/>
              <w:rPr>
                <w:rStyle w:val="35"/>
                <w:rFonts w:hint="eastAsia"/>
                <w:kern w:val="0"/>
                <w:sz w:val="24"/>
              </w:rPr>
            </w:pPr>
            <w:r>
              <w:rPr>
                <w:rStyle w:val="35"/>
                <w:rFonts w:hint="eastAsia"/>
                <w:kern w:val="0"/>
                <w:sz w:val="24"/>
              </w:rPr>
              <w:t>本项目生产</w:t>
            </w:r>
            <w:r>
              <w:rPr>
                <w:rFonts w:hint="eastAsia"/>
                <w:sz w:val="24"/>
              </w:rPr>
              <w:t>汽车内饰包覆件</w:t>
            </w:r>
            <w:r>
              <w:rPr>
                <w:rStyle w:val="35"/>
                <w:rFonts w:hint="eastAsia"/>
                <w:kern w:val="0"/>
                <w:sz w:val="24"/>
              </w:rPr>
              <w:t>，属于</w:t>
            </w:r>
            <w:r>
              <w:rPr>
                <w:rFonts w:hint="eastAsia"/>
                <w:kern w:val="0"/>
                <w:sz w:val="24"/>
              </w:rPr>
              <w:t>汽车零部件及配件制造</w:t>
            </w:r>
            <w:r>
              <w:rPr>
                <w:rFonts w:hint="eastAsia"/>
                <w:kern w:val="0"/>
                <w:sz w:val="24"/>
                <w:lang w:val="en-US" w:eastAsia="zh-CN"/>
              </w:rPr>
              <w:t>和</w:t>
            </w:r>
            <w:r>
              <w:rPr>
                <w:sz w:val="24"/>
              </w:rPr>
              <w:t>塑料零件及其他塑料制品制</w:t>
            </w:r>
            <w:r>
              <w:rPr>
                <w:rFonts w:hint="eastAsia"/>
                <w:sz w:val="24"/>
                <w:lang w:val="en-US" w:eastAsia="zh-CN"/>
              </w:rPr>
              <w:t>造</w:t>
            </w:r>
            <w:r>
              <w:rPr>
                <w:rStyle w:val="35"/>
                <w:rFonts w:hint="eastAsia"/>
                <w:kern w:val="0"/>
                <w:sz w:val="24"/>
              </w:rPr>
              <w:t>，不属于芜湖鸠江经济开发区规划中其他类型有限选择性入区、限制入园与禁止入园项目。本项目不属于产能过剩产业，根据《产业结构调整指导目录》(2024年本)，本项目不涉及政策禁,止或淘汰类项目、产品、工艺和设备。因此，本项目符合区域评估报告提出的芜湖鸠江经济开发区准入条件。</w:t>
            </w:r>
          </w:p>
          <w:p w14:paraId="2753382C">
            <w:pPr>
              <w:keepNext w:val="0"/>
              <w:keepLines w:val="0"/>
              <w:pageBreakBefore w:val="0"/>
              <w:widowControl w:val="0"/>
              <w:numPr>
                <w:ilvl w:val="0"/>
                <w:numId w:val="0"/>
              </w:numPr>
              <w:tabs>
                <w:tab w:val="left" w:pos="7350"/>
              </w:tabs>
              <w:kinsoku/>
              <w:wordWrap/>
              <w:overflowPunct/>
              <w:topLinePunct w:val="0"/>
              <w:autoSpaceDE/>
              <w:autoSpaceDN/>
              <w:bidi w:val="0"/>
              <w:adjustRightInd/>
              <w:snapToGrid/>
              <w:spacing w:before="120" w:beforeLines="50" w:line="360" w:lineRule="auto"/>
              <w:ind w:firstLine="480" w:firstLineChars="200"/>
              <w:textAlignment w:val="auto"/>
              <w:rPr>
                <w:rStyle w:val="35"/>
                <w:rFonts w:hint="eastAsia"/>
                <w:kern w:val="0"/>
                <w:sz w:val="24"/>
              </w:rPr>
            </w:pPr>
          </w:p>
        </w:tc>
      </w:tr>
      <w:tr w14:paraId="654A66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02" w:type="dxa"/>
            <w:tcBorders>
              <w:tl2br w:val="nil"/>
              <w:tr2bl w:val="nil"/>
            </w:tcBorders>
            <w:vAlign w:val="center"/>
          </w:tcPr>
          <w:p w14:paraId="0A43D96C">
            <w:pPr>
              <w:autoSpaceDE w:val="0"/>
              <w:autoSpaceDN w:val="0"/>
              <w:adjustRightInd w:val="0"/>
              <w:snapToGrid w:val="0"/>
              <w:jc w:val="center"/>
              <w:rPr>
                <w:kern w:val="0"/>
                <w:sz w:val="24"/>
              </w:rPr>
            </w:pPr>
            <w:r>
              <w:rPr>
                <w:kern w:val="0"/>
                <w:sz w:val="24"/>
              </w:rPr>
              <w:t>其他符合性分析</w:t>
            </w:r>
          </w:p>
        </w:tc>
        <w:tc>
          <w:tcPr>
            <w:tcW w:w="7881" w:type="dxa"/>
            <w:gridSpan w:val="3"/>
            <w:tcBorders>
              <w:tl2br w:val="nil"/>
              <w:tr2bl w:val="nil"/>
            </w:tcBorders>
            <w:vAlign w:val="center"/>
          </w:tcPr>
          <w:p w14:paraId="39735DFB">
            <w:pPr>
              <w:adjustRightInd w:val="0"/>
              <w:snapToGrid w:val="0"/>
              <w:spacing w:line="360" w:lineRule="auto"/>
              <w:ind w:firstLine="482"/>
              <w:rPr>
                <w:b/>
                <w:sz w:val="24"/>
              </w:rPr>
            </w:pPr>
            <w:r>
              <w:rPr>
                <w:b/>
                <w:sz w:val="24"/>
              </w:rPr>
              <w:t>1、产业政策相符性分析</w:t>
            </w:r>
          </w:p>
          <w:p w14:paraId="0941CDC0">
            <w:pPr>
              <w:widowControl/>
              <w:spacing w:line="360" w:lineRule="auto"/>
              <w:ind w:firstLine="480" w:firstLineChars="200"/>
              <w:jc w:val="left"/>
              <w:rPr>
                <w:rStyle w:val="35"/>
                <w:kern w:val="0"/>
                <w:sz w:val="24"/>
              </w:rPr>
            </w:pPr>
            <w:r>
              <w:rPr>
                <w:rStyle w:val="35"/>
                <w:rFonts w:hint="eastAsia"/>
                <w:kern w:val="0"/>
                <w:sz w:val="24"/>
              </w:rPr>
              <w:t>对照《国民经济行业分类》（GB/T4754-2017），本项目属于C3670</w:t>
            </w:r>
          </w:p>
          <w:p w14:paraId="5ABFCA0A">
            <w:pPr>
              <w:widowControl/>
              <w:spacing w:line="360" w:lineRule="auto"/>
              <w:jc w:val="left"/>
              <w:rPr>
                <w:rFonts w:hAnsi="宋体"/>
                <w:kern w:val="24"/>
                <w:sz w:val="24"/>
                <w:szCs w:val="20"/>
              </w:rPr>
            </w:pPr>
            <w:r>
              <w:rPr>
                <w:rStyle w:val="35"/>
                <w:rFonts w:hint="eastAsia"/>
                <w:kern w:val="0"/>
                <w:sz w:val="24"/>
              </w:rPr>
              <w:t>汽车零部件及配件制造及</w:t>
            </w:r>
            <w:r>
              <w:rPr>
                <w:rFonts w:hint="eastAsia" w:hAnsi="宋体"/>
                <w:kern w:val="24"/>
                <w:sz w:val="24"/>
                <w:szCs w:val="20"/>
              </w:rPr>
              <w:t>C2929 塑料零件及其他塑料制品制造</w:t>
            </w:r>
            <w:r>
              <w:rPr>
                <w:rStyle w:val="35"/>
                <w:rFonts w:hint="eastAsia"/>
                <w:kern w:val="0"/>
                <w:sz w:val="24"/>
              </w:rPr>
              <w:t>。对照《产业结构调整指导目录》（2024年本）（实施日期：2024年2月1日），本项目不在现行国家产业政策中规定的鼓励类、限制类、淘汰类建设项目之列，可视为允许类项目</w:t>
            </w:r>
            <w:r>
              <w:rPr>
                <w:rFonts w:hint="eastAsia" w:hAnsi="宋体"/>
                <w:kern w:val="24"/>
                <w:sz w:val="24"/>
                <w:szCs w:val="20"/>
              </w:rPr>
              <w:t>。另外项目选用的工艺和设备无《产业结构调整指导目录（2024年本）》中限制类和淘汰类落后生产工艺和设备。项目涉及的主要生产设备、工艺、产品等均未列入中华人民共和国工业和信息化部制定的《部分工业行业淘汰落后生产工艺装备和产品指导目录（2010年本）》，本项目不属于《禁止用地项目目录（2012年本）》、《限制用地项目目录（2012年本）》禁止项目。</w:t>
            </w:r>
          </w:p>
          <w:p w14:paraId="251B5CDC">
            <w:pPr>
              <w:widowControl/>
              <w:spacing w:line="360" w:lineRule="auto"/>
              <w:ind w:firstLine="424" w:firstLineChars="177"/>
              <w:jc w:val="left"/>
              <w:rPr>
                <w:rStyle w:val="35"/>
                <w:kern w:val="0"/>
                <w:sz w:val="24"/>
              </w:rPr>
            </w:pPr>
            <w:r>
              <w:rPr>
                <w:rStyle w:val="35"/>
                <w:rFonts w:hint="eastAsia"/>
                <w:kern w:val="0"/>
                <w:sz w:val="24"/>
              </w:rPr>
              <w:t>同时，本项目于</w:t>
            </w:r>
            <w:r>
              <w:rPr>
                <w:rFonts w:hint="eastAsia" w:hAnsi="宋体"/>
                <w:kern w:val="24"/>
                <w:sz w:val="24"/>
                <w:szCs w:val="20"/>
              </w:rPr>
              <w:t>2024 年3月8日取得</w:t>
            </w:r>
            <w:r>
              <w:rPr>
                <w:rFonts w:hint="eastAsia" w:hAnsi="宋体"/>
                <w:kern w:val="24"/>
                <w:sz w:val="24"/>
                <w:szCs w:val="20"/>
                <w:lang w:val="en-US" w:eastAsia="zh-CN"/>
              </w:rPr>
              <w:t>鸠江区发展和改革委员会</w:t>
            </w:r>
            <w:r>
              <w:rPr>
                <w:rStyle w:val="35"/>
                <w:rFonts w:hint="eastAsia"/>
                <w:kern w:val="0"/>
                <w:sz w:val="24"/>
              </w:rPr>
              <w:t>出具的备案文件（</w:t>
            </w:r>
            <w:r>
              <w:rPr>
                <w:rFonts w:hint="eastAsia"/>
                <w:sz w:val="24"/>
              </w:rPr>
              <w:t>鸠发改告〔2024〕</w:t>
            </w:r>
            <w:r>
              <w:rPr>
                <w:rFonts w:hint="eastAsia"/>
                <w:sz w:val="24"/>
                <w:lang w:val="en-US" w:eastAsia="zh-CN"/>
              </w:rPr>
              <w:t>26</w:t>
            </w:r>
            <w:r>
              <w:rPr>
                <w:rFonts w:hint="eastAsia"/>
                <w:sz w:val="24"/>
              </w:rPr>
              <w:t>5号</w:t>
            </w:r>
            <w:r>
              <w:rPr>
                <w:rStyle w:val="35"/>
                <w:rFonts w:hint="eastAsia"/>
                <w:kern w:val="0"/>
                <w:sz w:val="24"/>
              </w:rPr>
              <w:t>）（见附件4）。</w:t>
            </w:r>
          </w:p>
          <w:p w14:paraId="2D69707B">
            <w:pPr>
              <w:adjustRightInd w:val="0"/>
              <w:snapToGrid w:val="0"/>
              <w:spacing w:line="360" w:lineRule="auto"/>
              <w:ind w:firstLine="504" w:firstLineChars="200"/>
              <w:rPr>
                <w:sz w:val="24"/>
              </w:rPr>
            </w:pPr>
            <w:r>
              <w:rPr>
                <w:rFonts w:hint="eastAsia"/>
                <w:snapToGrid w:val="0"/>
                <w:spacing w:val="6"/>
                <w:kern w:val="28"/>
                <w:sz w:val="24"/>
              </w:rPr>
              <w:t>综上，本项目的建设符合国家和地方现行产业政策</w:t>
            </w:r>
            <w:r>
              <w:rPr>
                <w:sz w:val="24"/>
              </w:rPr>
              <w:t>。</w:t>
            </w:r>
          </w:p>
          <w:p w14:paraId="5CE6C6E5">
            <w:pPr>
              <w:adjustRightInd w:val="0"/>
              <w:snapToGrid w:val="0"/>
              <w:spacing w:line="360" w:lineRule="auto"/>
              <w:ind w:firstLine="482" w:firstLineChars="200"/>
              <w:rPr>
                <w:b/>
                <w:bCs/>
                <w:sz w:val="24"/>
              </w:rPr>
            </w:pPr>
            <w:r>
              <w:rPr>
                <w:b/>
                <w:bCs/>
                <w:sz w:val="24"/>
              </w:rPr>
              <w:t>2、选址合理性分析</w:t>
            </w:r>
          </w:p>
          <w:p w14:paraId="6D20378F">
            <w:pPr>
              <w:adjustRightInd w:val="0"/>
              <w:snapToGrid w:val="0"/>
              <w:spacing w:line="360" w:lineRule="auto"/>
              <w:ind w:firstLine="480" w:firstLineChars="200"/>
              <w:rPr>
                <w:spacing w:val="-4"/>
                <w:sz w:val="24"/>
              </w:rPr>
            </w:pPr>
            <w:r>
              <w:rPr>
                <w:sz w:val="24"/>
              </w:rPr>
              <w:t>本项目</w:t>
            </w:r>
            <w:r>
              <w:rPr>
                <w:rFonts w:hint="eastAsia"/>
                <w:sz w:val="24"/>
              </w:rPr>
              <w:t>位于</w:t>
            </w:r>
            <w:r>
              <w:rPr>
                <w:rFonts w:hint="eastAsia"/>
                <w:sz w:val="24"/>
                <w:lang w:eastAsia="zh-CN"/>
              </w:rPr>
              <w:t>芜湖市鸠江经济开发区徽州路152号</w:t>
            </w:r>
            <w:r>
              <w:rPr>
                <w:sz w:val="24"/>
              </w:rPr>
              <w:t>。</w:t>
            </w:r>
            <w:r>
              <w:rPr>
                <w:rFonts w:hint="eastAsia" w:hAnsi="宋体"/>
                <w:kern w:val="24"/>
                <w:sz w:val="24"/>
              </w:rPr>
              <w:t>项目东侧为</w:t>
            </w:r>
            <w:r>
              <w:rPr>
                <w:rFonts w:hint="eastAsia" w:hAnsi="宋体"/>
                <w:kern w:val="24"/>
                <w:sz w:val="24"/>
                <w:lang w:val="en-US" w:eastAsia="zh-CN"/>
              </w:rPr>
              <w:t>芜湖市天意数码打印有限责任公司</w:t>
            </w:r>
            <w:r>
              <w:rPr>
                <w:rFonts w:hint="eastAsia" w:hAnsi="宋体"/>
                <w:kern w:val="24"/>
                <w:sz w:val="24"/>
              </w:rPr>
              <w:t>，厂区南侧为</w:t>
            </w:r>
            <w:r>
              <w:rPr>
                <w:rFonts w:hint="eastAsia" w:hAnsi="宋体"/>
                <w:kern w:val="24"/>
                <w:sz w:val="24"/>
                <w:lang w:val="en-US" w:eastAsia="zh-CN"/>
              </w:rPr>
              <w:t>芜湖大洋电机新动力科技有限公司</w:t>
            </w:r>
            <w:r>
              <w:rPr>
                <w:rFonts w:hint="eastAsia" w:hAnsi="宋体"/>
                <w:kern w:val="24"/>
                <w:sz w:val="24"/>
              </w:rPr>
              <w:t>；厂房西侧为</w:t>
            </w:r>
            <w:r>
              <w:rPr>
                <w:rFonts w:hint="eastAsia" w:hAnsi="宋体"/>
                <w:kern w:val="24"/>
                <w:sz w:val="24"/>
                <w:lang w:val="en-US" w:eastAsia="zh-CN"/>
              </w:rPr>
              <w:t>联合汽车电子有限公司芜湖分公司</w:t>
            </w:r>
            <w:r>
              <w:rPr>
                <w:rFonts w:hint="eastAsia" w:hAnsi="宋体"/>
                <w:kern w:val="24"/>
                <w:sz w:val="24"/>
              </w:rPr>
              <w:t>，厂房北侧为</w:t>
            </w:r>
            <w:r>
              <w:rPr>
                <w:rFonts w:hint="eastAsia" w:hAnsi="宋体"/>
                <w:kern w:val="24"/>
                <w:sz w:val="24"/>
                <w:lang w:val="en-US" w:eastAsia="zh-CN"/>
              </w:rPr>
              <w:t>安徽省傻子经济发展有限公司</w:t>
            </w:r>
            <w:r>
              <w:rPr>
                <w:rFonts w:hint="eastAsia"/>
                <w:sz w:val="24"/>
              </w:rPr>
              <w:t>。本项目</w:t>
            </w:r>
            <w:r>
              <w:rPr>
                <w:sz w:val="24"/>
              </w:rPr>
              <w:t>周</w:t>
            </w:r>
            <w:r>
              <w:rPr>
                <w:rFonts w:hint="eastAsia"/>
                <w:sz w:val="24"/>
              </w:rPr>
              <w:t>边</w:t>
            </w:r>
            <w:r>
              <w:rPr>
                <w:sz w:val="24"/>
              </w:rPr>
              <w:t>500m范围内无文物保护、饮用水源地等敏感环境保护目标</w:t>
            </w:r>
            <w:r>
              <w:rPr>
                <w:rFonts w:hint="eastAsia"/>
                <w:sz w:val="24"/>
                <w:lang w:eastAsia="zh-CN"/>
              </w:rPr>
              <w:t>，</w:t>
            </w:r>
            <w:r>
              <w:rPr>
                <w:rFonts w:hint="eastAsia"/>
                <w:spacing w:val="-4"/>
                <w:sz w:val="24"/>
              </w:rPr>
              <w:t>具体见附图1，附图2。</w:t>
            </w:r>
          </w:p>
          <w:p w14:paraId="5C97DCB9">
            <w:pPr>
              <w:adjustRightInd w:val="0"/>
              <w:snapToGrid w:val="0"/>
              <w:spacing w:line="360" w:lineRule="auto"/>
              <w:ind w:firstLine="480" w:firstLineChars="200"/>
              <w:rPr>
                <w:sz w:val="24"/>
              </w:rPr>
            </w:pPr>
            <w:r>
              <w:rPr>
                <w:rFonts w:hint="eastAsia"/>
                <w:sz w:val="24"/>
              </w:rPr>
              <w:t>项目周边环境主要为工业厂房且无食品类的工厂，本项目对其周边企业无影响，本</w:t>
            </w:r>
            <w:r>
              <w:rPr>
                <w:rFonts w:hint="eastAsia" w:hAnsi="宋体"/>
                <w:kern w:val="24"/>
                <w:sz w:val="24"/>
              </w:rPr>
              <w:t>项目的建设运行对于发展经济，增加劳动就业机会有良好的社会、经济效益，同时项目排放废气、固废、噪声均能得到有效的处理处置，对周边的环境影响较小项目的建设与产业园区规划相符。</w:t>
            </w:r>
          </w:p>
          <w:p w14:paraId="1B48C6E8">
            <w:pPr>
              <w:adjustRightInd w:val="0"/>
              <w:snapToGrid w:val="0"/>
              <w:spacing w:line="360" w:lineRule="auto"/>
              <w:ind w:firstLine="480" w:firstLineChars="200"/>
              <w:rPr>
                <w:sz w:val="24"/>
              </w:rPr>
            </w:pPr>
            <w:r>
              <w:rPr>
                <w:sz w:val="24"/>
              </w:rPr>
              <w:t>因此，本项目的选址是合理、可行的。</w:t>
            </w:r>
          </w:p>
          <w:p w14:paraId="06BDC2DB">
            <w:pPr>
              <w:adjustRightInd w:val="0"/>
              <w:snapToGrid w:val="0"/>
              <w:spacing w:line="360" w:lineRule="auto"/>
              <w:ind w:firstLine="482" w:firstLineChars="200"/>
              <w:rPr>
                <w:b/>
                <w:bCs/>
                <w:sz w:val="24"/>
              </w:rPr>
            </w:pPr>
            <w:r>
              <w:rPr>
                <w:b/>
                <w:bCs/>
                <w:sz w:val="24"/>
              </w:rPr>
              <w:t>3、“三线一单”相符性分析</w:t>
            </w:r>
          </w:p>
          <w:p w14:paraId="3AD60E04">
            <w:pPr>
              <w:autoSpaceDE w:val="0"/>
              <w:autoSpaceDN w:val="0"/>
              <w:adjustRightInd w:val="0"/>
              <w:snapToGrid w:val="0"/>
              <w:spacing w:line="360" w:lineRule="auto"/>
              <w:ind w:firstLine="480" w:firstLineChars="200"/>
              <w:rPr>
                <w:kern w:val="24"/>
                <w:sz w:val="24"/>
              </w:rPr>
            </w:pPr>
            <w:r>
              <w:rPr>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法治化、精细化、信息化的重要抓手，是推进战略和规划环评落地、环境保护参与空间规划和优化国土空间格局的基础支撑，是实施环境空间管控、强化源头预防和过程监管的重要手段。判定本项目与“三线一单”相符性如下表。</w:t>
            </w:r>
          </w:p>
          <w:p w14:paraId="7A1A0CB0">
            <w:pPr>
              <w:autoSpaceDE w:val="0"/>
              <w:autoSpaceDN w:val="0"/>
              <w:adjustRightInd w:val="0"/>
              <w:snapToGrid w:val="0"/>
              <w:ind w:firstLine="482" w:firstLineChars="200"/>
              <w:jc w:val="center"/>
              <w:rPr>
                <w:b/>
                <w:kern w:val="0"/>
                <w:sz w:val="24"/>
              </w:rPr>
            </w:pPr>
            <w:r>
              <w:rPr>
                <w:b/>
                <w:kern w:val="0"/>
                <w:sz w:val="24"/>
              </w:rPr>
              <w:t>表1-</w:t>
            </w:r>
            <w:r>
              <w:rPr>
                <w:rFonts w:hint="eastAsia"/>
                <w:b/>
                <w:kern w:val="0"/>
                <w:sz w:val="24"/>
              </w:rPr>
              <w:t>4</w:t>
            </w:r>
            <w:r>
              <w:rPr>
                <w:b/>
                <w:kern w:val="0"/>
                <w:sz w:val="24"/>
              </w:rPr>
              <w:t xml:space="preserve">  本项目与“三线一单”相符性</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909"/>
              <w:gridCol w:w="2489"/>
              <w:gridCol w:w="2601"/>
              <w:gridCol w:w="966"/>
            </w:tblGrid>
            <w:tr w14:paraId="126D54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14:paraId="4CAE1F6C">
                  <w:pPr>
                    <w:autoSpaceDE w:val="0"/>
                    <w:autoSpaceDN w:val="0"/>
                    <w:spacing w:line="360" w:lineRule="auto"/>
                    <w:jc w:val="center"/>
                    <w:rPr>
                      <w:rFonts w:hAnsi="宋体"/>
                      <w:b/>
                      <w:kern w:val="0"/>
                      <w:szCs w:val="21"/>
                    </w:rPr>
                  </w:pPr>
                  <w:r>
                    <w:rPr>
                      <w:rFonts w:hAnsi="宋体"/>
                      <w:b/>
                      <w:kern w:val="0"/>
                      <w:szCs w:val="21"/>
                    </w:rPr>
                    <w:t>序号</w:t>
                  </w:r>
                </w:p>
              </w:tc>
              <w:tc>
                <w:tcPr>
                  <w:tcW w:w="593" w:type="pct"/>
                  <w:vAlign w:val="center"/>
                </w:tcPr>
                <w:p w14:paraId="3C2C76A1">
                  <w:pPr>
                    <w:autoSpaceDE w:val="0"/>
                    <w:autoSpaceDN w:val="0"/>
                    <w:spacing w:line="360" w:lineRule="auto"/>
                    <w:jc w:val="center"/>
                    <w:rPr>
                      <w:rFonts w:hAnsi="宋体"/>
                      <w:b/>
                      <w:kern w:val="0"/>
                      <w:szCs w:val="21"/>
                    </w:rPr>
                  </w:pPr>
                  <w:r>
                    <w:rPr>
                      <w:rFonts w:hAnsi="宋体"/>
                      <w:b/>
                      <w:kern w:val="0"/>
                      <w:szCs w:val="21"/>
                    </w:rPr>
                    <w:t>内容</w:t>
                  </w:r>
                </w:p>
              </w:tc>
              <w:tc>
                <w:tcPr>
                  <w:tcW w:w="1623" w:type="pct"/>
                  <w:vAlign w:val="center"/>
                </w:tcPr>
                <w:p w14:paraId="057EB5BE">
                  <w:pPr>
                    <w:autoSpaceDE w:val="0"/>
                    <w:autoSpaceDN w:val="0"/>
                    <w:spacing w:line="360" w:lineRule="auto"/>
                    <w:jc w:val="center"/>
                    <w:rPr>
                      <w:rFonts w:hAnsi="宋体"/>
                      <w:b/>
                      <w:kern w:val="0"/>
                      <w:szCs w:val="21"/>
                    </w:rPr>
                  </w:pPr>
                  <w:r>
                    <w:rPr>
                      <w:rFonts w:hAnsi="宋体"/>
                      <w:b/>
                      <w:kern w:val="0"/>
                      <w:szCs w:val="21"/>
                    </w:rPr>
                    <w:t>要求</w:t>
                  </w:r>
                </w:p>
              </w:tc>
              <w:tc>
                <w:tcPr>
                  <w:tcW w:w="1696" w:type="pct"/>
                  <w:vAlign w:val="center"/>
                </w:tcPr>
                <w:p w14:paraId="2CE5C753">
                  <w:pPr>
                    <w:autoSpaceDE w:val="0"/>
                    <w:autoSpaceDN w:val="0"/>
                    <w:spacing w:line="360" w:lineRule="auto"/>
                    <w:jc w:val="center"/>
                    <w:rPr>
                      <w:rFonts w:hAnsi="宋体"/>
                      <w:b/>
                      <w:kern w:val="0"/>
                      <w:szCs w:val="21"/>
                    </w:rPr>
                  </w:pPr>
                  <w:r>
                    <w:rPr>
                      <w:rFonts w:hAnsi="宋体"/>
                      <w:b/>
                      <w:kern w:val="0"/>
                      <w:szCs w:val="21"/>
                    </w:rPr>
                    <w:t>本项目情况</w:t>
                  </w:r>
                </w:p>
              </w:tc>
              <w:tc>
                <w:tcPr>
                  <w:tcW w:w="630" w:type="pct"/>
                  <w:vAlign w:val="center"/>
                </w:tcPr>
                <w:p w14:paraId="31E191FB">
                  <w:pPr>
                    <w:autoSpaceDE w:val="0"/>
                    <w:autoSpaceDN w:val="0"/>
                    <w:spacing w:line="360" w:lineRule="auto"/>
                    <w:jc w:val="center"/>
                    <w:rPr>
                      <w:rFonts w:hAnsi="宋体"/>
                      <w:b/>
                      <w:kern w:val="0"/>
                      <w:szCs w:val="21"/>
                    </w:rPr>
                  </w:pPr>
                  <w:r>
                    <w:rPr>
                      <w:rFonts w:hAnsi="宋体"/>
                      <w:b/>
                      <w:kern w:val="0"/>
                      <w:szCs w:val="21"/>
                    </w:rPr>
                    <w:t>相符性</w:t>
                  </w:r>
                </w:p>
              </w:tc>
            </w:tr>
            <w:tr w14:paraId="2DEF8E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455" w:type="pct"/>
                  <w:vAlign w:val="center"/>
                </w:tcPr>
                <w:p w14:paraId="2E00A926">
                  <w:pPr>
                    <w:autoSpaceDE w:val="0"/>
                    <w:autoSpaceDN w:val="0"/>
                    <w:jc w:val="center"/>
                    <w:rPr>
                      <w:rFonts w:hAnsi="宋体"/>
                      <w:kern w:val="0"/>
                      <w:szCs w:val="21"/>
                    </w:rPr>
                  </w:pPr>
                  <w:r>
                    <w:rPr>
                      <w:rFonts w:hint="eastAsia" w:hAnsi="宋体"/>
                      <w:kern w:val="0"/>
                      <w:szCs w:val="21"/>
                    </w:rPr>
                    <w:t>1</w:t>
                  </w:r>
                </w:p>
              </w:tc>
              <w:tc>
                <w:tcPr>
                  <w:tcW w:w="593" w:type="pct"/>
                  <w:vAlign w:val="center"/>
                </w:tcPr>
                <w:p w14:paraId="300155F7">
                  <w:pPr>
                    <w:autoSpaceDE w:val="0"/>
                    <w:autoSpaceDN w:val="0"/>
                    <w:jc w:val="center"/>
                    <w:rPr>
                      <w:rFonts w:hAnsi="宋体"/>
                      <w:kern w:val="0"/>
                      <w:szCs w:val="21"/>
                    </w:rPr>
                  </w:pPr>
                  <w:r>
                    <w:rPr>
                      <w:rFonts w:hAnsi="宋体"/>
                      <w:kern w:val="0"/>
                      <w:szCs w:val="21"/>
                    </w:rPr>
                    <w:t>生态</w:t>
                  </w:r>
                  <w:r>
                    <w:rPr>
                      <w:rFonts w:hint="eastAsia" w:hAnsi="宋体"/>
                      <w:kern w:val="0"/>
                      <w:szCs w:val="21"/>
                    </w:rPr>
                    <w:t>保护</w:t>
                  </w:r>
                  <w:r>
                    <w:rPr>
                      <w:rFonts w:hAnsi="宋体"/>
                      <w:kern w:val="0"/>
                      <w:szCs w:val="21"/>
                    </w:rPr>
                    <w:t>红线</w:t>
                  </w:r>
                </w:p>
              </w:tc>
              <w:tc>
                <w:tcPr>
                  <w:tcW w:w="1623" w:type="pct"/>
                  <w:vAlign w:val="center"/>
                </w:tcPr>
                <w:p w14:paraId="6FB0B51C">
                  <w:pPr>
                    <w:autoSpaceDE w:val="0"/>
                    <w:autoSpaceDN w:val="0"/>
                    <w:jc w:val="center"/>
                    <w:rPr>
                      <w:rFonts w:hAnsi="宋体"/>
                      <w:kern w:val="0"/>
                      <w:szCs w:val="21"/>
                    </w:rPr>
                  </w:pPr>
                  <w:r>
                    <w:rPr>
                      <w:rFonts w:hAnsi="宋体"/>
                      <w:kern w:val="0"/>
                      <w:szCs w:val="21"/>
                    </w:rPr>
                    <w:t>生态保护红线是生态空间范围内具有特殊重要生态功能必须实行强制性严格保护的区域</w:t>
                  </w:r>
                  <w:r>
                    <w:rPr>
                      <w:rFonts w:hint="eastAsia" w:hAnsi="宋体"/>
                      <w:kern w:val="0"/>
                      <w:szCs w:val="21"/>
                    </w:rPr>
                    <w:t>。</w:t>
                  </w:r>
                  <w:r>
                    <w:rPr>
                      <w:rFonts w:hAnsi="宋体"/>
                      <w:kern w:val="0"/>
                      <w:szCs w:val="21"/>
                    </w:rPr>
                    <w:t>在生态保护红线范围内</w:t>
                  </w:r>
                  <w:r>
                    <w:rPr>
                      <w:rFonts w:hint="eastAsia" w:hAnsi="宋体"/>
                      <w:kern w:val="0"/>
                      <w:szCs w:val="21"/>
                    </w:rPr>
                    <w:t>，</w:t>
                  </w:r>
                  <w:r>
                    <w:rPr>
                      <w:rFonts w:hAnsi="宋体"/>
                      <w:kern w:val="0"/>
                      <w:szCs w:val="21"/>
                    </w:rPr>
                    <w:t>严控各类开发建设活动</w:t>
                  </w:r>
                  <w:r>
                    <w:rPr>
                      <w:rFonts w:hint="eastAsia" w:hAnsi="宋体"/>
                      <w:kern w:val="0"/>
                      <w:szCs w:val="21"/>
                    </w:rPr>
                    <w:t>，</w:t>
                  </w:r>
                  <w:r>
                    <w:rPr>
                      <w:rFonts w:hAnsi="宋体"/>
                      <w:kern w:val="0"/>
                      <w:szCs w:val="21"/>
                    </w:rPr>
                    <w:t>依法不予审批新建工业项目和矿产开发项目的环评文件</w:t>
                  </w:r>
                </w:p>
              </w:tc>
              <w:tc>
                <w:tcPr>
                  <w:tcW w:w="1696" w:type="pct"/>
                  <w:vAlign w:val="center"/>
                </w:tcPr>
                <w:p w14:paraId="3D1D2357">
                  <w:pPr>
                    <w:autoSpaceDE w:val="0"/>
                    <w:autoSpaceDN w:val="0"/>
                    <w:jc w:val="center"/>
                    <w:rPr>
                      <w:rFonts w:hAnsi="宋体"/>
                      <w:kern w:val="0"/>
                      <w:szCs w:val="21"/>
                    </w:rPr>
                  </w:pPr>
                  <w:r>
                    <w:rPr>
                      <w:rFonts w:hAnsi="宋体"/>
                      <w:kern w:val="0"/>
                      <w:szCs w:val="21"/>
                    </w:rPr>
                    <w:t>本项目位于</w:t>
                  </w:r>
                  <w:r>
                    <w:rPr>
                      <w:rFonts w:hint="eastAsia"/>
                      <w:szCs w:val="21"/>
                      <w:lang w:eastAsia="zh-CN"/>
                    </w:rPr>
                    <w:t>芜湖市鸠江经济开发区</w:t>
                  </w:r>
                  <w:r>
                    <w:rPr>
                      <w:rFonts w:hint="eastAsia" w:hAnsi="宋体"/>
                      <w:kern w:val="0"/>
                      <w:szCs w:val="21"/>
                    </w:rPr>
                    <w:t>，用地性质属于工业用地，</w:t>
                  </w:r>
                  <w:r>
                    <w:rPr>
                      <w:rFonts w:hAnsi="宋体"/>
                      <w:kern w:val="0"/>
                      <w:szCs w:val="21"/>
                    </w:rPr>
                    <w:t>不在生态红线范围内</w:t>
                  </w:r>
                </w:p>
              </w:tc>
              <w:tc>
                <w:tcPr>
                  <w:tcW w:w="630" w:type="pct"/>
                  <w:vAlign w:val="center"/>
                </w:tcPr>
                <w:p w14:paraId="26B3F74E">
                  <w:pPr>
                    <w:autoSpaceDE w:val="0"/>
                    <w:autoSpaceDN w:val="0"/>
                    <w:spacing w:line="360" w:lineRule="auto"/>
                    <w:jc w:val="center"/>
                    <w:rPr>
                      <w:rFonts w:hAnsi="宋体"/>
                      <w:kern w:val="0"/>
                      <w:szCs w:val="21"/>
                    </w:rPr>
                  </w:pPr>
                  <w:r>
                    <w:rPr>
                      <w:rFonts w:hAnsi="宋体"/>
                      <w:kern w:val="0"/>
                      <w:szCs w:val="21"/>
                    </w:rPr>
                    <w:t>相符</w:t>
                  </w:r>
                </w:p>
              </w:tc>
            </w:tr>
            <w:tr w14:paraId="7776C8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14:paraId="43A437D6">
                  <w:pPr>
                    <w:autoSpaceDE w:val="0"/>
                    <w:autoSpaceDN w:val="0"/>
                    <w:jc w:val="center"/>
                    <w:rPr>
                      <w:rFonts w:hAnsi="宋体"/>
                      <w:kern w:val="0"/>
                      <w:szCs w:val="21"/>
                    </w:rPr>
                  </w:pPr>
                  <w:r>
                    <w:rPr>
                      <w:rFonts w:hint="eastAsia" w:hAnsi="宋体"/>
                      <w:kern w:val="0"/>
                      <w:szCs w:val="21"/>
                    </w:rPr>
                    <w:t>2</w:t>
                  </w:r>
                </w:p>
              </w:tc>
              <w:tc>
                <w:tcPr>
                  <w:tcW w:w="593" w:type="pct"/>
                  <w:vAlign w:val="center"/>
                </w:tcPr>
                <w:p w14:paraId="06D92699">
                  <w:pPr>
                    <w:autoSpaceDE w:val="0"/>
                    <w:autoSpaceDN w:val="0"/>
                    <w:jc w:val="center"/>
                    <w:rPr>
                      <w:rFonts w:hAnsi="宋体"/>
                      <w:kern w:val="0"/>
                      <w:szCs w:val="21"/>
                    </w:rPr>
                  </w:pPr>
                  <w:r>
                    <w:rPr>
                      <w:rFonts w:hAnsi="宋体"/>
                      <w:kern w:val="0"/>
                      <w:szCs w:val="21"/>
                    </w:rPr>
                    <w:t>环境质量底线</w:t>
                  </w:r>
                </w:p>
              </w:tc>
              <w:tc>
                <w:tcPr>
                  <w:tcW w:w="1623" w:type="pct"/>
                  <w:vAlign w:val="center"/>
                </w:tcPr>
                <w:p w14:paraId="385492B2">
                  <w:pPr>
                    <w:autoSpaceDE w:val="0"/>
                    <w:autoSpaceDN w:val="0"/>
                    <w:jc w:val="center"/>
                    <w:rPr>
                      <w:rFonts w:hAnsi="宋体"/>
                      <w:kern w:val="0"/>
                      <w:szCs w:val="21"/>
                    </w:rPr>
                  </w:pPr>
                  <w:r>
                    <w:rPr>
                      <w:rFonts w:hAnsi="宋体"/>
                      <w:kern w:val="0"/>
                      <w:szCs w:val="21"/>
                    </w:rPr>
                    <w:t>环境质量现状超标地区以及未达到环境质量目标考核要求的地区上新项目将受到限制</w:t>
                  </w:r>
                  <w:r>
                    <w:rPr>
                      <w:rFonts w:hint="eastAsia" w:hAnsi="宋体"/>
                      <w:kern w:val="0"/>
                      <w:szCs w:val="21"/>
                    </w:rPr>
                    <w:t>；</w:t>
                  </w:r>
                  <w:r>
                    <w:rPr>
                      <w:rFonts w:hAnsi="宋体"/>
                      <w:kern w:val="0"/>
                      <w:szCs w:val="21"/>
                    </w:rPr>
                    <w:t>对环境质量现状超标的地区</w:t>
                  </w:r>
                  <w:r>
                    <w:rPr>
                      <w:rFonts w:hint="eastAsia" w:hAnsi="宋体"/>
                      <w:kern w:val="0"/>
                      <w:szCs w:val="21"/>
                    </w:rPr>
                    <w:t>，</w:t>
                  </w:r>
                  <w:r>
                    <w:rPr>
                      <w:rFonts w:hAnsi="宋体"/>
                      <w:kern w:val="0"/>
                      <w:szCs w:val="21"/>
                    </w:rPr>
                    <w:t>项目拟采取的措施不能满足区域环境质量改善目标管理要求的</w:t>
                  </w:r>
                  <w:r>
                    <w:rPr>
                      <w:rFonts w:hint="eastAsia" w:hAnsi="宋体"/>
                      <w:kern w:val="0"/>
                      <w:szCs w:val="21"/>
                    </w:rPr>
                    <w:t>，</w:t>
                  </w:r>
                  <w:r>
                    <w:rPr>
                      <w:rFonts w:hAnsi="宋体"/>
                      <w:kern w:val="0"/>
                      <w:szCs w:val="21"/>
                    </w:rPr>
                    <w:t>依法不予审批其环评文件</w:t>
                  </w:r>
                </w:p>
              </w:tc>
              <w:tc>
                <w:tcPr>
                  <w:tcW w:w="1696" w:type="pct"/>
                  <w:vAlign w:val="center"/>
                </w:tcPr>
                <w:p w14:paraId="2D984F86">
                  <w:pPr>
                    <w:autoSpaceDE w:val="0"/>
                    <w:autoSpaceDN w:val="0"/>
                    <w:jc w:val="center"/>
                    <w:rPr>
                      <w:rFonts w:hAnsi="宋体"/>
                      <w:kern w:val="0"/>
                      <w:szCs w:val="21"/>
                    </w:rPr>
                  </w:pPr>
                  <w:r>
                    <w:rPr>
                      <w:rFonts w:hAnsi="宋体"/>
                      <w:kern w:val="0"/>
                      <w:szCs w:val="21"/>
                    </w:rPr>
                    <w:t>根据芜湖市环保局网站公布的《202</w:t>
                  </w:r>
                  <w:r>
                    <w:rPr>
                      <w:rFonts w:hint="eastAsia" w:hAnsi="宋体"/>
                      <w:kern w:val="0"/>
                      <w:szCs w:val="21"/>
                      <w:lang w:val="en-US" w:eastAsia="zh-CN"/>
                    </w:rPr>
                    <w:t>3</w:t>
                  </w:r>
                  <w:r>
                    <w:rPr>
                      <w:rFonts w:hAnsi="宋体"/>
                      <w:kern w:val="0"/>
                      <w:szCs w:val="21"/>
                    </w:rPr>
                    <w:t>年芜湖市环境状况公报》，项目所在区域为环境空气质量达标区域，</w:t>
                  </w:r>
                  <w:r>
                    <w:rPr>
                      <w:rFonts w:hint="eastAsia" w:hAnsi="宋体"/>
                      <w:kern w:val="0"/>
                      <w:szCs w:val="21"/>
                    </w:rPr>
                    <w:t>根据工程分析及污染防治分析项目所采取污染防治措施合理可行，各污染物达标排放</w:t>
                  </w:r>
                </w:p>
              </w:tc>
              <w:tc>
                <w:tcPr>
                  <w:tcW w:w="630" w:type="pct"/>
                  <w:vAlign w:val="center"/>
                </w:tcPr>
                <w:p w14:paraId="4CDB02B0">
                  <w:pPr>
                    <w:autoSpaceDE w:val="0"/>
                    <w:autoSpaceDN w:val="0"/>
                    <w:spacing w:line="360" w:lineRule="auto"/>
                    <w:jc w:val="center"/>
                    <w:rPr>
                      <w:rFonts w:hAnsi="宋体"/>
                      <w:kern w:val="0"/>
                      <w:szCs w:val="21"/>
                    </w:rPr>
                  </w:pPr>
                  <w:r>
                    <w:rPr>
                      <w:rFonts w:hAnsi="宋体"/>
                      <w:kern w:val="0"/>
                      <w:szCs w:val="21"/>
                    </w:rPr>
                    <w:t>相符</w:t>
                  </w:r>
                </w:p>
              </w:tc>
            </w:tr>
            <w:tr w14:paraId="70571C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14:paraId="383B511A">
                  <w:pPr>
                    <w:autoSpaceDE w:val="0"/>
                    <w:autoSpaceDN w:val="0"/>
                    <w:jc w:val="center"/>
                    <w:rPr>
                      <w:rFonts w:hAnsi="宋体"/>
                      <w:kern w:val="0"/>
                      <w:szCs w:val="21"/>
                    </w:rPr>
                  </w:pPr>
                  <w:r>
                    <w:rPr>
                      <w:rFonts w:hint="eastAsia" w:hAnsi="宋体"/>
                      <w:kern w:val="0"/>
                      <w:szCs w:val="21"/>
                    </w:rPr>
                    <w:t>3</w:t>
                  </w:r>
                </w:p>
              </w:tc>
              <w:tc>
                <w:tcPr>
                  <w:tcW w:w="593" w:type="pct"/>
                  <w:vAlign w:val="center"/>
                </w:tcPr>
                <w:p w14:paraId="410FACF5">
                  <w:pPr>
                    <w:autoSpaceDE w:val="0"/>
                    <w:autoSpaceDN w:val="0"/>
                    <w:jc w:val="center"/>
                    <w:rPr>
                      <w:rFonts w:hAnsi="宋体"/>
                      <w:kern w:val="0"/>
                      <w:szCs w:val="21"/>
                    </w:rPr>
                  </w:pPr>
                  <w:r>
                    <w:rPr>
                      <w:rFonts w:hAnsi="宋体"/>
                      <w:kern w:val="0"/>
                      <w:szCs w:val="21"/>
                    </w:rPr>
                    <w:t>资源</w:t>
                  </w:r>
                  <w:r>
                    <w:rPr>
                      <w:rFonts w:hint="eastAsia" w:hAnsi="宋体"/>
                      <w:kern w:val="0"/>
                      <w:szCs w:val="21"/>
                    </w:rPr>
                    <w:t>利用上线</w:t>
                  </w:r>
                </w:p>
              </w:tc>
              <w:tc>
                <w:tcPr>
                  <w:tcW w:w="1623" w:type="pct"/>
                  <w:vAlign w:val="center"/>
                </w:tcPr>
                <w:p w14:paraId="73F33344">
                  <w:pPr>
                    <w:autoSpaceDE w:val="0"/>
                    <w:autoSpaceDN w:val="0"/>
                    <w:jc w:val="center"/>
                    <w:rPr>
                      <w:rFonts w:hAnsi="宋体"/>
                      <w:kern w:val="0"/>
                      <w:szCs w:val="21"/>
                    </w:rPr>
                  </w:pPr>
                  <w:r>
                    <w:rPr>
                      <w:rFonts w:hAnsi="宋体"/>
                      <w:kern w:val="0"/>
                      <w:szCs w:val="21"/>
                    </w:rPr>
                    <w:t>依据有关资源利用上线要求</w:t>
                  </w:r>
                  <w:r>
                    <w:rPr>
                      <w:rFonts w:hint="eastAsia" w:hAnsi="宋体"/>
                      <w:kern w:val="0"/>
                      <w:szCs w:val="21"/>
                    </w:rPr>
                    <w:t>，</w:t>
                  </w:r>
                  <w:r>
                    <w:rPr>
                      <w:rFonts w:hAnsi="宋体"/>
                      <w:kern w:val="0"/>
                      <w:szCs w:val="21"/>
                    </w:rPr>
                    <w:t>即各地区能源</w:t>
                  </w:r>
                  <w:r>
                    <w:rPr>
                      <w:rFonts w:hint="eastAsia" w:hAnsi="宋体"/>
                      <w:kern w:val="0"/>
                      <w:szCs w:val="21"/>
                    </w:rPr>
                    <w:t>、</w:t>
                  </w:r>
                  <w:r>
                    <w:rPr>
                      <w:rFonts w:hAnsi="宋体"/>
                      <w:kern w:val="0"/>
                      <w:szCs w:val="21"/>
                    </w:rPr>
                    <w:t>水</w:t>
                  </w:r>
                  <w:r>
                    <w:rPr>
                      <w:rFonts w:hint="eastAsia" w:hAnsi="宋体"/>
                      <w:kern w:val="0"/>
                      <w:szCs w:val="21"/>
                    </w:rPr>
                    <w:t>、</w:t>
                  </w:r>
                  <w:r>
                    <w:rPr>
                      <w:rFonts w:hAnsi="宋体"/>
                      <w:kern w:val="0"/>
                      <w:szCs w:val="21"/>
                    </w:rPr>
                    <w:t>土地等资源消耗是不得突破的</w:t>
                  </w:r>
                  <w:r>
                    <w:rPr>
                      <w:rFonts w:hint="eastAsia" w:hAnsi="宋体"/>
                      <w:kern w:val="0"/>
                      <w:szCs w:val="21"/>
                    </w:rPr>
                    <w:t>“天花板”</w:t>
                  </w:r>
                </w:p>
              </w:tc>
              <w:tc>
                <w:tcPr>
                  <w:tcW w:w="1696" w:type="pct"/>
                  <w:vAlign w:val="center"/>
                </w:tcPr>
                <w:p w14:paraId="7FD43378">
                  <w:pPr>
                    <w:autoSpaceDE w:val="0"/>
                    <w:autoSpaceDN w:val="0"/>
                    <w:jc w:val="center"/>
                    <w:rPr>
                      <w:rFonts w:hAnsi="宋体"/>
                      <w:kern w:val="0"/>
                      <w:szCs w:val="21"/>
                    </w:rPr>
                  </w:pPr>
                  <w:r>
                    <w:rPr>
                      <w:rFonts w:hint="eastAsia" w:hAnsi="宋体"/>
                      <w:kern w:val="24"/>
                      <w:szCs w:val="21"/>
                    </w:rPr>
                    <w:t>项目不属于高污染、高能耗、高水耗的建设项目，符合资源利用上线的要求</w:t>
                  </w:r>
                </w:p>
              </w:tc>
              <w:tc>
                <w:tcPr>
                  <w:tcW w:w="630" w:type="pct"/>
                  <w:vAlign w:val="center"/>
                </w:tcPr>
                <w:p w14:paraId="5E65EE36">
                  <w:pPr>
                    <w:autoSpaceDE w:val="0"/>
                    <w:autoSpaceDN w:val="0"/>
                    <w:spacing w:line="360" w:lineRule="auto"/>
                    <w:jc w:val="center"/>
                    <w:rPr>
                      <w:rFonts w:hAnsi="宋体"/>
                      <w:kern w:val="0"/>
                      <w:szCs w:val="21"/>
                    </w:rPr>
                  </w:pPr>
                  <w:r>
                    <w:rPr>
                      <w:rFonts w:hAnsi="宋体"/>
                      <w:kern w:val="0"/>
                      <w:szCs w:val="21"/>
                    </w:rPr>
                    <w:t>相符</w:t>
                  </w:r>
                </w:p>
              </w:tc>
            </w:tr>
            <w:tr w14:paraId="3A0D6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14:paraId="075CEF2F">
                  <w:pPr>
                    <w:autoSpaceDE w:val="0"/>
                    <w:autoSpaceDN w:val="0"/>
                    <w:jc w:val="center"/>
                    <w:rPr>
                      <w:rFonts w:hAnsi="宋体"/>
                      <w:kern w:val="0"/>
                      <w:szCs w:val="21"/>
                    </w:rPr>
                  </w:pPr>
                  <w:r>
                    <w:rPr>
                      <w:rFonts w:hint="eastAsia" w:hAnsi="宋体"/>
                      <w:kern w:val="0"/>
                      <w:szCs w:val="21"/>
                    </w:rPr>
                    <w:t>4</w:t>
                  </w:r>
                </w:p>
              </w:tc>
              <w:tc>
                <w:tcPr>
                  <w:tcW w:w="593" w:type="pct"/>
                  <w:vAlign w:val="center"/>
                </w:tcPr>
                <w:p w14:paraId="3AF8A118">
                  <w:pPr>
                    <w:autoSpaceDE w:val="0"/>
                    <w:autoSpaceDN w:val="0"/>
                    <w:jc w:val="center"/>
                    <w:rPr>
                      <w:rFonts w:hAnsi="宋体"/>
                      <w:kern w:val="0"/>
                      <w:szCs w:val="21"/>
                    </w:rPr>
                  </w:pPr>
                  <w:r>
                    <w:rPr>
                      <w:rFonts w:hAnsi="宋体"/>
                      <w:kern w:val="0"/>
                      <w:szCs w:val="21"/>
                    </w:rPr>
                    <w:t>环境准入负面清单</w:t>
                  </w:r>
                </w:p>
              </w:tc>
              <w:tc>
                <w:tcPr>
                  <w:tcW w:w="1623" w:type="pct"/>
                  <w:vAlign w:val="center"/>
                </w:tcPr>
                <w:p w14:paraId="3FC5CCF5">
                  <w:pPr>
                    <w:autoSpaceDE w:val="0"/>
                    <w:autoSpaceDN w:val="0"/>
                    <w:jc w:val="center"/>
                    <w:rPr>
                      <w:rFonts w:hAnsi="宋体"/>
                      <w:kern w:val="0"/>
                      <w:szCs w:val="21"/>
                    </w:rPr>
                  </w:pPr>
                  <w:r>
                    <w:rPr>
                      <w:rFonts w:hAnsi="宋体"/>
                      <w:kern w:val="0"/>
                      <w:szCs w:val="21"/>
                    </w:rPr>
                    <w:t>环境准入负面清单是基于生态保护红线</w:t>
                  </w:r>
                  <w:r>
                    <w:rPr>
                      <w:rFonts w:hint="eastAsia" w:hAnsi="宋体"/>
                      <w:kern w:val="0"/>
                      <w:szCs w:val="21"/>
                    </w:rPr>
                    <w:t>、</w:t>
                  </w:r>
                  <w:r>
                    <w:rPr>
                      <w:rFonts w:hAnsi="宋体"/>
                      <w:kern w:val="0"/>
                      <w:szCs w:val="21"/>
                    </w:rPr>
                    <w:t>环境质量底线和资源利用上线</w:t>
                  </w:r>
                  <w:r>
                    <w:rPr>
                      <w:rFonts w:hint="eastAsia" w:hAnsi="宋体"/>
                      <w:kern w:val="0"/>
                      <w:szCs w:val="21"/>
                    </w:rPr>
                    <w:t>，</w:t>
                  </w:r>
                  <w:r>
                    <w:rPr>
                      <w:rFonts w:hAnsi="宋体"/>
                      <w:kern w:val="0"/>
                      <w:szCs w:val="21"/>
                    </w:rPr>
                    <w:t>以清单方式列出的禁止</w:t>
                  </w:r>
                  <w:r>
                    <w:rPr>
                      <w:rFonts w:hint="eastAsia" w:hAnsi="宋体"/>
                      <w:kern w:val="0"/>
                      <w:szCs w:val="21"/>
                    </w:rPr>
                    <w:t>、</w:t>
                  </w:r>
                  <w:r>
                    <w:rPr>
                      <w:rFonts w:hAnsi="宋体"/>
                      <w:kern w:val="0"/>
                      <w:szCs w:val="21"/>
                    </w:rPr>
                    <w:t>限制等差别化环境准入条件和要求</w:t>
                  </w:r>
                  <w:r>
                    <w:rPr>
                      <w:rFonts w:hint="eastAsia" w:hAnsi="宋体"/>
                      <w:kern w:val="0"/>
                      <w:szCs w:val="21"/>
                    </w:rPr>
                    <w:t>。</w:t>
                  </w:r>
                  <w:r>
                    <w:rPr>
                      <w:rFonts w:hAnsi="宋体"/>
                      <w:kern w:val="0"/>
                      <w:szCs w:val="21"/>
                    </w:rPr>
                    <w:t>要在规划环评清单式管理试点的基础上</w:t>
                  </w:r>
                  <w:r>
                    <w:rPr>
                      <w:rFonts w:hint="eastAsia" w:hAnsi="宋体"/>
                      <w:kern w:val="0"/>
                      <w:szCs w:val="21"/>
                    </w:rPr>
                    <w:t>，</w:t>
                  </w:r>
                  <w:r>
                    <w:rPr>
                      <w:rFonts w:hAnsi="宋体"/>
                      <w:kern w:val="0"/>
                      <w:szCs w:val="21"/>
                    </w:rPr>
                    <w:t>从布局选址</w:t>
                  </w:r>
                  <w:r>
                    <w:rPr>
                      <w:rFonts w:hint="eastAsia" w:hAnsi="宋体"/>
                      <w:kern w:val="0"/>
                      <w:szCs w:val="21"/>
                    </w:rPr>
                    <w:t>、</w:t>
                  </w:r>
                  <w:r>
                    <w:rPr>
                      <w:rFonts w:hAnsi="宋体"/>
                      <w:kern w:val="0"/>
                      <w:szCs w:val="21"/>
                    </w:rPr>
                    <w:t>资源利用率</w:t>
                  </w:r>
                  <w:r>
                    <w:rPr>
                      <w:rFonts w:hint="eastAsia" w:hAnsi="宋体"/>
                      <w:kern w:val="0"/>
                      <w:szCs w:val="21"/>
                    </w:rPr>
                    <w:t>、</w:t>
                  </w:r>
                  <w:r>
                    <w:rPr>
                      <w:rFonts w:hAnsi="宋体"/>
                      <w:kern w:val="0"/>
                      <w:szCs w:val="21"/>
                    </w:rPr>
                    <w:t>资源配置方式等方面入手</w:t>
                  </w:r>
                  <w:r>
                    <w:rPr>
                      <w:rFonts w:hint="eastAsia" w:hAnsi="宋体"/>
                      <w:kern w:val="0"/>
                      <w:szCs w:val="21"/>
                    </w:rPr>
                    <w:t>，</w:t>
                  </w:r>
                  <w:r>
                    <w:rPr>
                      <w:rFonts w:hAnsi="宋体"/>
                      <w:kern w:val="0"/>
                      <w:szCs w:val="21"/>
                    </w:rPr>
                    <w:t>制定环境准入负面清单</w:t>
                  </w:r>
                  <w:r>
                    <w:rPr>
                      <w:rFonts w:hint="eastAsia" w:hAnsi="宋体"/>
                      <w:kern w:val="0"/>
                      <w:szCs w:val="21"/>
                    </w:rPr>
                    <w:t>，</w:t>
                  </w:r>
                  <w:r>
                    <w:rPr>
                      <w:rFonts w:hAnsi="宋体"/>
                      <w:kern w:val="0"/>
                      <w:szCs w:val="21"/>
                    </w:rPr>
                    <w:t>充分发挥负面清单对产业发展和项目准入的指导和约</w:t>
                  </w:r>
                  <w:r>
                    <w:rPr>
                      <w:rFonts w:hint="eastAsia" w:hAnsi="宋体"/>
                      <w:kern w:val="0"/>
                      <w:szCs w:val="21"/>
                    </w:rPr>
                    <w:t>束</w:t>
                  </w:r>
                  <w:r>
                    <w:rPr>
                      <w:rFonts w:hAnsi="宋体"/>
                      <w:kern w:val="0"/>
                      <w:szCs w:val="21"/>
                    </w:rPr>
                    <w:t>作用</w:t>
                  </w:r>
                </w:p>
              </w:tc>
              <w:tc>
                <w:tcPr>
                  <w:tcW w:w="1696" w:type="pct"/>
                  <w:vAlign w:val="center"/>
                </w:tcPr>
                <w:p w14:paraId="326424AC">
                  <w:pPr>
                    <w:autoSpaceDE w:val="0"/>
                    <w:autoSpaceDN w:val="0"/>
                    <w:jc w:val="center"/>
                    <w:rPr>
                      <w:rFonts w:hAnsi="宋体"/>
                      <w:kern w:val="0"/>
                      <w:szCs w:val="21"/>
                    </w:rPr>
                  </w:pPr>
                  <w:r>
                    <w:rPr>
                      <w:rFonts w:hint="eastAsia" w:hAnsi="宋体"/>
                      <w:kern w:val="0"/>
                      <w:szCs w:val="21"/>
                    </w:rPr>
                    <w:t>本项目属于C3670汽车零部件及配件制造、C2929塑料零件及其他塑料制品制造，不属于《产业结构调整指导目录（2024 年本）》，鼓励类、限制类和淘汰类，视为允许类，本项目符合国家和地方产业政策</w:t>
                  </w:r>
                </w:p>
              </w:tc>
              <w:tc>
                <w:tcPr>
                  <w:tcW w:w="630" w:type="pct"/>
                  <w:vAlign w:val="center"/>
                </w:tcPr>
                <w:p w14:paraId="1A89F162">
                  <w:pPr>
                    <w:autoSpaceDE w:val="0"/>
                    <w:autoSpaceDN w:val="0"/>
                    <w:spacing w:line="360" w:lineRule="auto"/>
                    <w:jc w:val="center"/>
                    <w:rPr>
                      <w:rFonts w:hAnsi="宋体"/>
                      <w:kern w:val="0"/>
                      <w:szCs w:val="21"/>
                    </w:rPr>
                  </w:pPr>
                  <w:r>
                    <w:rPr>
                      <w:rFonts w:hAnsi="宋体"/>
                      <w:kern w:val="0"/>
                      <w:szCs w:val="21"/>
                    </w:rPr>
                    <w:t>相符</w:t>
                  </w:r>
                </w:p>
              </w:tc>
            </w:tr>
          </w:tbl>
          <w:p w14:paraId="67FEE2C8">
            <w:pPr>
              <w:adjustRightInd w:val="0"/>
              <w:snapToGrid w:val="0"/>
              <w:spacing w:line="360" w:lineRule="auto"/>
              <w:ind w:firstLine="480" w:firstLineChars="200"/>
              <w:rPr>
                <w:rFonts w:hint="eastAsia"/>
                <w:sz w:val="24"/>
                <w:lang w:val="en-US" w:eastAsia="zh-CN"/>
              </w:rPr>
            </w:pPr>
            <w:r>
              <w:rPr>
                <w:rFonts w:hint="eastAsia"/>
                <w:sz w:val="24"/>
              </w:rPr>
              <w:t>根据《芜湖市“三线一单”生态环境准入清单（成果）》（芜湖市生态环境局，202</w:t>
            </w:r>
            <w:r>
              <w:rPr>
                <w:rFonts w:hint="eastAsia"/>
                <w:sz w:val="24"/>
                <w:lang w:val="en-US" w:eastAsia="zh-CN"/>
              </w:rPr>
              <w:t>3</w:t>
            </w:r>
            <w:r>
              <w:rPr>
                <w:rFonts w:hint="eastAsia"/>
                <w:sz w:val="24"/>
              </w:rPr>
              <w:t>年</w:t>
            </w:r>
            <w:r>
              <w:rPr>
                <w:rFonts w:hint="eastAsia"/>
                <w:sz w:val="24"/>
                <w:lang w:val="en-US" w:eastAsia="zh-CN"/>
              </w:rPr>
              <w:t>8</w:t>
            </w:r>
            <w:r>
              <w:rPr>
                <w:rFonts w:hint="eastAsia"/>
                <w:sz w:val="24"/>
              </w:rPr>
              <w:t>月）表4中开发区生态环境准入清单中</w:t>
            </w:r>
            <w:r>
              <w:rPr>
                <w:rFonts w:hint="eastAsia"/>
                <w:sz w:val="24"/>
                <w:lang w:val="en-US" w:eastAsia="zh-CN"/>
              </w:rPr>
              <w:t>序号2中鸠江区-安徽芜湖鸠江经济开发生态环境准入要求,表5管控单元生态环境准入清单-重点管控单元-芜湖市鸠江区，管控单元编号ZH34020720019，判定本项目与其相符性，详见下表:</w:t>
            </w:r>
          </w:p>
          <w:p w14:paraId="35983E75">
            <w:pPr>
              <w:pStyle w:val="36"/>
              <w:numPr>
                <w:ilvl w:val="1"/>
                <w:numId w:val="0"/>
              </w:numPr>
              <w:rPr>
                <w:rFonts w:ascii="Times New Roman"/>
                <w:b/>
                <w:bCs/>
                <w:color w:val="auto"/>
                <w:szCs w:val="20"/>
              </w:rPr>
            </w:pPr>
            <w:r>
              <w:rPr>
                <w:rFonts w:hint="eastAsia" w:ascii="Times New Roman"/>
                <w:b/>
                <w:bCs/>
                <w:color w:val="auto"/>
                <w:szCs w:val="20"/>
              </w:rPr>
              <w:t xml:space="preserve">表1-5 </w:t>
            </w:r>
            <w:r>
              <w:rPr>
                <w:b/>
                <w:bCs/>
                <w:color w:val="auto"/>
              </w:rPr>
              <w:t>与《芜湖市“三线一单”生态环境准入清单（成果）》符合性分析</w:t>
            </w:r>
          </w:p>
          <w:p w14:paraId="5C710B87">
            <w:pPr>
              <w:pStyle w:val="9"/>
              <w:spacing w:line="360" w:lineRule="auto"/>
              <w:ind w:firstLine="480"/>
              <w:rPr>
                <w:rFonts w:hint="eastAsia" w:ascii="宋体" w:hAnsi="宋体" w:cs="宋体"/>
                <w:sz w:val="24"/>
              </w:rPr>
            </w:pPr>
            <w:r>
              <w:rPr>
                <w:rFonts w:hint="eastAsia" w:ascii="宋体" w:hAnsi="宋体" w:cs="宋体"/>
                <w:sz w:val="24"/>
              </w:rPr>
              <w:t xml:space="preserve"> </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1"/>
              <w:gridCol w:w="812"/>
              <w:gridCol w:w="3180"/>
              <w:gridCol w:w="2221"/>
              <w:gridCol w:w="841"/>
            </w:tblGrid>
            <w:tr w14:paraId="75DA7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gridSpan w:val="2"/>
                  <w:vAlign w:val="center"/>
                </w:tcPr>
                <w:p w14:paraId="1261BB10">
                  <w:pPr>
                    <w:adjustRightInd w:val="0"/>
                    <w:snapToGrid w:val="0"/>
                    <w:spacing w:line="360" w:lineRule="auto"/>
                    <w:jc w:val="center"/>
                    <w:rPr>
                      <w:rFonts w:hint="default"/>
                      <w:b/>
                      <w:bCs/>
                      <w:sz w:val="24"/>
                      <w:vertAlign w:val="baseline"/>
                      <w:lang w:val="en-US" w:eastAsia="zh-CN"/>
                    </w:rPr>
                  </w:pPr>
                  <w:r>
                    <w:rPr>
                      <w:rFonts w:hint="eastAsia"/>
                      <w:b/>
                      <w:bCs/>
                      <w:sz w:val="24"/>
                      <w:vertAlign w:val="baseline"/>
                      <w:lang w:val="en-US" w:eastAsia="zh-CN"/>
                    </w:rPr>
                    <w:t>内容</w:t>
                  </w:r>
                </w:p>
              </w:tc>
              <w:tc>
                <w:tcPr>
                  <w:tcW w:w="3180" w:type="dxa"/>
                  <w:vAlign w:val="center"/>
                </w:tcPr>
                <w:p w14:paraId="12538A6A">
                  <w:pPr>
                    <w:adjustRightInd w:val="0"/>
                    <w:snapToGrid w:val="0"/>
                    <w:spacing w:line="360" w:lineRule="auto"/>
                    <w:jc w:val="center"/>
                    <w:rPr>
                      <w:rFonts w:hint="default"/>
                      <w:b/>
                      <w:bCs/>
                      <w:sz w:val="24"/>
                      <w:vertAlign w:val="baseline"/>
                      <w:lang w:val="en-US" w:eastAsia="zh-CN"/>
                    </w:rPr>
                  </w:pPr>
                  <w:r>
                    <w:rPr>
                      <w:rFonts w:hint="eastAsia"/>
                      <w:b/>
                      <w:bCs/>
                      <w:sz w:val="24"/>
                      <w:vertAlign w:val="baseline"/>
                      <w:lang w:val="en-US" w:eastAsia="zh-CN"/>
                    </w:rPr>
                    <w:t>要求</w:t>
                  </w:r>
                </w:p>
              </w:tc>
              <w:tc>
                <w:tcPr>
                  <w:tcW w:w="2221" w:type="dxa"/>
                  <w:vAlign w:val="center"/>
                </w:tcPr>
                <w:p w14:paraId="652A02B5">
                  <w:pPr>
                    <w:adjustRightInd w:val="0"/>
                    <w:snapToGrid w:val="0"/>
                    <w:spacing w:line="360" w:lineRule="auto"/>
                    <w:jc w:val="center"/>
                    <w:rPr>
                      <w:rFonts w:hint="default"/>
                      <w:b/>
                      <w:bCs/>
                      <w:sz w:val="24"/>
                      <w:vertAlign w:val="baseline"/>
                      <w:lang w:val="en-US" w:eastAsia="zh-CN"/>
                    </w:rPr>
                  </w:pPr>
                  <w:r>
                    <w:rPr>
                      <w:rFonts w:hint="eastAsia"/>
                      <w:b/>
                      <w:bCs/>
                      <w:sz w:val="24"/>
                      <w:vertAlign w:val="baseline"/>
                      <w:lang w:val="en-US" w:eastAsia="zh-CN"/>
                    </w:rPr>
                    <w:t>本项目情况</w:t>
                  </w:r>
                </w:p>
              </w:tc>
              <w:tc>
                <w:tcPr>
                  <w:tcW w:w="841" w:type="dxa"/>
                  <w:vAlign w:val="center"/>
                </w:tcPr>
                <w:p w14:paraId="7A280F7D">
                  <w:pPr>
                    <w:adjustRightInd w:val="0"/>
                    <w:snapToGrid w:val="0"/>
                    <w:spacing w:line="360" w:lineRule="auto"/>
                    <w:jc w:val="center"/>
                    <w:rPr>
                      <w:rFonts w:hint="default"/>
                      <w:b/>
                      <w:bCs/>
                      <w:sz w:val="24"/>
                      <w:vertAlign w:val="baseline"/>
                      <w:lang w:val="en-US" w:eastAsia="zh-CN"/>
                    </w:rPr>
                  </w:pPr>
                  <w:r>
                    <w:rPr>
                      <w:rFonts w:hint="eastAsia"/>
                      <w:b/>
                      <w:bCs/>
                      <w:sz w:val="24"/>
                      <w:vertAlign w:val="baseline"/>
                      <w:lang w:val="en-US" w:eastAsia="zh-CN"/>
                    </w:rPr>
                    <w:t>分析结果</w:t>
                  </w:r>
                </w:p>
              </w:tc>
            </w:tr>
            <w:tr w14:paraId="13FC8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vMerge w:val="restart"/>
                  <w:vAlign w:val="center"/>
                </w:tcPr>
                <w:p w14:paraId="4907C4B4">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安徽芜湖鸠江经济开发生态环境准入清单</w:t>
                  </w:r>
                </w:p>
              </w:tc>
              <w:tc>
                <w:tcPr>
                  <w:tcW w:w="812" w:type="dxa"/>
                  <w:vAlign w:val="center"/>
                </w:tcPr>
                <w:p w14:paraId="4B782AD6">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产业定位</w:t>
                  </w:r>
                </w:p>
              </w:tc>
              <w:tc>
                <w:tcPr>
                  <w:tcW w:w="3180" w:type="dxa"/>
                  <w:vAlign w:val="center"/>
                </w:tcPr>
                <w:p w14:paraId="04F8661D">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功能定位:建设鸠江现代工业新区， 实现城乡一体化发展，将鸠江经济开发区打造成皖江城市带先进制造业和高新产业基地主导产业:汽车及其零部件、材料、电子电器、电线电缆</w:t>
                  </w:r>
                </w:p>
              </w:tc>
              <w:tc>
                <w:tcPr>
                  <w:tcW w:w="2221" w:type="dxa"/>
                  <w:vAlign w:val="center"/>
                </w:tcPr>
                <w:p w14:paraId="5C84D97E">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本项目属于</w:t>
                  </w:r>
                  <w:r>
                    <w:rPr>
                      <w:rFonts w:hint="eastAsia" w:hAnsi="宋体"/>
                      <w:kern w:val="0"/>
                      <w:szCs w:val="21"/>
                    </w:rPr>
                    <w:t>汽车零部件及配件制造</w:t>
                  </w:r>
                  <w:r>
                    <w:rPr>
                      <w:rFonts w:hint="eastAsia" w:hAnsi="宋体"/>
                      <w:kern w:val="0"/>
                      <w:szCs w:val="21"/>
                      <w:lang w:val="en-US" w:eastAsia="zh-CN"/>
                    </w:rPr>
                    <w:t>和</w:t>
                  </w:r>
                  <w:r>
                    <w:rPr>
                      <w:rFonts w:hint="eastAsia" w:hAnsi="宋体"/>
                      <w:kern w:val="0"/>
                      <w:szCs w:val="21"/>
                    </w:rPr>
                    <w:t>塑料零件及其他塑料制品制造</w:t>
                  </w:r>
                  <w:r>
                    <w:rPr>
                      <w:rFonts w:ascii="Times New Roman" w:hAnsi="宋体" w:eastAsia="宋体" w:cs="Times New Roman"/>
                      <w:kern w:val="0"/>
                      <w:szCs w:val="21"/>
                    </w:rPr>
                    <w:t>，不属于鸠江经济开发区限制入园与禁止入园项目。</w:t>
                  </w:r>
                </w:p>
              </w:tc>
              <w:tc>
                <w:tcPr>
                  <w:tcW w:w="841" w:type="dxa"/>
                  <w:vAlign w:val="center"/>
                </w:tcPr>
                <w:p w14:paraId="0729484E">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符合</w:t>
                  </w:r>
                </w:p>
              </w:tc>
            </w:tr>
            <w:tr w14:paraId="22CB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vMerge w:val="continue"/>
                  <w:vAlign w:val="center"/>
                </w:tcPr>
                <w:p w14:paraId="0503BE95">
                  <w:pPr>
                    <w:autoSpaceDE w:val="0"/>
                    <w:autoSpaceDN w:val="0"/>
                    <w:jc w:val="center"/>
                    <w:rPr>
                      <w:rFonts w:hint="eastAsia" w:ascii="Times New Roman" w:hAnsi="宋体" w:eastAsia="宋体" w:cs="Times New Roman"/>
                      <w:kern w:val="0"/>
                      <w:szCs w:val="21"/>
                      <w:lang w:val="en-US" w:eastAsia="zh-CN"/>
                    </w:rPr>
                  </w:pPr>
                </w:p>
              </w:tc>
              <w:tc>
                <w:tcPr>
                  <w:tcW w:w="812" w:type="dxa"/>
                  <w:vAlign w:val="center"/>
                </w:tcPr>
                <w:p w14:paraId="178FB8CE">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污染物排放管控</w:t>
                  </w:r>
                </w:p>
              </w:tc>
              <w:tc>
                <w:tcPr>
                  <w:tcW w:w="3180" w:type="dxa"/>
                  <w:vAlign w:val="center"/>
                </w:tcPr>
                <w:p w14:paraId="6D870CA7">
                  <w:pPr>
                    <w:autoSpaceDE w:val="0"/>
                    <w:autoSpaceDN w:val="0"/>
                    <w:jc w:val="center"/>
                    <w:rPr>
                      <w:rFonts w:ascii="Times New Roman" w:hAnsi="宋体" w:eastAsia="宋体" w:cs="Times New Roman"/>
                      <w:kern w:val="0"/>
                      <w:szCs w:val="21"/>
                    </w:rPr>
                  </w:pPr>
                  <w:r>
                    <w:rPr>
                      <w:rFonts w:ascii="Times New Roman" w:hAnsi="宋体" w:eastAsia="宋体" w:cs="Times New Roman"/>
                      <w:kern w:val="0"/>
                      <w:szCs w:val="21"/>
                    </w:rPr>
                    <w:t>1、单位工业增加值SO</w:t>
                  </w:r>
                  <w:r>
                    <w:rPr>
                      <w:rFonts w:ascii="Times New Roman" w:hAnsi="宋体" w:eastAsia="宋体" w:cs="Times New Roman"/>
                      <w:kern w:val="0"/>
                      <w:szCs w:val="21"/>
                      <w:vertAlign w:val="subscript"/>
                    </w:rPr>
                    <w:t>2</w:t>
                  </w:r>
                  <w:r>
                    <w:rPr>
                      <w:rFonts w:ascii="Times New Roman" w:hAnsi="宋体" w:eastAsia="宋体" w:cs="Times New Roman"/>
                      <w:kern w:val="0"/>
                      <w:szCs w:val="21"/>
                    </w:rPr>
                    <w:t>排放量≤1kg/万元；</w:t>
                  </w:r>
                </w:p>
                <w:p w14:paraId="76F141A4">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2、单位工业增加值COD排放量≤1kg/万元</w:t>
                  </w:r>
                </w:p>
              </w:tc>
              <w:tc>
                <w:tcPr>
                  <w:tcW w:w="2221" w:type="dxa"/>
                  <w:vAlign w:val="center"/>
                </w:tcPr>
                <w:p w14:paraId="0F79293B">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1 、本项目无SO</w:t>
                  </w:r>
                  <w:r>
                    <w:rPr>
                      <w:rFonts w:ascii="Times New Roman" w:hAnsi="宋体" w:eastAsia="宋体" w:cs="Times New Roman"/>
                      <w:kern w:val="0"/>
                      <w:szCs w:val="21"/>
                      <w:vertAlign w:val="subscript"/>
                    </w:rPr>
                    <w:t>2</w:t>
                  </w:r>
                  <w:r>
                    <w:rPr>
                      <w:rFonts w:ascii="Times New Roman" w:hAnsi="宋体" w:eastAsia="宋体" w:cs="Times New Roman"/>
                      <w:kern w:val="0"/>
                      <w:szCs w:val="21"/>
                    </w:rPr>
                    <w:t>排放；2、本项目新增年收入约</w:t>
                  </w:r>
                  <w:r>
                    <w:rPr>
                      <w:rFonts w:hint="eastAsia" w:hAnsi="宋体" w:cs="Times New Roman"/>
                      <w:kern w:val="0"/>
                      <w:szCs w:val="21"/>
                      <w:lang w:val="en-US" w:eastAsia="zh-CN"/>
                    </w:rPr>
                    <w:t>3900</w:t>
                  </w:r>
                  <w:r>
                    <w:rPr>
                      <w:rFonts w:ascii="Times New Roman" w:hAnsi="宋体" w:eastAsia="宋体" w:cs="Times New Roman"/>
                      <w:kern w:val="0"/>
                      <w:szCs w:val="21"/>
                    </w:rPr>
                    <w:t>万元，新增COD排放为0.</w:t>
                  </w:r>
                  <w:r>
                    <w:rPr>
                      <w:rFonts w:hint="eastAsia" w:hAnsi="宋体" w:cs="Times New Roman"/>
                      <w:kern w:val="0"/>
                      <w:szCs w:val="21"/>
                      <w:lang w:val="en-US" w:eastAsia="zh-CN"/>
                    </w:rPr>
                    <w:t>03</w:t>
                  </w:r>
                  <w:r>
                    <w:rPr>
                      <w:rFonts w:ascii="Times New Roman" w:hAnsi="宋体" w:eastAsia="宋体" w:cs="Times New Roman"/>
                      <w:kern w:val="0"/>
                      <w:szCs w:val="21"/>
                    </w:rPr>
                    <w:t>t/a，单位工业增加值COD 排放量为 0.</w:t>
                  </w:r>
                  <w:r>
                    <w:rPr>
                      <w:rFonts w:hint="eastAsia" w:hAnsi="宋体" w:cs="Times New Roman"/>
                      <w:kern w:val="0"/>
                      <w:szCs w:val="21"/>
                      <w:lang w:val="en-US" w:eastAsia="zh-CN"/>
                    </w:rPr>
                    <w:t>008</w:t>
                  </w:r>
                  <w:r>
                    <w:rPr>
                      <w:rFonts w:ascii="Times New Roman" w:hAnsi="宋体" w:eastAsia="宋体" w:cs="Times New Roman"/>
                      <w:kern w:val="0"/>
                      <w:szCs w:val="21"/>
                    </w:rPr>
                    <w:t>kg/万元＜1kg/万元</w:t>
                  </w:r>
                </w:p>
              </w:tc>
              <w:tc>
                <w:tcPr>
                  <w:tcW w:w="841" w:type="dxa"/>
                  <w:vAlign w:val="center"/>
                </w:tcPr>
                <w:p w14:paraId="43149335">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符合</w:t>
                  </w:r>
                </w:p>
              </w:tc>
            </w:tr>
            <w:tr w14:paraId="79B91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vMerge w:val="continue"/>
                  <w:vAlign w:val="center"/>
                </w:tcPr>
                <w:p w14:paraId="542EDF87">
                  <w:pPr>
                    <w:autoSpaceDE w:val="0"/>
                    <w:autoSpaceDN w:val="0"/>
                    <w:jc w:val="center"/>
                    <w:rPr>
                      <w:rFonts w:hint="eastAsia" w:ascii="Times New Roman" w:hAnsi="宋体" w:eastAsia="宋体" w:cs="Times New Roman"/>
                      <w:kern w:val="0"/>
                      <w:szCs w:val="21"/>
                      <w:lang w:val="en-US" w:eastAsia="zh-CN"/>
                    </w:rPr>
                  </w:pPr>
                </w:p>
              </w:tc>
              <w:tc>
                <w:tcPr>
                  <w:tcW w:w="812" w:type="dxa"/>
                  <w:vAlign w:val="center"/>
                </w:tcPr>
                <w:p w14:paraId="2FF59C03">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环境风险防控</w:t>
                  </w:r>
                </w:p>
              </w:tc>
              <w:tc>
                <w:tcPr>
                  <w:tcW w:w="3180" w:type="dxa"/>
                  <w:vAlign w:val="center"/>
                </w:tcPr>
                <w:p w14:paraId="36D8C621">
                  <w:pPr>
                    <w:autoSpaceDE w:val="0"/>
                    <w:autoSpaceDN w:val="0"/>
                    <w:jc w:val="center"/>
                    <w:rPr>
                      <w:rFonts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1、对园区生产进行实时监控与预警，防止突发性环境污染事故的发生。</w:t>
                  </w:r>
                </w:p>
                <w:p w14:paraId="650F39A7">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2、按照《企业突发环境事件风险评估指南（试行）》、《企业事业单位突发环境事件应急预案备案管理办法（试行）》、《建设项目环境风险评价技术导则》（HJ169-2018 等规定编制园区环境风险应急预案并完成备案。                  3、配备应急物质，并定期演练，企业严格落实建设项目“三同时”制度，实行应急联动措施。</w:t>
                  </w:r>
                </w:p>
              </w:tc>
              <w:tc>
                <w:tcPr>
                  <w:tcW w:w="2221" w:type="dxa"/>
                  <w:vAlign w:val="center"/>
                </w:tcPr>
                <w:p w14:paraId="3D59C777">
                  <w:pPr>
                    <w:autoSpaceDE w:val="0"/>
                    <w:autoSpaceDN w:val="0"/>
                    <w:jc w:val="center"/>
                    <w:rPr>
                      <w:rFonts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1、园区已制定并落实园区综合环境风险防范、预警和应急体系；</w:t>
                  </w:r>
                </w:p>
                <w:p w14:paraId="400374E7">
                  <w:pPr>
                    <w:autoSpaceDE w:val="0"/>
                    <w:autoSpaceDN w:val="0"/>
                    <w:jc w:val="center"/>
                    <w:rPr>
                      <w:rFonts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2、本项目无重大危险源，厂区后期建</w:t>
                  </w:r>
                </w:p>
                <w:p w14:paraId="6FACCA71">
                  <w:pPr>
                    <w:autoSpaceDE w:val="0"/>
                    <w:autoSpaceDN w:val="0"/>
                    <w:jc w:val="center"/>
                    <w:rPr>
                      <w:rFonts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 设中将配备应急</w:t>
                  </w:r>
                </w:p>
                <w:p w14:paraId="5744FCDF">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物资， 并定期演练；项目将严格落实建设项目“三同时”制度。</w:t>
                  </w:r>
                </w:p>
              </w:tc>
              <w:tc>
                <w:tcPr>
                  <w:tcW w:w="841" w:type="dxa"/>
                  <w:vAlign w:val="center"/>
                </w:tcPr>
                <w:p w14:paraId="29F2A380">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符合</w:t>
                  </w:r>
                </w:p>
              </w:tc>
            </w:tr>
            <w:tr w14:paraId="50DEC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vMerge w:val="continue"/>
                  <w:vAlign w:val="center"/>
                </w:tcPr>
                <w:p w14:paraId="0A216B69">
                  <w:pPr>
                    <w:adjustRightInd w:val="0"/>
                    <w:snapToGrid w:val="0"/>
                    <w:spacing w:line="360" w:lineRule="auto"/>
                    <w:jc w:val="center"/>
                    <w:rPr>
                      <w:rFonts w:hint="eastAsia"/>
                      <w:sz w:val="24"/>
                      <w:vertAlign w:val="baseline"/>
                      <w:lang w:val="en-US" w:eastAsia="zh-CN"/>
                    </w:rPr>
                  </w:pPr>
                </w:p>
              </w:tc>
              <w:tc>
                <w:tcPr>
                  <w:tcW w:w="812" w:type="dxa"/>
                  <w:vAlign w:val="center"/>
                </w:tcPr>
                <w:p w14:paraId="604F092E">
                  <w:pPr>
                    <w:autoSpaceDE w:val="0"/>
                    <w:autoSpaceDN w:val="0"/>
                    <w:jc w:val="center"/>
                    <w:rPr>
                      <w:rFonts w:hint="eastAsia" w:ascii="Times New Roman" w:hAnsi="宋体" w:eastAsia="宋体" w:cs="Times New Roman"/>
                      <w:kern w:val="0"/>
                      <w:szCs w:val="21"/>
                      <w:lang w:val="en-US" w:eastAsia="zh-CN"/>
                    </w:rPr>
                  </w:pPr>
                  <w:r>
                    <w:rPr>
                      <w:rFonts w:hint="eastAsia" w:ascii="Times New Roman" w:hAnsi="宋体" w:eastAsia="宋体" w:cs="Times New Roman"/>
                      <w:kern w:val="0"/>
                      <w:szCs w:val="21"/>
                      <w:lang w:val="en-US" w:eastAsia="zh-CN"/>
                    </w:rPr>
                    <w:t>资源开发利用效率要求</w:t>
                  </w:r>
                </w:p>
              </w:tc>
              <w:tc>
                <w:tcPr>
                  <w:tcW w:w="3180" w:type="dxa"/>
                  <w:vAlign w:val="center"/>
                </w:tcPr>
                <w:p w14:paraId="013F420F">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单位工业增加值新鲜水耗≤8m³/万元</w:t>
                  </w:r>
                </w:p>
              </w:tc>
              <w:tc>
                <w:tcPr>
                  <w:tcW w:w="2221" w:type="dxa"/>
                  <w:vAlign w:val="center"/>
                </w:tcPr>
                <w:p w14:paraId="1B02F042">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lang w:val="en-US" w:eastAsia="zh-CN"/>
                    </w:rPr>
                    <w:t>本项目新增年收入约</w:t>
                  </w:r>
                  <w:r>
                    <w:rPr>
                      <w:rFonts w:hint="eastAsia" w:hAnsi="宋体" w:cs="Times New Roman"/>
                      <w:kern w:val="0"/>
                      <w:szCs w:val="21"/>
                      <w:lang w:val="en-US" w:eastAsia="zh-CN"/>
                    </w:rPr>
                    <w:t>3900</w:t>
                  </w:r>
                  <w:r>
                    <w:rPr>
                      <w:rFonts w:ascii="Times New Roman" w:hAnsi="宋体" w:eastAsia="宋体" w:cs="Times New Roman"/>
                      <w:kern w:val="0"/>
                      <w:szCs w:val="21"/>
                      <w:lang w:val="en-US" w:eastAsia="zh-CN"/>
                    </w:rPr>
                    <w:t>万元，新鲜用水量为</w:t>
                  </w:r>
                  <w:r>
                    <w:rPr>
                      <w:rFonts w:hint="eastAsia" w:hAnsi="宋体" w:cs="Times New Roman"/>
                      <w:kern w:val="0"/>
                      <w:szCs w:val="21"/>
                      <w:lang w:val="en-US" w:eastAsia="zh-CN"/>
                    </w:rPr>
                    <w:t>75</w:t>
                  </w:r>
                  <w:r>
                    <w:rPr>
                      <w:rFonts w:ascii="Times New Roman" w:hAnsi="宋体" w:eastAsia="宋体" w:cs="Times New Roman"/>
                      <w:kern w:val="0"/>
                      <w:szCs w:val="21"/>
                      <w:lang w:val="en-US" w:eastAsia="zh-CN"/>
                    </w:rPr>
                    <w:t>0m</w:t>
                  </w:r>
                  <w:r>
                    <w:rPr>
                      <w:rFonts w:ascii="Times New Roman" w:hAnsi="宋体" w:eastAsia="宋体" w:cs="Times New Roman"/>
                      <w:kern w:val="0"/>
                      <w:szCs w:val="21"/>
                      <w:vertAlign w:val="superscript"/>
                      <w:lang w:val="en-US" w:eastAsia="zh-CN"/>
                    </w:rPr>
                    <w:t>3</w:t>
                  </w:r>
                  <w:r>
                    <w:rPr>
                      <w:rFonts w:ascii="Times New Roman" w:hAnsi="宋体" w:eastAsia="宋体" w:cs="Times New Roman"/>
                      <w:kern w:val="0"/>
                      <w:szCs w:val="21"/>
                      <w:lang w:val="en-US" w:eastAsia="zh-CN"/>
                    </w:rPr>
                    <w:t>/a，则单位工业增加值新鲜水耗0.</w:t>
                  </w:r>
                  <w:r>
                    <w:rPr>
                      <w:rFonts w:hint="eastAsia" w:hAnsi="宋体" w:cs="Times New Roman"/>
                      <w:kern w:val="0"/>
                      <w:szCs w:val="21"/>
                      <w:lang w:val="en-US" w:eastAsia="zh-CN"/>
                    </w:rPr>
                    <w:t>19</w:t>
                  </w:r>
                  <w:r>
                    <w:rPr>
                      <w:rFonts w:ascii="Times New Roman" w:hAnsi="宋体" w:eastAsia="宋体" w:cs="Times New Roman"/>
                      <w:kern w:val="0"/>
                      <w:szCs w:val="21"/>
                      <w:lang w:val="en-US" w:eastAsia="zh-CN"/>
                    </w:rPr>
                    <w:t>m</w:t>
                  </w:r>
                  <w:r>
                    <w:rPr>
                      <w:rFonts w:ascii="Times New Roman" w:hAnsi="宋体" w:eastAsia="宋体" w:cs="Times New Roman"/>
                      <w:kern w:val="0"/>
                      <w:szCs w:val="21"/>
                      <w:vertAlign w:val="superscript"/>
                      <w:lang w:val="en-US" w:eastAsia="zh-CN"/>
                    </w:rPr>
                    <w:t>3</w:t>
                  </w:r>
                  <w:r>
                    <w:rPr>
                      <w:rFonts w:ascii="Times New Roman" w:hAnsi="宋体" w:eastAsia="宋体" w:cs="Times New Roman"/>
                      <w:kern w:val="0"/>
                      <w:szCs w:val="21"/>
                      <w:lang w:val="en-US" w:eastAsia="zh-CN"/>
                    </w:rPr>
                    <w:t>/万元＜8m</w:t>
                  </w:r>
                  <w:r>
                    <w:rPr>
                      <w:rFonts w:ascii="Times New Roman" w:hAnsi="宋体" w:eastAsia="宋体" w:cs="Times New Roman"/>
                      <w:kern w:val="0"/>
                      <w:szCs w:val="21"/>
                      <w:vertAlign w:val="superscript"/>
                      <w:lang w:val="en-US" w:eastAsia="zh-CN"/>
                    </w:rPr>
                    <w:t>3</w:t>
                  </w:r>
                  <w:r>
                    <w:rPr>
                      <w:rFonts w:ascii="Times New Roman" w:hAnsi="宋体" w:eastAsia="宋体" w:cs="Times New Roman"/>
                      <w:kern w:val="0"/>
                      <w:szCs w:val="21"/>
                      <w:lang w:val="en-US" w:eastAsia="zh-CN"/>
                    </w:rPr>
                    <w:t>/万元</w:t>
                  </w:r>
                </w:p>
              </w:tc>
              <w:tc>
                <w:tcPr>
                  <w:tcW w:w="841" w:type="dxa"/>
                  <w:vAlign w:val="center"/>
                </w:tcPr>
                <w:p w14:paraId="62C9A224">
                  <w:pPr>
                    <w:adjustRightInd w:val="0"/>
                    <w:snapToGrid w:val="0"/>
                    <w:spacing w:line="360" w:lineRule="auto"/>
                    <w:jc w:val="center"/>
                    <w:rPr>
                      <w:rFonts w:hint="eastAsia"/>
                      <w:sz w:val="24"/>
                      <w:vertAlign w:val="baseline"/>
                      <w:lang w:val="en-US" w:eastAsia="zh-CN"/>
                    </w:rPr>
                  </w:pPr>
                  <w:r>
                    <w:rPr>
                      <w:sz w:val="21"/>
                    </w:rPr>
                    <w:t>符合</w:t>
                  </w:r>
                </w:p>
              </w:tc>
            </w:tr>
            <w:tr w14:paraId="26AF7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vMerge w:val="continue"/>
                  <w:vAlign w:val="center"/>
                </w:tcPr>
                <w:p w14:paraId="51E86061">
                  <w:pPr>
                    <w:adjustRightInd w:val="0"/>
                    <w:snapToGrid w:val="0"/>
                    <w:spacing w:line="360" w:lineRule="auto"/>
                    <w:jc w:val="center"/>
                    <w:rPr>
                      <w:rFonts w:hint="eastAsia"/>
                      <w:sz w:val="24"/>
                      <w:vertAlign w:val="baseline"/>
                      <w:lang w:val="en-US" w:eastAsia="zh-CN"/>
                    </w:rPr>
                  </w:pPr>
                </w:p>
              </w:tc>
              <w:tc>
                <w:tcPr>
                  <w:tcW w:w="812" w:type="dxa"/>
                  <w:vAlign w:val="center"/>
                </w:tcPr>
                <w:p w14:paraId="130D3BB3">
                  <w:pPr>
                    <w:autoSpaceDE w:val="0"/>
                    <w:autoSpaceDN w:val="0"/>
                    <w:jc w:val="center"/>
                    <w:rPr>
                      <w:rFonts w:hint="eastAsia" w:ascii="Times New Roman" w:hAnsi="宋体" w:eastAsia="宋体" w:cs="Times New Roman"/>
                      <w:kern w:val="0"/>
                      <w:szCs w:val="21"/>
                      <w:lang w:val="en-US" w:eastAsia="zh-CN"/>
                    </w:rPr>
                  </w:pPr>
                  <w:r>
                    <w:rPr>
                      <w:rFonts w:ascii="Times New Roman" w:hAnsi="宋体" w:eastAsia="宋体" w:cs="Times New Roman"/>
                      <w:kern w:val="0"/>
                      <w:szCs w:val="21"/>
                    </w:rPr>
                    <w:t>产业准入要求</w:t>
                  </w:r>
                </w:p>
              </w:tc>
              <w:tc>
                <w:tcPr>
                  <w:tcW w:w="3180" w:type="dxa"/>
                  <w:vAlign w:val="center"/>
                </w:tcPr>
                <w:p w14:paraId="515899E9">
                  <w:pPr>
                    <w:autoSpaceDE w:val="0"/>
                    <w:autoSpaceDN w:val="0"/>
                    <w:jc w:val="center"/>
                    <w:rPr>
                      <w:rFonts w:hint="eastAsia" w:ascii="Times New Roman" w:hAnsi="宋体" w:eastAsia="宋体" w:cs="Times New Roman"/>
                      <w:kern w:val="0"/>
                      <w:szCs w:val="21"/>
                      <w:lang w:val="en-US" w:eastAsia="zh-CN"/>
                    </w:rPr>
                  </w:pPr>
                  <w:r>
                    <w:rPr>
                      <w:rFonts w:hint="eastAsia" w:ascii="Times New Roman" w:hAnsi="宋体" w:eastAsia="宋体" w:cs="Times New Roman"/>
                      <w:kern w:val="0"/>
                      <w:szCs w:val="21"/>
                      <w:lang w:val="en-US" w:eastAsia="zh-CN"/>
                    </w:rPr>
                    <w:t>优先鼓励项目：</w:t>
                  </w:r>
                </w:p>
                <w:p w14:paraId="3AF6F1D8">
                  <w:pPr>
                    <w:autoSpaceDE w:val="0"/>
                    <w:autoSpaceDN w:val="0"/>
                    <w:jc w:val="center"/>
                    <w:rPr>
                      <w:rFonts w:hint="eastAsia" w:ascii="Times New Roman" w:hAnsi="宋体" w:eastAsia="宋体" w:cs="Times New Roman"/>
                      <w:kern w:val="0"/>
                      <w:szCs w:val="21"/>
                      <w:lang w:val="en-US" w:eastAsia="zh-CN"/>
                    </w:rPr>
                  </w:pPr>
                  <w:r>
                    <w:rPr>
                      <w:rFonts w:hint="eastAsia" w:ascii="Times New Roman" w:hAnsi="宋体" w:eastAsia="宋体" w:cs="Times New Roman"/>
                      <w:kern w:val="0"/>
                      <w:szCs w:val="21"/>
                      <w:lang w:val="en-US" w:eastAsia="zh-CN"/>
                    </w:rPr>
                    <w:t>大力发展具有国内先进水平的先导产业，省级以上高新技术企业、高新技术产品优先入区，产业发展及布局应符合集聚区发展规划，鼓励高科技产品、外资项目、产出率高的项目入驻，鼓励大型、带动力强的企业入驻</w:t>
                  </w:r>
                </w:p>
                <w:p w14:paraId="5A2E43D4">
                  <w:pPr>
                    <w:autoSpaceDE w:val="0"/>
                    <w:autoSpaceDN w:val="0"/>
                    <w:jc w:val="center"/>
                    <w:rPr>
                      <w:rFonts w:hint="eastAsia" w:ascii="Times New Roman" w:hAnsi="宋体" w:eastAsia="宋体" w:cs="Times New Roman"/>
                      <w:kern w:val="0"/>
                      <w:szCs w:val="21"/>
                      <w:lang w:val="en-US" w:eastAsia="zh-CN"/>
                    </w:rPr>
                  </w:pPr>
                  <w:r>
                    <w:rPr>
                      <w:rFonts w:hint="eastAsia" w:ascii="Times New Roman" w:hAnsi="宋体" w:eastAsia="宋体" w:cs="Times New Roman"/>
                      <w:kern w:val="0"/>
                      <w:szCs w:val="21"/>
                      <w:lang w:val="en-US" w:eastAsia="zh-CN"/>
                    </w:rPr>
                    <w:t>限制发展项目：</w:t>
                  </w:r>
                </w:p>
                <w:p w14:paraId="054444E5">
                  <w:pPr>
                    <w:autoSpaceDE w:val="0"/>
                    <w:autoSpaceDN w:val="0"/>
                    <w:jc w:val="center"/>
                    <w:rPr>
                      <w:rFonts w:hint="eastAsia" w:ascii="Times New Roman" w:hAnsi="宋体" w:eastAsia="宋体" w:cs="Times New Roman"/>
                      <w:kern w:val="0"/>
                      <w:szCs w:val="21"/>
                      <w:lang w:val="en-US" w:eastAsia="zh-CN"/>
                    </w:rPr>
                  </w:pPr>
                  <w:r>
                    <w:rPr>
                      <w:rFonts w:hint="eastAsia" w:ascii="Times New Roman" w:hAnsi="宋体" w:eastAsia="宋体" w:cs="Times New Roman"/>
                      <w:kern w:val="0"/>
                      <w:szCs w:val="21"/>
                      <w:lang w:val="en-US" w:eastAsia="zh-CN"/>
                    </w:rPr>
                    <w:t>限制用水效益低、耗水高的产业发展，限制污染较重，对城区大气环境造成较大影响的项目，项目工艺过程必须使用清洁能源，入区制造业项目的生产工艺水平、技术装备水平、能耗、水耗、排污及清洁生产水平、管理水平等，应达到国内领先水平或国际先进水平，限制挥发性有机物排放量高的企业入驻</w:t>
                  </w:r>
                </w:p>
                <w:p w14:paraId="23C5C799">
                  <w:pPr>
                    <w:autoSpaceDE w:val="0"/>
                    <w:autoSpaceDN w:val="0"/>
                    <w:jc w:val="center"/>
                    <w:rPr>
                      <w:rFonts w:hint="eastAsia" w:ascii="Times New Roman" w:hAnsi="宋体" w:eastAsia="宋体" w:cs="Times New Roman"/>
                      <w:kern w:val="0"/>
                      <w:szCs w:val="21"/>
                      <w:lang w:val="en-US" w:eastAsia="zh-CN"/>
                    </w:rPr>
                  </w:pPr>
                  <w:r>
                    <w:rPr>
                      <w:rFonts w:hint="eastAsia" w:ascii="Times New Roman" w:hAnsi="宋体" w:eastAsia="宋体" w:cs="Times New Roman"/>
                      <w:kern w:val="0"/>
                      <w:szCs w:val="21"/>
                      <w:lang w:val="en-US" w:eastAsia="zh-CN"/>
                    </w:rPr>
                    <w:t>禁止发展项目：</w:t>
                  </w:r>
                </w:p>
                <w:p w14:paraId="1FF4A017">
                  <w:pPr>
                    <w:autoSpaceDE w:val="0"/>
                    <w:autoSpaceDN w:val="0"/>
                    <w:jc w:val="center"/>
                    <w:rPr>
                      <w:rFonts w:hint="eastAsia" w:ascii="Times New Roman" w:hAnsi="宋体" w:eastAsia="宋体" w:cs="Times New Roman"/>
                      <w:kern w:val="0"/>
                      <w:szCs w:val="21"/>
                      <w:lang w:val="en-US" w:eastAsia="zh-CN"/>
                    </w:rPr>
                  </w:pPr>
                  <w:r>
                    <w:rPr>
                      <w:rFonts w:hint="eastAsia" w:ascii="Times New Roman" w:hAnsi="宋体" w:eastAsia="宋体" w:cs="Times New Roman"/>
                      <w:kern w:val="0"/>
                      <w:szCs w:val="21"/>
                      <w:lang w:val="en-US" w:eastAsia="zh-CN"/>
                    </w:rPr>
                    <w:t>禁止《产业结构调整指导目录(2019年本)》中落后生产工艺装备、落后产品生产项目，不符合国家和安徽省产业政策的项目入驻，禁止新上高耗能、高污染项目，禁止易燃易爆和剧毒等危险品物流项目，重大危险源项目</w:t>
                  </w:r>
                </w:p>
              </w:tc>
              <w:tc>
                <w:tcPr>
                  <w:tcW w:w="2221" w:type="dxa"/>
                  <w:vAlign w:val="center"/>
                </w:tcPr>
                <w:p w14:paraId="41987B96">
                  <w:pPr>
                    <w:pStyle w:val="71"/>
                    <w:spacing w:line="242" w:lineRule="auto"/>
                    <w:ind w:left="66" w:right="28"/>
                    <w:jc w:val="both"/>
                    <w:rPr>
                      <w:rFonts w:hint="eastAsia"/>
                      <w:sz w:val="24"/>
                      <w:vertAlign w:val="baseline"/>
                      <w:lang w:val="en-US" w:eastAsia="zh-CN"/>
                    </w:rPr>
                  </w:pPr>
                  <w:r>
                    <w:rPr>
                      <w:rFonts w:hint="eastAsia" w:ascii="Times New Roman" w:hAnsi="宋体" w:eastAsia="宋体" w:cs="Times New Roman"/>
                      <w:kern w:val="0"/>
                      <w:sz w:val="21"/>
                      <w:szCs w:val="21"/>
                      <w:lang w:val="en-US" w:eastAsia="zh-CN" w:bidi="ar-SA"/>
                    </w:rPr>
                    <w:t>本项目从事汽车包覆件的生产，不属于用水效益低、耗水高的产业；挥发性有机物经处理后达标排放；不属于《产业结构调整指导目录（2024 年本）》中的限制和淘汰类项目，属于芜湖鸠江经济开发区准入产业， 不属于《芜湖市企业投资负面清单（2014年本）》和《长江经济带发展负面清单指南》（ 试行）中的项目。不属于易燃、易爆和剧毒等危险品物流项目，重、大危险源项目</w:t>
                  </w:r>
                </w:p>
              </w:tc>
              <w:tc>
                <w:tcPr>
                  <w:tcW w:w="841" w:type="dxa"/>
                  <w:vAlign w:val="center"/>
                </w:tcPr>
                <w:p w14:paraId="26B82B85">
                  <w:pPr>
                    <w:adjustRightInd w:val="0"/>
                    <w:snapToGrid w:val="0"/>
                    <w:spacing w:line="360" w:lineRule="auto"/>
                    <w:jc w:val="center"/>
                    <w:rPr>
                      <w:rFonts w:hint="eastAsia"/>
                      <w:sz w:val="24"/>
                      <w:vertAlign w:val="baseline"/>
                      <w:lang w:val="en-US" w:eastAsia="zh-CN"/>
                    </w:rPr>
                  </w:pPr>
                  <w:r>
                    <w:rPr>
                      <w:rFonts w:ascii="Times New Roman" w:hAnsi="宋体" w:eastAsia="宋体" w:cs="Times New Roman"/>
                      <w:kern w:val="0"/>
                      <w:szCs w:val="21"/>
                    </w:rPr>
                    <w:t>符合</w:t>
                  </w:r>
                </w:p>
              </w:tc>
            </w:tr>
            <w:tr w14:paraId="50F11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vAlign w:val="center"/>
                </w:tcPr>
                <w:p w14:paraId="3F87C5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4"/>
                      <w:vertAlign w:val="baseline"/>
                      <w:lang w:val="en-US" w:eastAsia="zh-CN"/>
                    </w:rPr>
                  </w:pPr>
                  <w:r>
                    <w:rPr>
                      <w:rFonts w:hint="eastAsia" w:ascii="Times New Roman" w:hAnsi="宋体" w:eastAsia="宋体" w:cs="Times New Roman"/>
                      <w:kern w:val="0"/>
                      <w:szCs w:val="21"/>
                      <w:lang w:val="en-US" w:eastAsia="zh-CN"/>
                    </w:rPr>
                    <w:t>重点管控单元生态环境准入清单</w:t>
                  </w:r>
                </w:p>
              </w:tc>
              <w:tc>
                <w:tcPr>
                  <w:tcW w:w="812" w:type="dxa"/>
                  <w:vAlign w:val="center"/>
                </w:tcPr>
                <w:p w14:paraId="226D585E">
                  <w:pPr>
                    <w:adjustRightInd w:val="0"/>
                    <w:snapToGrid w:val="0"/>
                    <w:spacing w:line="360" w:lineRule="auto"/>
                    <w:jc w:val="center"/>
                    <w:rPr>
                      <w:rFonts w:hint="eastAsia"/>
                      <w:sz w:val="24"/>
                      <w:vertAlign w:val="baseline"/>
                      <w:lang w:val="en-US" w:eastAsia="zh-CN"/>
                    </w:rPr>
                  </w:pPr>
                  <w:r>
                    <w:rPr>
                      <w:rFonts w:hint="eastAsia" w:ascii="Times New Roman" w:hAnsi="宋体" w:eastAsia="宋体" w:cs="Times New Roman"/>
                      <w:kern w:val="0"/>
                      <w:szCs w:val="21"/>
                      <w:lang w:val="en-US" w:eastAsia="zh-CN"/>
                    </w:rPr>
                    <w:t>单元个性化管控要求</w:t>
                  </w:r>
                </w:p>
              </w:tc>
              <w:tc>
                <w:tcPr>
                  <w:tcW w:w="3180" w:type="dxa"/>
                  <w:vAlign w:val="center"/>
                </w:tcPr>
                <w:p w14:paraId="23B9AC0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4"/>
                      <w:vertAlign w:val="baseline"/>
                      <w:lang w:val="en-US" w:eastAsia="zh-CN"/>
                    </w:rPr>
                  </w:pPr>
                  <w:r>
                    <w:rPr>
                      <w:rFonts w:hint="eastAsia" w:ascii="Times New Roman" w:hAnsi="宋体" w:eastAsia="宋体" w:cs="Times New Roman"/>
                      <w:kern w:val="0"/>
                      <w:szCs w:val="21"/>
                      <w:lang w:val="en-US" w:eastAsia="zh-CN"/>
                    </w:rPr>
                    <w:t>持续推进城区河道整治工作，进一步加强污水管网建设，实施雨污分流，积极推进海绵城市、综合管廊建设。严格执行国家产业政策，淘汰落后产能，严控过剩行业新增产能。重点开展染整、化工、食品等行业的挥发性有机物的治理工作。加强机动车尾气排放污染防治，强化施工、道路扬尘控制，大力实施绿色交通工程，倡导绿色低碳出行方式。</w:t>
                  </w:r>
                </w:p>
              </w:tc>
              <w:tc>
                <w:tcPr>
                  <w:tcW w:w="2221" w:type="dxa"/>
                  <w:vAlign w:val="center"/>
                </w:tcPr>
                <w:p w14:paraId="58E9BE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4"/>
                      <w:vertAlign w:val="baseline"/>
                      <w:lang w:val="en-US" w:eastAsia="zh-CN"/>
                    </w:rPr>
                  </w:pPr>
                  <w:r>
                    <w:rPr>
                      <w:rFonts w:hint="eastAsia" w:ascii="Times New Roman" w:hAnsi="宋体" w:eastAsia="宋体" w:cs="Times New Roman"/>
                      <w:kern w:val="0"/>
                      <w:szCs w:val="21"/>
                      <w:lang w:val="en-US" w:eastAsia="zh-CN"/>
                    </w:rPr>
                    <w:t>本项目不属于落后产能项目、过剩产能行业项目，不属于染整、化工、食品等行业，挥发性有机气体经处理后达标排放</w:t>
                  </w:r>
                </w:p>
              </w:tc>
              <w:tc>
                <w:tcPr>
                  <w:tcW w:w="841" w:type="dxa"/>
                  <w:vAlign w:val="center"/>
                </w:tcPr>
                <w:p w14:paraId="5CEFCE5C">
                  <w:pPr>
                    <w:adjustRightInd w:val="0"/>
                    <w:snapToGrid w:val="0"/>
                    <w:spacing w:line="360" w:lineRule="auto"/>
                    <w:jc w:val="center"/>
                    <w:rPr>
                      <w:rFonts w:hint="eastAsia"/>
                      <w:sz w:val="24"/>
                      <w:vertAlign w:val="baseline"/>
                      <w:lang w:val="en-US" w:eastAsia="zh-CN"/>
                    </w:rPr>
                  </w:pPr>
                  <w:r>
                    <w:rPr>
                      <w:rFonts w:ascii="Times New Roman" w:hAnsi="宋体" w:eastAsia="宋体" w:cs="Times New Roman"/>
                      <w:kern w:val="0"/>
                      <w:szCs w:val="21"/>
                    </w:rPr>
                    <w:t>符合</w:t>
                  </w:r>
                </w:p>
              </w:tc>
            </w:tr>
          </w:tbl>
          <w:p w14:paraId="2EBC9FFD">
            <w:pPr>
              <w:pStyle w:val="9"/>
              <w:spacing w:line="360" w:lineRule="auto"/>
              <w:ind w:firstLine="480"/>
              <w:rPr>
                <w:rFonts w:ascii="宋体" w:hAnsi="宋体" w:cs="宋体"/>
                <w:sz w:val="24"/>
              </w:rPr>
            </w:pPr>
            <w:r>
              <w:rPr>
                <w:rFonts w:hint="eastAsia" w:ascii="宋体" w:hAnsi="宋体" w:cs="宋体"/>
                <w:sz w:val="24"/>
              </w:rPr>
              <w:t>综上所述，本项目符合“三线一单”环保要求。</w:t>
            </w:r>
          </w:p>
          <w:p w14:paraId="60286C9A">
            <w:pPr>
              <w:adjustRightInd w:val="0"/>
              <w:snapToGrid w:val="0"/>
              <w:spacing w:line="360" w:lineRule="auto"/>
              <w:ind w:firstLine="482" w:firstLineChars="200"/>
              <w:rPr>
                <w:b/>
                <w:bCs/>
                <w:sz w:val="24"/>
              </w:rPr>
            </w:pPr>
            <w:r>
              <w:rPr>
                <w:rFonts w:hint="eastAsia"/>
                <w:b/>
                <w:bCs/>
                <w:sz w:val="24"/>
              </w:rPr>
              <w:t>4、</w:t>
            </w:r>
            <w:r>
              <w:rPr>
                <w:b/>
                <w:bCs/>
                <w:sz w:val="24"/>
              </w:rPr>
              <w:t>与“三区三线”符合性分析</w:t>
            </w:r>
          </w:p>
          <w:p w14:paraId="7EB2C41C">
            <w:pPr>
              <w:adjustRightInd w:val="0"/>
              <w:snapToGrid w:val="0"/>
              <w:spacing w:line="360" w:lineRule="auto"/>
              <w:ind w:firstLine="480" w:firstLineChars="200"/>
              <w:rPr>
                <w:b/>
                <w:kern w:val="0"/>
                <w:sz w:val="24"/>
              </w:rPr>
            </w:pPr>
            <w:r>
              <w:rPr>
                <w:sz w:val="24"/>
              </w:rPr>
              <w:t>根据《中共中央国务院关于建立国土空间规划体系并监督实施的若干意见》（中发【2019】18 号）、自然资源部关于在全国开展“三区三线”划定工作的函（自然资函【2022】47 号），“三区”是指城镇空间、农业空间和生态空间，“三线”是指生态保护红线、永久基本农田保护红线和城镇开发边界。</w:t>
            </w:r>
            <w:r>
              <w:rPr>
                <w:kern w:val="24"/>
                <w:sz w:val="24"/>
              </w:rPr>
              <w:t>根据《安徽省自然资源厅关于印发安徽省</w:t>
            </w:r>
            <w:r>
              <w:rPr>
                <w:rFonts w:hint="eastAsia"/>
                <w:sz w:val="24"/>
              </w:rPr>
              <w:t>“</w:t>
            </w:r>
            <w:r>
              <w:rPr>
                <w:kern w:val="24"/>
                <w:sz w:val="24"/>
              </w:rPr>
              <w:t>三区三线</w:t>
            </w:r>
            <w:r>
              <w:rPr>
                <w:rFonts w:hint="eastAsia"/>
                <w:sz w:val="24"/>
              </w:rPr>
              <w:t>”</w:t>
            </w:r>
            <w:r>
              <w:rPr>
                <w:kern w:val="24"/>
                <w:sz w:val="24"/>
              </w:rPr>
              <w:t>工作方案的通知》</w:t>
            </w:r>
            <w:r>
              <w:rPr>
                <w:rFonts w:hint="eastAsia"/>
                <w:sz w:val="24"/>
              </w:rPr>
              <w:t>“</w:t>
            </w:r>
            <w:r>
              <w:rPr>
                <w:kern w:val="24"/>
                <w:sz w:val="24"/>
              </w:rPr>
              <w:t>三区三线</w:t>
            </w:r>
            <w:r>
              <w:rPr>
                <w:rFonts w:hint="eastAsia"/>
                <w:sz w:val="24"/>
              </w:rPr>
              <w:t>”</w:t>
            </w:r>
            <w:r>
              <w:rPr>
                <w:kern w:val="24"/>
                <w:sz w:val="24"/>
              </w:rPr>
              <w:t>划定成果，本项目占地属于</w:t>
            </w:r>
            <w:r>
              <w:rPr>
                <w:rFonts w:hint="eastAsia"/>
                <w:sz w:val="24"/>
              </w:rPr>
              <w:t>“</w:t>
            </w:r>
            <w:r>
              <w:rPr>
                <w:kern w:val="24"/>
                <w:sz w:val="24"/>
              </w:rPr>
              <w:t>三区三线</w:t>
            </w:r>
            <w:r>
              <w:rPr>
                <w:rFonts w:hint="eastAsia"/>
                <w:sz w:val="24"/>
              </w:rPr>
              <w:t>”</w:t>
            </w:r>
            <w:r>
              <w:rPr>
                <w:kern w:val="24"/>
                <w:sz w:val="24"/>
              </w:rPr>
              <w:t>中划定的城</w:t>
            </w:r>
            <w:r>
              <w:rPr>
                <w:sz w:val="24"/>
              </w:rPr>
              <w:t>镇开发边界以内</w:t>
            </w:r>
            <w:r>
              <w:rPr>
                <w:rFonts w:hint="eastAsia"/>
                <w:sz w:val="24"/>
              </w:rPr>
              <w:t>（见附图</w:t>
            </w:r>
            <w:r>
              <w:rPr>
                <w:rFonts w:hint="eastAsia"/>
                <w:sz w:val="24"/>
                <w:lang w:val="en-US" w:eastAsia="zh-CN"/>
              </w:rPr>
              <w:t>8</w:t>
            </w:r>
            <w:r>
              <w:rPr>
                <w:rFonts w:hint="eastAsia"/>
                <w:sz w:val="24"/>
              </w:rPr>
              <w:t>）</w:t>
            </w:r>
            <w:r>
              <w:rPr>
                <w:sz w:val="24"/>
              </w:rPr>
              <w:t>，本项目符合</w:t>
            </w:r>
            <w:r>
              <w:rPr>
                <w:rFonts w:hint="eastAsia"/>
                <w:sz w:val="24"/>
              </w:rPr>
              <w:t>“</w:t>
            </w:r>
            <w:r>
              <w:rPr>
                <w:sz w:val="24"/>
              </w:rPr>
              <w:t>三区三线</w:t>
            </w:r>
            <w:r>
              <w:rPr>
                <w:rFonts w:hint="eastAsia"/>
                <w:sz w:val="24"/>
              </w:rPr>
              <w:t>”</w:t>
            </w:r>
            <w:r>
              <w:rPr>
                <w:sz w:val="24"/>
              </w:rPr>
              <w:t>相关要求，不涉及生态保护红线</w:t>
            </w:r>
            <w:r>
              <w:rPr>
                <w:kern w:val="24"/>
                <w:sz w:val="24"/>
              </w:rPr>
              <w:t>。</w:t>
            </w:r>
          </w:p>
          <w:p w14:paraId="08E59B9E">
            <w:pPr>
              <w:adjustRightInd w:val="0"/>
              <w:snapToGrid w:val="0"/>
              <w:spacing w:line="360" w:lineRule="auto"/>
              <w:ind w:firstLine="482" w:firstLineChars="200"/>
              <w:rPr>
                <w:b/>
                <w:sz w:val="24"/>
              </w:rPr>
            </w:pPr>
            <w:r>
              <w:rPr>
                <w:rFonts w:hint="eastAsia"/>
                <w:b/>
                <w:bCs/>
                <w:sz w:val="24"/>
              </w:rPr>
              <w:t>5</w:t>
            </w:r>
            <w:r>
              <w:rPr>
                <w:b/>
                <w:bCs/>
                <w:sz w:val="24"/>
              </w:rPr>
              <w:t>、</w:t>
            </w:r>
            <w:r>
              <w:rPr>
                <w:b/>
                <w:sz w:val="24"/>
              </w:rPr>
              <w:t>与《</w:t>
            </w:r>
            <w:r>
              <w:rPr>
                <w:rFonts w:hint="eastAsia"/>
                <w:b/>
                <w:sz w:val="24"/>
              </w:rPr>
              <w:t>关于</w:t>
            </w:r>
            <w:r>
              <w:rPr>
                <w:b/>
                <w:sz w:val="24"/>
              </w:rPr>
              <w:t>全面打造水清岸绿产业优美丽长江（安徽）经济带的实施意见</w:t>
            </w:r>
            <w:r>
              <w:rPr>
                <w:b/>
                <w:sz w:val="24"/>
                <w:szCs w:val="32"/>
                <w:lang w:val="zh-CN"/>
              </w:rPr>
              <w:t>（升级版）</w:t>
            </w:r>
            <w:r>
              <w:rPr>
                <w:b/>
                <w:sz w:val="24"/>
              </w:rPr>
              <w:t>》（皖发[2021]9号）、</w:t>
            </w:r>
            <w:r>
              <w:rPr>
                <w:b/>
                <w:bCs/>
                <w:sz w:val="24"/>
              </w:rPr>
              <w:t>《</w:t>
            </w:r>
            <w:r>
              <w:rPr>
                <w:b/>
                <w:sz w:val="24"/>
              </w:rPr>
              <w:t>关于全面打造水清岸绿产业优美丽长江</w:t>
            </w:r>
            <w:r>
              <w:rPr>
                <w:rFonts w:hint="eastAsia"/>
                <w:b/>
                <w:bCs/>
                <w:sz w:val="24"/>
              </w:rPr>
              <w:t>（芜湖）</w:t>
            </w:r>
            <w:r>
              <w:rPr>
                <w:b/>
                <w:sz w:val="24"/>
              </w:rPr>
              <w:t>经济带的实施方案（升级版）</w:t>
            </w:r>
            <w:r>
              <w:rPr>
                <w:b/>
                <w:bCs/>
                <w:sz w:val="24"/>
              </w:rPr>
              <w:t>》</w:t>
            </w:r>
            <w:r>
              <w:rPr>
                <w:rFonts w:hint="eastAsia"/>
                <w:b/>
                <w:bCs/>
                <w:sz w:val="24"/>
              </w:rPr>
              <w:t xml:space="preserve"> </w:t>
            </w:r>
            <w:r>
              <w:rPr>
                <w:b/>
                <w:bCs/>
                <w:sz w:val="24"/>
              </w:rPr>
              <w:t>（芜市办[2021]28号）</w:t>
            </w:r>
            <w:r>
              <w:rPr>
                <w:b/>
                <w:sz w:val="24"/>
              </w:rPr>
              <w:t>相符性</w:t>
            </w:r>
            <w:r>
              <w:rPr>
                <w:rFonts w:hint="eastAsia"/>
                <w:b/>
                <w:sz w:val="24"/>
              </w:rPr>
              <w:t>分析</w:t>
            </w:r>
          </w:p>
          <w:p w14:paraId="060DCB62">
            <w:pPr>
              <w:pStyle w:val="3"/>
              <w:adjustRightInd w:val="0"/>
              <w:spacing w:before="0" w:after="0" w:line="240" w:lineRule="auto"/>
              <w:jc w:val="center"/>
              <w:rPr>
                <w:b/>
                <w:bCs/>
              </w:rPr>
            </w:pPr>
            <w:r>
              <w:rPr>
                <w:b/>
                <w:bCs/>
                <w:sz w:val="24"/>
              </w:rPr>
              <w:t>表1-</w:t>
            </w:r>
            <w:r>
              <w:rPr>
                <w:rFonts w:hint="eastAsia"/>
                <w:b/>
                <w:bCs/>
                <w:sz w:val="24"/>
              </w:rPr>
              <w:t>6</w:t>
            </w:r>
            <w:r>
              <w:rPr>
                <w:b/>
                <w:bCs/>
                <w:sz w:val="24"/>
              </w:rPr>
              <w:t xml:space="preserve">  项目与“皖发[2021]9号”及“芜市发[2021]28号”文件相符性</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6" w:space="0"/>
              </w:tblBorders>
              <w:tblLayout w:type="autofit"/>
              <w:tblCellMar>
                <w:top w:w="11" w:type="dxa"/>
                <w:left w:w="28" w:type="dxa"/>
                <w:bottom w:w="11" w:type="dxa"/>
                <w:right w:w="28" w:type="dxa"/>
              </w:tblCellMar>
            </w:tblPr>
            <w:tblGrid>
              <w:gridCol w:w="544"/>
              <w:gridCol w:w="753"/>
              <w:gridCol w:w="3587"/>
              <w:gridCol w:w="1990"/>
              <w:gridCol w:w="788"/>
            </w:tblGrid>
            <w:tr w14:paraId="771963B9">
              <w:tblPrEx>
                <w:tblBorders>
                  <w:top w:val="single" w:color="auto" w:sz="12" w:space="0"/>
                  <w:left w:val="none" w:color="auto" w:sz="0" w:space="0"/>
                  <w:bottom w:val="single" w:color="auto" w:sz="12" w:space="0"/>
                  <w:right w:val="none" w:color="auto" w:sz="0" w:space="0"/>
                  <w:insideH w:val="single" w:color="auto" w:sz="2" w:space="0"/>
                  <w:insideV w:val="single" w:color="auto" w:sz="6" w:space="0"/>
                </w:tblBorders>
                <w:tblCellMar>
                  <w:top w:w="11" w:type="dxa"/>
                  <w:left w:w="28" w:type="dxa"/>
                  <w:bottom w:w="11" w:type="dxa"/>
                  <w:right w:w="28" w:type="dxa"/>
                </w:tblCellMar>
              </w:tblPrEx>
              <w:trPr>
                <w:trHeight w:val="340" w:hRule="atLeast"/>
                <w:jc w:val="center"/>
              </w:trPr>
              <w:tc>
                <w:tcPr>
                  <w:tcW w:w="355" w:type="pct"/>
                  <w:vAlign w:val="center"/>
                </w:tcPr>
                <w:p w14:paraId="272269DB">
                  <w:pPr>
                    <w:adjustRightInd w:val="0"/>
                    <w:snapToGrid w:val="0"/>
                    <w:jc w:val="center"/>
                    <w:rPr>
                      <w:b/>
                      <w:bCs/>
                      <w:szCs w:val="21"/>
                    </w:rPr>
                  </w:pPr>
                  <w:r>
                    <w:rPr>
                      <w:b/>
                      <w:bCs/>
                      <w:szCs w:val="21"/>
                    </w:rPr>
                    <w:t>序号</w:t>
                  </w:r>
                </w:p>
              </w:tc>
              <w:tc>
                <w:tcPr>
                  <w:tcW w:w="491" w:type="pct"/>
                  <w:vAlign w:val="center"/>
                </w:tcPr>
                <w:p w14:paraId="248676C5">
                  <w:pPr>
                    <w:adjustRightInd w:val="0"/>
                    <w:snapToGrid w:val="0"/>
                    <w:jc w:val="center"/>
                    <w:rPr>
                      <w:b/>
                      <w:bCs/>
                      <w:szCs w:val="21"/>
                    </w:rPr>
                  </w:pPr>
                  <w:r>
                    <w:rPr>
                      <w:b/>
                      <w:bCs/>
                      <w:szCs w:val="21"/>
                    </w:rPr>
                    <w:t>内容</w:t>
                  </w:r>
                </w:p>
              </w:tc>
              <w:tc>
                <w:tcPr>
                  <w:tcW w:w="2340" w:type="pct"/>
                  <w:vAlign w:val="center"/>
                </w:tcPr>
                <w:p w14:paraId="2E387D31">
                  <w:pPr>
                    <w:adjustRightInd w:val="0"/>
                    <w:snapToGrid w:val="0"/>
                    <w:jc w:val="center"/>
                    <w:rPr>
                      <w:b/>
                      <w:bCs/>
                      <w:szCs w:val="21"/>
                    </w:rPr>
                  </w:pPr>
                  <w:r>
                    <w:rPr>
                      <w:b/>
                      <w:bCs/>
                      <w:szCs w:val="21"/>
                    </w:rPr>
                    <w:t>要求</w:t>
                  </w:r>
                </w:p>
              </w:tc>
              <w:tc>
                <w:tcPr>
                  <w:tcW w:w="1298" w:type="pct"/>
                  <w:vAlign w:val="center"/>
                </w:tcPr>
                <w:p w14:paraId="57A42041">
                  <w:pPr>
                    <w:adjustRightInd w:val="0"/>
                    <w:snapToGrid w:val="0"/>
                    <w:jc w:val="center"/>
                    <w:rPr>
                      <w:b/>
                      <w:bCs/>
                      <w:szCs w:val="21"/>
                    </w:rPr>
                  </w:pPr>
                  <w:r>
                    <w:rPr>
                      <w:b/>
                      <w:bCs/>
                      <w:szCs w:val="21"/>
                    </w:rPr>
                    <w:t>项目情况</w:t>
                  </w:r>
                </w:p>
              </w:tc>
              <w:tc>
                <w:tcPr>
                  <w:tcW w:w="514" w:type="pct"/>
                  <w:vAlign w:val="center"/>
                </w:tcPr>
                <w:p w14:paraId="41096715">
                  <w:pPr>
                    <w:adjustRightInd w:val="0"/>
                    <w:snapToGrid w:val="0"/>
                    <w:jc w:val="center"/>
                    <w:rPr>
                      <w:b/>
                      <w:bCs/>
                      <w:szCs w:val="21"/>
                    </w:rPr>
                  </w:pPr>
                  <w:r>
                    <w:rPr>
                      <w:b/>
                      <w:bCs/>
                      <w:szCs w:val="21"/>
                    </w:rPr>
                    <w:t>相符性</w:t>
                  </w:r>
                </w:p>
              </w:tc>
            </w:tr>
            <w:tr w14:paraId="74A007D2">
              <w:tblPrEx>
                <w:tblBorders>
                  <w:top w:val="single" w:color="auto" w:sz="12" w:space="0"/>
                  <w:left w:val="none" w:color="auto" w:sz="0" w:space="0"/>
                  <w:bottom w:val="single" w:color="auto" w:sz="12" w:space="0"/>
                  <w:right w:val="none" w:color="auto" w:sz="0" w:space="0"/>
                  <w:insideH w:val="single" w:color="auto" w:sz="2" w:space="0"/>
                  <w:insideV w:val="single" w:color="auto" w:sz="6" w:space="0"/>
                </w:tblBorders>
                <w:tblCellMar>
                  <w:top w:w="11" w:type="dxa"/>
                  <w:left w:w="28" w:type="dxa"/>
                  <w:bottom w:w="11" w:type="dxa"/>
                  <w:right w:w="28" w:type="dxa"/>
                </w:tblCellMar>
              </w:tblPrEx>
              <w:trPr>
                <w:trHeight w:val="340" w:hRule="atLeast"/>
                <w:jc w:val="center"/>
              </w:trPr>
              <w:tc>
                <w:tcPr>
                  <w:tcW w:w="355" w:type="pct"/>
                  <w:vAlign w:val="center"/>
                </w:tcPr>
                <w:p w14:paraId="5DF6E6CB">
                  <w:pPr>
                    <w:adjustRightInd w:val="0"/>
                    <w:snapToGrid w:val="0"/>
                    <w:jc w:val="center"/>
                    <w:rPr>
                      <w:szCs w:val="21"/>
                    </w:rPr>
                  </w:pPr>
                  <w:r>
                    <w:rPr>
                      <w:szCs w:val="21"/>
                    </w:rPr>
                    <w:t>1</w:t>
                  </w:r>
                </w:p>
              </w:tc>
              <w:tc>
                <w:tcPr>
                  <w:tcW w:w="491" w:type="pct"/>
                  <w:vAlign w:val="center"/>
                </w:tcPr>
                <w:p w14:paraId="0505E39F">
                  <w:pPr>
                    <w:adjustRightInd w:val="0"/>
                    <w:snapToGrid w:val="0"/>
                    <w:jc w:val="center"/>
                    <w:rPr>
                      <w:szCs w:val="21"/>
                    </w:rPr>
                  </w:pPr>
                  <w:r>
                    <w:rPr>
                      <w:szCs w:val="21"/>
                    </w:rPr>
                    <w:t>严禁1公里范围内新建化工项目</w:t>
                  </w:r>
                </w:p>
              </w:tc>
              <w:tc>
                <w:tcPr>
                  <w:tcW w:w="2340" w:type="pct"/>
                  <w:vAlign w:val="center"/>
                </w:tcPr>
                <w:p w14:paraId="173FF709">
                  <w:pPr>
                    <w:adjustRightInd w:val="0"/>
                    <w:snapToGrid w:val="0"/>
                    <w:rPr>
                      <w:szCs w:val="21"/>
                    </w:rPr>
                  </w:pPr>
                  <w:r>
                    <w:rPr>
                      <w:szCs w:val="21"/>
                    </w:rPr>
                    <w:t>长江干流支流岸线1公里范围内，严禁新建、扩建化工园区和化工项目。已批未开工的项目，依法停止建设，支持重新选址。已经开工建设的项目，严格进行检查评估，不符合岸线规划和环保、安全要求的，全部依法依规停建搬迁。</w:t>
                  </w:r>
                </w:p>
              </w:tc>
              <w:tc>
                <w:tcPr>
                  <w:tcW w:w="1298" w:type="pct"/>
                  <w:vAlign w:val="center"/>
                </w:tcPr>
                <w:p w14:paraId="360217C1">
                  <w:pPr>
                    <w:adjustRightInd w:val="0"/>
                    <w:snapToGrid w:val="0"/>
                    <w:jc w:val="center"/>
                    <w:rPr>
                      <w:szCs w:val="21"/>
                    </w:rPr>
                  </w:pPr>
                  <w:r>
                    <w:rPr>
                      <w:szCs w:val="21"/>
                    </w:rPr>
                    <w:t>本项距离长江</w:t>
                  </w:r>
                  <w:r>
                    <w:rPr>
                      <w:rFonts w:hint="eastAsia"/>
                      <w:szCs w:val="21"/>
                      <w:lang w:val="en-US" w:eastAsia="zh-CN"/>
                    </w:rPr>
                    <w:t>干流</w:t>
                  </w:r>
                  <w:r>
                    <w:rPr>
                      <w:rFonts w:hint="eastAsia"/>
                      <w:szCs w:val="21"/>
                    </w:rPr>
                    <w:t>约</w:t>
                  </w:r>
                  <w:r>
                    <w:rPr>
                      <w:rFonts w:hint="eastAsia"/>
                      <w:szCs w:val="21"/>
                      <w:lang w:val="en-US" w:eastAsia="zh-CN"/>
                    </w:rPr>
                    <w:t>9.7</w:t>
                  </w:r>
                  <w:r>
                    <w:rPr>
                      <w:szCs w:val="21"/>
                    </w:rPr>
                    <w:t>km，距离长江支流青弋江最近距离为</w:t>
                  </w:r>
                </w:p>
                <w:p w14:paraId="0DE7604D">
                  <w:pPr>
                    <w:adjustRightInd w:val="0"/>
                    <w:snapToGrid w:val="0"/>
                    <w:jc w:val="center"/>
                    <w:rPr>
                      <w:szCs w:val="21"/>
                    </w:rPr>
                  </w:pPr>
                  <w:r>
                    <w:rPr>
                      <w:rFonts w:hint="eastAsia"/>
                      <w:szCs w:val="21"/>
                      <w:lang w:val="en-US" w:eastAsia="zh-CN"/>
                    </w:rPr>
                    <w:t>6.6</w:t>
                  </w:r>
                  <w:r>
                    <w:rPr>
                      <w:szCs w:val="21"/>
                    </w:rPr>
                    <w:t>km不在1公里禁建区范围内</w:t>
                  </w:r>
                  <w:r>
                    <w:rPr>
                      <w:rFonts w:hint="eastAsia"/>
                      <w:szCs w:val="21"/>
                    </w:rPr>
                    <w:t>。</w:t>
                  </w:r>
                </w:p>
              </w:tc>
              <w:tc>
                <w:tcPr>
                  <w:tcW w:w="514" w:type="pct"/>
                  <w:vAlign w:val="center"/>
                </w:tcPr>
                <w:p w14:paraId="72560F7C">
                  <w:pPr>
                    <w:adjustRightInd w:val="0"/>
                    <w:snapToGrid w:val="0"/>
                    <w:jc w:val="center"/>
                    <w:rPr>
                      <w:szCs w:val="21"/>
                    </w:rPr>
                  </w:pPr>
                  <w:r>
                    <w:rPr>
                      <w:szCs w:val="21"/>
                    </w:rPr>
                    <w:t>相符</w:t>
                  </w:r>
                </w:p>
              </w:tc>
            </w:tr>
            <w:tr w14:paraId="321C0731">
              <w:tblPrEx>
                <w:tblBorders>
                  <w:top w:val="single" w:color="auto" w:sz="12" w:space="0"/>
                  <w:left w:val="none" w:color="auto" w:sz="0" w:space="0"/>
                  <w:bottom w:val="single" w:color="auto" w:sz="12" w:space="0"/>
                  <w:right w:val="none" w:color="auto" w:sz="0" w:space="0"/>
                  <w:insideH w:val="single" w:color="auto" w:sz="2" w:space="0"/>
                  <w:insideV w:val="single" w:color="auto" w:sz="6" w:space="0"/>
                </w:tblBorders>
                <w:tblCellMar>
                  <w:top w:w="11" w:type="dxa"/>
                  <w:left w:w="28" w:type="dxa"/>
                  <w:bottom w:w="11" w:type="dxa"/>
                  <w:right w:w="28" w:type="dxa"/>
                </w:tblCellMar>
              </w:tblPrEx>
              <w:trPr>
                <w:trHeight w:val="340" w:hRule="atLeast"/>
                <w:jc w:val="center"/>
              </w:trPr>
              <w:tc>
                <w:tcPr>
                  <w:tcW w:w="355" w:type="pct"/>
                  <w:vAlign w:val="center"/>
                </w:tcPr>
                <w:p w14:paraId="24B82437">
                  <w:pPr>
                    <w:adjustRightInd w:val="0"/>
                    <w:snapToGrid w:val="0"/>
                    <w:jc w:val="center"/>
                    <w:rPr>
                      <w:szCs w:val="21"/>
                    </w:rPr>
                  </w:pPr>
                  <w:r>
                    <w:rPr>
                      <w:szCs w:val="21"/>
                    </w:rPr>
                    <w:t>2</w:t>
                  </w:r>
                </w:p>
              </w:tc>
              <w:tc>
                <w:tcPr>
                  <w:tcW w:w="491" w:type="pct"/>
                  <w:vAlign w:val="center"/>
                </w:tcPr>
                <w:p w14:paraId="176A8C93">
                  <w:pPr>
                    <w:adjustRightInd w:val="0"/>
                    <w:snapToGrid w:val="0"/>
                    <w:jc w:val="center"/>
                    <w:rPr>
                      <w:szCs w:val="21"/>
                    </w:rPr>
                  </w:pPr>
                  <w:r>
                    <w:rPr>
                      <w:szCs w:val="21"/>
                    </w:rPr>
                    <w:t>严控5公里范围内新建重化工重污染项目</w:t>
                  </w:r>
                </w:p>
              </w:tc>
              <w:tc>
                <w:tcPr>
                  <w:tcW w:w="2340" w:type="pct"/>
                  <w:vAlign w:val="center"/>
                </w:tcPr>
                <w:p w14:paraId="57FF360A">
                  <w:pPr>
                    <w:adjustRightInd w:val="0"/>
                    <w:snapToGrid w:val="0"/>
                    <w:rPr>
                      <w:szCs w:val="21"/>
                    </w:rPr>
                  </w:pPr>
                  <w:r>
                    <w:rPr>
                      <w:szCs w:val="21"/>
                    </w:rPr>
                    <w:t>长江干流岸线5公里范围内，全面落实长江岸线功能定位要求，实施严格的化工项目市场准入制度，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298" w:type="pct"/>
                  <w:vAlign w:val="center"/>
                </w:tcPr>
                <w:p w14:paraId="50561645">
                  <w:pPr>
                    <w:adjustRightInd w:val="0"/>
                    <w:snapToGrid w:val="0"/>
                    <w:rPr>
                      <w:szCs w:val="21"/>
                    </w:rPr>
                  </w:pPr>
                  <w:r>
                    <w:rPr>
                      <w:szCs w:val="21"/>
                    </w:rPr>
                    <w:t>本项目</w:t>
                  </w:r>
                  <w:r>
                    <w:rPr>
                      <w:rFonts w:hint="eastAsia"/>
                      <w:szCs w:val="21"/>
                    </w:rPr>
                    <w:t>不属于</w:t>
                  </w:r>
                  <w:r>
                    <w:rPr>
                      <w:szCs w:val="21"/>
                    </w:rPr>
                    <w:t>严控5公里范围</w:t>
                  </w:r>
                  <w:r>
                    <w:rPr>
                      <w:rFonts w:hint="eastAsia"/>
                      <w:szCs w:val="21"/>
                    </w:rPr>
                    <w:t>内</w:t>
                  </w:r>
                  <w:r>
                    <w:rPr>
                      <w:rFonts w:hint="eastAsia"/>
                      <w:szCs w:val="16"/>
                    </w:rPr>
                    <w:t>新建石油化工等重污染项目，为准许建设类项目</w:t>
                  </w:r>
                  <w:r>
                    <w:rPr>
                      <w:szCs w:val="21"/>
                    </w:rPr>
                    <w:t>。</w:t>
                  </w:r>
                </w:p>
              </w:tc>
              <w:tc>
                <w:tcPr>
                  <w:tcW w:w="514" w:type="pct"/>
                  <w:vAlign w:val="center"/>
                </w:tcPr>
                <w:p w14:paraId="64AA0D46">
                  <w:pPr>
                    <w:adjustRightInd w:val="0"/>
                    <w:snapToGrid w:val="0"/>
                    <w:jc w:val="center"/>
                    <w:rPr>
                      <w:szCs w:val="21"/>
                    </w:rPr>
                  </w:pPr>
                  <w:r>
                    <w:rPr>
                      <w:szCs w:val="21"/>
                    </w:rPr>
                    <w:t>相符</w:t>
                  </w:r>
                </w:p>
              </w:tc>
            </w:tr>
            <w:tr w14:paraId="3A217917">
              <w:tblPrEx>
                <w:tblBorders>
                  <w:top w:val="single" w:color="auto" w:sz="12" w:space="0"/>
                  <w:left w:val="none" w:color="auto" w:sz="0" w:space="0"/>
                  <w:bottom w:val="single" w:color="auto" w:sz="12" w:space="0"/>
                  <w:right w:val="none" w:color="auto" w:sz="0" w:space="0"/>
                  <w:insideH w:val="single" w:color="auto" w:sz="2" w:space="0"/>
                  <w:insideV w:val="single" w:color="auto" w:sz="6" w:space="0"/>
                </w:tblBorders>
                <w:tblCellMar>
                  <w:top w:w="11" w:type="dxa"/>
                  <w:left w:w="28" w:type="dxa"/>
                  <w:bottom w:w="11" w:type="dxa"/>
                  <w:right w:w="28" w:type="dxa"/>
                </w:tblCellMar>
              </w:tblPrEx>
              <w:trPr>
                <w:trHeight w:val="340" w:hRule="atLeast"/>
                <w:jc w:val="center"/>
              </w:trPr>
              <w:tc>
                <w:tcPr>
                  <w:tcW w:w="355" w:type="pct"/>
                  <w:vAlign w:val="center"/>
                </w:tcPr>
                <w:p w14:paraId="1B594534">
                  <w:pPr>
                    <w:adjustRightInd w:val="0"/>
                    <w:snapToGrid w:val="0"/>
                    <w:jc w:val="center"/>
                    <w:rPr>
                      <w:szCs w:val="21"/>
                    </w:rPr>
                  </w:pPr>
                  <w:r>
                    <w:rPr>
                      <w:szCs w:val="21"/>
                    </w:rPr>
                    <w:t>3</w:t>
                  </w:r>
                </w:p>
              </w:tc>
              <w:tc>
                <w:tcPr>
                  <w:tcW w:w="491" w:type="pct"/>
                  <w:vAlign w:val="center"/>
                </w:tcPr>
                <w:p w14:paraId="3811715A">
                  <w:pPr>
                    <w:adjustRightInd w:val="0"/>
                    <w:snapToGrid w:val="0"/>
                    <w:jc w:val="center"/>
                    <w:rPr>
                      <w:szCs w:val="21"/>
                    </w:rPr>
                  </w:pPr>
                  <w:r>
                    <w:rPr>
                      <w:szCs w:val="21"/>
                    </w:rPr>
                    <w:t>严管15公里范围内新建项目</w:t>
                  </w:r>
                </w:p>
              </w:tc>
              <w:tc>
                <w:tcPr>
                  <w:tcW w:w="2340" w:type="pct"/>
                  <w:vAlign w:val="center"/>
                </w:tcPr>
                <w:p w14:paraId="080264E8">
                  <w:pPr>
                    <w:adjustRightInd w:val="0"/>
                    <w:snapToGrid w:val="0"/>
                    <w:rPr>
                      <w:szCs w:val="21"/>
                    </w:rPr>
                  </w:pPr>
                  <w:r>
                    <w:rPr>
                      <w:szCs w:val="21"/>
                    </w:rPr>
                    <w:t>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全面执行国家长江经济带市场准入禁止限制目录。实施备案、环评、安评、能评等关联审批，为落实生态环保、安全生产、能源节约要求的，一律不得开工建设。</w:t>
                  </w:r>
                </w:p>
              </w:tc>
              <w:tc>
                <w:tcPr>
                  <w:tcW w:w="1298" w:type="pct"/>
                  <w:vAlign w:val="center"/>
                </w:tcPr>
                <w:p w14:paraId="2364764A">
                  <w:pPr>
                    <w:adjustRightInd w:val="0"/>
                    <w:snapToGrid w:val="0"/>
                    <w:rPr>
                      <w:szCs w:val="21"/>
                    </w:rPr>
                  </w:pPr>
                  <w:r>
                    <w:rPr>
                      <w:rFonts w:hint="eastAsia" w:hAnsi="宋体"/>
                      <w:kern w:val="24"/>
                      <w:szCs w:val="21"/>
                    </w:rPr>
                    <w:t>本项目距离</w:t>
                  </w:r>
                  <w:r>
                    <w:rPr>
                      <w:rFonts w:hint="eastAsia" w:hAnsi="宋体"/>
                      <w:kern w:val="0"/>
                      <w:szCs w:val="21"/>
                    </w:rPr>
                    <w:t>长江干流</w:t>
                  </w:r>
                  <w:r>
                    <w:rPr>
                      <w:rFonts w:hint="eastAsia" w:hAnsi="宋体"/>
                      <w:kern w:val="0"/>
                      <w:szCs w:val="21"/>
                      <w:lang w:val="en-US" w:eastAsia="zh-CN"/>
                    </w:rPr>
                    <w:t>9.7</w:t>
                  </w:r>
                  <w:r>
                    <w:rPr>
                      <w:rFonts w:hint="eastAsia" w:hAnsi="宋体"/>
                      <w:kern w:val="0"/>
                      <w:szCs w:val="21"/>
                    </w:rPr>
                    <w:t>km，</w:t>
                  </w:r>
                  <w:r>
                    <w:rPr>
                      <w:rFonts w:hint="eastAsia" w:hAnsi="宋体"/>
                      <w:kern w:val="24"/>
                      <w:szCs w:val="21"/>
                    </w:rPr>
                    <w:t>在15 公里范围内。但不属于国家长江经济带市场准入禁止限制目录，项目严格执行环境保护标准，满足主要污染物和重点重金属排放总量控制目标要求，符合严管要求</w:t>
                  </w:r>
                  <w:r>
                    <w:rPr>
                      <w:szCs w:val="21"/>
                    </w:rPr>
                    <w:t>。</w:t>
                  </w:r>
                </w:p>
              </w:tc>
              <w:tc>
                <w:tcPr>
                  <w:tcW w:w="514" w:type="pct"/>
                  <w:vAlign w:val="center"/>
                </w:tcPr>
                <w:p w14:paraId="28B932F4">
                  <w:pPr>
                    <w:adjustRightInd w:val="0"/>
                    <w:snapToGrid w:val="0"/>
                    <w:jc w:val="center"/>
                    <w:rPr>
                      <w:szCs w:val="21"/>
                    </w:rPr>
                  </w:pPr>
                  <w:r>
                    <w:rPr>
                      <w:szCs w:val="21"/>
                    </w:rPr>
                    <w:t>相符</w:t>
                  </w:r>
                </w:p>
              </w:tc>
            </w:tr>
          </w:tbl>
          <w:p w14:paraId="46C79A18">
            <w:pPr>
              <w:autoSpaceDE w:val="0"/>
              <w:autoSpaceDN w:val="0"/>
              <w:adjustRightInd w:val="0"/>
              <w:snapToGrid w:val="0"/>
              <w:spacing w:line="360" w:lineRule="auto"/>
              <w:ind w:firstLine="480" w:firstLineChars="200"/>
              <w:jc w:val="left"/>
              <w:rPr>
                <w:b/>
                <w:kern w:val="0"/>
                <w:sz w:val="24"/>
              </w:rPr>
            </w:pPr>
            <w:r>
              <w:rPr>
                <w:rFonts w:hint="eastAsia"/>
                <w:sz w:val="24"/>
              </w:rPr>
              <w:t>综上所述，本项目建设符合《关于全面打造水清岸绿产业优美丽长江（安徽）经济带的实施意见（升级版）》（皖发[2021]9号）、《关于全面打造水清岸绿产业优美丽长江（芜湖）经济带的实施方案（升级版）》 （芜市办[2021]28号）中相关要求</w:t>
            </w:r>
            <w:r>
              <w:rPr>
                <w:sz w:val="24"/>
              </w:rPr>
              <w:t>。</w:t>
            </w:r>
          </w:p>
          <w:p w14:paraId="7F25DB15">
            <w:pPr>
              <w:autoSpaceDE w:val="0"/>
              <w:autoSpaceDN w:val="0"/>
              <w:adjustRightInd w:val="0"/>
              <w:spacing w:line="360" w:lineRule="auto"/>
              <w:ind w:firstLine="482" w:firstLineChars="200"/>
              <w:rPr>
                <w:b/>
                <w:kern w:val="0"/>
                <w:sz w:val="24"/>
              </w:rPr>
            </w:pPr>
            <w:r>
              <w:rPr>
                <w:rFonts w:hAnsi="宋体"/>
                <w:b/>
                <w:kern w:val="0"/>
                <w:sz w:val="24"/>
              </w:rPr>
              <w:t>6</w:t>
            </w:r>
            <w:r>
              <w:rPr>
                <w:rFonts w:hint="eastAsia" w:hAnsi="宋体"/>
                <w:b/>
                <w:kern w:val="0"/>
                <w:sz w:val="24"/>
              </w:rPr>
              <w:t>、与《长江经济带发展负面清单指南（试行</w:t>
            </w:r>
            <w:r>
              <w:rPr>
                <w:rFonts w:hAnsi="宋体"/>
                <w:b/>
                <w:kern w:val="0"/>
                <w:sz w:val="24"/>
              </w:rPr>
              <w:t>，2022版</w:t>
            </w:r>
            <w:r>
              <w:rPr>
                <w:rFonts w:hint="eastAsia" w:hAnsi="宋体"/>
                <w:b/>
                <w:kern w:val="0"/>
                <w:sz w:val="24"/>
              </w:rPr>
              <w:t>）》相符性分析</w:t>
            </w:r>
          </w:p>
          <w:p w14:paraId="1BF21AA4">
            <w:pPr>
              <w:jc w:val="center"/>
              <w:rPr>
                <w:b/>
                <w:kern w:val="0"/>
                <w:sz w:val="24"/>
              </w:rPr>
            </w:pPr>
            <w:r>
              <w:rPr>
                <w:b/>
                <w:kern w:val="0"/>
                <w:sz w:val="24"/>
              </w:rPr>
              <w:t>表1-</w:t>
            </w:r>
            <w:r>
              <w:rPr>
                <w:rFonts w:hint="eastAsia"/>
                <w:b/>
                <w:kern w:val="0"/>
                <w:sz w:val="24"/>
              </w:rPr>
              <w:t xml:space="preserve">7 </w:t>
            </w:r>
            <w:r>
              <w:rPr>
                <w:rFonts w:hint="eastAsia"/>
                <w:b/>
                <w:sz w:val="24"/>
              </w:rPr>
              <w:t>项目与“长江经济带发展负面清单指南（试行，</w:t>
            </w:r>
            <w:r>
              <w:rPr>
                <w:rFonts w:hAnsi="宋体"/>
                <w:b/>
                <w:kern w:val="0"/>
                <w:sz w:val="24"/>
              </w:rPr>
              <w:t>2022版</w:t>
            </w:r>
            <w:r>
              <w:rPr>
                <w:rFonts w:hint="eastAsia"/>
                <w:b/>
                <w:sz w:val="24"/>
              </w:rPr>
              <w:t>）”符合性分析一览表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569"/>
              <w:gridCol w:w="3955"/>
              <w:gridCol w:w="2364"/>
              <w:gridCol w:w="777"/>
            </w:tblGrid>
            <w:tr w14:paraId="0686A9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20F857E1">
                  <w:pPr>
                    <w:spacing w:line="280" w:lineRule="exact"/>
                    <w:jc w:val="center"/>
                    <w:rPr>
                      <w:b/>
                      <w:kern w:val="24"/>
                      <w:szCs w:val="21"/>
                    </w:rPr>
                  </w:pPr>
                  <w:r>
                    <w:rPr>
                      <w:b/>
                      <w:kern w:val="24"/>
                      <w:szCs w:val="21"/>
                    </w:rPr>
                    <w:t>序号</w:t>
                  </w:r>
                </w:p>
              </w:tc>
              <w:tc>
                <w:tcPr>
                  <w:tcW w:w="2580" w:type="pct"/>
                  <w:shd w:val="clear" w:color="auto" w:fill="auto"/>
                  <w:vAlign w:val="center"/>
                </w:tcPr>
                <w:p w14:paraId="6227207E">
                  <w:pPr>
                    <w:spacing w:line="280" w:lineRule="exact"/>
                    <w:jc w:val="center"/>
                    <w:rPr>
                      <w:b/>
                      <w:kern w:val="24"/>
                      <w:szCs w:val="21"/>
                    </w:rPr>
                  </w:pPr>
                  <w:r>
                    <w:rPr>
                      <w:b/>
                      <w:kern w:val="24"/>
                      <w:szCs w:val="21"/>
                    </w:rPr>
                    <w:t>文件要求</w:t>
                  </w:r>
                </w:p>
              </w:tc>
              <w:tc>
                <w:tcPr>
                  <w:tcW w:w="1542" w:type="pct"/>
                  <w:shd w:val="clear" w:color="auto" w:fill="auto"/>
                  <w:vAlign w:val="center"/>
                </w:tcPr>
                <w:p w14:paraId="653BA8C3">
                  <w:pPr>
                    <w:spacing w:line="280" w:lineRule="exact"/>
                    <w:jc w:val="center"/>
                    <w:rPr>
                      <w:b/>
                      <w:kern w:val="24"/>
                      <w:szCs w:val="21"/>
                    </w:rPr>
                  </w:pPr>
                  <w:r>
                    <w:rPr>
                      <w:b/>
                      <w:kern w:val="24"/>
                      <w:szCs w:val="21"/>
                    </w:rPr>
                    <w:t>本项目相符性分析</w:t>
                  </w:r>
                </w:p>
              </w:tc>
              <w:tc>
                <w:tcPr>
                  <w:tcW w:w="507" w:type="pct"/>
                  <w:vAlign w:val="center"/>
                </w:tcPr>
                <w:p w14:paraId="242000E5">
                  <w:pPr>
                    <w:spacing w:line="280" w:lineRule="exact"/>
                    <w:jc w:val="center"/>
                    <w:rPr>
                      <w:b/>
                      <w:kern w:val="24"/>
                      <w:szCs w:val="21"/>
                    </w:rPr>
                  </w:pPr>
                  <w:r>
                    <w:rPr>
                      <w:b/>
                      <w:kern w:val="24"/>
                      <w:szCs w:val="21"/>
                    </w:rPr>
                    <w:t>相符性</w:t>
                  </w:r>
                </w:p>
              </w:tc>
            </w:tr>
            <w:tr w14:paraId="3E5ED3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2910DFAA">
                  <w:pPr>
                    <w:spacing w:line="280" w:lineRule="exact"/>
                    <w:jc w:val="center"/>
                    <w:rPr>
                      <w:kern w:val="24"/>
                      <w:szCs w:val="21"/>
                    </w:rPr>
                  </w:pPr>
                  <w:r>
                    <w:rPr>
                      <w:kern w:val="24"/>
                      <w:szCs w:val="21"/>
                    </w:rPr>
                    <w:t>1</w:t>
                  </w:r>
                </w:p>
              </w:tc>
              <w:tc>
                <w:tcPr>
                  <w:tcW w:w="2580" w:type="pct"/>
                  <w:shd w:val="clear" w:color="auto" w:fill="auto"/>
                  <w:vAlign w:val="center"/>
                </w:tcPr>
                <w:p w14:paraId="2211CD2D">
                  <w:pPr>
                    <w:spacing w:line="280" w:lineRule="exact"/>
                    <w:rPr>
                      <w:kern w:val="24"/>
                      <w:szCs w:val="21"/>
                    </w:rPr>
                  </w:pPr>
                  <w:r>
                    <w:rPr>
                      <w:kern w:val="24"/>
                      <w:szCs w:val="21"/>
                    </w:rPr>
                    <w:t>禁止建设不符合全国和省级港口布局规划以及港口总体现划的码头项目，禁止建设不符合《长江干线过江通道布局规划》的过长江通道项目</w:t>
                  </w:r>
                </w:p>
              </w:tc>
              <w:tc>
                <w:tcPr>
                  <w:tcW w:w="1542" w:type="pct"/>
                  <w:shd w:val="clear" w:color="auto" w:fill="auto"/>
                  <w:vAlign w:val="center"/>
                </w:tcPr>
                <w:p w14:paraId="1EDB17B1">
                  <w:pPr>
                    <w:spacing w:line="280" w:lineRule="exact"/>
                    <w:jc w:val="center"/>
                    <w:rPr>
                      <w:kern w:val="24"/>
                      <w:szCs w:val="21"/>
                    </w:rPr>
                  </w:pPr>
                  <w:r>
                    <w:rPr>
                      <w:kern w:val="24"/>
                      <w:szCs w:val="21"/>
                    </w:rPr>
                    <w:t>本项目不属于码头项目和过长江通道项目</w:t>
                  </w:r>
                </w:p>
              </w:tc>
              <w:tc>
                <w:tcPr>
                  <w:tcW w:w="507" w:type="pct"/>
                  <w:vAlign w:val="center"/>
                </w:tcPr>
                <w:p w14:paraId="5BF785AB">
                  <w:pPr>
                    <w:spacing w:line="280" w:lineRule="exact"/>
                    <w:jc w:val="center"/>
                    <w:rPr>
                      <w:kern w:val="24"/>
                      <w:szCs w:val="21"/>
                    </w:rPr>
                  </w:pPr>
                  <w:r>
                    <w:rPr>
                      <w:kern w:val="24"/>
                      <w:szCs w:val="21"/>
                    </w:rPr>
                    <w:t>相符</w:t>
                  </w:r>
                </w:p>
              </w:tc>
            </w:tr>
            <w:tr w14:paraId="4EA08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73F54E9F">
                  <w:pPr>
                    <w:spacing w:line="280" w:lineRule="exact"/>
                    <w:jc w:val="center"/>
                    <w:rPr>
                      <w:kern w:val="24"/>
                      <w:szCs w:val="21"/>
                    </w:rPr>
                  </w:pPr>
                  <w:r>
                    <w:rPr>
                      <w:kern w:val="24"/>
                      <w:szCs w:val="21"/>
                    </w:rPr>
                    <w:t>2</w:t>
                  </w:r>
                </w:p>
              </w:tc>
              <w:tc>
                <w:tcPr>
                  <w:tcW w:w="2580" w:type="pct"/>
                  <w:shd w:val="clear" w:color="auto" w:fill="auto"/>
                  <w:vAlign w:val="center"/>
                </w:tcPr>
                <w:p w14:paraId="68B82BB4">
                  <w:pPr>
                    <w:spacing w:line="280" w:lineRule="exact"/>
                    <w:rPr>
                      <w:kern w:val="24"/>
                      <w:szCs w:val="21"/>
                    </w:rPr>
                  </w:pPr>
                  <w:r>
                    <w:rPr>
                      <w:kern w:val="24"/>
                      <w:szCs w:val="21"/>
                    </w:rPr>
                    <w:t>禁止在自然保护区核心区、缓冲区的岸线和河段范围内投资建设旅游和生产经营项目。禁止在风景名胜区核心景区的岸线和河段范围内投资建设与风景名胜资源保护无关的项目</w:t>
                  </w:r>
                </w:p>
              </w:tc>
              <w:tc>
                <w:tcPr>
                  <w:tcW w:w="1542" w:type="pct"/>
                  <w:shd w:val="clear" w:color="auto" w:fill="auto"/>
                  <w:vAlign w:val="center"/>
                </w:tcPr>
                <w:p w14:paraId="311CAD48">
                  <w:pPr>
                    <w:spacing w:line="280" w:lineRule="exact"/>
                    <w:jc w:val="center"/>
                    <w:rPr>
                      <w:kern w:val="24"/>
                      <w:szCs w:val="21"/>
                    </w:rPr>
                  </w:pPr>
                  <w:r>
                    <w:rPr>
                      <w:kern w:val="24"/>
                      <w:szCs w:val="21"/>
                    </w:rPr>
                    <w:t>本项目不在自然保护区核心区、缓冲区的岸线和河段范围内和风景名胜区核心景区的岸线和河段范围内</w:t>
                  </w:r>
                </w:p>
              </w:tc>
              <w:tc>
                <w:tcPr>
                  <w:tcW w:w="507" w:type="pct"/>
                  <w:vAlign w:val="center"/>
                </w:tcPr>
                <w:p w14:paraId="577AAD04">
                  <w:pPr>
                    <w:spacing w:line="280" w:lineRule="exact"/>
                    <w:jc w:val="center"/>
                    <w:rPr>
                      <w:kern w:val="24"/>
                      <w:szCs w:val="21"/>
                    </w:rPr>
                  </w:pPr>
                  <w:r>
                    <w:rPr>
                      <w:kern w:val="24"/>
                      <w:szCs w:val="21"/>
                    </w:rPr>
                    <w:t>相符</w:t>
                  </w:r>
                </w:p>
              </w:tc>
            </w:tr>
            <w:tr w14:paraId="37C7A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4A53072B">
                  <w:pPr>
                    <w:spacing w:line="280" w:lineRule="exact"/>
                    <w:jc w:val="center"/>
                    <w:rPr>
                      <w:kern w:val="24"/>
                      <w:szCs w:val="21"/>
                    </w:rPr>
                  </w:pPr>
                  <w:r>
                    <w:rPr>
                      <w:kern w:val="24"/>
                      <w:szCs w:val="21"/>
                    </w:rPr>
                    <w:t>3</w:t>
                  </w:r>
                </w:p>
              </w:tc>
              <w:tc>
                <w:tcPr>
                  <w:tcW w:w="2580" w:type="pct"/>
                  <w:shd w:val="clear" w:color="auto" w:fill="auto"/>
                  <w:vAlign w:val="center"/>
                </w:tcPr>
                <w:p w14:paraId="15199B10">
                  <w:pPr>
                    <w:spacing w:line="280" w:lineRule="exact"/>
                    <w:rPr>
                      <w:kern w:val="24"/>
                      <w:szCs w:val="21"/>
                    </w:rPr>
                  </w:pPr>
                  <w:r>
                    <w:rPr>
                      <w:kern w:val="24"/>
                      <w:szCs w:val="21"/>
                    </w:rPr>
                    <w:t>禁止在饮用水水源一级保护区的岸线和河段范围内新建、改建、扩建与供水设施和保护水源无关的项目，以及网箱养殖、</w:t>
                  </w:r>
                  <w:r>
                    <w:rPr>
                      <w:rFonts w:hint="eastAsia"/>
                      <w:kern w:val="24"/>
                      <w:szCs w:val="21"/>
                    </w:rPr>
                    <w:t>畜禽养殖、</w:t>
                  </w:r>
                  <w:r>
                    <w:rPr>
                      <w:kern w:val="24"/>
                      <w:szCs w:val="21"/>
                    </w:rPr>
                    <w:t>旅游等可能污染饮用水水体的投资建设项目。禁止在饮用水水源二级保护区的岸线和河段范围内新建、改建、扩建排放污染物的投资建设项目</w:t>
                  </w:r>
                </w:p>
              </w:tc>
              <w:tc>
                <w:tcPr>
                  <w:tcW w:w="1542" w:type="pct"/>
                  <w:shd w:val="clear" w:color="auto" w:fill="auto"/>
                  <w:vAlign w:val="center"/>
                </w:tcPr>
                <w:p w14:paraId="692904F8">
                  <w:pPr>
                    <w:spacing w:line="280" w:lineRule="exact"/>
                    <w:jc w:val="center"/>
                    <w:rPr>
                      <w:kern w:val="24"/>
                      <w:szCs w:val="21"/>
                    </w:rPr>
                  </w:pPr>
                  <w:r>
                    <w:rPr>
                      <w:kern w:val="24"/>
                      <w:szCs w:val="21"/>
                    </w:rPr>
                    <w:t>本项目不在饮用水水源一级保护区的岸线和河段范围内和饮用水水源二级保护区的岸线和河段范围内</w:t>
                  </w:r>
                </w:p>
              </w:tc>
              <w:tc>
                <w:tcPr>
                  <w:tcW w:w="507" w:type="pct"/>
                  <w:vAlign w:val="center"/>
                </w:tcPr>
                <w:p w14:paraId="6F889BBB">
                  <w:pPr>
                    <w:spacing w:line="280" w:lineRule="exact"/>
                    <w:jc w:val="center"/>
                    <w:rPr>
                      <w:kern w:val="24"/>
                      <w:szCs w:val="21"/>
                    </w:rPr>
                  </w:pPr>
                  <w:r>
                    <w:rPr>
                      <w:kern w:val="24"/>
                      <w:szCs w:val="21"/>
                    </w:rPr>
                    <w:t>相符</w:t>
                  </w:r>
                </w:p>
              </w:tc>
            </w:tr>
            <w:tr w14:paraId="09379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7FCAAB94">
                  <w:pPr>
                    <w:spacing w:line="280" w:lineRule="exact"/>
                    <w:jc w:val="center"/>
                    <w:rPr>
                      <w:kern w:val="24"/>
                      <w:szCs w:val="21"/>
                    </w:rPr>
                  </w:pPr>
                  <w:r>
                    <w:rPr>
                      <w:kern w:val="24"/>
                      <w:szCs w:val="21"/>
                    </w:rPr>
                    <w:t>4</w:t>
                  </w:r>
                </w:p>
              </w:tc>
              <w:tc>
                <w:tcPr>
                  <w:tcW w:w="2580" w:type="pct"/>
                  <w:shd w:val="clear" w:color="auto" w:fill="auto"/>
                  <w:vAlign w:val="center"/>
                </w:tcPr>
                <w:p w14:paraId="43163481">
                  <w:pPr>
                    <w:spacing w:line="280" w:lineRule="exact"/>
                    <w:rPr>
                      <w:kern w:val="24"/>
                      <w:szCs w:val="21"/>
                    </w:rPr>
                  </w:pPr>
                  <w:r>
                    <w:rPr>
                      <w:kern w:val="24"/>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542" w:type="pct"/>
                  <w:shd w:val="clear" w:color="auto" w:fill="auto"/>
                  <w:vAlign w:val="center"/>
                </w:tcPr>
                <w:p w14:paraId="1B34B0C7">
                  <w:pPr>
                    <w:spacing w:line="280" w:lineRule="exact"/>
                    <w:jc w:val="center"/>
                    <w:rPr>
                      <w:kern w:val="24"/>
                      <w:szCs w:val="21"/>
                    </w:rPr>
                  </w:pPr>
                  <w:r>
                    <w:rPr>
                      <w:kern w:val="24"/>
                      <w:szCs w:val="21"/>
                    </w:rPr>
                    <w:t>本项目不在水产种质资源保护区的岸线和河段范围内和国家湿地公园的岸线和河段范围内</w:t>
                  </w:r>
                </w:p>
              </w:tc>
              <w:tc>
                <w:tcPr>
                  <w:tcW w:w="507" w:type="pct"/>
                  <w:vAlign w:val="center"/>
                </w:tcPr>
                <w:p w14:paraId="4D8C927E">
                  <w:pPr>
                    <w:spacing w:line="280" w:lineRule="exact"/>
                    <w:jc w:val="center"/>
                    <w:rPr>
                      <w:kern w:val="24"/>
                      <w:szCs w:val="21"/>
                    </w:rPr>
                  </w:pPr>
                  <w:r>
                    <w:rPr>
                      <w:kern w:val="24"/>
                      <w:szCs w:val="21"/>
                    </w:rPr>
                    <w:t>相符</w:t>
                  </w:r>
                </w:p>
              </w:tc>
            </w:tr>
            <w:tr w14:paraId="70847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04DC217E">
                  <w:pPr>
                    <w:spacing w:line="280" w:lineRule="exact"/>
                    <w:jc w:val="center"/>
                    <w:rPr>
                      <w:kern w:val="24"/>
                      <w:szCs w:val="21"/>
                    </w:rPr>
                  </w:pPr>
                  <w:r>
                    <w:rPr>
                      <w:kern w:val="24"/>
                      <w:szCs w:val="21"/>
                    </w:rPr>
                    <w:t>5</w:t>
                  </w:r>
                </w:p>
              </w:tc>
              <w:tc>
                <w:tcPr>
                  <w:tcW w:w="2580" w:type="pct"/>
                  <w:shd w:val="clear" w:color="auto" w:fill="auto"/>
                  <w:vAlign w:val="center"/>
                </w:tcPr>
                <w:p w14:paraId="42890121">
                  <w:pPr>
                    <w:spacing w:line="280" w:lineRule="exact"/>
                    <w:rPr>
                      <w:kern w:val="24"/>
                      <w:szCs w:val="21"/>
                    </w:rPr>
                  </w:pPr>
                  <w:r>
                    <w:rPr>
                      <w:rFonts w:hint="eastAsia"/>
                      <w:kern w:val="24"/>
                      <w:szCs w:val="21"/>
                    </w:rPr>
                    <w:t>禁止违法占用、利用长江流域河湖岸线。</w:t>
                  </w:r>
                  <w:r>
                    <w:rPr>
                      <w:kern w:val="24"/>
                      <w:szCs w:val="21"/>
                    </w:rPr>
                    <w:t>禁止在《长江岸线保护和开发利用总体规划》划定的岸线保护区</w:t>
                  </w:r>
                  <w:r>
                    <w:rPr>
                      <w:rFonts w:hint="eastAsia"/>
                      <w:kern w:val="24"/>
                      <w:szCs w:val="21"/>
                    </w:rPr>
                    <w:t>和保留区</w:t>
                  </w:r>
                  <w:r>
                    <w:rPr>
                      <w:kern w:val="24"/>
                      <w:szCs w:val="21"/>
                    </w:rPr>
                    <w:t>内投资建设除</w:t>
                  </w:r>
                  <w:r>
                    <w:rPr>
                      <w:rFonts w:hint="eastAsia"/>
                      <w:kern w:val="24"/>
                      <w:szCs w:val="21"/>
                    </w:rPr>
                    <w:t>事关公共安全及公众利益的防洪护岸、河道治理供水、生态环保航道整治、国家重要基础设施以外的项目</w:t>
                  </w:r>
                  <w:r>
                    <w:rPr>
                      <w:kern w:val="24"/>
                      <w:szCs w:val="21"/>
                    </w:rPr>
                    <w:t>。禁止在《全国重要江河湖泊水功能区划》划定的河段保护区、保留区内投资建设不利于水资源及自然生态保护的项目</w:t>
                  </w:r>
                </w:p>
              </w:tc>
              <w:tc>
                <w:tcPr>
                  <w:tcW w:w="1542" w:type="pct"/>
                  <w:shd w:val="clear" w:color="auto" w:fill="auto"/>
                  <w:vAlign w:val="center"/>
                </w:tcPr>
                <w:p w14:paraId="4B37248C">
                  <w:pPr>
                    <w:spacing w:line="280" w:lineRule="exact"/>
                    <w:jc w:val="center"/>
                    <w:rPr>
                      <w:kern w:val="24"/>
                      <w:szCs w:val="21"/>
                    </w:rPr>
                  </w:pPr>
                  <w:r>
                    <w:rPr>
                      <w:kern w:val="24"/>
                      <w:szCs w:val="21"/>
                    </w:rPr>
                    <w:t>本项目不在《长江岸线保护和开发利用总体规划》划定的岸线保护区内和《全国重要江河湖泊水功能区划》划定的河段保护区、保留区内</w:t>
                  </w:r>
                </w:p>
              </w:tc>
              <w:tc>
                <w:tcPr>
                  <w:tcW w:w="507" w:type="pct"/>
                  <w:vAlign w:val="center"/>
                </w:tcPr>
                <w:p w14:paraId="262C69EF">
                  <w:pPr>
                    <w:spacing w:line="280" w:lineRule="exact"/>
                    <w:jc w:val="center"/>
                    <w:rPr>
                      <w:kern w:val="24"/>
                      <w:szCs w:val="21"/>
                    </w:rPr>
                  </w:pPr>
                  <w:r>
                    <w:rPr>
                      <w:kern w:val="24"/>
                      <w:szCs w:val="21"/>
                    </w:rPr>
                    <w:t>相符</w:t>
                  </w:r>
                </w:p>
              </w:tc>
            </w:tr>
            <w:tr w14:paraId="10561E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2E29A190">
                  <w:pPr>
                    <w:spacing w:line="280" w:lineRule="exact"/>
                    <w:jc w:val="center"/>
                    <w:rPr>
                      <w:kern w:val="24"/>
                      <w:szCs w:val="21"/>
                    </w:rPr>
                  </w:pPr>
                  <w:r>
                    <w:rPr>
                      <w:rFonts w:hint="eastAsia"/>
                      <w:kern w:val="24"/>
                      <w:szCs w:val="21"/>
                    </w:rPr>
                    <w:t>6</w:t>
                  </w:r>
                </w:p>
              </w:tc>
              <w:tc>
                <w:tcPr>
                  <w:tcW w:w="2580" w:type="pct"/>
                  <w:shd w:val="clear" w:color="auto" w:fill="auto"/>
                  <w:vAlign w:val="center"/>
                </w:tcPr>
                <w:p w14:paraId="6C338A14">
                  <w:pPr>
                    <w:spacing w:line="280" w:lineRule="exact"/>
                    <w:rPr>
                      <w:kern w:val="24"/>
                      <w:szCs w:val="21"/>
                    </w:rPr>
                  </w:pPr>
                  <w:r>
                    <w:rPr>
                      <w:rFonts w:hint="eastAsia"/>
                      <w:kern w:val="24"/>
                      <w:szCs w:val="21"/>
                    </w:rPr>
                    <w:t>禁止未经许可在长江干支流及湖泊新设、改设或扩大排污口</w:t>
                  </w:r>
                </w:p>
              </w:tc>
              <w:tc>
                <w:tcPr>
                  <w:tcW w:w="1542" w:type="pct"/>
                  <w:shd w:val="clear" w:color="auto" w:fill="auto"/>
                  <w:vAlign w:val="center"/>
                </w:tcPr>
                <w:p w14:paraId="0DC1B8B0">
                  <w:pPr>
                    <w:spacing w:line="280" w:lineRule="exact"/>
                    <w:jc w:val="center"/>
                    <w:rPr>
                      <w:kern w:val="24"/>
                      <w:szCs w:val="21"/>
                    </w:rPr>
                  </w:pPr>
                  <w:r>
                    <w:rPr>
                      <w:rFonts w:hint="eastAsia"/>
                      <w:kern w:val="24"/>
                      <w:szCs w:val="21"/>
                    </w:rPr>
                    <w:t>本项目不涉及新设、改设或扩大排污口</w:t>
                  </w:r>
                </w:p>
              </w:tc>
              <w:tc>
                <w:tcPr>
                  <w:tcW w:w="507" w:type="pct"/>
                  <w:vAlign w:val="center"/>
                </w:tcPr>
                <w:p w14:paraId="2270E9A6">
                  <w:pPr>
                    <w:spacing w:line="280" w:lineRule="exact"/>
                    <w:jc w:val="center"/>
                    <w:rPr>
                      <w:kern w:val="24"/>
                      <w:szCs w:val="21"/>
                    </w:rPr>
                  </w:pPr>
                  <w:r>
                    <w:rPr>
                      <w:kern w:val="24"/>
                      <w:szCs w:val="21"/>
                    </w:rPr>
                    <w:t>相符</w:t>
                  </w:r>
                </w:p>
              </w:tc>
            </w:tr>
            <w:tr w14:paraId="0B531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286DD95D">
                  <w:pPr>
                    <w:spacing w:line="280" w:lineRule="exact"/>
                    <w:jc w:val="center"/>
                    <w:rPr>
                      <w:kern w:val="24"/>
                      <w:szCs w:val="21"/>
                    </w:rPr>
                  </w:pPr>
                  <w:r>
                    <w:rPr>
                      <w:rFonts w:hint="eastAsia"/>
                      <w:kern w:val="24"/>
                      <w:szCs w:val="21"/>
                    </w:rPr>
                    <w:t>7</w:t>
                  </w:r>
                </w:p>
              </w:tc>
              <w:tc>
                <w:tcPr>
                  <w:tcW w:w="2580" w:type="pct"/>
                  <w:shd w:val="clear" w:color="auto" w:fill="auto"/>
                  <w:vAlign w:val="center"/>
                </w:tcPr>
                <w:p w14:paraId="6E46AE6D">
                  <w:pPr>
                    <w:spacing w:line="280" w:lineRule="exact"/>
                    <w:rPr>
                      <w:kern w:val="24"/>
                      <w:szCs w:val="21"/>
                    </w:rPr>
                  </w:pPr>
                  <w:r>
                    <w:rPr>
                      <w:rFonts w:hint="eastAsia"/>
                      <w:kern w:val="24"/>
                      <w:szCs w:val="21"/>
                    </w:rPr>
                    <w:t>禁止在“一江一口两湖七河”和3</w:t>
                  </w:r>
                  <w:r>
                    <w:rPr>
                      <w:kern w:val="24"/>
                      <w:szCs w:val="21"/>
                    </w:rPr>
                    <w:t>32</w:t>
                  </w:r>
                  <w:r>
                    <w:rPr>
                      <w:rFonts w:hint="eastAsia"/>
                      <w:kern w:val="24"/>
                      <w:szCs w:val="21"/>
                    </w:rPr>
                    <w:t>个水生生物保护区开展生产线捕捞</w:t>
                  </w:r>
                </w:p>
              </w:tc>
              <w:tc>
                <w:tcPr>
                  <w:tcW w:w="1542" w:type="pct"/>
                  <w:shd w:val="clear" w:color="auto" w:fill="auto"/>
                  <w:vAlign w:val="center"/>
                </w:tcPr>
                <w:p w14:paraId="60E9E3BC">
                  <w:pPr>
                    <w:spacing w:line="280" w:lineRule="exact"/>
                    <w:jc w:val="center"/>
                    <w:rPr>
                      <w:kern w:val="24"/>
                      <w:szCs w:val="21"/>
                    </w:rPr>
                  </w:pPr>
                  <w:r>
                    <w:rPr>
                      <w:rFonts w:hint="eastAsia"/>
                      <w:kern w:val="24"/>
                      <w:szCs w:val="21"/>
                    </w:rPr>
                    <w:t>本项目不属于生产线捕捞</w:t>
                  </w:r>
                </w:p>
              </w:tc>
              <w:tc>
                <w:tcPr>
                  <w:tcW w:w="507" w:type="pct"/>
                  <w:vAlign w:val="center"/>
                </w:tcPr>
                <w:p w14:paraId="240D2CCE">
                  <w:pPr>
                    <w:spacing w:line="280" w:lineRule="exact"/>
                    <w:jc w:val="center"/>
                    <w:rPr>
                      <w:kern w:val="24"/>
                      <w:szCs w:val="21"/>
                    </w:rPr>
                  </w:pPr>
                  <w:r>
                    <w:rPr>
                      <w:kern w:val="24"/>
                      <w:szCs w:val="21"/>
                    </w:rPr>
                    <w:t>相符</w:t>
                  </w:r>
                </w:p>
              </w:tc>
            </w:tr>
            <w:tr w14:paraId="5A48C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3988A3AC">
                  <w:pPr>
                    <w:spacing w:line="280" w:lineRule="exact"/>
                    <w:jc w:val="center"/>
                    <w:rPr>
                      <w:kern w:val="24"/>
                      <w:szCs w:val="21"/>
                    </w:rPr>
                  </w:pPr>
                  <w:r>
                    <w:rPr>
                      <w:rFonts w:hint="eastAsia"/>
                      <w:kern w:val="24"/>
                      <w:szCs w:val="21"/>
                    </w:rPr>
                    <w:t>8</w:t>
                  </w:r>
                </w:p>
              </w:tc>
              <w:tc>
                <w:tcPr>
                  <w:tcW w:w="2580" w:type="pct"/>
                  <w:shd w:val="clear" w:color="auto" w:fill="auto"/>
                  <w:vAlign w:val="center"/>
                </w:tcPr>
                <w:p w14:paraId="5B395793">
                  <w:pPr>
                    <w:spacing w:line="280" w:lineRule="exact"/>
                    <w:rPr>
                      <w:kern w:val="24"/>
                      <w:szCs w:val="21"/>
                    </w:rPr>
                  </w:pPr>
                  <w:r>
                    <w:rPr>
                      <w:rFonts w:hint="eastAsia"/>
                      <w:kern w:val="24"/>
                      <w:szCs w:val="21"/>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542" w:type="pct"/>
                  <w:shd w:val="clear" w:color="auto" w:fill="auto"/>
                  <w:vAlign w:val="center"/>
                </w:tcPr>
                <w:p w14:paraId="34288E71">
                  <w:pPr>
                    <w:spacing w:line="280" w:lineRule="exact"/>
                    <w:jc w:val="center"/>
                    <w:rPr>
                      <w:kern w:val="24"/>
                      <w:szCs w:val="21"/>
                    </w:rPr>
                  </w:pPr>
                  <w:r>
                    <w:rPr>
                      <w:rFonts w:hint="eastAsia"/>
                      <w:kern w:val="24"/>
                      <w:szCs w:val="21"/>
                    </w:rPr>
                    <w:t>本项目不属于化工项目，不属于涉及尾矿库、冶炼渣库和磷石膏库的建设</w:t>
                  </w:r>
                </w:p>
              </w:tc>
              <w:tc>
                <w:tcPr>
                  <w:tcW w:w="507" w:type="pct"/>
                  <w:vAlign w:val="center"/>
                </w:tcPr>
                <w:p w14:paraId="358EAFD6">
                  <w:pPr>
                    <w:spacing w:line="280" w:lineRule="exact"/>
                    <w:jc w:val="center"/>
                    <w:rPr>
                      <w:kern w:val="24"/>
                      <w:szCs w:val="21"/>
                    </w:rPr>
                  </w:pPr>
                  <w:r>
                    <w:rPr>
                      <w:kern w:val="24"/>
                      <w:szCs w:val="21"/>
                    </w:rPr>
                    <w:t>相符</w:t>
                  </w:r>
                </w:p>
              </w:tc>
            </w:tr>
            <w:tr w14:paraId="323FA7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7FDCB9B8">
                  <w:pPr>
                    <w:spacing w:line="280" w:lineRule="exact"/>
                    <w:jc w:val="center"/>
                    <w:rPr>
                      <w:kern w:val="24"/>
                      <w:szCs w:val="21"/>
                    </w:rPr>
                  </w:pPr>
                  <w:r>
                    <w:rPr>
                      <w:rFonts w:hint="eastAsia"/>
                      <w:kern w:val="24"/>
                      <w:szCs w:val="21"/>
                    </w:rPr>
                    <w:t>9</w:t>
                  </w:r>
                </w:p>
              </w:tc>
              <w:tc>
                <w:tcPr>
                  <w:tcW w:w="2580" w:type="pct"/>
                  <w:shd w:val="clear" w:color="auto" w:fill="auto"/>
                  <w:vAlign w:val="center"/>
                </w:tcPr>
                <w:p w14:paraId="2ED9A601">
                  <w:pPr>
                    <w:spacing w:line="280" w:lineRule="exact"/>
                    <w:rPr>
                      <w:kern w:val="24"/>
                      <w:szCs w:val="21"/>
                    </w:rPr>
                  </w:pPr>
                  <w:r>
                    <w:rPr>
                      <w:rFonts w:hint="eastAsia"/>
                      <w:kern w:val="24"/>
                      <w:szCs w:val="21"/>
                    </w:rPr>
                    <w:t>禁止在合规园区外新建、扩建钢铁、石化、化工、焦化、建材、有色、制浆造纸等高污染项目</w:t>
                  </w:r>
                </w:p>
              </w:tc>
              <w:tc>
                <w:tcPr>
                  <w:tcW w:w="1542" w:type="pct"/>
                  <w:shd w:val="clear" w:color="auto" w:fill="auto"/>
                  <w:vAlign w:val="center"/>
                </w:tcPr>
                <w:p w14:paraId="1F0E9805">
                  <w:pPr>
                    <w:spacing w:line="280" w:lineRule="exact"/>
                    <w:jc w:val="center"/>
                    <w:rPr>
                      <w:kern w:val="24"/>
                      <w:szCs w:val="21"/>
                    </w:rPr>
                  </w:pPr>
                  <w:r>
                    <w:rPr>
                      <w:rFonts w:hint="eastAsia"/>
                      <w:kern w:val="24"/>
                      <w:szCs w:val="21"/>
                    </w:rPr>
                    <w:t>本项目不属于钢铁、石化、化工、焦化、建材、有色、制浆造纸等高污染项目</w:t>
                  </w:r>
                </w:p>
              </w:tc>
              <w:tc>
                <w:tcPr>
                  <w:tcW w:w="507" w:type="pct"/>
                  <w:vAlign w:val="center"/>
                </w:tcPr>
                <w:p w14:paraId="37A218AA">
                  <w:pPr>
                    <w:spacing w:line="280" w:lineRule="exact"/>
                    <w:jc w:val="center"/>
                    <w:rPr>
                      <w:kern w:val="24"/>
                      <w:szCs w:val="21"/>
                    </w:rPr>
                  </w:pPr>
                  <w:r>
                    <w:rPr>
                      <w:kern w:val="24"/>
                      <w:szCs w:val="21"/>
                    </w:rPr>
                    <w:t>相符</w:t>
                  </w:r>
                </w:p>
              </w:tc>
            </w:tr>
            <w:tr w14:paraId="39099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580EC242">
                  <w:pPr>
                    <w:spacing w:line="280" w:lineRule="exact"/>
                    <w:jc w:val="center"/>
                    <w:rPr>
                      <w:kern w:val="24"/>
                      <w:szCs w:val="21"/>
                    </w:rPr>
                  </w:pPr>
                  <w:r>
                    <w:rPr>
                      <w:rFonts w:hint="eastAsia"/>
                      <w:kern w:val="24"/>
                      <w:szCs w:val="21"/>
                    </w:rPr>
                    <w:t>1</w:t>
                  </w:r>
                  <w:r>
                    <w:rPr>
                      <w:kern w:val="24"/>
                      <w:szCs w:val="21"/>
                    </w:rPr>
                    <w:t>0</w:t>
                  </w:r>
                </w:p>
              </w:tc>
              <w:tc>
                <w:tcPr>
                  <w:tcW w:w="2580" w:type="pct"/>
                  <w:shd w:val="clear" w:color="auto" w:fill="auto"/>
                  <w:vAlign w:val="center"/>
                </w:tcPr>
                <w:p w14:paraId="00F4A5CB">
                  <w:pPr>
                    <w:spacing w:line="280" w:lineRule="exact"/>
                    <w:rPr>
                      <w:kern w:val="24"/>
                      <w:szCs w:val="21"/>
                    </w:rPr>
                  </w:pPr>
                  <w:r>
                    <w:rPr>
                      <w:kern w:val="24"/>
                      <w:szCs w:val="21"/>
                    </w:rPr>
                    <w:t>禁止新建、扩建不符合国家石化、现代煤化工等产业布局规划的项目</w:t>
                  </w:r>
                </w:p>
              </w:tc>
              <w:tc>
                <w:tcPr>
                  <w:tcW w:w="1542" w:type="pct"/>
                  <w:shd w:val="clear" w:color="auto" w:fill="auto"/>
                  <w:vAlign w:val="center"/>
                </w:tcPr>
                <w:p w14:paraId="4E03FF0F">
                  <w:pPr>
                    <w:spacing w:line="280" w:lineRule="exact"/>
                    <w:jc w:val="center"/>
                    <w:rPr>
                      <w:kern w:val="24"/>
                      <w:szCs w:val="21"/>
                    </w:rPr>
                  </w:pPr>
                  <w:r>
                    <w:rPr>
                      <w:kern w:val="24"/>
                      <w:szCs w:val="21"/>
                    </w:rPr>
                    <w:t>本项目不属于石化、现代煤化工等项目</w:t>
                  </w:r>
                </w:p>
              </w:tc>
              <w:tc>
                <w:tcPr>
                  <w:tcW w:w="507" w:type="pct"/>
                  <w:vAlign w:val="center"/>
                </w:tcPr>
                <w:p w14:paraId="629A2EDB">
                  <w:pPr>
                    <w:spacing w:line="280" w:lineRule="exact"/>
                    <w:jc w:val="center"/>
                    <w:rPr>
                      <w:kern w:val="24"/>
                      <w:szCs w:val="21"/>
                    </w:rPr>
                  </w:pPr>
                  <w:r>
                    <w:rPr>
                      <w:kern w:val="24"/>
                      <w:szCs w:val="21"/>
                    </w:rPr>
                    <w:t>相符</w:t>
                  </w:r>
                </w:p>
              </w:tc>
            </w:tr>
            <w:tr w14:paraId="1F5ED1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14:paraId="562676AF">
                  <w:pPr>
                    <w:spacing w:line="280" w:lineRule="exact"/>
                    <w:jc w:val="center"/>
                    <w:rPr>
                      <w:kern w:val="24"/>
                      <w:szCs w:val="21"/>
                    </w:rPr>
                  </w:pPr>
                  <w:r>
                    <w:rPr>
                      <w:rFonts w:hint="eastAsia"/>
                      <w:kern w:val="24"/>
                      <w:szCs w:val="21"/>
                    </w:rPr>
                    <w:t>1</w:t>
                  </w:r>
                  <w:r>
                    <w:rPr>
                      <w:kern w:val="24"/>
                      <w:szCs w:val="21"/>
                    </w:rPr>
                    <w:t>1</w:t>
                  </w:r>
                </w:p>
              </w:tc>
              <w:tc>
                <w:tcPr>
                  <w:tcW w:w="2580" w:type="pct"/>
                  <w:shd w:val="clear" w:color="auto" w:fill="auto"/>
                  <w:vAlign w:val="center"/>
                </w:tcPr>
                <w:p w14:paraId="74333736">
                  <w:pPr>
                    <w:spacing w:line="280" w:lineRule="exact"/>
                    <w:rPr>
                      <w:kern w:val="24"/>
                      <w:szCs w:val="21"/>
                    </w:rPr>
                  </w:pPr>
                  <w:r>
                    <w:rPr>
                      <w:rFonts w:hint="eastAsia"/>
                      <w:kern w:val="24"/>
                      <w:szCs w:val="21"/>
                    </w:rPr>
                    <w:t>禁止新建、扩建法律法规和相关政策明令禁止的落后产能项目。禁止新建、扩建不符合国家产能置换要求的严重过剩产能行业的项目。禁止新建、扩建不符合要求的高耗能高排放项目</w:t>
                  </w:r>
                </w:p>
              </w:tc>
              <w:tc>
                <w:tcPr>
                  <w:tcW w:w="1542" w:type="pct"/>
                  <w:shd w:val="clear" w:color="auto" w:fill="auto"/>
                  <w:vAlign w:val="center"/>
                </w:tcPr>
                <w:p w14:paraId="26ECBEF4">
                  <w:pPr>
                    <w:spacing w:line="280" w:lineRule="exact"/>
                    <w:jc w:val="center"/>
                    <w:rPr>
                      <w:spacing w:val="-2"/>
                      <w:kern w:val="24"/>
                      <w:szCs w:val="21"/>
                    </w:rPr>
                  </w:pPr>
                  <w:r>
                    <w:rPr>
                      <w:spacing w:val="-2"/>
                      <w:kern w:val="24"/>
                      <w:szCs w:val="21"/>
                    </w:rPr>
                    <w:t>对照</w:t>
                  </w:r>
                  <w:r>
                    <w:rPr>
                      <w:rFonts w:hAnsi="宋体"/>
                      <w:kern w:val="24"/>
                      <w:szCs w:val="21"/>
                    </w:rPr>
                    <w:t>《产业结构调整指导目录</w:t>
                  </w:r>
                  <w:r>
                    <w:rPr>
                      <w:szCs w:val="21"/>
                    </w:rPr>
                    <w:t>（</w:t>
                  </w:r>
                  <w:r>
                    <w:rPr>
                      <w:rFonts w:hint="eastAsia"/>
                      <w:szCs w:val="21"/>
                    </w:rPr>
                    <w:t>2024</w:t>
                  </w:r>
                  <w:r>
                    <w:rPr>
                      <w:szCs w:val="21"/>
                    </w:rPr>
                    <w:t>年本）</w:t>
                  </w:r>
                  <w:r>
                    <w:rPr>
                      <w:rFonts w:hAnsi="宋体"/>
                      <w:kern w:val="24"/>
                      <w:szCs w:val="21"/>
                    </w:rPr>
                    <w:t>》</w:t>
                  </w:r>
                  <w:r>
                    <w:rPr>
                      <w:spacing w:val="-2"/>
                      <w:kern w:val="24"/>
                      <w:szCs w:val="21"/>
                    </w:rPr>
                    <w:t>，本项目不属于鼓励类，也非限制类和淘汰类，为允许类，因此，本项目的建设符合国家的产业结构调整指导目录要求</w:t>
                  </w:r>
                </w:p>
              </w:tc>
              <w:tc>
                <w:tcPr>
                  <w:tcW w:w="507" w:type="pct"/>
                  <w:vAlign w:val="center"/>
                </w:tcPr>
                <w:p w14:paraId="531A8414">
                  <w:pPr>
                    <w:spacing w:line="280" w:lineRule="exact"/>
                    <w:jc w:val="center"/>
                    <w:rPr>
                      <w:kern w:val="24"/>
                      <w:szCs w:val="21"/>
                    </w:rPr>
                  </w:pPr>
                  <w:r>
                    <w:rPr>
                      <w:kern w:val="24"/>
                      <w:szCs w:val="21"/>
                    </w:rPr>
                    <w:t>相符</w:t>
                  </w:r>
                </w:p>
              </w:tc>
            </w:tr>
          </w:tbl>
          <w:p w14:paraId="30F280DD">
            <w:pPr>
              <w:pStyle w:val="3"/>
              <w:spacing w:before="0" w:after="0" w:line="360" w:lineRule="auto"/>
              <w:ind w:right="0" w:firstLine="482" w:firstLineChars="200"/>
              <w:jc w:val="left"/>
              <w:rPr>
                <w:b/>
                <w:bCs/>
                <w:sz w:val="24"/>
              </w:rPr>
            </w:pPr>
          </w:p>
          <w:p w14:paraId="0505E04E">
            <w:pPr>
              <w:pStyle w:val="3"/>
              <w:spacing w:before="0" w:after="0" w:line="360" w:lineRule="auto"/>
              <w:ind w:right="0" w:firstLine="482" w:firstLineChars="200"/>
              <w:jc w:val="left"/>
              <w:rPr>
                <w:b/>
                <w:bCs/>
                <w:sz w:val="24"/>
              </w:rPr>
            </w:pPr>
            <w:r>
              <w:rPr>
                <w:rFonts w:hint="eastAsia"/>
                <w:b/>
                <w:bCs/>
                <w:sz w:val="24"/>
              </w:rPr>
              <w:t>7</w:t>
            </w:r>
            <w:r>
              <w:rPr>
                <w:b/>
                <w:bCs/>
                <w:sz w:val="24"/>
              </w:rPr>
              <w:t>、与《安徽省大气办关于深入开展挥发性有机物污染治理工作的通知》（皖大气办[2021]4号）、《芜湖市2021年挥发性有机物污染治理攻坚行动方案》（芜大气办[2021]7号）、《安徽省2022年大气污染防治工作要点》（安环委办〔2022〕37号）的通知、关于印发《安徽省低挥发性有机物含量原辅材料替代工作方案》的通知（皖环发[2024]1号文）的相符性</w:t>
            </w:r>
          </w:p>
          <w:p w14:paraId="247E638F">
            <w:pPr>
              <w:adjustRightInd w:val="0"/>
              <w:snapToGrid w:val="0"/>
              <w:jc w:val="center"/>
              <w:rPr>
                <w:b/>
                <w:bCs/>
                <w:sz w:val="24"/>
              </w:rPr>
            </w:pPr>
            <w:r>
              <w:rPr>
                <w:b/>
                <w:bCs/>
                <w:sz w:val="24"/>
              </w:rPr>
              <w:t>表1-</w:t>
            </w:r>
            <w:r>
              <w:rPr>
                <w:rFonts w:hint="eastAsia"/>
                <w:b/>
                <w:bCs/>
                <w:sz w:val="24"/>
              </w:rPr>
              <w:t xml:space="preserve">8 </w:t>
            </w:r>
            <w:r>
              <w:rPr>
                <w:b/>
                <w:bCs/>
                <w:sz w:val="24"/>
              </w:rPr>
              <w:t>与皖大气办[2021]4 号文、芜大气办[2021]7 号文、安环委办</w:t>
            </w:r>
          </w:p>
          <w:p w14:paraId="0FA0A354">
            <w:pPr>
              <w:adjustRightInd w:val="0"/>
              <w:snapToGrid w:val="0"/>
              <w:jc w:val="center"/>
              <w:rPr>
                <w:b/>
                <w:bCs/>
                <w:sz w:val="24"/>
              </w:rPr>
            </w:pPr>
            <w:r>
              <w:rPr>
                <w:b/>
                <w:bCs/>
                <w:sz w:val="24"/>
              </w:rPr>
              <w:t>〔2022〕37 号符合性分析</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11" w:type="dxa"/>
                <w:left w:w="28" w:type="dxa"/>
                <w:bottom w:w="11" w:type="dxa"/>
                <w:right w:w="28" w:type="dxa"/>
              </w:tblCellMar>
            </w:tblPr>
            <w:tblGrid>
              <w:gridCol w:w="562"/>
              <w:gridCol w:w="4343"/>
              <w:gridCol w:w="29"/>
              <w:gridCol w:w="2026"/>
              <w:gridCol w:w="702"/>
            </w:tblGrid>
            <w:tr w14:paraId="5C7D72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367" w:type="pct"/>
                  <w:tcBorders>
                    <w:tl2br w:val="nil"/>
                    <w:tr2bl w:val="nil"/>
                  </w:tcBorders>
                  <w:vAlign w:val="center"/>
                </w:tcPr>
                <w:p w14:paraId="1A4D6B14">
                  <w:pPr>
                    <w:adjustRightInd w:val="0"/>
                    <w:snapToGrid w:val="0"/>
                    <w:jc w:val="center"/>
                    <w:rPr>
                      <w:b/>
                      <w:bCs/>
                      <w:szCs w:val="21"/>
                    </w:rPr>
                  </w:pPr>
                  <w:r>
                    <w:rPr>
                      <w:b/>
                      <w:bCs/>
                      <w:szCs w:val="21"/>
                    </w:rPr>
                    <w:t>序号</w:t>
                  </w:r>
                </w:p>
              </w:tc>
              <w:tc>
                <w:tcPr>
                  <w:tcW w:w="2834" w:type="pct"/>
                  <w:tcBorders>
                    <w:tl2br w:val="nil"/>
                    <w:tr2bl w:val="nil"/>
                  </w:tcBorders>
                  <w:vAlign w:val="center"/>
                </w:tcPr>
                <w:p w14:paraId="0FE75105">
                  <w:pPr>
                    <w:adjustRightInd w:val="0"/>
                    <w:snapToGrid w:val="0"/>
                    <w:jc w:val="center"/>
                    <w:rPr>
                      <w:b/>
                      <w:bCs/>
                      <w:szCs w:val="21"/>
                    </w:rPr>
                  </w:pPr>
                  <w:r>
                    <w:rPr>
                      <w:b/>
                      <w:bCs/>
                      <w:szCs w:val="21"/>
                    </w:rPr>
                    <w:t>文件要求</w:t>
                  </w:r>
                </w:p>
              </w:tc>
              <w:tc>
                <w:tcPr>
                  <w:tcW w:w="1341" w:type="pct"/>
                  <w:gridSpan w:val="2"/>
                  <w:tcBorders>
                    <w:tl2br w:val="nil"/>
                    <w:tr2bl w:val="nil"/>
                  </w:tcBorders>
                  <w:vAlign w:val="center"/>
                </w:tcPr>
                <w:p w14:paraId="6DF7568D">
                  <w:pPr>
                    <w:adjustRightInd w:val="0"/>
                    <w:snapToGrid w:val="0"/>
                    <w:jc w:val="center"/>
                    <w:rPr>
                      <w:b/>
                      <w:bCs/>
                      <w:szCs w:val="21"/>
                    </w:rPr>
                  </w:pPr>
                  <w:r>
                    <w:rPr>
                      <w:b/>
                      <w:bCs/>
                      <w:szCs w:val="21"/>
                    </w:rPr>
                    <w:t>本项目情况</w:t>
                  </w:r>
                </w:p>
              </w:tc>
              <w:tc>
                <w:tcPr>
                  <w:tcW w:w="457" w:type="pct"/>
                  <w:tcBorders>
                    <w:tl2br w:val="nil"/>
                    <w:tr2bl w:val="nil"/>
                  </w:tcBorders>
                  <w:vAlign w:val="center"/>
                </w:tcPr>
                <w:p w14:paraId="02E44710">
                  <w:pPr>
                    <w:adjustRightInd w:val="0"/>
                    <w:snapToGrid w:val="0"/>
                    <w:jc w:val="center"/>
                    <w:rPr>
                      <w:b/>
                      <w:bCs/>
                      <w:szCs w:val="21"/>
                    </w:rPr>
                  </w:pPr>
                  <w:r>
                    <w:rPr>
                      <w:b/>
                      <w:bCs/>
                      <w:szCs w:val="21"/>
                    </w:rPr>
                    <w:t>相符性</w:t>
                  </w:r>
                </w:p>
              </w:tc>
            </w:tr>
            <w:tr w14:paraId="4DA1B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5000" w:type="pct"/>
                  <w:gridSpan w:val="5"/>
                  <w:tcBorders>
                    <w:tl2br w:val="nil"/>
                    <w:tr2bl w:val="nil"/>
                  </w:tcBorders>
                  <w:vAlign w:val="center"/>
                </w:tcPr>
                <w:p w14:paraId="6EC5DC59">
                  <w:pPr>
                    <w:adjustRightInd w:val="0"/>
                    <w:snapToGrid w:val="0"/>
                    <w:jc w:val="center"/>
                    <w:rPr>
                      <w:b/>
                      <w:bCs/>
                      <w:szCs w:val="21"/>
                    </w:rPr>
                  </w:pPr>
                  <w:r>
                    <w:rPr>
                      <w:rFonts w:hint="eastAsia"/>
                      <w:b/>
                      <w:bCs/>
                      <w:szCs w:val="21"/>
                    </w:rPr>
                    <w:t>《</w:t>
                  </w:r>
                  <w:r>
                    <w:rPr>
                      <w:b/>
                      <w:bCs/>
                      <w:szCs w:val="21"/>
                    </w:rPr>
                    <w:t>安徽省大气办关于深入开展挥发性有机物污染治理工作的通知》（皖大气办[2021]4号）</w:t>
                  </w:r>
                  <w:r>
                    <w:rPr>
                      <w:rFonts w:hint="eastAsia"/>
                      <w:b/>
                      <w:bCs/>
                      <w:szCs w:val="21"/>
                    </w:rPr>
                    <w:t>要求</w:t>
                  </w:r>
                </w:p>
              </w:tc>
            </w:tr>
            <w:tr w14:paraId="56C7E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367" w:type="pct"/>
                  <w:tcBorders>
                    <w:tl2br w:val="nil"/>
                    <w:tr2bl w:val="nil"/>
                  </w:tcBorders>
                  <w:vAlign w:val="center"/>
                </w:tcPr>
                <w:p w14:paraId="67750B27">
                  <w:pPr>
                    <w:adjustRightInd w:val="0"/>
                    <w:snapToGrid w:val="0"/>
                    <w:jc w:val="center"/>
                    <w:rPr>
                      <w:b/>
                      <w:bCs/>
                      <w:szCs w:val="21"/>
                    </w:rPr>
                  </w:pPr>
                  <w:r>
                    <w:rPr>
                      <w:rFonts w:hint="eastAsia"/>
                      <w:szCs w:val="21"/>
                    </w:rPr>
                    <w:t>1</w:t>
                  </w:r>
                </w:p>
              </w:tc>
              <w:tc>
                <w:tcPr>
                  <w:tcW w:w="2834" w:type="pct"/>
                  <w:tcBorders>
                    <w:tl2br w:val="nil"/>
                    <w:tr2bl w:val="nil"/>
                  </w:tcBorders>
                  <w:vAlign w:val="center"/>
                </w:tcPr>
                <w:p w14:paraId="5E70E5DD">
                  <w:pPr>
                    <w:adjustRightInd w:val="0"/>
                    <w:snapToGrid w:val="0"/>
                    <w:jc w:val="center"/>
                    <w:rPr>
                      <w:szCs w:val="21"/>
                    </w:rPr>
                  </w:pPr>
                  <w:r>
                    <w:rPr>
                      <w:szCs w:val="21"/>
                    </w:rPr>
                    <w:t>将控制挥发性有机物排放列入建设项目环境影响评价重要内容，严格环境准入，严控“两高” 行业新增产能。新建、迁建 VOCs排放量大的企业应入工业园区并符合规划要求，必须建设挥发性有机物污染治理设施，安装废气收集、回收或净化装置，原则上总净化效率不得低于 90%。建立 VOCs 排放总量控制制度</w:t>
                  </w:r>
                  <w:r>
                    <w:rPr>
                      <w:rFonts w:hint="eastAsia"/>
                      <w:szCs w:val="21"/>
                    </w:rPr>
                    <w:t>。</w:t>
                  </w:r>
                </w:p>
              </w:tc>
              <w:tc>
                <w:tcPr>
                  <w:tcW w:w="1341" w:type="pct"/>
                  <w:gridSpan w:val="2"/>
                  <w:tcBorders>
                    <w:tl2br w:val="nil"/>
                    <w:tr2bl w:val="nil"/>
                  </w:tcBorders>
                  <w:vAlign w:val="center"/>
                </w:tcPr>
                <w:p w14:paraId="542ABC64">
                  <w:pPr>
                    <w:adjustRightInd w:val="0"/>
                    <w:snapToGrid w:val="0"/>
                    <w:jc w:val="center"/>
                    <w:rPr>
                      <w:szCs w:val="21"/>
                    </w:rPr>
                  </w:pPr>
                  <w:r>
                    <w:rPr>
                      <w:szCs w:val="21"/>
                    </w:rPr>
                    <w:t>项目符合芜湖市经济技术开发区东区产业政策和规划要求。项目建设挥发性有机废气处理设施，有机挥发废气总净化效率不低于</w:t>
                  </w:r>
                </w:p>
                <w:p w14:paraId="04F4C824">
                  <w:pPr>
                    <w:adjustRightInd w:val="0"/>
                    <w:snapToGrid w:val="0"/>
                    <w:jc w:val="center"/>
                    <w:rPr>
                      <w:szCs w:val="21"/>
                    </w:rPr>
                  </w:pPr>
                  <w:r>
                    <w:rPr>
                      <w:szCs w:val="21"/>
                    </w:rPr>
                    <w:t>90%，项目实施总量控制制度。</w:t>
                  </w:r>
                </w:p>
              </w:tc>
              <w:tc>
                <w:tcPr>
                  <w:tcW w:w="457" w:type="pct"/>
                  <w:tcBorders>
                    <w:tl2br w:val="nil"/>
                    <w:tr2bl w:val="nil"/>
                  </w:tcBorders>
                  <w:vAlign w:val="center"/>
                </w:tcPr>
                <w:p w14:paraId="696D70D6">
                  <w:pPr>
                    <w:adjustRightInd w:val="0"/>
                    <w:snapToGrid w:val="0"/>
                    <w:jc w:val="center"/>
                    <w:rPr>
                      <w:szCs w:val="21"/>
                    </w:rPr>
                  </w:pPr>
                  <w:r>
                    <w:rPr>
                      <w:rFonts w:hint="eastAsia"/>
                      <w:szCs w:val="21"/>
                    </w:rPr>
                    <w:t>符合</w:t>
                  </w:r>
                </w:p>
              </w:tc>
            </w:tr>
            <w:tr w14:paraId="45D99A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367" w:type="pct"/>
                  <w:tcBorders>
                    <w:tl2br w:val="nil"/>
                    <w:tr2bl w:val="nil"/>
                  </w:tcBorders>
                  <w:vAlign w:val="center"/>
                </w:tcPr>
                <w:p w14:paraId="178FCA6C">
                  <w:pPr>
                    <w:adjustRightInd w:val="0"/>
                    <w:snapToGrid w:val="0"/>
                    <w:jc w:val="center"/>
                    <w:rPr>
                      <w:b/>
                      <w:bCs/>
                      <w:szCs w:val="21"/>
                    </w:rPr>
                  </w:pPr>
                  <w:r>
                    <w:rPr>
                      <w:rFonts w:hint="eastAsia"/>
                      <w:szCs w:val="21"/>
                    </w:rPr>
                    <w:t>2</w:t>
                  </w:r>
                </w:p>
              </w:tc>
              <w:tc>
                <w:tcPr>
                  <w:tcW w:w="2834" w:type="pct"/>
                  <w:tcBorders>
                    <w:tl2br w:val="nil"/>
                    <w:tr2bl w:val="nil"/>
                  </w:tcBorders>
                  <w:vAlign w:val="center"/>
                </w:tcPr>
                <w:p w14:paraId="374FF176">
                  <w:pPr>
                    <w:adjustRightInd w:val="0"/>
                    <w:snapToGrid w:val="0"/>
                    <w:jc w:val="center"/>
                    <w:rPr>
                      <w:szCs w:val="21"/>
                    </w:rPr>
                  </w:pPr>
                  <w:r>
                    <w:rPr>
                      <w:szCs w:val="21"/>
                    </w:rPr>
                    <w:t>严格按照《挥发性有机物（VOCs）污染防治技术政策》要求，科学制定重点行业、重点企业污染防治技术方案。采用密闭式生产和环保型原辅材料、生产工艺和装备，着力从源头控制</w:t>
                  </w:r>
                </w:p>
                <w:p w14:paraId="1C286F4C">
                  <w:pPr>
                    <w:adjustRightInd w:val="0"/>
                    <w:snapToGrid w:val="0"/>
                    <w:jc w:val="center"/>
                    <w:rPr>
                      <w:szCs w:val="21"/>
                    </w:rPr>
                  </w:pPr>
                  <w:r>
                    <w:rPr>
                      <w:szCs w:val="21"/>
                    </w:rPr>
                    <w:t>VOCs 废气的产生和无组织排放。加大 VOCs 废气的回收利用，优先在生产系统内回用。对</w:t>
                  </w:r>
                </w:p>
                <w:p w14:paraId="0B184610">
                  <w:pPr>
                    <w:adjustRightInd w:val="0"/>
                    <w:snapToGrid w:val="0"/>
                    <w:jc w:val="center"/>
                    <w:rPr>
                      <w:szCs w:val="21"/>
                    </w:rPr>
                  </w:pPr>
                  <w:r>
                    <w:rPr>
                      <w:szCs w:val="21"/>
                    </w:rPr>
                    <w:t>浓度和性状差异大的废气应根据废气的产生量、污染物的组分和性质、浓度、温度、压力等因素进行综合分析，合理选择废气回收或末端治理工艺路线，科学治理，达标排放。要妥善处置次生污染物，防范二次污染</w:t>
                  </w:r>
                  <w:r>
                    <w:rPr>
                      <w:rFonts w:hint="eastAsia"/>
                      <w:szCs w:val="21"/>
                    </w:rPr>
                    <w:t>。</w:t>
                  </w:r>
                </w:p>
              </w:tc>
              <w:tc>
                <w:tcPr>
                  <w:tcW w:w="1341" w:type="pct"/>
                  <w:gridSpan w:val="2"/>
                  <w:tcBorders>
                    <w:tl2br w:val="nil"/>
                    <w:tr2bl w:val="nil"/>
                  </w:tcBorders>
                  <w:vAlign w:val="center"/>
                </w:tcPr>
                <w:p w14:paraId="7699CF78">
                  <w:pPr>
                    <w:adjustRightInd w:val="0"/>
                    <w:snapToGrid w:val="0"/>
                    <w:jc w:val="center"/>
                    <w:rPr>
                      <w:szCs w:val="21"/>
                    </w:rPr>
                  </w:pPr>
                  <w:r>
                    <w:rPr>
                      <w:szCs w:val="21"/>
                    </w:rPr>
                    <w:t>本项目为汽车</w:t>
                  </w:r>
                  <w:r>
                    <w:rPr>
                      <w:rFonts w:hint="eastAsia"/>
                      <w:szCs w:val="21"/>
                      <w:lang w:val="en-US" w:eastAsia="zh-CN"/>
                    </w:rPr>
                    <w:t>包覆</w:t>
                  </w:r>
                  <w:r>
                    <w:rPr>
                      <w:szCs w:val="21"/>
                    </w:rPr>
                    <w:t>件生产，属于汽车及零部件制造业，不属于重点行业，企业生产过程中产生的有机废气配套集气罩收集，并采取二级活性炭吸附装置进行治理</w:t>
                  </w:r>
                  <w:r>
                    <w:rPr>
                      <w:rFonts w:hint="eastAsia"/>
                      <w:szCs w:val="21"/>
                    </w:rPr>
                    <w:t>。</w:t>
                  </w:r>
                </w:p>
              </w:tc>
              <w:tc>
                <w:tcPr>
                  <w:tcW w:w="457" w:type="pct"/>
                  <w:tcBorders>
                    <w:tl2br w:val="nil"/>
                    <w:tr2bl w:val="nil"/>
                  </w:tcBorders>
                  <w:vAlign w:val="center"/>
                </w:tcPr>
                <w:p w14:paraId="6C58C213">
                  <w:pPr>
                    <w:adjustRightInd w:val="0"/>
                    <w:snapToGrid w:val="0"/>
                    <w:jc w:val="center"/>
                    <w:rPr>
                      <w:szCs w:val="21"/>
                    </w:rPr>
                  </w:pPr>
                  <w:r>
                    <w:rPr>
                      <w:rFonts w:hint="eastAsia"/>
                      <w:szCs w:val="21"/>
                    </w:rPr>
                    <w:t>符合</w:t>
                  </w:r>
                </w:p>
              </w:tc>
            </w:tr>
            <w:tr w14:paraId="486441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367" w:type="pct"/>
                  <w:tcBorders>
                    <w:tl2br w:val="nil"/>
                    <w:tr2bl w:val="nil"/>
                  </w:tcBorders>
                  <w:vAlign w:val="center"/>
                </w:tcPr>
                <w:p w14:paraId="4B1BE30C">
                  <w:pPr>
                    <w:adjustRightInd w:val="0"/>
                    <w:snapToGrid w:val="0"/>
                    <w:jc w:val="center"/>
                    <w:rPr>
                      <w:b/>
                      <w:bCs/>
                      <w:szCs w:val="21"/>
                    </w:rPr>
                  </w:pPr>
                  <w:r>
                    <w:rPr>
                      <w:rFonts w:hint="eastAsia"/>
                      <w:szCs w:val="21"/>
                    </w:rPr>
                    <w:t>3</w:t>
                  </w:r>
                </w:p>
              </w:tc>
              <w:tc>
                <w:tcPr>
                  <w:tcW w:w="2834" w:type="pct"/>
                  <w:tcBorders>
                    <w:tl2br w:val="nil"/>
                    <w:tr2bl w:val="nil"/>
                  </w:tcBorders>
                  <w:vAlign w:val="center"/>
                </w:tcPr>
                <w:p w14:paraId="10BBFBA1">
                  <w:pPr>
                    <w:adjustRightInd w:val="0"/>
                    <w:snapToGrid w:val="0"/>
                    <w:jc w:val="center"/>
                    <w:rPr>
                      <w:szCs w:val="21"/>
                    </w:rPr>
                  </w:pPr>
                  <w:r>
                    <w:rPr>
                      <w:szCs w:val="21"/>
                    </w:rPr>
                    <w:t>加强企业内部管理，明确 VOCs处理装置的管理和监控方案，提升现场管理水平，确保 VOCs 处理装置长期有效运行。要加强基础工作，建立完善的“一厂一档”，与 VOCs 排放相关的原辅料、溶剂的使用、产品生产及输出、废气处理、污染物排放、在线监控等信息应进行跟踪记录，以满足企业 VOCs 实际以及潜在的排放量查证需要，确保企业VOCs 处理装置运行效果</w:t>
                  </w:r>
                  <w:r>
                    <w:rPr>
                      <w:rFonts w:hint="eastAsia"/>
                      <w:szCs w:val="21"/>
                    </w:rPr>
                    <w:t>。</w:t>
                  </w:r>
                </w:p>
              </w:tc>
              <w:tc>
                <w:tcPr>
                  <w:tcW w:w="1341" w:type="pct"/>
                  <w:gridSpan w:val="2"/>
                  <w:tcBorders>
                    <w:tl2br w:val="nil"/>
                    <w:tr2bl w:val="nil"/>
                  </w:tcBorders>
                  <w:vAlign w:val="center"/>
                </w:tcPr>
                <w:p w14:paraId="35898A47">
                  <w:pPr>
                    <w:adjustRightInd w:val="0"/>
                    <w:snapToGrid w:val="0"/>
                    <w:jc w:val="center"/>
                    <w:rPr>
                      <w:szCs w:val="21"/>
                    </w:rPr>
                  </w:pPr>
                  <w:r>
                    <w:rPr>
                      <w:szCs w:val="21"/>
                    </w:rPr>
                    <w:t>建设单位后期运营过程中制定 VOCs处监理控装方置案的，管建理立和VOCs 使用档案，确保企业 VOCs 处理装置运行效果</w:t>
                  </w:r>
                  <w:r>
                    <w:rPr>
                      <w:rFonts w:hint="eastAsia"/>
                      <w:szCs w:val="21"/>
                    </w:rPr>
                    <w:t>。</w:t>
                  </w:r>
                </w:p>
              </w:tc>
              <w:tc>
                <w:tcPr>
                  <w:tcW w:w="457" w:type="pct"/>
                  <w:tcBorders>
                    <w:tl2br w:val="nil"/>
                    <w:tr2bl w:val="nil"/>
                  </w:tcBorders>
                  <w:vAlign w:val="center"/>
                </w:tcPr>
                <w:p w14:paraId="6A8B08B3">
                  <w:pPr>
                    <w:adjustRightInd w:val="0"/>
                    <w:snapToGrid w:val="0"/>
                    <w:jc w:val="center"/>
                    <w:rPr>
                      <w:szCs w:val="21"/>
                    </w:rPr>
                  </w:pPr>
                  <w:r>
                    <w:rPr>
                      <w:rFonts w:hint="eastAsia"/>
                      <w:szCs w:val="21"/>
                    </w:rPr>
                    <w:t>符合</w:t>
                  </w:r>
                </w:p>
              </w:tc>
            </w:tr>
            <w:tr w14:paraId="099A87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5000" w:type="pct"/>
                  <w:gridSpan w:val="5"/>
                  <w:tcBorders>
                    <w:tl2br w:val="nil"/>
                    <w:tr2bl w:val="nil"/>
                  </w:tcBorders>
                  <w:vAlign w:val="center"/>
                </w:tcPr>
                <w:p w14:paraId="5519CB9C">
                  <w:pPr>
                    <w:adjustRightInd w:val="0"/>
                    <w:snapToGrid w:val="0"/>
                    <w:jc w:val="center"/>
                    <w:rPr>
                      <w:szCs w:val="21"/>
                    </w:rPr>
                  </w:pPr>
                  <w:r>
                    <w:rPr>
                      <w:rFonts w:hint="eastAsia"/>
                      <w:b/>
                      <w:bCs/>
                      <w:szCs w:val="21"/>
                    </w:rPr>
                    <w:t>《芜湖市2021年挥发性有机物污染治理攻坚行动方案》（芜大气办[2021]7号）要求</w:t>
                  </w:r>
                </w:p>
              </w:tc>
            </w:tr>
            <w:tr w14:paraId="705805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367" w:type="pct"/>
                  <w:tcBorders>
                    <w:tl2br w:val="nil"/>
                    <w:tr2bl w:val="nil"/>
                  </w:tcBorders>
                  <w:vAlign w:val="center"/>
                </w:tcPr>
                <w:p w14:paraId="12999FE7">
                  <w:pPr>
                    <w:adjustRightInd w:val="0"/>
                    <w:snapToGrid w:val="0"/>
                    <w:jc w:val="center"/>
                    <w:rPr>
                      <w:szCs w:val="21"/>
                    </w:rPr>
                  </w:pPr>
                  <w:r>
                    <w:rPr>
                      <w:rFonts w:hint="eastAsia"/>
                      <w:szCs w:val="21"/>
                    </w:rPr>
                    <w:t>1</w:t>
                  </w:r>
                </w:p>
              </w:tc>
              <w:tc>
                <w:tcPr>
                  <w:tcW w:w="2834" w:type="pct"/>
                  <w:tcBorders>
                    <w:tl2br w:val="nil"/>
                    <w:tr2bl w:val="nil"/>
                  </w:tcBorders>
                  <w:vAlign w:val="center"/>
                </w:tcPr>
                <w:p w14:paraId="3909403B">
                  <w:pPr>
                    <w:adjustRightInd w:val="0"/>
                    <w:snapToGrid w:val="0"/>
                    <w:rPr>
                      <w:szCs w:val="21"/>
                    </w:rPr>
                  </w:pPr>
                  <w:r>
                    <w:rPr>
                      <w:szCs w:val="21"/>
                    </w:rPr>
                    <w:t>一、推进源头削减。</w:t>
                  </w:r>
                </w:p>
                <w:p w14:paraId="68DEF84D">
                  <w:pPr>
                    <w:adjustRightInd w:val="0"/>
                    <w:snapToGrid w:val="0"/>
                    <w:jc w:val="center"/>
                    <w:rPr>
                      <w:szCs w:val="21"/>
                    </w:rPr>
                  </w:pPr>
                  <w:r>
                    <w:rPr>
                      <w:rFonts w:hint="eastAsia"/>
                      <w:szCs w:val="21"/>
                    </w:rPr>
                    <w:t xml:space="preserve">   </w:t>
                  </w:r>
                  <w:r>
                    <w:rPr>
                      <w:szCs w:val="21"/>
                    </w:rPr>
                    <w:t>在工业涂装、包装印刷、鞋革箱包制造、竹木制品胶合、电子等领域，推广 VOCs 含量低于 10%原辅材料的源头替代。鼓励支持企业进行低 VOCs 含量原辅材料的源头替代，各县市区、开发区于 7 月15 日前指导企业建立管理台账。</w:t>
                  </w:r>
                </w:p>
              </w:tc>
              <w:tc>
                <w:tcPr>
                  <w:tcW w:w="1341" w:type="pct"/>
                  <w:gridSpan w:val="2"/>
                  <w:tcBorders>
                    <w:tl2br w:val="nil"/>
                    <w:tr2bl w:val="nil"/>
                  </w:tcBorders>
                  <w:vAlign w:val="center"/>
                </w:tcPr>
                <w:p w14:paraId="3DE3097D">
                  <w:pPr>
                    <w:adjustRightInd w:val="0"/>
                    <w:snapToGrid w:val="0"/>
                    <w:jc w:val="center"/>
                    <w:rPr>
                      <w:szCs w:val="21"/>
                    </w:rPr>
                  </w:pPr>
                  <w:r>
                    <w:rPr>
                      <w:szCs w:val="21"/>
                    </w:rPr>
                    <w:t>本项目不属于工业涂</w:t>
                  </w:r>
                </w:p>
                <w:p w14:paraId="1B30357E">
                  <w:pPr>
                    <w:adjustRightInd w:val="0"/>
                    <w:snapToGrid w:val="0"/>
                    <w:jc w:val="center"/>
                    <w:rPr>
                      <w:szCs w:val="21"/>
                    </w:rPr>
                  </w:pPr>
                  <w:r>
                    <w:rPr>
                      <w:szCs w:val="21"/>
                    </w:rPr>
                    <w:t>装、包装印刷、鞋革</w:t>
                  </w:r>
                </w:p>
                <w:p w14:paraId="1EB78E89">
                  <w:pPr>
                    <w:adjustRightInd w:val="0"/>
                    <w:snapToGrid w:val="0"/>
                    <w:jc w:val="center"/>
                    <w:rPr>
                      <w:szCs w:val="21"/>
                    </w:rPr>
                  </w:pPr>
                  <w:r>
                    <w:rPr>
                      <w:szCs w:val="21"/>
                    </w:rPr>
                    <w:t>箱包制造、竹木制品</w:t>
                  </w:r>
                </w:p>
                <w:p w14:paraId="32448122">
                  <w:pPr>
                    <w:adjustRightInd w:val="0"/>
                    <w:snapToGrid w:val="0"/>
                    <w:jc w:val="center"/>
                    <w:rPr>
                      <w:szCs w:val="21"/>
                    </w:rPr>
                  </w:pPr>
                  <w:r>
                    <w:rPr>
                      <w:szCs w:val="21"/>
                    </w:rPr>
                    <w:t>胶合、电子等领域。项 目使用的塑料粒子常温下不产生废气。</w:t>
                  </w:r>
                </w:p>
              </w:tc>
              <w:tc>
                <w:tcPr>
                  <w:tcW w:w="457" w:type="pct"/>
                  <w:tcBorders>
                    <w:tl2br w:val="nil"/>
                    <w:tr2bl w:val="nil"/>
                  </w:tcBorders>
                  <w:vAlign w:val="center"/>
                </w:tcPr>
                <w:p w14:paraId="308BCD6B">
                  <w:pPr>
                    <w:adjustRightInd w:val="0"/>
                    <w:snapToGrid w:val="0"/>
                    <w:jc w:val="center"/>
                    <w:rPr>
                      <w:szCs w:val="21"/>
                    </w:rPr>
                  </w:pPr>
                  <w:r>
                    <w:rPr>
                      <w:rFonts w:hint="eastAsia"/>
                      <w:szCs w:val="21"/>
                    </w:rPr>
                    <w:t>符合</w:t>
                  </w:r>
                </w:p>
              </w:tc>
            </w:tr>
            <w:tr w14:paraId="5A39CC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367" w:type="pct"/>
                  <w:tcBorders>
                    <w:tl2br w:val="nil"/>
                    <w:tr2bl w:val="nil"/>
                  </w:tcBorders>
                  <w:vAlign w:val="center"/>
                </w:tcPr>
                <w:p w14:paraId="60DC2D69">
                  <w:pPr>
                    <w:adjustRightInd w:val="0"/>
                    <w:snapToGrid w:val="0"/>
                    <w:jc w:val="center"/>
                    <w:rPr>
                      <w:szCs w:val="21"/>
                    </w:rPr>
                  </w:pPr>
                  <w:r>
                    <w:rPr>
                      <w:rFonts w:hint="eastAsia"/>
                      <w:szCs w:val="21"/>
                    </w:rPr>
                    <w:t>2</w:t>
                  </w:r>
                </w:p>
              </w:tc>
              <w:tc>
                <w:tcPr>
                  <w:tcW w:w="2834" w:type="pct"/>
                  <w:tcBorders>
                    <w:tl2br w:val="nil"/>
                    <w:tr2bl w:val="nil"/>
                  </w:tcBorders>
                  <w:vAlign w:val="center"/>
                </w:tcPr>
                <w:p w14:paraId="0C54482A">
                  <w:pPr>
                    <w:numPr>
                      <w:ilvl w:val="0"/>
                      <w:numId w:val="3"/>
                    </w:numPr>
                    <w:adjustRightInd w:val="0"/>
                    <w:snapToGrid w:val="0"/>
                    <w:rPr>
                      <w:szCs w:val="21"/>
                    </w:rPr>
                  </w:pPr>
                  <w:r>
                    <w:rPr>
                      <w:szCs w:val="21"/>
                    </w:rPr>
                    <w:t>开展泄漏检测与修复（LDAR）</w:t>
                  </w:r>
                </w:p>
                <w:p w14:paraId="07EC07A4">
                  <w:pPr>
                    <w:adjustRightInd w:val="0"/>
                    <w:snapToGrid w:val="0"/>
                    <w:ind w:firstLine="420" w:firstLineChars="200"/>
                    <w:rPr>
                      <w:szCs w:val="21"/>
                    </w:rPr>
                  </w:pPr>
                  <w:r>
                    <w:rPr>
                      <w:szCs w:val="21"/>
                    </w:rPr>
                    <w:t>督促载有气态、液态 VOCs 物料的设备与管线组件密封点大于等于 2000 个的企业按照长三角区域标准《设备泄漏挥发性有机物排放控制规范》等规范要求开展新一轮 LDAR 工作。</w:t>
                  </w:r>
                </w:p>
              </w:tc>
              <w:tc>
                <w:tcPr>
                  <w:tcW w:w="1341" w:type="pct"/>
                  <w:gridSpan w:val="2"/>
                  <w:tcBorders>
                    <w:tl2br w:val="nil"/>
                    <w:tr2bl w:val="nil"/>
                  </w:tcBorders>
                  <w:vAlign w:val="center"/>
                </w:tcPr>
                <w:p w14:paraId="0A23A067">
                  <w:pPr>
                    <w:adjustRightInd w:val="0"/>
                    <w:snapToGrid w:val="0"/>
                    <w:jc w:val="center"/>
                    <w:rPr>
                      <w:szCs w:val="21"/>
                    </w:rPr>
                  </w:pPr>
                  <w:r>
                    <w:rPr>
                      <w:szCs w:val="21"/>
                    </w:rPr>
                    <w:t>本项目不属于生产和</w:t>
                  </w:r>
                </w:p>
                <w:p w14:paraId="20448B9D">
                  <w:pPr>
                    <w:adjustRightInd w:val="0"/>
                    <w:snapToGrid w:val="0"/>
                    <w:jc w:val="center"/>
                    <w:rPr>
                      <w:szCs w:val="21"/>
                    </w:rPr>
                  </w:pPr>
                  <w:r>
                    <w:rPr>
                      <w:szCs w:val="21"/>
                    </w:rPr>
                    <w:t>使用高 VOCs 含量的</w:t>
                  </w:r>
                </w:p>
                <w:p w14:paraId="0D4A645A">
                  <w:pPr>
                    <w:adjustRightInd w:val="0"/>
                    <w:snapToGrid w:val="0"/>
                    <w:jc w:val="center"/>
                    <w:rPr>
                      <w:szCs w:val="21"/>
                    </w:rPr>
                  </w:pPr>
                  <w:r>
                    <w:rPr>
                      <w:szCs w:val="21"/>
                    </w:rPr>
                    <w:t>溶剂型涂料、油墨、</w:t>
                  </w:r>
                </w:p>
                <w:p w14:paraId="722D1662">
                  <w:pPr>
                    <w:adjustRightInd w:val="0"/>
                    <w:snapToGrid w:val="0"/>
                    <w:jc w:val="center"/>
                    <w:rPr>
                      <w:szCs w:val="21"/>
                    </w:rPr>
                  </w:pPr>
                  <w:r>
                    <w:rPr>
                      <w:szCs w:val="21"/>
                    </w:rPr>
                    <w:t>胶粘剂等项目，原料</w:t>
                  </w:r>
                </w:p>
                <w:p w14:paraId="7074C52D">
                  <w:pPr>
                    <w:adjustRightInd w:val="0"/>
                    <w:snapToGrid w:val="0"/>
                    <w:jc w:val="center"/>
                    <w:rPr>
                      <w:szCs w:val="21"/>
                    </w:rPr>
                  </w:pPr>
                  <w:r>
                    <w:rPr>
                      <w:szCs w:val="21"/>
                    </w:rPr>
                    <w:t>为固态，无需开展</w:t>
                  </w:r>
                </w:p>
                <w:p w14:paraId="545AA201">
                  <w:pPr>
                    <w:adjustRightInd w:val="0"/>
                    <w:snapToGrid w:val="0"/>
                    <w:jc w:val="center"/>
                    <w:rPr>
                      <w:szCs w:val="21"/>
                    </w:rPr>
                  </w:pPr>
                  <w:r>
                    <w:rPr>
                      <w:szCs w:val="21"/>
                    </w:rPr>
                    <w:t>LDAR工作</w:t>
                  </w:r>
                  <w:r>
                    <w:rPr>
                      <w:rFonts w:hint="eastAsia"/>
                      <w:szCs w:val="21"/>
                    </w:rPr>
                    <w:t>。</w:t>
                  </w:r>
                </w:p>
              </w:tc>
              <w:tc>
                <w:tcPr>
                  <w:tcW w:w="457" w:type="pct"/>
                  <w:tcBorders>
                    <w:tl2br w:val="nil"/>
                    <w:tr2bl w:val="nil"/>
                  </w:tcBorders>
                  <w:vAlign w:val="center"/>
                </w:tcPr>
                <w:p w14:paraId="1A613628">
                  <w:pPr>
                    <w:adjustRightInd w:val="0"/>
                    <w:snapToGrid w:val="0"/>
                    <w:jc w:val="center"/>
                    <w:rPr>
                      <w:szCs w:val="21"/>
                    </w:rPr>
                  </w:pPr>
                  <w:r>
                    <w:rPr>
                      <w:rFonts w:hint="eastAsia"/>
                      <w:szCs w:val="21"/>
                    </w:rPr>
                    <w:t>符合</w:t>
                  </w:r>
                </w:p>
              </w:tc>
            </w:tr>
            <w:tr w14:paraId="1BED4D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367" w:type="pct"/>
                  <w:tcBorders>
                    <w:tl2br w:val="nil"/>
                    <w:tr2bl w:val="nil"/>
                  </w:tcBorders>
                  <w:vAlign w:val="center"/>
                </w:tcPr>
                <w:p w14:paraId="6D0336A4">
                  <w:pPr>
                    <w:adjustRightInd w:val="0"/>
                    <w:snapToGrid w:val="0"/>
                    <w:jc w:val="center"/>
                    <w:rPr>
                      <w:szCs w:val="21"/>
                    </w:rPr>
                  </w:pPr>
                  <w:r>
                    <w:rPr>
                      <w:rFonts w:hint="eastAsia"/>
                      <w:szCs w:val="21"/>
                    </w:rPr>
                    <w:t>3</w:t>
                  </w:r>
                </w:p>
              </w:tc>
              <w:tc>
                <w:tcPr>
                  <w:tcW w:w="2834" w:type="pct"/>
                  <w:tcBorders>
                    <w:tl2br w:val="nil"/>
                    <w:tr2bl w:val="nil"/>
                  </w:tcBorders>
                  <w:vAlign w:val="center"/>
                </w:tcPr>
                <w:p w14:paraId="63A7F25F">
                  <w:pPr>
                    <w:numPr>
                      <w:ilvl w:val="0"/>
                      <w:numId w:val="4"/>
                    </w:numPr>
                    <w:adjustRightInd w:val="0"/>
                    <w:snapToGrid w:val="0"/>
                    <w:rPr>
                      <w:szCs w:val="21"/>
                    </w:rPr>
                  </w:pPr>
                  <w:r>
                    <w:rPr>
                      <w:szCs w:val="21"/>
                    </w:rPr>
                    <w:t>开展“三率”治理效果帮扶指导</w:t>
                  </w:r>
                </w:p>
                <w:p w14:paraId="2861CBFF">
                  <w:pPr>
                    <w:adjustRightInd w:val="0"/>
                    <w:snapToGrid w:val="0"/>
                    <w:rPr>
                      <w:szCs w:val="21"/>
                    </w:rPr>
                  </w:pPr>
                  <w:r>
                    <w:rPr>
                      <w:szCs w:val="21"/>
                    </w:rPr>
                    <w:t>以年度治理项目为重点，对企业 VOCs 废气收集率、治理设施同步运行率和去除率开展帮扶指导，重点关注单一采用光氧化、光催化、低温等离子、一次性活性炭吸附、喷淋吸收等相对低效工艺的治理设施的运行效果，建立管理台账。</w:t>
                  </w:r>
                </w:p>
              </w:tc>
              <w:tc>
                <w:tcPr>
                  <w:tcW w:w="1341" w:type="pct"/>
                  <w:gridSpan w:val="2"/>
                  <w:tcBorders>
                    <w:tl2br w:val="nil"/>
                    <w:tr2bl w:val="nil"/>
                  </w:tcBorders>
                  <w:vAlign w:val="center"/>
                </w:tcPr>
                <w:p w14:paraId="5F27BC1C">
                  <w:pPr>
                    <w:adjustRightInd w:val="0"/>
                    <w:snapToGrid w:val="0"/>
                    <w:jc w:val="center"/>
                    <w:rPr>
                      <w:szCs w:val="21"/>
                    </w:rPr>
                  </w:pPr>
                  <w:r>
                    <w:rPr>
                      <w:szCs w:val="21"/>
                    </w:rPr>
                    <w:t>本项目配置了</w:t>
                  </w:r>
                  <w:r>
                    <w:rPr>
                      <w:rFonts w:hint="eastAsia"/>
                      <w:szCs w:val="21"/>
                    </w:rPr>
                    <w:t>“集气罩+</w:t>
                  </w:r>
                  <w:r>
                    <w:rPr>
                      <w:szCs w:val="21"/>
                    </w:rPr>
                    <w:t>二级活性炭吸附装置+15m</w:t>
                  </w:r>
                  <w:r>
                    <w:rPr>
                      <w:rFonts w:hint="eastAsia"/>
                      <w:szCs w:val="21"/>
                    </w:rPr>
                    <w:t>高</w:t>
                  </w:r>
                  <w:r>
                    <w:rPr>
                      <w:szCs w:val="21"/>
                    </w:rPr>
                    <w:t>排气筒</w:t>
                  </w:r>
                  <w:r>
                    <w:rPr>
                      <w:rFonts w:hint="eastAsia"/>
                      <w:szCs w:val="21"/>
                    </w:rPr>
                    <w:t>”</w:t>
                  </w:r>
                  <w:r>
                    <w:rPr>
                      <w:szCs w:val="21"/>
                    </w:rPr>
                    <w:t>的方式处理。废气收集效率</w:t>
                  </w:r>
                  <w:r>
                    <w:rPr>
                      <w:rFonts w:hint="eastAsia"/>
                      <w:szCs w:val="21"/>
                    </w:rPr>
                    <w:t>9</w:t>
                  </w:r>
                  <w:r>
                    <w:rPr>
                      <w:szCs w:val="21"/>
                    </w:rPr>
                    <w:t>0%，废气处理效率为90%，能够达到好的治理效果。建立污</w:t>
                  </w:r>
                </w:p>
                <w:p w14:paraId="29D75ECD">
                  <w:pPr>
                    <w:adjustRightInd w:val="0"/>
                    <w:snapToGrid w:val="0"/>
                    <w:jc w:val="center"/>
                    <w:rPr>
                      <w:szCs w:val="21"/>
                    </w:rPr>
                  </w:pPr>
                  <w:r>
                    <w:rPr>
                      <w:szCs w:val="21"/>
                    </w:rPr>
                    <w:t>染治理设施管理台账。</w:t>
                  </w:r>
                </w:p>
              </w:tc>
              <w:tc>
                <w:tcPr>
                  <w:tcW w:w="457" w:type="pct"/>
                  <w:tcBorders>
                    <w:tl2br w:val="nil"/>
                    <w:tr2bl w:val="nil"/>
                  </w:tcBorders>
                  <w:vAlign w:val="center"/>
                </w:tcPr>
                <w:p w14:paraId="41F409A2">
                  <w:pPr>
                    <w:adjustRightInd w:val="0"/>
                    <w:snapToGrid w:val="0"/>
                    <w:jc w:val="center"/>
                    <w:rPr>
                      <w:szCs w:val="21"/>
                    </w:rPr>
                  </w:pPr>
                  <w:r>
                    <w:rPr>
                      <w:rFonts w:hint="eastAsia"/>
                      <w:szCs w:val="21"/>
                    </w:rPr>
                    <w:t>符合</w:t>
                  </w:r>
                </w:p>
              </w:tc>
            </w:tr>
            <w:tr w14:paraId="2C0C1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5000" w:type="pct"/>
                  <w:gridSpan w:val="5"/>
                  <w:tcBorders>
                    <w:tl2br w:val="nil"/>
                    <w:tr2bl w:val="nil"/>
                  </w:tcBorders>
                  <w:vAlign w:val="center"/>
                </w:tcPr>
                <w:p w14:paraId="32C29238">
                  <w:pPr>
                    <w:adjustRightInd w:val="0"/>
                    <w:snapToGrid w:val="0"/>
                    <w:jc w:val="center"/>
                    <w:rPr>
                      <w:b/>
                      <w:bCs/>
                      <w:szCs w:val="21"/>
                    </w:rPr>
                  </w:pPr>
                  <w:r>
                    <w:rPr>
                      <w:b/>
                      <w:bCs/>
                      <w:szCs w:val="21"/>
                    </w:rPr>
                    <w:t>《安徽省2022年大气污染防治工作要点》（安环委办[2022]37号）</w:t>
                  </w:r>
                  <w:r>
                    <w:rPr>
                      <w:rFonts w:hint="eastAsia"/>
                      <w:b/>
                      <w:bCs/>
                      <w:szCs w:val="21"/>
                    </w:rPr>
                    <w:t>要求</w:t>
                  </w:r>
                </w:p>
              </w:tc>
            </w:tr>
            <w:tr w14:paraId="5D39C5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jc w:val="center"/>
              </w:trPr>
              <w:tc>
                <w:tcPr>
                  <w:tcW w:w="367" w:type="pct"/>
                  <w:tcBorders>
                    <w:tl2br w:val="nil"/>
                    <w:tr2bl w:val="nil"/>
                  </w:tcBorders>
                  <w:vAlign w:val="center"/>
                </w:tcPr>
                <w:p w14:paraId="47F17EA8">
                  <w:pPr>
                    <w:adjustRightInd w:val="0"/>
                    <w:snapToGrid w:val="0"/>
                    <w:jc w:val="center"/>
                    <w:rPr>
                      <w:szCs w:val="21"/>
                    </w:rPr>
                  </w:pPr>
                  <w:r>
                    <w:rPr>
                      <w:rFonts w:hint="eastAsia"/>
                      <w:szCs w:val="21"/>
                    </w:rPr>
                    <w:t>1</w:t>
                  </w:r>
                </w:p>
              </w:tc>
              <w:tc>
                <w:tcPr>
                  <w:tcW w:w="2834" w:type="pct"/>
                  <w:tcBorders>
                    <w:tl2br w:val="nil"/>
                    <w:tr2bl w:val="nil"/>
                  </w:tcBorders>
                  <w:vAlign w:val="center"/>
                </w:tcPr>
                <w:p w14:paraId="72C25842">
                  <w:pPr>
                    <w:widowControl/>
                    <w:rPr>
                      <w:szCs w:val="21"/>
                    </w:rPr>
                  </w:pPr>
                  <w:r>
                    <w:rPr>
                      <w:szCs w:val="21"/>
                    </w:rPr>
                    <w:t>积极发展清洁能源。坚持实施“增气减煤”，提升供应侧非化石能源比重，提高消费侧电力比重，增加天然气供应量、优化天然气使用，2022年底前，新增电能替代电量60亿千瓦时，天然气供气规模达76亿立方米。持续推进以煤为燃料的工业炉窑清洁燃料替代改造，提高以电代煤、以气代煤比例。推进现有机组实施清洁能源替代、功能转换，积极争取“外电入皖”。实施可再生能源替代行动，加快建设新型能源供应系统，因地制宜开发风电与光伏发电，鼓励建设风能、太阳能、生物质能等新能源项目，推进生物燃料乙醇项目改造提升。</w:t>
                  </w:r>
                </w:p>
              </w:tc>
              <w:tc>
                <w:tcPr>
                  <w:tcW w:w="1341" w:type="pct"/>
                  <w:gridSpan w:val="2"/>
                  <w:tcBorders>
                    <w:tl2br w:val="nil"/>
                    <w:tr2bl w:val="nil"/>
                  </w:tcBorders>
                  <w:vAlign w:val="center"/>
                </w:tcPr>
                <w:p w14:paraId="0A2AEC8F">
                  <w:pPr>
                    <w:jc w:val="center"/>
                    <w:rPr>
                      <w:szCs w:val="21"/>
                    </w:rPr>
                  </w:pPr>
                  <w:r>
                    <w:rPr>
                      <w:kern w:val="0"/>
                      <w:szCs w:val="21"/>
                      <w:lang w:bidi="ar"/>
                    </w:rPr>
                    <w:t>本项目采用电</w:t>
                  </w:r>
                  <w:r>
                    <w:rPr>
                      <w:rFonts w:hint="eastAsia"/>
                      <w:kern w:val="0"/>
                      <w:szCs w:val="21"/>
                      <w:lang w:bidi="ar"/>
                    </w:rPr>
                    <w:t>源</w:t>
                  </w:r>
                  <w:r>
                    <w:rPr>
                      <w:kern w:val="0"/>
                      <w:szCs w:val="21"/>
                      <w:lang w:bidi="ar"/>
                    </w:rPr>
                    <w:t>，属于清洁能源。</w:t>
                  </w:r>
                </w:p>
              </w:tc>
              <w:tc>
                <w:tcPr>
                  <w:tcW w:w="457" w:type="pct"/>
                  <w:tcBorders>
                    <w:tl2br w:val="nil"/>
                    <w:tr2bl w:val="nil"/>
                  </w:tcBorders>
                  <w:vAlign w:val="center"/>
                </w:tcPr>
                <w:p w14:paraId="6D8524EC">
                  <w:pPr>
                    <w:adjustRightInd w:val="0"/>
                    <w:snapToGrid w:val="0"/>
                    <w:jc w:val="center"/>
                    <w:rPr>
                      <w:kern w:val="0"/>
                      <w:szCs w:val="21"/>
                    </w:rPr>
                  </w:pPr>
                  <w:r>
                    <w:rPr>
                      <w:kern w:val="0"/>
                      <w:szCs w:val="21"/>
                    </w:rPr>
                    <w:t>符合</w:t>
                  </w:r>
                </w:p>
              </w:tc>
            </w:tr>
            <w:tr w14:paraId="6C910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jc w:val="center"/>
              </w:trPr>
              <w:tc>
                <w:tcPr>
                  <w:tcW w:w="367" w:type="pct"/>
                  <w:tcBorders>
                    <w:tl2br w:val="nil"/>
                    <w:tr2bl w:val="nil"/>
                  </w:tcBorders>
                  <w:vAlign w:val="center"/>
                </w:tcPr>
                <w:p w14:paraId="6CC82235">
                  <w:pPr>
                    <w:adjustRightInd w:val="0"/>
                    <w:snapToGrid w:val="0"/>
                    <w:jc w:val="center"/>
                    <w:rPr>
                      <w:szCs w:val="21"/>
                    </w:rPr>
                  </w:pPr>
                  <w:r>
                    <w:rPr>
                      <w:rFonts w:hint="eastAsia"/>
                      <w:szCs w:val="21"/>
                    </w:rPr>
                    <w:t>2</w:t>
                  </w:r>
                </w:p>
              </w:tc>
              <w:tc>
                <w:tcPr>
                  <w:tcW w:w="2834" w:type="pct"/>
                  <w:tcBorders>
                    <w:tl2br w:val="nil"/>
                    <w:tr2bl w:val="nil"/>
                  </w:tcBorders>
                  <w:vAlign w:val="center"/>
                </w:tcPr>
                <w:p w14:paraId="6CCEF897">
                  <w:pPr>
                    <w:widowControl/>
                    <w:rPr>
                      <w:szCs w:val="21"/>
                    </w:rPr>
                  </w:pPr>
                  <w:r>
                    <w:rPr>
                      <w:szCs w:val="21"/>
                    </w:rPr>
                    <w:t>开展臭氧污染防治攻坚。以石化、化工、涂装、医药、包装印刷、油品储运销等行业领域为重点，开展2022年度挥发性有机物综合治理，完成挥发性有机物突出问题排查治理。挥发性有机物年排放量1吨及以上企业编制实施“一厂一策”。严格执行涂料、油墨、胶粘剂、清洗剂VOCs含量限值标准，开展年度含VOCs原辅材料达标情况联合检查。推进实施重点行业低VOCs含量原辅材料源头替代。开展企业升级改造和区域环境综合整治，建立家具制造、木材加工等涉气产业集群排查治理清单，重点涉VOCs工业园区及产业集群编制执行VOCs综合治理“一园一案”。实施工业锅炉和炉窑提标改造和清洁能源替代，推动焦化、玻璃等行业深度治理。加快推进马钢等钢铁企业超低排放改造，力争2022年底前基本完成。全面摸排现有工业燃煤锅炉，明确超低排放改造时间表。</w:t>
                  </w:r>
                </w:p>
              </w:tc>
              <w:tc>
                <w:tcPr>
                  <w:tcW w:w="1341" w:type="pct"/>
                  <w:gridSpan w:val="2"/>
                  <w:tcBorders>
                    <w:tl2br w:val="nil"/>
                    <w:tr2bl w:val="nil"/>
                  </w:tcBorders>
                  <w:vAlign w:val="center"/>
                </w:tcPr>
                <w:p w14:paraId="32FE876E">
                  <w:pPr>
                    <w:jc w:val="center"/>
                    <w:rPr>
                      <w:szCs w:val="21"/>
                    </w:rPr>
                  </w:pPr>
                  <w:r>
                    <w:rPr>
                      <w:kern w:val="0"/>
                      <w:szCs w:val="21"/>
                      <w:lang w:bidi="ar"/>
                    </w:rPr>
                    <w:t>本项目不</w:t>
                  </w:r>
                  <w:r>
                    <w:rPr>
                      <w:rFonts w:hint="eastAsia"/>
                      <w:kern w:val="0"/>
                      <w:szCs w:val="21"/>
                      <w:lang w:bidi="ar"/>
                    </w:rPr>
                    <w:t>涉及石化、</w:t>
                  </w:r>
                  <w:r>
                    <w:rPr>
                      <w:szCs w:val="21"/>
                    </w:rPr>
                    <w:t>化工、涂装、医药、包装印刷、油品储运销等行业</w:t>
                  </w:r>
                  <w:r>
                    <w:rPr>
                      <w:rFonts w:hint="eastAsia"/>
                      <w:szCs w:val="21"/>
                    </w:rPr>
                    <w:t>领域。</w:t>
                  </w:r>
                </w:p>
              </w:tc>
              <w:tc>
                <w:tcPr>
                  <w:tcW w:w="457" w:type="pct"/>
                  <w:tcBorders>
                    <w:tl2br w:val="nil"/>
                    <w:tr2bl w:val="nil"/>
                  </w:tcBorders>
                  <w:vAlign w:val="center"/>
                </w:tcPr>
                <w:p w14:paraId="755C14C8">
                  <w:pPr>
                    <w:adjustRightInd w:val="0"/>
                    <w:snapToGrid w:val="0"/>
                    <w:jc w:val="center"/>
                    <w:rPr>
                      <w:kern w:val="0"/>
                      <w:szCs w:val="21"/>
                    </w:rPr>
                  </w:pPr>
                  <w:r>
                    <w:rPr>
                      <w:rFonts w:hint="eastAsia"/>
                      <w:kern w:val="0"/>
                      <w:szCs w:val="21"/>
                    </w:rPr>
                    <w:t>符合</w:t>
                  </w:r>
                </w:p>
              </w:tc>
            </w:tr>
            <w:tr w14:paraId="40EA77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tblHeader/>
                <w:jc w:val="center"/>
              </w:trPr>
              <w:tc>
                <w:tcPr>
                  <w:tcW w:w="5000" w:type="pct"/>
                  <w:gridSpan w:val="5"/>
                  <w:tcBorders>
                    <w:tl2br w:val="nil"/>
                    <w:tr2bl w:val="nil"/>
                  </w:tcBorders>
                  <w:vAlign w:val="center"/>
                </w:tcPr>
                <w:p w14:paraId="1EC0E5E1">
                  <w:pPr>
                    <w:adjustRightInd w:val="0"/>
                    <w:snapToGrid w:val="0"/>
                    <w:jc w:val="center"/>
                    <w:rPr>
                      <w:b/>
                      <w:bCs/>
                      <w:szCs w:val="21"/>
                    </w:rPr>
                  </w:pPr>
                  <w:r>
                    <w:rPr>
                      <w:b/>
                      <w:bCs/>
                      <w:szCs w:val="21"/>
                    </w:rPr>
                    <w:t>《安徽省低挥发性有机物含量原辅材料替代工作方案》的通知（皖环发[2024]1号文）</w:t>
                  </w:r>
                  <w:r>
                    <w:rPr>
                      <w:rFonts w:hint="eastAsia"/>
                      <w:b/>
                      <w:bCs/>
                      <w:szCs w:val="21"/>
                    </w:rPr>
                    <w:t>要求</w:t>
                  </w:r>
                </w:p>
              </w:tc>
            </w:tr>
            <w:tr w14:paraId="4CCE0D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jc w:val="center"/>
              </w:trPr>
              <w:tc>
                <w:tcPr>
                  <w:tcW w:w="367" w:type="pct"/>
                  <w:tcBorders>
                    <w:tl2br w:val="nil"/>
                    <w:tr2bl w:val="nil"/>
                  </w:tcBorders>
                  <w:vAlign w:val="center"/>
                </w:tcPr>
                <w:p w14:paraId="0274FCCB">
                  <w:pPr>
                    <w:adjustRightInd w:val="0"/>
                    <w:snapToGrid w:val="0"/>
                    <w:jc w:val="center"/>
                    <w:rPr>
                      <w:szCs w:val="21"/>
                    </w:rPr>
                  </w:pPr>
                  <w:r>
                    <w:rPr>
                      <w:rFonts w:hint="eastAsia"/>
                      <w:szCs w:val="21"/>
                    </w:rPr>
                    <w:t>1</w:t>
                  </w:r>
                </w:p>
              </w:tc>
              <w:tc>
                <w:tcPr>
                  <w:tcW w:w="2853" w:type="pct"/>
                  <w:gridSpan w:val="2"/>
                  <w:tcBorders>
                    <w:tl2br w:val="nil"/>
                    <w:tr2bl w:val="nil"/>
                  </w:tcBorders>
                  <w:vAlign w:val="center"/>
                </w:tcPr>
                <w:p w14:paraId="5676B52C">
                  <w:pPr>
                    <w:widowControl/>
                    <w:jc w:val="center"/>
                    <w:rPr>
                      <w:szCs w:val="21"/>
                    </w:rPr>
                  </w:pPr>
                  <w:r>
                    <w:rPr>
                      <w:szCs w:val="21"/>
                    </w:rPr>
                    <w:t>到 2025 年底前，推进汽车整车制造、木质家具、汽车零部件、工程机械、钢结构、船舶制造等</w:t>
                  </w:r>
                </w:p>
                <w:p w14:paraId="6F03F78F">
                  <w:pPr>
                    <w:widowControl/>
                    <w:jc w:val="center"/>
                    <w:rPr>
                      <w:szCs w:val="21"/>
                    </w:rPr>
                  </w:pPr>
                  <w:r>
                    <w:rPr>
                      <w:szCs w:val="21"/>
                    </w:rPr>
                    <w:t>领域 3100 余家重点企业（附件1）实施低 VOCs 含量涂料源头替代及工艺改造，原则上实现</w:t>
                  </w:r>
                  <w:r>
                    <w:rPr>
                      <w:rFonts w:hint="eastAsia"/>
                      <w:szCs w:val="21"/>
                    </w:rPr>
                    <w:t>“</w:t>
                  </w:r>
                  <w:r>
                    <w:rPr>
                      <w:szCs w:val="21"/>
                    </w:rPr>
                    <w:t>应替尽替</w:t>
                  </w:r>
                  <w:r>
                    <w:rPr>
                      <w:rFonts w:hint="eastAsia"/>
                      <w:szCs w:val="21"/>
                    </w:rPr>
                    <w:t>”</w:t>
                  </w:r>
                  <w:r>
                    <w:rPr>
                      <w:szCs w:val="21"/>
                    </w:rPr>
                    <w:t>。</w:t>
                  </w:r>
                </w:p>
              </w:tc>
              <w:tc>
                <w:tcPr>
                  <w:tcW w:w="1322" w:type="pct"/>
                  <w:tcBorders>
                    <w:tl2br w:val="nil"/>
                    <w:tr2bl w:val="nil"/>
                  </w:tcBorders>
                  <w:vAlign w:val="center"/>
                </w:tcPr>
                <w:p w14:paraId="6103A641">
                  <w:pPr>
                    <w:jc w:val="center"/>
                    <w:rPr>
                      <w:kern w:val="0"/>
                      <w:szCs w:val="21"/>
                      <w:lang w:bidi="ar"/>
                    </w:rPr>
                  </w:pPr>
                  <w:r>
                    <w:rPr>
                      <w:rFonts w:hint="eastAsia"/>
                      <w:kern w:val="0"/>
                      <w:szCs w:val="21"/>
                      <w:lang w:bidi="ar"/>
                    </w:rPr>
                    <w:t xml:space="preserve">  </w:t>
                  </w:r>
                  <w:r>
                    <w:rPr>
                      <w:kern w:val="0"/>
                      <w:szCs w:val="21"/>
                      <w:lang w:bidi="ar"/>
                    </w:rPr>
                    <w:t>本项目属于C3670汽车零部件及配件制造</w:t>
                  </w:r>
                  <w:r>
                    <w:rPr>
                      <w:rFonts w:hint="eastAsia"/>
                      <w:kern w:val="0"/>
                      <w:szCs w:val="21"/>
                      <w:lang w:bidi="ar"/>
                    </w:rPr>
                    <w:t>及C2929 塑料零件及其他塑料制品制造</w:t>
                  </w:r>
                  <w:r>
                    <w:rPr>
                      <w:kern w:val="0"/>
                      <w:szCs w:val="21"/>
                      <w:lang w:bidi="ar"/>
                    </w:rPr>
                    <w:t>，生产过程中不涉及含VOCs涂料使用</w:t>
                  </w:r>
                </w:p>
              </w:tc>
              <w:tc>
                <w:tcPr>
                  <w:tcW w:w="457" w:type="pct"/>
                  <w:tcBorders>
                    <w:tl2br w:val="nil"/>
                    <w:tr2bl w:val="nil"/>
                  </w:tcBorders>
                  <w:vAlign w:val="center"/>
                </w:tcPr>
                <w:p w14:paraId="34B254BF">
                  <w:pPr>
                    <w:adjustRightInd w:val="0"/>
                    <w:snapToGrid w:val="0"/>
                    <w:jc w:val="center"/>
                    <w:rPr>
                      <w:kern w:val="0"/>
                      <w:szCs w:val="21"/>
                    </w:rPr>
                  </w:pPr>
                  <w:r>
                    <w:rPr>
                      <w:rFonts w:hint="eastAsia"/>
                      <w:kern w:val="0"/>
                      <w:szCs w:val="21"/>
                    </w:rPr>
                    <w:t>符合</w:t>
                  </w:r>
                </w:p>
              </w:tc>
            </w:tr>
            <w:tr w14:paraId="5C9EDA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jc w:val="center"/>
              </w:trPr>
              <w:tc>
                <w:tcPr>
                  <w:tcW w:w="367" w:type="pct"/>
                  <w:tcBorders>
                    <w:tl2br w:val="nil"/>
                    <w:tr2bl w:val="nil"/>
                  </w:tcBorders>
                  <w:vAlign w:val="center"/>
                </w:tcPr>
                <w:p w14:paraId="5CD79230">
                  <w:pPr>
                    <w:adjustRightInd w:val="0"/>
                    <w:snapToGrid w:val="0"/>
                    <w:jc w:val="center"/>
                    <w:rPr>
                      <w:szCs w:val="21"/>
                    </w:rPr>
                  </w:pPr>
                  <w:r>
                    <w:rPr>
                      <w:rFonts w:hint="eastAsia"/>
                      <w:szCs w:val="21"/>
                    </w:rPr>
                    <w:t>2</w:t>
                  </w:r>
                </w:p>
              </w:tc>
              <w:tc>
                <w:tcPr>
                  <w:tcW w:w="2853" w:type="pct"/>
                  <w:gridSpan w:val="2"/>
                  <w:tcBorders>
                    <w:tl2br w:val="nil"/>
                    <w:tr2bl w:val="nil"/>
                  </w:tcBorders>
                  <w:vAlign w:val="center"/>
                </w:tcPr>
                <w:p w14:paraId="1F267D7F">
                  <w:pPr>
                    <w:widowControl/>
                    <w:jc w:val="center"/>
                    <w:rPr>
                      <w:szCs w:val="21"/>
                    </w:rPr>
                  </w:pPr>
                  <w:r>
                    <w:rPr>
                      <w:b/>
                      <w:bCs/>
                      <w:szCs w:val="21"/>
                    </w:rPr>
                    <w:t>加强替代管理。</w:t>
                  </w:r>
                  <w:r>
                    <w:rPr>
                      <w:szCs w:val="21"/>
                    </w:rPr>
                    <w:t>工业涂装、包装印刷、竹木加工、家具制造、汽车修理与维护、鞋和皮革制品制</w:t>
                  </w:r>
                </w:p>
                <w:p w14:paraId="4291209A">
                  <w:pPr>
                    <w:widowControl/>
                    <w:jc w:val="center"/>
                    <w:rPr>
                      <w:szCs w:val="21"/>
                    </w:rPr>
                  </w:pPr>
                  <w:r>
                    <w:rPr>
                      <w:szCs w:val="21"/>
                    </w:rPr>
                    <w:t>造等重点行业企业，要按照《低挥发性有机物含量原辅材料源头替代技术指引（试行）》（附</w:t>
                  </w:r>
                </w:p>
                <w:p w14:paraId="06124FFF">
                  <w:pPr>
                    <w:widowControl/>
                    <w:jc w:val="center"/>
                    <w:rPr>
                      <w:szCs w:val="21"/>
                    </w:rPr>
                  </w:pPr>
                  <w:r>
                    <w:rPr>
                      <w:szCs w:val="21"/>
                    </w:rPr>
                    <w:t>件 3）要求，开展低 VOCs 原辅材料和生产方式替代优化管控台账及档案管理，持续提升环</w:t>
                  </w:r>
                </w:p>
                <w:p w14:paraId="6368440B">
                  <w:pPr>
                    <w:widowControl/>
                    <w:jc w:val="center"/>
                    <w:rPr>
                      <w:szCs w:val="21"/>
                    </w:rPr>
                  </w:pPr>
                  <w:r>
                    <w:rPr>
                      <w:szCs w:val="21"/>
                    </w:rPr>
                    <w:t>境管理水平。各地要根据《关于深入开展挥发性有机物污染治理工作的通知》（皖大气办[2021]4 号）要求，在认真梳理2021 至 2023 年度VOCs 源头削减治理项目清单基础上，对涉 VOCs 重点行业和使用溶剂型涂料、油墨、胶粘剂、清洗剂以及涉及有机化工生产的产业集群进行再排查，将含 VOCs原辅材料使用企业全面纳入源头替代企业排查台账（附件 2），对具备替代条件的，加强调度指导；对无法替代的，要开展论证核实，严格把关并逐一说明。</w:t>
                  </w:r>
                </w:p>
              </w:tc>
              <w:tc>
                <w:tcPr>
                  <w:tcW w:w="1322" w:type="pct"/>
                  <w:tcBorders>
                    <w:tl2br w:val="nil"/>
                    <w:tr2bl w:val="nil"/>
                  </w:tcBorders>
                  <w:vAlign w:val="center"/>
                </w:tcPr>
                <w:p w14:paraId="0986D988">
                  <w:pPr>
                    <w:jc w:val="center"/>
                    <w:rPr>
                      <w:szCs w:val="21"/>
                    </w:rPr>
                  </w:pPr>
                  <w:r>
                    <w:rPr>
                      <w:rFonts w:hint="eastAsia"/>
                      <w:szCs w:val="21"/>
                    </w:rPr>
                    <w:t xml:space="preserve"> </w:t>
                  </w:r>
                  <w:r>
                    <w:rPr>
                      <w:szCs w:val="21"/>
                    </w:rPr>
                    <w:t>本项目属于 C3670汽车零部件及配件制造C2929 塑料零件及其他塑料制品制造，使用</w:t>
                  </w:r>
                  <w:r>
                    <w:rPr>
                      <w:rFonts w:hint="eastAsia"/>
                      <w:szCs w:val="21"/>
                      <w:lang w:val="en-US" w:eastAsia="zh-CN"/>
                    </w:rPr>
                    <w:t>的</w:t>
                  </w:r>
                  <w:r>
                    <w:rPr>
                      <w:szCs w:val="21"/>
                    </w:rPr>
                    <w:t>胶粘剂</w:t>
                  </w:r>
                  <w:r>
                    <w:rPr>
                      <w:rFonts w:hint="eastAsia"/>
                      <w:szCs w:val="21"/>
                      <w:lang w:val="en-US" w:eastAsia="zh-CN"/>
                    </w:rPr>
                    <w:t>和脱模剂均为</w:t>
                  </w:r>
                  <w:r>
                    <w:rPr>
                      <w:szCs w:val="21"/>
                    </w:rPr>
                    <w:t>低 VOCs 原辅材料。项目生产过程使用</w:t>
                  </w:r>
                  <w:r>
                    <w:rPr>
                      <w:rFonts w:hint="eastAsia"/>
                      <w:szCs w:val="21"/>
                    </w:rPr>
                    <w:t>的</w:t>
                  </w:r>
                  <w:r>
                    <w:rPr>
                      <w:rFonts w:hint="eastAsia"/>
                      <w:szCs w:val="21"/>
                      <w:lang w:val="en-US" w:eastAsia="zh-CN"/>
                    </w:rPr>
                    <w:t>PVC和PU</w:t>
                  </w:r>
                  <w:r>
                    <w:rPr>
                      <w:rFonts w:hint="eastAsia"/>
                      <w:szCs w:val="21"/>
                    </w:rPr>
                    <w:t>等</w:t>
                  </w:r>
                  <w:r>
                    <w:rPr>
                      <w:szCs w:val="21"/>
                    </w:rPr>
                    <w:t>均为固态</w:t>
                  </w:r>
                </w:p>
              </w:tc>
              <w:tc>
                <w:tcPr>
                  <w:tcW w:w="457" w:type="pct"/>
                  <w:tcBorders>
                    <w:tl2br w:val="nil"/>
                    <w:tr2bl w:val="nil"/>
                  </w:tcBorders>
                  <w:vAlign w:val="center"/>
                </w:tcPr>
                <w:p w14:paraId="56A942E7">
                  <w:pPr>
                    <w:adjustRightInd w:val="0"/>
                    <w:snapToGrid w:val="0"/>
                    <w:jc w:val="center"/>
                    <w:rPr>
                      <w:kern w:val="0"/>
                      <w:szCs w:val="21"/>
                    </w:rPr>
                  </w:pPr>
                  <w:r>
                    <w:rPr>
                      <w:rFonts w:hint="eastAsia"/>
                      <w:kern w:val="0"/>
                      <w:szCs w:val="21"/>
                    </w:rPr>
                    <w:t>符合</w:t>
                  </w:r>
                </w:p>
              </w:tc>
            </w:tr>
            <w:tr w14:paraId="571FE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rHeight w:val="340" w:hRule="atLeast"/>
                <w:jc w:val="center"/>
              </w:trPr>
              <w:tc>
                <w:tcPr>
                  <w:tcW w:w="367" w:type="pct"/>
                  <w:tcBorders>
                    <w:tl2br w:val="nil"/>
                    <w:tr2bl w:val="nil"/>
                  </w:tcBorders>
                  <w:vAlign w:val="center"/>
                </w:tcPr>
                <w:p w14:paraId="09A091F8">
                  <w:pPr>
                    <w:adjustRightInd w:val="0"/>
                    <w:snapToGrid w:val="0"/>
                    <w:jc w:val="center"/>
                    <w:rPr>
                      <w:szCs w:val="21"/>
                    </w:rPr>
                  </w:pPr>
                  <w:r>
                    <w:rPr>
                      <w:rFonts w:hint="eastAsia"/>
                      <w:szCs w:val="21"/>
                    </w:rPr>
                    <w:t>3</w:t>
                  </w:r>
                </w:p>
              </w:tc>
              <w:tc>
                <w:tcPr>
                  <w:tcW w:w="2853" w:type="pct"/>
                  <w:gridSpan w:val="2"/>
                  <w:tcBorders>
                    <w:tl2br w:val="nil"/>
                    <w:tr2bl w:val="nil"/>
                  </w:tcBorders>
                  <w:vAlign w:val="center"/>
                </w:tcPr>
                <w:p w14:paraId="5C9B6DDE">
                  <w:pPr>
                    <w:widowControl/>
                    <w:jc w:val="center"/>
                    <w:rPr>
                      <w:szCs w:val="21"/>
                    </w:rPr>
                  </w:pPr>
                  <w:r>
                    <w:rPr>
                      <w:b/>
                      <w:bCs/>
                      <w:szCs w:val="21"/>
                    </w:rPr>
                    <w:t>严格项目准入。</w:t>
                  </w:r>
                  <w:r>
                    <w:rPr>
                      <w:szCs w:val="21"/>
                    </w:rPr>
                    <w:t>根据《低挥发性有机化合物含量涂料产品技术要求》（GB/T 38597-2020）要求，进一步完善 VOCs排放管控地方标准建设，细化相关行业涂料种类及各项污染物指标限值，编制实施固定源挥发性有机物综合排放标准和制鞋、汽修木材等行业大气污染物排放标准。禁止建设生产和使用高 VOCs含量的溶剂型涂料、油墨、胶黏剂等项目，全省工业涂装、包装</w:t>
                  </w:r>
                </w:p>
                <w:p w14:paraId="096F4006">
                  <w:pPr>
                    <w:widowControl/>
                    <w:jc w:val="center"/>
                    <w:rPr>
                      <w:szCs w:val="21"/>
                    </w:rPr>
                  </w:pPr>
                  <w:r>
                    <w:rPr>
                      <w:szCs w:val="21"/>
                    </w:rPr>
                    <w:t>印刷等重点行业和涂料、油墨等生产企业的新（改、扩）建项目需满足低（无）VOCs含量限值要求。省内市场上流通的水性涂料等低VOCs 含量涂料产品，执行《低挥发性有机化合物含量</w:t>
                  </w:r>
                </w:p>
                <w:p w14:paraId="2EEC8484">
                  <w:pPr>
                    <w:widowControl/>
                    <w:jc w:val="center"/>
                    <w:rPr>
                      <w:szCs w:val="21"/>
                    </w:rPr>
                  </w:pPr>
                  <w:r>
                    <w:rPr>
                      <w:szCs w:val="21"/>
                    </w:rPr>
                    <w:t>涂料产品技术要求》，应在包装标志或产品说明上标明符合标准的分类、产品类别及产品类型</w:t>
                  </w:r>
                </w:p>
                <w:p w14:paraId="122CE3CD">
                  <w:pPr>
                    <w:widowControl/>
                    <w:jc w:val="center"/>
                    <w:rPr>
                      <w:szCs w:val="21"/>
                    </w:rPr>
                  </w:pPr>
                  <w:r>
                    <w:rPr>
                      <w:szCs w:val="21"/>
                    </w:rPr>
                    <w:t>（或施涂方式）。</w:t>
                  </w:r>
                </w:p>
              </w:tc>
              <w:tc>
                <w:tcPr>
                  <w:tcW w:w="1322" w:type="pct"/>
                  <w:tcBorders>
                    <w:tl2br w:val="nil"/>
                    <w:tr2bl w:val="nil"/>
                  </w:tcBorders>
                  <w:vAlign w:val="center"/>
                </w:tcPr>
                <w:p w14:paraId="6F589327">
                  <w:pPr>
                    <w:jc w:val="center"/>
                    <w:rPr>
                      <w:szCs w:val="21"/>
                    </w:rPr>
                  </w:pPr>
                  <w:r>
                    <w:rPr>
                      <w:szCs w:val="21"/>
                    </w:rPr>
                    <w:t>本项目属于 C3670汽车零部件及配件制造C2929 塑料零件及其他塑料制品制造，使用</w:t>
                  </w:r>
                  <w:r>
                    <w:rPr>
                      <w:rFonts w:hint="eastAsia"/>
                      <w:szCs w:val="21"/>
                      <w:lang w:val="en-US" w:eastAsia="zh-CN"/>
                    </w:rPr>
                    <w:t>的</w:t>
                  </w:r>
                  <w:r>
                    <w:rPr>
                      <w:szCs w:val="21"/>
                    </w:rPr>
                    <w:t>胶粘剂</w:t>
                  </w:r>
                  <w:r>
                    <w:rPr>
                      <w:rFonts w:hint="eastAsia"/>
                      <w:szCs w:val="21"/>
                      <w:lang w:val="en-US" w:eastAsia="zh-CN"/>
                    </w:rPr>
                    <w:t>和脱模剂均为</w:t>
                  </w:r>
                  <w:r>
                    <w:rPr>
                      <w:szCs w:val="21"/>
                    </w:rPr>
                    <w:t>低 VOCs 原辅材料。项目生产过程使用</w:t>
                  </w:r>
                  <w:r>
                    <w:rPr>
                      <w:rFonts w:hint="eastAsia"/>
                      <w:szCs w:val="21"/>
                    </w:rPr>
                    <w:t>的</w:t>
                  </w:r>
                  <w:r>
                    <w:rPr>
                      <w:rFonts w:hint="eastAsia"/>
                      <w:szCs w:val="21"/>
                      <w:lang w:val="en-US" w:eastAsia="zh-CN"/>
                    </w:rPr>
                    <w:t>PVC和PU</w:t>
                  </w:r>
                  <w:r>
                    <w:rPr>
                      <w:rFonts w:hint="eastAsia"/>
                      <w:szCs w:val="21"/>
                    </w:rPr>
                    <w:t>等</w:t>
                  </w:r>
                  <w:r>
                    <w:rPr>
                      <w:szCs w:val="21"/>
                    </w:rPr>
                    <w:t>均为固态</w:t>
                  </w:r>
                </w:p>
              </w:tc>
              <w:tc>
                <w:tcPr>
                  <w:tcW w:w="457" w:type="pct"/>
                  <w:tcBorders>
                    <w:tl2br w:val="nil"/>
                    <w:tr2bl w:val="nil"/>
                  </w:tcBorders>
                  <w:vAlign w:val="center"/>
                </w:tcPr>
                <w:p w14:paraId="150DF898">
                  <w:pPr>
                    <w:adjustRightInd w:val="0"/>
                    <w:snapToGrid w:val="0"/>
                    <w:jc w:val="center"/>
                    <w:rPr>
                      <w:kern w:val="0"/>
                      <w:szCs w:val="21"/>
                    </w:rPr>
                  </w:pPr>
                  <w:r>
                    <w:rPr>
                      <w:rFonts w:hint="eastAsia"/>
                      <w:kern w:val="0"/>
                      <w:szCs w:val="21"/>
                    </w:rPr>
                    <w:t>符合</w:t>
                  </w:r>
                </w:p>
              </w:tc>
            </w:tr>
          </w:tbl>
          <w:p w14:paraId="1F3A72C3">
            <w:pPr>
              <w:autoSpaceDE w:val="0"/>
              <w:autoSpaceDN w:val="0"/>
              <w:adjustRightInd w:val="0"/>
              <w:spacing w:line="360" w:lineRule="auto"/>
              <w:ind w:firstLine="482" w:firstLineChars="200"/>
              <w:rPr>
                <w:rFonts w:hAnsi="宋体"/>
                <w:b/>
                <w:kern w:val="0"/>
                <w:sz w:val="24"/>
              </w:rPr>
            </w:pPr>
            <w:r>
              <w:rPr>
                <w:rFonts w:hint="eastAsia" w:hAnsi="宋体"/>
                <w:b/>
                <w:kern w:val="0"/>
                <w:sz w:val="24"/>
              </w:rPr>
              <w:t>8、与《</w:t>
            </w:r>
            <w:r>
              <w:rPr>
                <w:rFonts w:hAnsi="宋体"/>
                <w:b/>
                <w:kern w:val="0"/>
                <w:sz w:val="24"/>
              </w:rPr>
              <w:t>安徽省</w:t>
            </w:r>
            <w:r>
              <w:rPr>
                <w:rFonts w:hint="eastAsia" w:hAnsi="宋体"/>
                <w:b/>
                <w:kern w:val="0"/>
                <w:sz w:val="24"/>
              </w:rPr>
              <w:t>节能减排及应对气候变化工作领导小组关于印发安徽省“两高”项目管理目录（试行）的通知》相符性分析</w:t>
            </w:r>
          </w:p>
          <w:p w14:paraId="1FF7A0F6">
            <w:pPr>
              <w:autoSpaceDE w:val="0"/>
              <w:autoSpaceDN w:val="0"/>
              <w:adjustRightInd w:val="0"/>
              <w:spacing w:line="360" w:lineRule="auto"/>
              <w:ind w:firstLine="480" w:firstLineChars="200"/>
              <w:jc w:val="left"/>
              <w:rPr>
                <w:rFonts w:hAnsi="宋体"/>
                <w:sz w:val="24"/>
              </w:rPr>
            </w:pPr>
            <w:r>
              <w:rPr>
                <w:rFonts w:hint="eastAsia" w:hAnsi="宋体"/>
                <w:sz w:val="24"/>
              </w:rPr>
              <w:t>安徽省 “两高”项目管理目录（试行）见下表。</w:t>
            </w:r>
          </w:p>
          <w:p w14:paraId="71371044">
            <w:pPr>
              <w:jc w:val="center"/>
              <w:rPr>
                <w:b/>
                <w:sz w:val="24"/>
              </w:rPr>
            </w:pPr>
            <w:r>
              <w:rPr>
                <w:rFonts w:hint="eastAsia"/>
                <w:b/>
                <w:sz w:val="24"/>
              </w:rPr>
              <w:t>表</w:t>
            </w:r>
            <w:r>
              <w:rPr>
                <w:b/>
                <w:sz w:val="24"/>
              </w:rPr>
              <w:t xml:space="preserve">1-9 </w:t>
            </w:r>
            <w:r>
              <w:rPr>
                <w:rFonts w:hint="eastAsia"/>
                <w:b/>
                <w:sz w:val="24"/>
              </w:rPr>
              <w:t>安徽省“两高”项目管理目录（试行）</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637"/>
              <w:gridCol w:w="1027"/>
              <w:gridCol w:w="1906"/>
              <w:gridCol w:w="880"/>
              <w:gridCol w:w="3215"/>
            </w:tblGrid>
            <w:tr w14:paraId="6C026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9FC6727">
                  <w:pPr>
                    <w:pStyle w:val="68"/>
                    <w:textAlignment w:val="center"/>
                    <w:rPr>
                      <w:rFonts w:ascii="Times New Roman" w:hAnsi="Times New Roman" w:eastAsia="宋体"/>
                      <w:b/>
                      <w:sz w:val="21"/>
                      <w:szCs w:val="21"/>
                    </w:rPr>
                  </w:pPr>
                  <w:r>
                    <w:rPr>
                      <w:rFonts w:ascii="Times New Roman" w:hAnsi="Times New Roman" w:eastAsia="宋体"/>
                      <w:b/>
                      <w:sz w:val="21"/>
                      <w:szCs w:val="21"/>
                    </w:rPr>
                    <w:t>序号</w:t>
                  </w:r>
                </w:p>
              </w:tc>
              <w:tc>
                <w:tcPr>
                  <w:tcW w:w="670" w:type="pct"/>
                  <w:shd w:val="clear" w:color="auto" w:fill="auto"/>
                  <w:vAlign w:val="center"/>
                </w:tcPr>
                <w:p w14:paraId="0C6AD439">
                  <w:pPr>
                    <w:pStyle w:val="68"/>
                    <w:textAlignment w:val="center"/>
                    <w:rPr>
                      <w:rFonts w:ascii="Times New Roman" w:hAnsi="Times New Roman" w:eastAsia="宋体"/>
                      <w:b/>
                      <w:sz w:val="21"/>
                      <w:szCs w:val="21"/>
                    </w:rPr>
                  </w:pPr>
                  <w:r>
                    <w:rPr>
                      <w:rFonts w:hint="eastAsia" w:ascii="Times New Roman" w:hAnsi="Times New Roman" w:eastAsia="宋体"/>
                      <w:b/>
                      <w:sz w:val="21"/>
                      <w:szCs w:val="21"/>
                    </w:rPr>
                    <w:t>行业</w:t>
                  </w:r>
                </w:p>
              </w:tc>
              <w:tc>
                <w:tcPr>
                  <w:tcW w:w="1243" w:type="pct"/>
                  <w:shd w:val="clear" w:color="auto" w:fill="auto"/>
                  <w:vAlign w:val="center"/>
                </w:tcPr>
                <w:p w14:paraId="3AAD6201">
                  <w:pPr>
                    <w:pStyle w:val="68"/>
                    <w:textAlignment w:val="center"/>
                    <w:rPr>
                      <w:rFonts w:ascii="Times New Roman" w:hAnsi="Times New Roman" w:eastAsia="宋体"/>
                      <w:b/>
                      <w:sz w:val="21"/>
                      <w:szCs w:val="21"/>
                    </w:rPr>
                  </w:pPr>
                  <w:r>
                    <w:rPr>
                      <w:rFonts w:hint="eastAsia" w:ascii="Times New Roman" w:hAnsi="Times New Roman" w:eastAsia="宋体"/>
                      <w:b/>
                      <w:sz w:val="21"/>
                      <w:szCs w:val="21"/>
                    </w:rPr>
                    <w:t>国民经济行业分类名称</w:t>
                  </w:r>
                </w:p>
              </w:tc>
              <w:tc>
                <w:tcPr>
                  <w:tcW w:w="574" w:type="pct"/>
                  <w:vAlign w:val="center"/>
                </w:tcPr>
                <w:p w14:paraId="0FF5C596">
                  <w:pPr>
                    <w:pStyle w:val="68"/>
                    <w:textAlignment w:val="center"/>
                    <w:rPr>
                      <w:rFonts w:ascii="Times New Roman" w:hAnsi="Times New Roman" w:eastAsia="宋体"/>
                      <w:b/>
                      <w:sz w:val="21"/>
                      <w:szCs w:val="21"/>
                    </w:rPr>
                  </w:pPr>
                  <w:r>
                    <w:rPr>
                      <w:rFonts w:hint="eastAsia" w:ascii="Times New Roman" w:hAnsi="Times New Roman" w:eastAsia="宋体"/>
                      <w:b/>
                      <w:sz w:val="21"/>
                      <w:szCs w:val="21"/>
                    </w:rPr>
                    <w:t>行业小类代码</w:t>
                  </w:r>
                </w:p>
              </w:tc>
              <w:tc>
                <w:tcPr>
                  <w:tcW w:w="2097" w:type="pct"/>
                  <w:vAlign w:val="center"/>
                </w:tcPr>
                <w:p w14:paraId="2CE99662">
                  <w:pPr>
                    <w:pStyle w:val="68"/>
                    <w:textAlignment w:val="center"/>
                    <w:rPr>
                      <w:rFonts w:ascii="Times New Roman" w:hAnsi="Times New Roman" w:eastAsia="宋体"/>
                      <w:b/>
                      <w:sz w:val="21"/>
                      <w:szCs w:val="21"/>
                    </w:rPr>
                  </w:pPr>
                  <w:r>
                    <w:rPr>
                      <w:rFonts w:hint="eastAsia" w:ascii="Times New Roman" w:hAnsi="Times New Roman" w:eastAsia="宋体"/>
                      <w:b/>
                      <w:sz w:val="21"/>
                      <w:szCs w:val="21"/>
                    </w:rPr>
                    <w:t>包含内容</w:t>
                  </w:r>
                </w:p>
              </w:tc>
            </w:tr>
            <w:tr w14:paraId="1A90F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3B078903">
                  <w:pPr>
                    <w:pStyle w:val="68"/>
                    <w:textAlignment w:val="center"/>
                    <w:rPr>
                      <w:rFonts w:ascii="Times New Roman" w:hAnsi="Times New Roman" w:eastAsia="宋体"/>
                      <w:sz w:val="21"/>
                      <w:szCs w:val="21"/>
                    </w:rPr>
                  </w:pPr>
                  <w:r>
                    <w:rPr>
                      <w:rFonts w:ascii="Times New Roman" w:hAnsi="Times New Roman" w:eastAsia="宋体"/>
                      <w:sz w:val="21"/>
                      <w:szCs w:val="21"/>
                    </w:rPr>
                    <w:t>1</w:t>
                  </w:r>
                </w:p>
              </w:tc>
              <w:tc>
                <w:tcPr>
                  <w:tcW w:w="670" w:type="pct"/>
                  <w:shd w:val="clear" w:color="auto" w:fill="auto"/>
                  <w:vAlign w:val="center"/>
                </w:tcPr>
                <w:p w14:paraId="3F62F697">
                  <w:pPr>
                    <w:pStyle w:val="68"/>
                    <w:textAlignment w:val="center"/>
                    <w:rPr>
                      <w:rFonts w:ascii="Times New Roman" w:hAnsi="Times New Roman" w:eastAsia="宋体"/>
                      <w:sz w:val="21"/>
                      <w:szCs w:val="21"/>
                    </w:rPr>
                  </w:pPr>
                  <w:r>
                    <w:rPr>
                      <w:rFonts w:hint="eastAsia" w:ascii="Times New Roman" w:hAnsi="Times New Roman" w:eastAsia="宋体"/>
                      <w:sz w:val="21"/>
                      <w:szCs w:val="21"/>
                    </w:rPr>
                    <w:t>石化</w:t>
                  </w:r>
                </w:p>
              </w:tc>
              <w:tc>
                <w:tcPr>
                  <w:tcW w:w="1243" w:type="pct"/>
                  <w:shd w:val="clear" w:color="auto" w:fill="auto"/>
                  <w:vAlign w:val="center"/>
                </w:tcPr>
                <w:p w14:paraId="4CBC5373">
                  <w:pPr>
                    <w:pStyle w:val="68"/>
                    <w:textAlignment w:val="center"/>
                    <w:rPr>
                      <w:rFonts w:ascii="Times New Roman" w:hAnsi="Times New Roman" w:eastAsia="宋体"/>
                      <w:sz w:val="21"/>
                      <w:szCs w:val="21"/>
                    </w:rPr>
                  </w:pPr>
                  <w:r>
                    <w:rPr>
                      <w:rFonts w:hint="eastAsia" w:ascii="Times New Roman" w:hAnsi="Times New Roman" w:eastAsia="宋体"/>
                      <w:sz w:val="21"/>
                      <w:szCs w:val="21"/>
                    </w:rPr>
                    <w:t>原油加工及石油制品制造</w:t>
                  </w:r>
                </w:p>
              </w:tc>
              <w:tc>
                <w:tcPr>
                  <w:tcW w:w="574" w:type="pct"/>
                  <w:vAlign w:val="center"/>
                </w:tcPr>
                <w:p w14:paraId="705808BF">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511</w:t>
                  </w:r>
                </w:p>
              </w:tc>
              <w:tc>
                <w:tcPr>
                  <w:tcW w:w="2097" w:type="pct"/>
                  <w:vAlign w:val="center"/>
                </w:tcPr>
                <w:p w14:paraId="0D26BE8B">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炼油</w:t>
                  </w:r>
                </w:p>
              </w:tc>
            </w:tr>
            <w:tr w14:paraId="2811B8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DF13FA1">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p>
              </w:tc>
              <w:tc>
                <w:tcPr>
                  <w:tcW w:w="670" w:type="pct"/>
                  <w:shd w:val="clear" w:color="auto" w:fill="auto"/>
                  <w:vAlign w:val="center"/>
                </w:tcPr>
                <w:p w14:paraId="0FFC046E">
                  <w:pPr>
                    <w:pStyle w:val="68"/>
                    <w:textAlignment w:val="center"/>
                    <w:rPr>
                      <w:rFonts w:ascii="Times New Roman" w:hAnsi="Times New Roman" w:eastAsia="宋体"/>
                      <w:sz w:val="21"/>
                      <w:szCs w:val="21"/>
                    </w:rPr>
                  </w:pPr>
                  <w:r>
                    <w:rPr>
                      <w:rFonts w:hint="eastAsia" w:ascii="Times New Roman" w:hAnsi="Times New Roman" w:eastAsia="宋体"/>
                      <w:sz w:val="21"/>
                      <w:szCs w:val="21"/>
                    </w:rPr>
                    <w:t>焦化</w:t>
                  </w:r>
                </w:p>
              </w:tc>
              <w:tc>
                <w:tcPr>
                  <w:tcW w:w="1243" w:type="pct"/>
                  <w:shd w:val="clear" w:color="auto" w:fill="auto"/>
                  <w:vAlign w:val="center"/>
                </w:tcPr>
                <w:p w14:paraId="7C55BFC7">
                  <w:pPr>
                    <w:pStyle w:val="68"/>
                    <w:textAlignment w:val="center"/>
                    <w:rPr>
                      <w:rFonts w:ascii="Times New Roman" w:hAnsi="Times New Roman" w:eastAsia="宋体"/>
                      <w:sz w:val="21"/>
                      <w:szCs w:val="21"/>
                    </w:rPr>
                  </w:pPr>
                  <w:r>
                    <w:rPr>
                      <w:rFonts w:hint="eastAsia" w:ascii="Times New Roman" w:hAnsi="Times New Roman" w:eastAsia="宋体"/>
                      <w:sz w:val="21"/>
                      <w:szCs w:val="21"/>
                    </w:rPr>
                    <w:t>炼焦</w:t>
                  </w:r>
                </w:p>
              </w:tc>
              <w:tc>
                <w:tcPr>
                  <w:tcW w:w="574" w:type="pct"/>
                  <w:vAlign w:val="center"/>
                </w:tcPr>
                <w:p w14:paraId="3D0434F2">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521</w:t>
                  </w:r>
                </w:p>
              </w:tc>
              <w:tc>
                <w:tcPr>
                  <w:tcW w:w="2097" w:type="pct"/>
                  <w:vAlign w:val="center"/>
                </w:tcPr>
                <w:p w14:paraId="38759338">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煤制焦炭、石油焦（焦炭类）、沥青焦、其他原材料生产焦炭，机焦、型焦、土焦、半焦炭、其他工艺生产焦炭、矿物油焦、兰炭</w:t>
                  </w:r>
                </w:p>
              </w:tc>
            </w:tr>
            <w:tr w14:paraId="085CCB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0AB18C37">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p>
              </w:tc>
              <w:tc>
                <w:tcPr>
                  <w:tcW w:w="670" w:type="pct"/>
                  <w:shd w:val="clear" w:color="auto" w:fill="auto"/>
                  <w:vAlign w:val="center"/>
                </w:tcPr>
                <w:p w14:paraId="51C95DC0">
                  <w:pPr>
                    <w:pStyle w:val="68"/>
                    <w:textAlignment w:val="center"/>
                    <w:rPr>
                      <w:rFonts w:ascii="Times New Roman" w:hAnsi="Times New Roman" w:eastAsia="宋体"/>
                      <w:sz w:val="21"/>
                      <w:szCs w:val="21"/>
                    </w:rPr>
                  </w:pPr>
                  <w:r>
                    <w:rPr>
                      <w:rFonts w:hint="eastAsia" w:ascii="Times New Roman" w:hAnsi="Times New Roman" w:eastAsia="宋体"/>
                      <w:sz w:val="21"/>
                      <w:szCs w:val="21"/>
                    </w:rPr>
                    <w:t>煤化工</w:t>
                  </w:r>
                </w:p>
              </w:tc>
              <w:tc>
                <w:tcPr>
                  <w:tcW w:w="1243" w:type="pct"/>
                  <w:shd w:val="clear" w:color="auto" w:fill="auto"/>
                  <w:vAlign w:val="center"/>
                </w:tcPr>
                <w:p w14:paraId="698D8A39">
                  <w:pPr>
                    <w:pStyle w:val="68"/>
                    <w:textAlignment w:val="center"/>
                    <w:rPr>
                      <w:rFonts w:ascii="Times New Roman" w:hAnsi="Times New Roman" w:eastAsia="宋体"/>
                      <w:sz w:val="21"/>
                      <w:szCs w:val="21"/>
                    </w:rPr>
                  </w:pPr>
                  <w:r>
                    <w:rPr>
                      <w:rFonts w:hint="eastAsia" w:ascii="Times New Roman" w:hAnsi="Times New Roman" w:eastAsia="宋体"/>
                      <w:sz w:val="21"/>
                      <w:szCs w:val="21"/>
                    </w:rPr>
                    <w:t>煤制液体燃料生产</w:t>
                  </w:r>
                </w:p>
              </w:tc>
              <w:tc>
                <w:tcPr>
                  <w:tcW w:w="574" w:type="pct"/>
                  <w:vAlign w:val="center"/>
                </w:tcPr>
                <w:p w14:paraId="35EB50FD">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523</w:t>
                  </w:r>
                </w:p>
              </w:tc>
              <w:tc>
                <w:tcPr>
                  <w:tcW w:w="2097" w:type="pct"/>
                  <w:vAlign w:val="center"/>
                </w:tcPr>
                <w:p w14:paraId="7690EF93">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甲醇、烯烃、乙二醇</w:t>
                  </w:r>
                </w:p>
              </w:tc>
            </w:tr>
            <w:tr w14:paraId="7DEE29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22173115">
                  <w:pPr>
                    <w:pStyle w:val="68"/>
                    <w:textAlignment w:val="center"/>
                    <w:rPr>
                      <w:rFonts w:ascii="Times New Roman" w:hAnsi="Times New Roman" w:eastAsia="宋体"/>
                      <w:sz w:val="21"/>
                      <w:szCs w:val="21"/>
                    </w:rPr>
                  </w:pPr>
                  <w:r>
                    <w:rPr>
                      <w:rFonts w:hint="eastAsia" w:ascii="Times New Roman" w:hAnsi="Times New Roman" w:eastAsia="宋体"/>
                      <w:sz w:val="21"/>
                      <w:szCs w:val="21"/>
                    </w:rPr>
                    <w:t>4</w:t>
                  </w:r>
                </w:p>
              </w:tc>
              <w:tc>
                <w:tcPr>
                  <w:tcW w:w="670" w:type="pct"/>
                  <w:vMerge w:val="restart"/>
                  <w:shd w:val="clear" w:color="auto" w:fill="auto"/>
                  <w:vAlign w:val="center"/>
                </w:tcPr>
                <w:p w14:paraId="56DFDF79">
                  <w:pPr>
                    <w:pStyle w:val="68"/>
                    <w:textAlignment w:val="center"/>
                    <w:rPr>
                      <w:rFonts w:ascii="Times New Roman" w:hAnsi="Times New Roman" w:eastAsia="宋体"/>
                      <w:sz w:val="21"/>
                      <w:szCs w:val="21"/>
                    </w:rPr>
                  </w:pPr>
                  <w:r>
                    <w:rPr>
                      <w:rFonts w:hint="eastAsia" w:ascii="Times New Roman" w:hAnsi="Times New Roman" w:eastAsia="宋体"/>
                      <w:sz w:val="21"/>
                      <w:szCs w:val="21"/>
                    </w:rPr>
                    <w:t>化工</w:t>
                  </w:r>
                </w:p>
              </w:tc>
              <w:tc>
                <w:tcPr>
                  <w:tcW w:w="1243" w:type="pct"/>
                  <w:shd w:val="clear" w:color="auto" w:fill="auto"/>
                  <w:vAlign w:val="center"/>
                </w:tcPr>
                <w:p w14:paraId="6CAA8704">
                  <w:pPr>
                    <w:pStyle w:val="68"/>
                    <w:textAlignment w:val="center"/>
                    <w:rPr>
                      <w:rFonts w:ascii="Times New Roman" w:hAnsi="Times New Roman" w:eastAsia="宋体"/>
                      <w:sz w:val="21"/>
                      <w:szCs w:val="21"/>
                    </w:rPr>
                  </w:pPr>
                  <w:r>
                    <w:rPr>
                      <w:rFonts w:hint="eastAsia" w:ascii="Times New Roman" w:hAnsi="Times New Roman" w:eastAsia="宋体"/>
                      <w:sz w:val="21"/>
                      <w:szCs w:val="21"/>
                    </w:rPr>
                    <w:t>无机碱制造</w:t>
                  </w:r>
                </w:p>
              </w:tc>
              <w:tc>
                <w:tcPr>
                  <w:tcW w:w="574" w:type="pct"/>
                  <w:vAlign w:val="center"/>
                </w:tcPr>
                <w:p w14:paraId="622F06C8">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612</w:t>
                  </w:r>
                </w:p>
              </w:tc>
              <w:tc>
                <w:tcPr>
                  <w:tcW w:w="2097" w:type="pct"/>
                  <w:vAlign w:val="center"/>
                </w:tcPr>
                <w:p w14:paraId="7036EF25">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烧碱、纯碱</w:t>
                  </w:r>
                </w:p>
              </w:tc>
            </w:tr>
            <w:tr w14:paraId="79DCD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5E844E83">
                  <w:pPr>
                    <w:pStyle w:val="68"/>
                    <w:textAlignment w:val="center"/>
                    <w:rPr>
                      <w:rFonts w:ascii="Times New Roman" w:hAnsi="Times New Roman" w:eastAsia="宋体"/>
                      <w:sz w:val="21"/>
                      <w:szCs w:val="21"/>
                    </w:rPr>
                  </w:pPr>
                  <w:r>
                    <w:rPr>
                      <w:rFonts w:hint="eastAsia" w:ascii="Times New Roman" w:hAnsi="Times New Roman" w:eastAsia="宋体"/>
                      <w:sz w:val="21"/>
                      <w:szCs w:val="21"/>
                    </w:rPr>
                    <w:t>5</w:t>
                  </w:r>
                </w:p>
              </w:tc>
              <w:tc>
                <w:tcPr>
                  <w:tcW w:w="670" w:type="pct"/>
                  <w:vMerge w:val="continue"/>
                  <w:shd w:val="clear" w:color="auto" w:fill="auto"/>
                  <w:vAlign w:val="center"/>
                </w:tcPr>
                <w:p w14:paraId="3055C8D3">
                  <w:pPr>
                    <w:pStyle w:val="68"/>
                    <w:textAlignment w:val="center"/>
                    <w:rPr>
                      <w:rFonts w:ascii="Times New Roman" w:hAnsi="Times New Roman" w:eastAsia="宋体"/>
                      <w:sz w:val="21"/>
                      <w:szCs w:val="21"/>
                    </w:rPr>
                  </w:pPr>
                </w:p>
              </w:tc>
              <w:tc>
                <w:tcPr>
                  <w:tcW w:w="1243" w:type="pct"/>
                  <w:shd w:val="clear" w:color="auto" w:fill="auto"/>
                  <w:vAlign w:val="center"/>
                </w:tcPr>
                <w:p w14:paraId="2C170EC2">
                  <w:pPr>
                    <w:pStyle w:val="68"/>
                    <w:textAlignment w:val="center"/>
                    <w:rPr>
                      <w:rFonts w:ascii="Times New Roman" w:hAnsi="Times New Roman" w:eastAsia="宋体"/>
                      <w:sz w:val="21"/>
                      <w:szCs w:val="21"/>
                    </w:rPr>
                  </w:pPr>
                  <w:r>
                    <w:rPr>
                      <w:rFonts w:hint="eastAsia" w:ascii="Times New Roman" w:hAnsi="Times New Roman" w:eastAsia="宋体"/>
                      <w:sz w:val="21"/>
                      <w:szCs w:val="21"/>
                    </w:rPr>
                    <w:t>无机盐制造</w:t>
                  </w:r>
                </w:p>
              </w:tc>
              <w:tc>
                <w:tcPr>
                  <w:tcW w:w="574" w:type="pct"/>
                  <w:vAlign w:val="center"/>
                </w:tcPr>
                <w:p w14:paraId="0A0D2F36">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613</w:t>
                  </w:r>
                </w:p>
              </w:tc>
              <w:tc>
                <w:tcPr>
                  <w:tcW w:w="2097" w:type="pct"/>
                  <w:vAlign w:val="center"/>
                </w:tcPr>
                <w:p w14:paraId="69BC3F90">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电石</w:t>
                  </w:r>
                </w:p>
              </w:tc>
            </w:tr>
            <w:tr w14:paraId="4E2D83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07BB0B21">
                  <w:pPr>
                    <w:pStyle w:val="68"/>
                    <w:textAlignment w:val="center"/>
                    <w:rPr>
                      <w:rFonts w:ascii="Times New Roman" w:hAnsi="Times New Roman" w:eastAsia="宋体"/>
                      <w:sz w:val="21"/>
                      <w:szCs w:val="21"/>
                    </w:rPr>
                  </w:pPr>
                  <w:r>
                    <w:rPr>
                      <w:rFonts w:hint="eastAsia" w:ascii="Times New Roman" w:hAnsi="Times New Roman" w:eastAsia="宋体"/>
                      <w:sz w:val="21"/>
                      <w:szCs w:val="21"/>
                    </w:rPr>
                    <w:t>6</w:t>
                  </w:r>
                </w:p>
              </w:tc>
              <w:tc>
                <w:tcPr>
                  <w:tcW w:w="670" w:type="pct"/>
                  <w:vMerge w:val="continue"/>
                  <w:shd w:val="clear" w:color="auto" w:fill="auto"/>
                  <w:vAlign w:val="center"/>
                </w:tcPr>
                <w:p w14:paraId="294D0CE1">
                  <w:pPr>
                    <w:pStyle w:val="68"/>
                    <w:textAlignment w:val="center"/>
                    <w:rPr>
                      <w:rFonts w:ascii="Times New Roman" w:hAnsi="Times New Roman" w:eastAsia="宋体"/>
                      <w:sz w:val="21"/>
                      <w:szCs w:val="21"/>
                    </w:rPr>
                  </w:pPr>
                </w:p>
              </w:tc>
              <w:tc>
                <w:tcPr>
                  <w:tcW w:w="1243" w:type="pct"/>
                  <w:shd w:val="clear" w:color="auto" w:fill="auto"/>
                  <w:vAlign w:val="center"/>
                </w:tcPr>
                <w:p w14:paraId="472BA387">
                  <w:pPr>
                    <w:pStyle w:val="68"/>
                    <w:textAlignment w:val="center"/>
                    <w:rPr>
                      <w:rFonts w:ascii="Times New Roman" w:hAnsi="Times New Roman" w:eastAsia="宋体"/>
                      <w:sz w:val="21"/>
                      <w:szCs w:val="21"/>
                    </w:rPr>
                  </w:pPr>
                  <w:r>
                    <w:rPr>
                      <w:rFonts w:hint="eastAsia" w:ascii="Times New Roman" w:hAnsi="Times New Roman" w:eastAsia="宋体"/>
                      <w:sz w:val="21"/>
                      <w:szCs w:val="21"/>
                    </w:rPr>
                    <w:t>有机化学原料制造</w:t>
                  </w:r>
                </w:p>
              </w:tc>
              <w:tc>
                <w:tcPr>
                  <w:tcW w:w="574" w:type="pct"/>
                  <w:vAlign w:val="center"/>
                </w:tcPr>
                <w:p w14:paraId="7A6C0371">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614</w:t>
                  </w:r>
                </w:p>
              </w:tc>
              <w:tc>
                <w:tcPr>
                  <w:tcW w:w="2097" w:type="pct"/>
                  <w:vAlign w:val="center"/>
                </w:tcPr>
                <w:p w14:paraId="292272B0">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醋酸、乙烯、对二甲苯、丁二醇、二苯基甲烷二异氰酸酯、乙酸乙烯酯、用汞的氯乙烯</w:t>
                  </w:r>
                </w:p>
              </w:tc>
            </w:tr>
            <w:tr w14:paraId="12BB6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2C1B0B7">
                  <w:pPr>
                    <w:pStyle w:val="68"/>
                    <w:textAlignment w:val="center"/>
                    <w:rPr>
                      <w:rFonts w:ascii="Times New Roman" w:hAnsi="Times New Roman" w:eastAsia="宋体"/>
                      <w:sz w:val="21"/>
                      <w:szCs w:val="21"/>
                    </w:rPr>
                  </w:pPr>
                  <w:r>
                    <w:rPr>
                      <w:rFonts w:hint="eastAsia" w:ascii="Times New Roman" w:hAnsi="Times New Roman" w:eastAsia="宋体"/>
                      <w:sz w:val="21"/>
                      <w:szCs w:val="21"/>
                    </w:rPr>
                    <w:t>7</w:t>
                  </w:r>
                </w:p>
              </w:tc>
              <w:tc>
                <w:tcPr>
                  <w:tcW w:w="670" w:type="pct"/>
                  <w:vMerge w:val="continue"/>
                  <w:shd w:val="clear" w:color="auto" w:fill="auto"/>
                  <w:vAlign w:val="center"/>
                </w:tcPr>
                <w:p w14:paraId="01FA3D44">
                  <w:pPr>
                    <w:pStyle w:val="68"/>
                    <w:textAlignment w:val="center"/>
                    <w:rPr>
                      <w:rFonts w:ascii="Times New Roman" w:hAnsi="Times New Roman" w:eastAsia="宋体"/>
                      <w:sz w:val="21"/>
                      <w:szCs w:val="21"/>
                    </w:rPr>
                  </w:pPr>
                </w:p>
              </w:tc>
              <w:tc>
                <w:tcPr>
                  <w:tcW w:w="1243" w:type="pct"/>
                  <w:shd w:val="clear" w:color="auto" w:fill="auto"/>
                  <w:vAlign w:val="center"/>
                </w:tcPr>
                <w:p w14:paraId="75DD7DF9">
                  <w:pPr>
                    <w:pStyle w:val="68"/>
                    <w:textAlignment w:val="center"/>
                    <w:rPr>
                      <w:rFonts w:ascii="Times New Roman" w:hAnsi="Times New Roman" w:eastAsia="宋体"/>
                      <w:sz w:val="21"/>
                      <w:szCs w:val="21"/>
                    </w:rPr>
                  </w:pPr>
                  <w:r>
                    <w:rPr>
                      <w:rFonts w:hint="eastAsia" w:ascii="Times New Roman" w:hAnsi="Times New Roman" w:eastAsia="宋体"/>
                      <w:sz w:val="21"/>
                      <w:szCs w:val="21"/>
                    </w:rPr>
                    <w:t>其他基础化学原料制造</w:t>
                  </w:r>
                </w:p>
              </w:tc>
              <w:tc>
                <w:tcPr>
                  <w:tcW w:w="574" w:type="pct"/>
                  <w:vAlign w:val="center"/>
                </w:tcPr>
                <w:p w14:paraId="2B87ABCC">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619</w:t>
                  </w:r>
                </w:p>
              </w:tc>
              <w:tc>
                <w:tcPr>
                  <w:tcW w:w="2097" w:type="pct"/>
                  <w:vAlign w:val="center"/>
                </w:tcPr>
                <w:p w14:paraId="09E7200B">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黄磷</w:t>
                  </w:r>
                </w:p>
              </w:tc>
            </w:tr>
            <w:tr w14:paraId="2FD8F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7F44997D">
                  <w:pPr>
                    <w:pStyle w:val="68"/>
                    <w:textAlignment w:val="center"/>
                    <w:rPr>
                      <w:rFonts w:ascii="Times New Roman" w:hAnsi="Times New Roman" w:eastAsia="宋体"/>
                      <w:sz w:val="21"/>
                      <w:szCs w:val="21"/>
                    </w:rPr>
                  </w:pPr>
                  <w:r>
                    <w:rPr>
                      <w:rFonts w:hint="eastAsia" w:ascii="Times New Roman" w:hAnsi="Times New Roman" w:eastAsia="宋体"/>
                      <w:sz w:val="21"/>
                      <w:szCs w:val="21"/>
                    </w:rPr>
                    <w:t>8</w:t>
                  </w:r>
                </w:p>
              </w:tc>
              <w:tc>
                <w:tcPr>
                  <w:tcW w:w="670" w:type="pct"/>
                  <w:vMerge w:val="continue"/>
                  <w:shd w:val="clear" w:color="auto" w:fill="auto"/>
                  <w:vAlign w:val="center"/>
                </w:tcPr>
                <w:p w14:paraId="6B18912B">
                  <w:pPr>
                    <w:pStyle w:val="68"/>
                    <w:textAlignment w:val="center"/>
                    <w:rPr>
                      <w:rFonts w:ascii="Times New Roman" w:hAnsi="Times New Roman" w:eastAsia="宋体"/>
                      <w:sz w:val="21"/>
                      <w:szCs w:val="21"/>
                    </w:rPr>
                  </w:pPr>
                </w:p>
              </w:tc>
              <w:tc>
                <w:tcPr>
                  <w:tcW w:w="1243" w:type="pct"/>
                  <w:shd w:val="clear" w:color="auto" w:fill="auto"/>
                  <w:vAlign w:val="center"/>
                </w:tcPr>
                <w:p w14:paraId="110A61CE">
                  <w:pPr>
                    <w:pStyle w:val="68"/>
                    <w:textAlignment w:val="center"/>
                    <w:rPr>
                      <w:rFonts w:ascii="Times New Roman" w:hAnsi="Times New Roman" w:eastAsia="宋体"/>
                      <w:sz w:val="21"/>
                      <w:szCs w:val="21"/>
                    </w:rPr>
                  </w:pPr>
                  <w:r>
                    <w:rPr>
                      <w:rFonts w:hint="eastAsia" w:ascii="Times New Roman" w:hAnsi="Times New Roman" w:eastAsia="宋体"/>
                      <w:sz w:val="21"/>
                      <w:szCs w:val="21"/>
                    </w:rPr>
                    <w:t>氮肥制造</w:t>
                  </w:r>
                </w:p>
              </w:tc>
              <w:tc>
                <w:tcPr>
                  <w:tcW w:w="574" w:type="pct"/>
                  <w:vAlign w:val="center"/>
                </w:tcPr>
                <w:p w14:paraId="033D6BD7">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621</w:t>
                  </w:r>
                </w:p>
              </w:tc>
              <w:tc>
                <w:tcPr>
                  <w:tcW w:w="2097" w:type="pct"/>
                  <w:vAlign w:val="center"/>
                </w:tcPr>
                <w:p w14:paraId="07333B40">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合成氨、氮肥（含尿素）</w:t>
                  </w:r>
                </w:p>
              </w:tc>
            </w:tr>
            <w:tr w14:paraId="3FA52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113FE625">
                  <w:pPr>
                    <w:pStyle w:val="68"/>
                    <w:textAlignment w:val="center"/>
                    <w:rPr>
                      <w:rFonts w:ascii="Times New Roman" w:hAnsi="Times New Roman" w:eastAsia="宋体"/>
                      <w:sz w:val="21"/>
                      <w:szCs w:val="21"/>
                    </w:rPr>
                  </w:pPr>
                  <w:r>
                    <w:rPr>
                      <w:rFonts w:hint="eastAsia" w:ascii="Times New Roman" w:hAnsi="Times New Roman" w:eastAsia="宋体"/>
                      <w:sz w:val="21"/>
                      <w:szCs w:val="21"/>
                    </w:rPr>
                    <w:t>9</w:t>
                  </w:r>
                </w:p>
              </w:tc>
              <w:tc>
                <w:tcPr>
                  <w:tcW w:w="670" w:type="pct"/>
                  <w:vMerge w:val="continue"/>
                  <w:shd w:val="clear" w:color="auto" w:fill="auto"/>
                  <w:vAlign w:val="center"/>
                </w:tcPr>
                <w:p w14:paraId="51C4CDC2">
                  <w:pPr>
                    <w:pStyle w:val="68"/>
                    <w:textAlignment w:val="center"/>
                    <w:rPr>
                      <w:rFonts w:ascii="Times New Roman" w:hAnsi="Times New Roman" w:eastAsia="宋体"/>
                      <w:sz w:val="21"/>
                      <w:szCs w:val="21"/>
                    </w:rPr>
                  </w:pPr>
                </w:p>
              </w:tc>
              <w:tc>
                <w:tcPr>
                  <w:tcW w:w="1243" w:type="pct"/>
                  <w:shd w:val="clear" w:color="auto" w:fill="auto"/>
                  <w:vAlign w:val="center"/>
                </w:tcPr>
                <w:p w14:paraId="3953DA33">
                  <w:pPr>
                    <w:pStyle w:val="68"/>
                    <w:textAlignment w:val="center"/>
                    <w:rPr>
                      <w:rFonts w:ascii="Times New Roman" w:hAnsi="Times New Roman" w:eastAsia="宋体"/>
                      <w:sz w:val="21"/>
                      <w:szCs w:val="21"/>
                    </w:rPr>
                  </w:pPr>
                  <w:r>
                    <w:rPr>
                      <w:rFonts w:hint="eastAsia" w:ascii="Times New Roman" w:hAnsi="Times New Roman" w:eastAsia="宋体"/>
                      <w:sz w:val="21"/>
                      <w:szCs w:val="21"/>
                    </w:rPr>
                    <w:t>磷肥制造</w:t>
                  </w:r>
                </w:p>
              </w:tc>
              <w:tc>
                <w:tcPr>
                  <w:tcW w:w="574" w:type="pct"/>
                  <w:vAlign w:val="center"/>
                </w:tcPr>
                <w:p w14:paraId="5F886C41">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622</w:t>
                  </w:r>
                </w:p>
              </w:tc>
              <w:tc>
                <w:tcPr>
                  <w:tcW w:w="2097" w:type="pct"/>
                  <w:vAlign w:val="center"/>
                </w:tcPr>
                <w:p w14:paraId="43A876F4">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磷酸一铵、磷酸二铵</w:t>
                  </w:r>
                </w:p>
              </w:tc>
            </w:tr>
            <w:tr w14:paraId="16E42B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A42EEB4">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0</w:t>
                  </w:r>
                </w:p>
              </w:tc>
              <w:tc>
                <w:tcPr>
                  <w:tcW w:w="670" w:type="pct"/>
                  <w:vMerge w:val="continue"/>
                  <w:shd w:val="clear" w:color="auto" w:fill="auto"/>
                  <w:vAlign w:val="center"/>
                </w:tcPr>
                <w:p w14:paraId="6E61D2D9">
                  <w:pPr>
                    <w:pStyle w:val="68"/>
                    <w:textAlignment w:val="center"/>
                    <w:rPr>
                      <w:rFonts w:ascii="Times New Roman" w:hAnsi="Times New Roman" w:eastAsia="宋体"/>
                      <w:sz w:val="21"/>
                      <w:szCs w:val="21"/>
                    </w:rPr>
                  </w:pPr>
                </w:p>
              </w:tc>
              <w:tc>
                <w:tcPr>
                  <w:tcW w:w="1243" w:type="pct"/>
                  <w:shd w:val="clear" w:color="auto" w:fill="auto"/>
                  <w:vAlign w:val="center"/>
                </w:tcPr>
                <w:p w14:paraId="6B621C14">
                  <w:pPr>
                    <w:pStyle w:val="68"/>
                    <w:textAlignment w:val="center"/>
                    <w:rPr>
                      <w:rFonts w:ascii="Times New Roman" w:hAnsi="Times New Roman" w:eastAsia="宋体"/>
                      <w:sz w:val="21"/>
                      <w:szCs w:val="21"/>
                    </w:rPr>
                  </w:pPr>
                  <w:r>
                    <w:rPr>
                      <w:rFonts w:hint="eastAsia" w:ascii="Times New Roman" w:hAnsi="Times New Roman" w:eastAsia="宋体"/>
                      <w:sz w:val="21"/>
                      <w:szCs w:val="21"/>
                    </w:rPr>
                    <w:t>初级形态塑料及合成树脂制造</w:t>
                  </w:r>
                </w:p>
              </w:tc>
              <w:tc>
                <w:tcPr>
                  <w:tcW w:w="574" w:type="pct"/>
                  <w:vAlign w:val="center"/>
                </w:tcPr>
                <w:p w14:paraId="1C4D0FE9">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651</w:t>
                  </w:r>
                </w:p>
              </w:tc>
              <w:tc>
                <w:tcPr>
                  <w:tcW w:w="2097" w:type="pct"/>
                  <w:vAlign w:val="center"/>
                </w:tcPr>
                <w:p w14:paraId="347E5AE0">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用汞的聚氯乙烯</w:t>
                  </w:r>
                </w:p>
              </w:tc>
            </w:tr>
            <w:tr w14:paraId="20E092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137F73DB">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1</w:t>
                  </w:r>
                </w:p>
              </w:tc>
              <w:tc>
                <w:tcPr>
                  <w:tcW w:w="670" w:type="pct"/>
                  <w:vMerge w:val="restart"/>
                  <w:shd w:val="clear" w:color="auto" w:fill="auto"/>
                  <w:vAlign w:val="center"/>
                </w:tcPr>
                <w:p w14:paraId="7B7B5CAB">
                  <w:pPr>
                    <w:pStyle w:val="68"/>
                    <w:textAlignment w:val="center"/>
                    <w:rPr>
                      <w:rFonts w:ascii="Times New Roman" w:hAnsi="Times New Roman" w:eastAsia="宋体"/>
                      <w:sz w:val="21"/>
                      <w:szCs w:val="21"/>
                    </w:rPr>
                  </w:pPr>
                  <w:r>
                    <w:rPr>
                      <w:rFonts w:hint="eastAsia" w:ascii="Times New Roman" w:hAnsi="Times New Roman" w:eastAsia="宋体"/>
                      <w:sz w:val="21"/>
                      <w:szCs w:val="21"/>
                    </w:rPr>
                    <w:t>建材</w:t>
                  </w:r>
                </w:p>
              </w:tc>
              <w:tc>
                <w:tcPr>
                  <w:tcW w:w="1243" w:type="pct"/>
                  <w:shd w:val="clear" w:color="auto" w:fill="auto"/>
                  <w:vAlign w:val="center"/>
                </w:tcPr>
                <w:p w14:paraId="4F6B259C">
                  <w:pPr>
                    <w:pStyle w:val="68"/>
                    <w:textAlignment w:val="center"/>
                    <w:rPr>
                      <w:rFonts w:ascii="Times New Roman" w:hAnsi="Times New Roman" w:eastAsia="宋体"/>
                      <w:sz w:val="21"/>
                      <w:szCs w:val="21"/>
                    </w:rPr>
                  </w:pPr>
                  <w:r>
                    <w:rPr>
                      <w:rFonts w:hint="eastAsia" w:ascii="Times New Roman" w:hAnsi="Times New Roman" w:eastAsia="宋体"/>
                      <w:sz w:val="21"/>
                      <w:szCs w:val="21"/>
                    </w:rPr>
                    <w:t>水泥制造</w:t>
                  </w:r>
                </w:p>
              </w:tc>
              <w:tc>
                <w:tcPr>
                  <w:tcW w:w="574" w:type="pct"/>
                  <w:vAlign w:val="center"/>
                </w:tcPr>
                <w:p w14:paraId="30E2D832">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011</w:t>
                  </w:r>
                </w:p>
              </w:tc>
              <w:tc>
                <w:tcPr>
                  <w:tcW w:w="2097" w:type="pct"/>
                  <w:vAlign w:val="center"/>
                </w:tcPr>
                <w:p w14:paraId="71BB9378">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水泥熟料</w:t>
                  </w:r>
                </w:p>
              </w:tc>
            </w:tr>
            <w:tr w14:paraId="795AD0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53C1E8AA">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2</w:t>
                  </w:r>
                </w:p>
              </w:tc>
              <w:tc>
                <w:tcPr>
                  <w:tcW w:w="670" w:type="pct"/>
                  <w:vMerge w:val="continue"/>
                  <w:shd w:val="clear" w:color="auto" w:fill="auto"/>
                  <w:vAlign w:val="center"/>
                </w:tcPr>
                <w:p w14:paraId="1F9F9804">
                  <w:pPr>
                    <w:pStyle w:val="68"/>
                    <w:textAlignment w:val="center"/>
                    <w:rPr>
                      <w:rFonts w:ascii="Times New Roman" w:hAnsi="Times New Roman" w:eastAsia="宋体"/>
                      <w:sz w:val="21"/>
                      <w:szCs w:val="21"/>
                    </w:rPr>
                  </w:pPr>
                </w:p>
              </w:tc>
              <w:tc>
                <w:tcPr>
                  <w:tcW w:w="1243" w:type="pct"/>
                  <w:shd w:val="clear" w:color="auto" w:fill="auto"/>
                  <w:vAlign w:val="center"/>
                </w:tcPr>
                <w:p w14:paraId="4221D43D">
                  <w:pPr>
                    <w:pStyle w:val="68"/>
                    <w:textAlignment w:val="center"/>
                    <w:rPr>
                      <w:rFonts w:ascii="Times New Roman" w:hAnsi="Times New Roman" w:eastAsia="宋体"/>
                      <w:sz w:val="21"/>
                      <w:szCs w:val="21"/>
                    </w:rPr>
                  </w:pPr>
                  <w:r>
                    <w:rPr>
                      <w:rFonts w:hint="eastAsia" w:ascii="Times New Roman" w:hAnsi="Times New Roman" w:eastAsia="宋体"/>
                      <w:sz w:val="21"/>
                      <w:szCs w:val="21"/>
                    </w:rPr>
                    <w:t>石灰和石膏制造</w:t>
                  </w:r>
                </w:p>
              </w:tc>
              <w:tc>
                <w:tcPr>
                  <w:tcW w:w="574" w:type="pct"/>
                  <w:vAlign w:val="center"/>
                </w:tcPr>
                <w:p w14:paraId="63928A2B">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012</w:t>
                  </w:r>
                </w:p>
              </w:tc>
              <w:tc>
                <w:tcPr>
                  <w:tcW w:w="2097" w:type="pct"/>
                  <w:vAlign w:val="center"/>
                </w:tcPr>
                <w:p w14:paraId="1212611B">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石灰</w:t>
                  </w:r>
                </w:p>
              </w:tc>
            </w:tr>
            <w:tr w14:paraId="0C0B29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3CC3B4BF">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3</w:t>
                  </w:r>
                </w:p>
              </w:tc>
              <w:tc>
                <w:tcPr>
                  <w:tcW w:w="670" w:type="pct"/>
                  <w:vMerge w:val="continue"/>
                  <w:shd w:val="clear" w:color="auto" w:fill="auto"/>
                  <w:vAlign w:val="center"/>
                </w:tcPr>
                <w:p w14:paraId="07B37664">
                  <w:pPr>
                    <w:pStyle w:val="68"/>
                    <w:textAlignment w:val="center"/>
                    <w:rPr>
                      <w:rFonts w:ascii="Times New Roman" w:hAnsi="Times New Roman" w:eastAsia="宋体"/>
                      <w:sz w:val="21"/>
                      <w:szCs w:val="21"/>
                    </w:rPr>
                  </w:pPr>
                </w:p>
              </w:tc>
              <w:tc>
                <w:tcPr>
                  <w:tcW w:w="1243" w:type="pct"/>
                  <w:shd w:val="clear" w:color="auto" w:fill="auto"/>
                  <w:vAlign w:val="center"/>
                </w:tcPr>
                <w:p w14:paraId="158B9DF4">
                  <w:pPr>
                    <w:pStyle w:val="68"/>
                    <w:textAlignment w:val="center"/>
                    <w:rPr>
                      <w:rFonts w:ascii="Times New Roman" w:hAnsi="Times New Roman" w:eastAsia="宋体"/>
                      <w:sz w:val="21"/>
                      <w:szCs w:val="21"/>
                    </w:rPr>
                  </w:pPr>
                  <w:r>
                    <w:rPr>
                      <w:rFonts w:hint="eastAsia" w:ascii="Times New Roman" w:hAnsi="Times New Roman" w:eastAsia="宋体"/>
                      <w:sz w:val="21"/>
                      <w:szCs w:val="21"/>
                    </w:rPr>
                    <w:t>粘土砖瓦及建筑物块制造</w:t>
                  </w:r>
                </w:p>
              </w:tc>
              <w:tc>
                <w:tcPr>
                  <w:tcW w:w="574" w:type="pct"/>
                  <w:vAlign w:val="center"/>
                </w:tcPr>
                <w:p w14:paraId="6210AB04">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031</w:t>
                  </w:r>
                </w:p>
              </w:tc>
              <w:tc>
                <w:tcPr>
                  <w:tcW w:w="2097" w:type="pct"/>
                  <w:vAlign w:val="center"/>
                </w:tcPr>
                <w:p w14:paraId="19802A31">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烧结砖瓦、不包括资源综合利用项目</w:t>
                  </w:r>
                </w:p>
              </w:tc>
            </w:tr>
            <w:tr w14:paraId="029B5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4CE39D0F">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4</w:t>
                  </w:r>
                </w:p>
              </w:tc>
              <w:tc>
                <w:tcPr>
                  <w:tcW w:w="670" w:type="pct"/>
                  <w:vMerge w:val="continue"/>
                  <w:shd w:val="clear" w:color="auto" w:fill="auto"/>
                  <w:vAlign w:val="center"/>
                </w:tcPr>
                <w:p w14:paraId="5790160E">
                  <w:pPr>
                    <w:pStyle w:val="68"/>
                    <w:textAlignment w:val="center"/>
                    <w:rPr>
                      <w:rFonts w:ascii="Times New Roman" w:hAnsi="Times New Roman" w:eastAsia="宋体"/>
                      <w:sz w:val="21"/>
                      <w:szCs w:val="21"/>
                    </w:rPr>
                  </w:pPr>
                </w:p>
              </w:tc>
              <w:tc>
                <w:tcPr>
                  <w:tcW w:w="1243" w:type="pct"/>
                  <w:shd w:val="clear" w:color="auto" w:fill="auto"/>
                  <w:vAlign w:val="center"/>
                </w:tcPr>
                <w:p w14:paraId="5B61ACAB">
                  <w:pPr>
                    <w:pStyle w:val="68"/>
                    <w:textAlignment w:val="center"/>
                    <w:rPr>
                      <w:rFonts w:ascii="Times New Roman" w:hAnsi="Times New Roman" w:eastAsia="宋体"/>
                      <w:sz w:val="21"/>
                      <w:szCs w:val="21"/>
                    </w:rPr>
                  </w:pPr>
                  <w:r>
                    <w:rPr>
                      <w:rFonts w:hint="eastAsia" w:ascii="Times New Roman" w:hAnsi="Times New Roman" w:eastAsia="宋体"/>
                      <w:sz w:val="21"/>
                      <w:szCs w:val="21"/>
                    </w:rPr>
                    <w:t>平板玻璃制造</w:t>
                  </w:r>
                </w:p>
              </w:tc>
              <w:tc>
                <w:tcPr>
                  <w:tcW w:w="574" w:type="pct"/>
                  <w:vAlign w:val="center"/>
                </w:tcPr>
                <w:p w14:paraId="39DE6F1C">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041</w:t>
                  </w:r>
                </w:p>
              </w:tc>
              <w:tc>
                <w:tcPr>
                  <w:tcW w:w="2097" w:type="pct"/>
                  <w:vAlign w:val="center"/>
                </w:tcPr>
                <w:p w14:paraId="56EB725D">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平板玻璃、不包括光伏压延玻璃、显示玻璃</w:t>
                  </w:r>
                </w:p>
              </w:tc>
            </w:tr>
            <w:tr w14:paraId="59EFF2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16E478FF">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5</w:t>
                  </w:r>
                </w:p>
              </w:tc>
              <w:tc>
                <w:tcPr>
                  <w:tcW w:w="670" w:type="pct"/>
                  <w:vMerge w:val="continue"/>
                  <w:shd w:val="clear" w:color="auto" w:fill="auto"/>
                  <w:vAlign w:val="center"/>
                </w:tcPr>
                <w:p w14:paraId="7DAAA4A8">
                  <w:pPr>
                    <w:pStyle w:val="68"/>
                    <w:textAlignment w:val="center"/>
                    <w:rPr>
                      <w:rFonts w:ascii="Times New Roman" w:hAnsi="Times New Roman" w:eastAsia="宋体"/>
                      <w:sz w:val="21"/>
                      <w:szCs w:val="21"/>
                    </w:rPr>
                  </w:pPr>
                </w:p>
              </w:tc>
              <w:tc>
                <w:tcPr>
                  <w:tcW w:w="1243" w:type="pct"/>
                  <w:shd w:val="clear" w:color="auto" w:fill="auto"/>
                  <w:vAlign w:val="center"/>
                </w:tcPr>
                <w:p w14:paraId="0AC1BB8C">
                  <w:pPr>
                    <w:pStyle w:val="68"/>
                    <w:textAlignment w:val="center"/>
                    <w:rPr>
                      <w:rFonts w:ascii="Times New Roman" w:hAnsi="Times New Roman" w:eastAsia="宋体"/>
                      <w:sz w:val="21"/>
                      <w:szCs w:val="21"/>
                    </w:rPr>
                  </w:pPr>
                  <w:r>
                    <w:rPr>
                      <w:rFonts w:hint="eastAsia" w:ascii="Times New Roman" w:hAnsi="Times New Roman" w:eastAsia="宋体"/>
                      <w:sz w:val="21"/>
                      <w:szCs w:val="21"/>
                    </w:rPr>
                    <w:t>建筑陶瓷制品制造</w:t>
                  </w:r>
                </w:p>
              </w:tc>
              <w:tc>
                <w:tcPr>
                  <w:tcW w:w="574" w:type="pct"/>
                  <w:vAlign w:val="center"/>
                </w:tcPr>
                <w:p w14:paraId="2B1C072F">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071</w:t>
                  </w:r>
                </w:p>
              </w:tc>
              <w:tc>
                <w:tcPr>
                  <w:tcW w:w="2097" w:type="pct"/>
                  <w:vAlign w:val="center"/>
                </w:tcPr>
                <w:p w14:paraId="600E11BA">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建筑陶瓷</w:t>
                  </w:r>
                </w:p>
              </w:tc>
            </w:tr>
            <w:tr w14:paraId="1F42D0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70A38B71">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6</w:t>
                  </w:r>
                </w:p>
              </w:tc>
              <w:tc>
                <w:tcPr>
                  <w:tcW w:w="670" w:type="pct"/>
                  <w:vMerge w:val="continue"/>
                  <w:shd w:val="clear" w:color="auto" w:fill="auto"/>
                  <w:vAlign w:val="center"/>
                </w:tcPr>
                <w:p w14:paraId="184E9CF7">
                  <w:pPr>
                    <w:pStyle w:val="68"/>
                    <w:textAlignment w:val="center"/>
                    <w:rPr>
                      <w:rFonts w:ascii="Times New Roman" w:hAnsi="Times New Roman" w:eastAsia="宋体"/>
                      <w:sz w:val="21"/>
                      <w:szCs w:val="21"/>
                    </w:rPr>
                  </w:pPr>
                </w:p>
              </w:tc>
              <w:tc>
                <w:tcPr>
                  <w:tcW w:w="1243" w:type="pct"/>
                  <w:shd w:val="clear" w:color="auto" w:fill="auto"/>
                  <w:vAlign w:val="center"/>
                </w:tcPr>
                <w:p w14:paraId="7B66FA7D">
                  <w:pPr>
                    <w:pStyle w:val="68"/>
                    <w:textAlignment w:val="center"/>
                    <w:rPr>
                      <w:rFonts w:ascii="Times New Roman" w:hAnsi="Times New Roman" w:eastAsia="宋体"/>
                      <w:sz w:val="21"/>
                      <w:szCs w:val="21"/>
                    </w:rPr>
                  </w:pPr>
                  <w:r>
                    <w:rPr>
                      <w:rFonts w:hint="eastAsia" w:ascii="Times New Roman" w:hAnsi="Times New Roman" w:eastAsia="宋体"/>
                      <w:sz w:val="21"/>
                      <w:szCs w:val="21"/>
                    </w:rPr>
                    <w:t>卫生陶瓷制品制造</w:t>
                  </w:r>
                </w:p>
              </w:tc>
              <w:tc>
                <w:tcPr>
                  <w:tcW w:w="574" w:type="pct"/>
                  <w:vAlign w:val="center"/>
                </w:tcPr>
                <w:p w14:paraId="6C1E175E">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072</w:t>
                  </w:r>
                </w:p>
              </w:tc>
              <w:tc>
                <w:tcPr>
                  <w:tcW w:w="2097" w:type="pct"/>
                  <w:vAlign w:val="center"/>
                </w:tcPr>
                <w:p w14:paraId="4EFF5D1E">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卫生陶瓷</w:t>
                  </w:r>
                </w:p>
              </w:tc>
            </w:tr>
            <w:tr w14:paraId="62A34C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533E430B">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7</w:t>
                  </w:r>
                </w:p>
              </w:tc>
              <w:tc>
                <w:tcPr>
                  <w:tcW w:w="670" w:type="pct"/>
                  <w:vMerge w:val="continue"/>
                  <w:shd w:val="clear" w:color="auto" w:fill="auto"/>
                  <w:vAlign w:val="center"/>
                </w:tcPr>
                <w:p w14:paraId="630FF878">
                  <w:pPr>
                    <w:pStyle w:val="68"/>
                    <w:textAlignment w:val="center"/>
                    <w:rPr>
                      <w:rFonts w:ascii="Times New Roman" w:hAnsi="Times New Roman" w:eastAsia="宋体"/>
                      <w:sz w:val="21"/>
                      <w:szCs w:val="21"/>
                    </w:rPr>
                  </w:pPr>
                </w:p>
              </w:tc>
              <w:tc>
                <w:tcPr>
                  <w:tcW w:w="1243" w:type="pct"/>
                  <w:shd w:val="clear" w:color="auto" w:fill="auto"/>
                  <w:vAlign w:val="center"/>
                </w:tcPr>
                <w:p w14:paraId="3B210BC5">
                  <w:pPr>
                    <w:pStyle w:val="68"/>
                    <w:textAlignment w:val="center"/>
                    <w:rPr>
                      <w:rFonts w:ascii="Times New Roman" w:hAnsi="Times New Roman" w:eastAsia="宋体"/>
                      <w:sz w:val="21"/>
                      <w:szCs w:val="21"/>
                    </w:rPr>
                  </w:pPr>
                  <w:r>
                    <w:rPr>
                      <w:rFonts w:hint="eastAsia" w:ascii="Times New Roman" w:hAnsi="Times New Roman" w:eastAsia="宋体"/>
                      <w:sz w:val="21"/>
                      <w:szCs w:val="21"/>
                    </w:rPr>
                    <w:t>耐火材料制品制造</w:t>
                  </w:r>
                </w:p>
              </w:tc>
              <w:tc>
                <w:tcPr>
                  <w:tcW w:w="574" w:type="pct"/>
                  <w:vAlign w:val="center"/>
                </w:tcPr>
                <w:p w14:paraId="7F41244E">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081</w:t>
                  </w:r>
                </w:p>
                <w:p w14:paraId="0B51137C">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082</w:t>
                  </w:r>
                </w:p>
                <w:p w14:paraId="754FB1A8">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089</w:t>
                  </w:r>
                </w:p>
              </w:tc>
              <w:tc>
                <w:tcPr>
                  <w:tcW w:w="2097" w:type="pct"/>
                  <w:vAlign w:val="center"/>
                </w:tcPr>
                <w:p w14:paraId="3F1D6330">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烧结工序制造的硅砖、镁铬砖、铅含量4</w:t>
                  </w:r>
                  <w:r>
                    <w:rPr>
                      <w:rFonts w:ascii="Times New Roman" w:hAnsi="Times New Roman" w:eastAsia="宋体"/>
                      <w:sz w:val="21"/>
                      <w:szCs w:val="21"/>
                    </w:rPr>
                    <w:t>2</w:t>
                  </w:r>
                  <w:r>
                    <w:rPr>
                      <w:rFonts w:hint="eastAsia" w:ascii="Times New Roman" w:hAnsi="Times New Roman" w:eastAsia="宋体"/>
                      <w:sz w:val="21"/>
                      <w:szCs w:val="21"/>
                    </w:rPr>
                    <w:t>%以下的粘土砖，不包括资源综合利用项目</w:t>
                  </w:r>
                </w:p>
              </w:tc>
            </w:tr>
            <w:tr w14:paraId="1B7143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3370DFC6">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8</w:t>
                  </w:r>
                </w:p>
              </w:tc>
              <w:tc>
                <w:tcPr>
                  <w:tcW w:w="670" w:type="pct"/>
                  <w:vMerge w:val="continue"/>
                  <w:shd w:val="clear" w:color="auto" w:fill="auto"/>
                  <w:vAlign w:val="center"/>
                </w:tcPr>
                <w:p w14:paraId="72871D1F">
                  <w:pPr>
                    <w:pStyle w:val="68"/>
                    <w:textAlignment w:val="center"/>
                    <w:rPr>
                      <w:rFonts w:ascii="Times New Roman" w:hAnsi="Times New Roman" w:eastAsia="宋体"/>
                      <w:sz w:val="21"/>
                      <w:szCs w:val="21"/>
                    </w:rPr>
                  </w:pPr>
                </w:p>
              </w:tc>
              <w:tc>
                <w:tcPr>
                  <w:tcW w:w="1243" w:type="pct"/>
                  <w:shd w:val="clear" w:color="auto" w:fill="auto"/>
                  <w:vAlign w:val="center"/>
                </w:tcPr>
                <w:p w14:paraId="725441C0">
                  <w:pPr>
                    <w:pStyle w:val="68"/>
                    <w:textAlignment w:val="center"/>
                    <w:rPr>
                      <w:rFonts w:ascii="Times New Roman" w:hAnsi="Times New Roman" w:eastAsia="宋体"/>
                      <w:sz w:val="21"/>
                      <w:szCs w:val="21"/>
                    </w:rPr>
                  </w:pPr>
                  <w:r>
                    <w:rPr>
                      <w:rFonts w:hint="eastAsia" w:ascii="Times New Roman" w:hAnsi="Times New Roman" w:eastAsia="宋体"/>
                      <w:sz w:val="21"/>
                      <w:szCs w:val="21"/>
                    </w:rPr>
                    <w:t>石墨及炭素制品制造</w:t>
                  </w:r>
                </w:p>
              </w:tc>
              <w:tc>
                <w:tcPr>
                  <w:tcW w:w="574" w:type="pct"/>
                  <w:vAlign w:val="center"/>
                </w:tcPr>
                <w:p w14:paraId="549AFF1F">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091</w:t>
                  </w:r>
                </w:p>
              </w:tc>
              <w:tc>
                <w:tcPr>
                  <w:tcW w:w="2097" w:type="pct"/>
                  <w:vAlign w:val="center"/>
                </w:tcPr>
                <w:p w14:paraId="4D7E8D69">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铅用炭素</w:t>
                  </w:r>
                </w:p>
              </w:tc>
            </w:tr>
            <w:tr w14:paraId="5FF30E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7423C267">
                  <w:pPr>
                    <w:pStyle w:val="68"/>
                    <w:textAlignment w:val="center"/>
                    <w:rPr>
                      <w:rFonts w:ascii="Times New Roman" w:hAnsi="Times New Roman" w:eastAsia="宋体"/>
                      <w:sz w:val="21"/>
                      <w:szCs w:val="21"/>
                    </w:rPr>
                  </w:pPr>
                  <w:r>
                    <w:rPr>
                      <w:rFonts w:hint="eastAsia" w:ascii="Times New Roman" w:hAnsi="Times New Roman" w:eastAsia="宋体"/>
                      <w:sz w:val="21"/>
                      <w:szCs w:val="21"/>
                    </w:rPr>
                    <w:t>1</w:t>
                  </w:r>
                  <w:r>
                    <w:rPr>
                      <w:rFonts w:ascii="Times New Roman" w:hAnsi="Times New Roman" w:eastAsia="宋体"/>
                      <w:sz w:val="21"/>
                      <w:szCs w:val="21"/>
                    </w:rPr>
                    <w:t>9</w:t>
                  </w:r>
                </w:p>
              </w:tc>
              <w:tc>
                <w:tcPr>
                  <w:tcW w:w="670" w:type="pct"/>
                  <w:vMerge w:val="restart"/>
                  <w:shd w:val="clear" w:color="auto" w:fill="auto"/>
                  <w:vAlign w:val="center"/>
                </w:tcPr>
                <w:p w14:paraId="2CA46443">
                  <w:pPr>
                    <w:pStyle w:val="68"/>
                    <w:textAlignment w:val="center"/>
                    <w:rPr>
                      <w:rFonts w:ascii="Times New Roman" w:hAnsi="Times New Roman" w:eastAsia="宋体"/>
                      <w:sz w:val="21"/>
                      <w:szCs w:val="21"/>
                    </w:rPr>
                  </w:pPr>
                  <w:r>
                    <w:rPr>
                      <w:rFonts w:hint="eastAsia" w:ascii="Times New Roman" w:hAnsi="Times New Roman" w:eastAsia="宋体"/>
                      <w:sz w:val="21"/>
                      <w:szCs w:val="21"/>
                    </w:rPr>
                    <w:t>钢铁</w:t>
                  </w:r>
                </w:p>
              </w:tc>
              <w:tc>
                <w:tcPr>
                  <w:tcW w:w="1243" w:type="pct"/>
                  <w:shd w:val="clear" w:color="auto" w:fill="auto"/>
                  <w:vAlign w:val="center"/>
                </w:tcPr>
                <w:p w14:paraId="4C9CC67F">
                  <w:pPr>
                    <w:pStyle w:val="68"/>
                    <w:textAlignment w:val="center"/>
                    <w:rPr>
                      <w:rFonts w:ascii="Times New Roman" w:hAnsi="Times New Roman" w:eastAsia="宋体"/>
                      <w:sz w:val="21"/>
                      <w:szCs w:val="21"/>
                    </w:rPr>
                  </w:pPr>
                  <w:r>
                    <w:rPr>
                      <w:rFonts w:hint="eastAsia" w:ascii="Times New Roman" w:hAnsi="Times New Roman" w:eastAsia="宋体"/>
                      <w:sz w:val="21"/>
                      <w:szCs w:val="21"/>
                    </w:rPr>
                    <w:t>炼铁</w:t>
                  </w:r>
                </w:p>
              </w:tc>
              <w:tc>
                <w:tcPr>
                  <w:tcW w:w="574" w:type="pct"/>
                  <w:vAlign w:val="center"/>
                </w:tcPr>
                <w:p w14:paraId="6C79EB06">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110</w:t>
                  </w:r>
                </w:p>
              </w:tc>
              <w:tc>
                <w:tcPr>
                  <w:tcW w:w="2097" w:type="pct"/>
                  <w:vAlign w:val="center"/>
                </w:tcPr>
                <w:p w14:paraId="4E20159C">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炼钢用高炉生铁、直接还原铁、熔融还原铁</w:t>
                  </w:r>
                </w:p>
              </w:tc>
            </w:tr>
            <w:tr w14:paraId="30344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03711A7E">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0</w:t>
                  </w:r>
                </w:p>
              </w:tc>
              <w:tc>
                <w:tcPr>
                  <w:tcW w:w="670" w:type="pct"/>
                  <w:vMerge w:val="continue"/>
                  <w:shd w:val="clear" w:color="auto" w:fill="auto"/>
                  <w:vAlign w:val="center"/>
                </w:tcPr>
                <w:p w14:paraId="790FF2C8">
                  <w:pPr>
                    <w:pStyle w:val="68"/>
                    <w:textAlignment w:val="center"/>
                    <w:rPr>
                      <w:rFonts w:ascii="Times New Roman" w:hAnsi="Times New Roman" w:eastAsia="宋体"/>
                      <w:sz w:val="21"/>
                      <w:szCs w:val="21"/>
                    </w:rPr>
                  </w:pPr>
                </w:p>
              </w:tc>
              <w:tc>
                <w:tcPr>
                  <w:tcW w:w="1243" w:type="pct"/>
                  <w:shd w:val="clear" w:color="auto" w:fill="auto"/>
                  <w:vAlign w:val="center"/>
                </w:tcPr>
                <w:p w14:paraId="32B92477">
                  <w:pPr>
                    <w:pStyle w:val="68"/>
                    <w:textAlignment w:val="center"/>
                    <w:rPr>
                      <w:rFonts w:ascii="Times New Roman" w:hAnsi="Times New Roman" w:eastAsia="宋体"/>
                      <w:sz w:val="21"/>
                      <w:szCs w:val="21"/>
                    </w:rPr>
                  </w:pPr>
                  <w:r>
                    <w:rPr>
                      <w:rFonts w:hint="eastAsia" w:ascii="Times New Roman" w:hAnsi="Times New Roman" w:eastAsia="宋体"/>
                      <w:sz w:val="21"/>
                      <w:szCs w:val="21"/>
                    </w:rPr>
                    <w:t>炼钢</w:t>
                  </w:r>
                </w:p>
              </w:tc>
              <w:tc>
                <w:tcPr>
                  <w:tcW w:w="574" w:type="pct"/>
                  <w:vAlign w:val="center"/>
                </w:tcPr>
                <w:p w14:paraId="182AA6F3">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120</w:t>
                  </w:r>
                </w:p>
              </w:tc>
              <w:tc>
                <w:tcPr>
                  <w:tcW w:w="2097" w:type="pct"/>
                  <w:vAlign w:val="center"/>
                </w:tcPr>
                <w:p w14:paraId="2AB5E566">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非合金钢粗钢、低合金钢粗钢、合金钢粗钢（不包括高炉-转炉长流程炼钢就地改造转型发展电炉短流程炼钢等未增加产呢个的技术改造项目）</w:t>
                  </w:r>
                </w:p>
              </w:tc>
            </w:tr>
            <w:tr w14:paraId="6F6218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275451C">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1</w:t>
                  </w:r>
                </w:p>
              </w:tc>
              <w:tc>
                <w:tcPr>
                  <w:tcW w:w="670" w:type="pct"/>
                  <w:vMerge w:val="continue"/>
                  <w:shd w:val="clear" w:color="auto" w:fill="auto"/>
                  <w:vAlign w:val="center"/>
                </w:tcPr>
                <w:p w14:paraId="0DCFCBA5">
                  <w:pPr>
                    <w:pStyle w:val="68"/>
                    <w:textAlignment w:val="center"/>
                    <w:rPr>
                      <w:rFonts w:ascii="Times New Roman" w:hAnsi="Times New Roman" w:eastAsia="宋体"/>
                      <w:sz w:val="21"/>
                      <w:szCs w:val="21"/>
                    </w:rPr>
                  </w:pPr>
                </w:p>
              </w:tc>
              <w:tc>
                <w:tcPr>
                  <w:tcW w:w="1243" w:type="pct"/>
                  <w:shd w:val="clear" w:color="auto" w:fill="auto"/>
                  <w:vAlign w:val="center"/>
                </w:tcPr>
                <w:p w14:paraId="49CE5307">
                  <w:pPr>
                    <w:pStyle w:val="68"/>
                    <w:textAlignment w:val="center"/>
                    <w:rPr>
                      <w:rFonts w:ascii="Times New Roman" w:hAnsi="Times New Roman" w:eastAsia="宋体"/>
                      <w:sz w:val="21"/>
                      <w:szCs w:val="21"/>
                    </w:rPr>
                  </w:pPr>
                  <w:r>
                    <w:rPr>
                      <w:rFonts w:hint="eastAsia" w:ascii="Times New Roman" w:hAnsi="Times New Roman" w:eastAsia="宋体"/>
                      <w:sz w:val="21"/>
                      <w:szCs w:val="21"/>
                    </w:rPr>
                    <w:t>铁合金冶炼</w:t>
                  </w:r>
                </w:p>
              </w:tc>
              <w:tc>
                <w:tcPr>
                  <w:tcW w:w="574" w:type="pct"/>
                  <w:vAlign w:val="center"/>
                </w:tcPr>
                <w:p w14:paraId="51DEA862">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140</w:t>
                  </w:r>
                </w:p>
              </w:tc>
              <w:tc>
                <w:tcPr>
                  <w:tcW w:w="2097" w:type="pct"/>
                  <w:vAlign w:val="center"/>
                </w:tcPr>
                <w:p w14:paraId="7EDC25E7">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普通铁合金、特种铁合金，锰的冶炼，铁基合金粉末</w:t>
                  </w:r>
                </w:p>
              </w:tc>
            </w:tr>
            <w:tr w14:paraId="411CEA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F246089">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2</w:t>
                  </w:r>
                </w:p>
              </w:tc>
              <w:tc>
                <w:tcPr>
                  <w:tcW w:w="670" w:type="pct"/>
                  <w:vMerge w:val="restart"/>
                  <w:shd w:val="clear" w:color="auto" w:fill="auto"/>
                  <w:vAlign w:val="center"/>
                </w:tcPr>
                <w:p w14:paraId="353C472C">
                  <w:pPr>
                    <w:pStyle w:val="68"/>
                    <w:textAlignment w:val="center"/>
                    <w:rPr>
                      <w:rFonts w:ascii="Times New Roman" w:hAnsi="Times New Roman" w:eastAsia="宋体"/>
                      <w:sz w:val="21"/>
                      <w:szCs w:val="21"/>
                    </w:rPr>
                  </w:pPr>
                  <w:r>
                    <w:rPr>
                      <w:rFonts w:hint="eastAsia" w:ascii="Times New Roman" w:hAnsi="Times New Roman" w:eastAsia="宋体"/>
                      <w:sz w:val="21"/>
                      <w:szCs w:val="21"/>
                    </w:rPr>
                    <w:t>有色</w:t>
                  </w:r>
                </w:p>
              </w:tc>
              <w:tc>
                <w:tcPr>
                  <w:tcW w:w="1243" w:type="pct"/>
                  <w:shd w:val="clear" w:color="auto" w:fill="auto"/>
                  <w:vAlign w:val="center"/>
                </w:tcPr>
                <w:p w14:paraId="04953231">
                  <w:pPr>
                    <w:pStyle w:val="68"/>
                    <w:textAlignment w:val="center"/>
                    <w:rPr>
                      <w:rFonts w:ascii="Times New Roman" w:hAnsi="Times New Roman" w:eastAsia="宋体"/>
                      <w:sz w:val="21"/>
                      <w:szCs w:val="21"/>
                    </w:rPr>
                  </w:pPr>
                  <w:r>
                    <w:rPr>
                      <w:rFonts w:hint="eastAsia" w:ascii="Times New Roman" w:hAnsi="Times New Roman" w:eastAsia="宋体"/>
                      <w:sz w:val="21"/>
                      <w:szCs w:val="21"/>
                    </w:rPr>
                    <w:t>铜冶炼</w:t>
                  </w:r>
                </w:p>
              </w:tc>
              <w:tc>
                <w:tcPr>
                  <w:tcW w:w="574" w:type="pct"/>
                  <w:vAlign w:val="center"/>
                </w:tcPr>
                <w:p w14:paraId="5FB258C9">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211</w:t>
                  </w:r>
                </w:p>
              </w:tc>
              <w:tc>
                <w:tcPr>
                  <w:tcW w:w="2097" w:type="pct"/>
                  <w:vAlign w:val="center"/>
                </w:tcPr>
                <w:p w14:paraId="7E7DA850">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铜冶炼，不包括再生铜冶炼项目</w:t>
                  </w:r>
                </w:p>
              </w:tc>
            </w:tr>
            <w:tr w14:paraId="68336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9011B96">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3</w:t>
                  </w:r>
                </w:p>
              </w:tc>
              <w:tc>
                <w:tcPr>
                  <w:tcW w:w="670" w:type="pct"/>
                  <w:vMerge w:val="continue"/>
                  <w:shd w:val="clear" w:color="auto" w:fill="auto"/>
                  <w:vAlign w:val="center"/>
                </w:tcPr>
                <w:p w14:paraId="699E782E">
                  <w:pPr>
                    <w:pStyle w:val="68"/>
                    <w:textAlignment w:val="center"/>
                    <w:rPr>
                      <w:rFonts w:ascii="Times New Roman" w:hAnsi="Times New Roman" w:eastAsia="宋体"/>
                      <w:sz w:val="21"/>
                      <w:szCs w:val="21"/>
                    </w:rPr>
                  </w:pPr>
                </w:p>
              </w:tc>
              <w:tc>
                <w:tcPr>
                  <w:tcW w:w="1243" w:type="pct"/>
                  <w:shd w:val="clear" w:color="auto" w:fill="auto"/>
                  <w:vAlign w:val="center"/>
                </w:tcPr>
                <w:p w14:paraId="5D42E19D">
                  <w:pPr>
                    <w:pStyle w:val="68"/>
                    <w:textAlignment w:val="center"/>
                    <w:rPr>
                      <w:rFonts w:ascii="Times New Roman" w:hAnsi="Times New Roman" w:eastAsia="宋体"/>
                      <w:sz w:val="21"/>
                      <w:szCs w:val="21"/>
                    </w:rPr>
                  </w:pPr>
                  <w:r>
                    <w:rPr>
                      <w:rFonts w:hint="eastAsia" w:ascii="Times New Roman" w:hAnsi="Times New Roman" w:eastAsia="宋体"/>
                      <w:sz w:val="21"/>
                      <w:szCs w:val="21"/>
                    </w:rPr>
                    <w:t>铅锌冶炼</w:t>
                  </w:r>
                </w:p>
              </w:tc>
              <w:tc>
                <w:tcPr>
                  <w:tcW w:w="574" w:type="pct"/>
                  <w:vAlign w:val="center"/>
                </w:tcPr>
                <w:p w14:paraId="3DBE59C9">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212</w:t>
                  </w:r>
                </w:p>
              </w:tc>
              <w:tc>
                <w:tcPr>
                  <w:tcW w:w="2097" w:type="pct"/>
                  <w:vAlign w:val="center"/>
                </w:tcPr>
                <w:p w14:paraId="50FC560E">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铅冶炼、锌冶炼，不包括再生铅、再生锌冶炼项目</w:t>
                  </w:r>
                </w:p>
              </w:tc>
            </w:tr>
            <w:tr w14:paraId="05734A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3CA01D37">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4</w:t>
                  </w:r>
                </w:p>
              </w:tc>
              <w:tc>
                <w:tcPr>
                  <w:tcW w:w="670" w:type="pct"/>
                  <w:vMerge w:val="continue"/>
                  <w:shd w:val="clear" w:color="auto" w:fill="auto"/>
                  <w:vAlign w:val="center"/>
                </w:tcPr>
                <w:p w14:paraId="0C09885B">
                  <w:pPr>
                    <w:pStyle w:val="68"/>
                    <w:textAlignment w:val="center"/>
                    <w:rPr>
                      <w:rFonts w:ascii="Times New Roman" w:hAnsi="Times New Roman" w:eastAsia="宋体"/>
                      <w:sz w:val="21"/>
                      <w:szCs w:val="21"/>
                    </w:rPr>
                  </w:pPr>
                </w:p>
              </w:tc>
              <w:tc>
                <w:tcPr>
                  <w:tcW w:w="1243" w:type="pct"/>
                  <w:shd w:val="clear" w:color="auto" w:fill="auto"/>
                  <w:vAlign w:val="center"/>
                </w:tcPr>
                <w:p w14:paraId="709FC876">
                  <w:pPr>
                    <w:pStyle w:val="68"/>
                    <w:textAlignment w:val="center"/>
                    <w:rPr>
                      <w:rFonts w:ascii="Times New Roman" w:hAnsi="Times New Roman" w:eastAsia="宋体"/>
                      <w:sz w:val="21"/>
                      <w:szCs w:val="21"/>
                    </w:rPr>
                  </w:pPr>
                  <w:r>
                    <w:rPr>
                      <w:rFonts w:hint="eastAsia" w:ascii="Times New Roman" w:hAnsi="Times New Roman" w:eastAsia="宋体"/>
                      <w:sz w:val="21"/>
                      <w:szCs w:val="21"/>
                    </w:rPr>
                    <w:t>铝冶炼</w:t>
                  </w:r>
                </w:p>
              </w:tc>
              <w:tc>
                <w:tcPr>
                  <w:tcW w:w="574" w:type="pct"/>
                  <w:vAlign w:val="center"/>
                </w:tcPr>
                <w:p w14:paraId="432FBDB3">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216</w:t>
                  </w:r>
                </w:p>
              </w:tc>
              <w:tc>
                <w:tcPr>
                  <w:tcW w:w="2097" w:type="pct"/>
                  <w:vAlign w:val="center"/>
                </w:tcPr>
                <w:p w14:paraId="37467EDA">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氧化铝（不包括以铝酸钠、氢氧化铝或氧化铝为原料深加工形成的非冶金级氧化铝）、电解铝</w:t>
                  </w:r>
                </w:p>
              </w:tc>
            </w:tr>
            <w:tr w14:paraId="5D3A31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6E42A2C4">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5</w:t>
                  </w:r>
                </w:p>
              </w:tc>
              <w:tc>
                <w:tcPr>
                  <w:tcW w:w="670" w:type="pct"/>
                  <w:vMerge w:val="continue"/>
                  <w:shd w:val="clear" w:color="auto" w:fill="auto"/>
                  <w:vAlign w:val="center"/>
                </w:tcPr>
                <w:p w14:paraId="44ACB0F1">
                  <w:pPr>
                    <w:pStyle w:val="68"/>
                    <w:textAlignment w:val="center"/>
                    <w:rPr>
                      <w:rFonts w:ascii="Times New Roman" w:hAnsi="Times New Roman" w:eastAsia="宋体"/>
                      <w:sz w:val="21"/>
                      <w:szCs w:val="21"/>
                    </w:rPr>
                  </w:pPr>
                </w:p>
              </w:tc>
              <w:tc>
                <w:tcPr>
                  <w:tcW w:w="1243" w:type="pct"/>
                  <w:shd w:val="clear" w:color="auto" w:fill="auto"/>
                  <w:vAlign w:val="center"/>
                </w:tcPr>
                <w:p w14:paraId="0FECD69D">
                  <w:pPr>
                    <w:pStyle w:val="68"/>
                    <w:textAlignment w:val="center"/>
                    <w:rPr>
                      <w:rFonts w:ascii="Times New Roman" w:hAnsi="Times New Roman" w:eastAsia="宋体"/>
                      <w:sz w:val="21"/>
                      <w:szCs w:val="21"/>
                    </w:rPr>
                  </w:pPr>
                  <w:r>
                    <w:rPr>
                      <w:rFonts w:hint="eastAsia" w:ascii="Times New Roman" w:hAnsi="Times New Roman" w:eastAsia="宋体"/>
                      <w:sz w:val="21"/>
                      <w:szCs w:val="21"/>
                    </w:rPr>
                    <w:t>硅冶炼</w:t>
                  </w:r>
                </w:p>
              </w:tc>
              <w:tc>
                <w:tcPr>
                  <w:tcW w:w="574" w:type="pct"/>
                  <w:vAlign w:val="center"/>
                </w:tcPr>
                <w:p w14:paraId="2EE39508">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r>
                    <w:rPr>
                      <w:rFonts w:ascii="Times New Roman" w:hAnsi="Times New Roman" w:eastAsia="宋体"/>
                      <w:sz w:val="21"/>
                      <w:szCs w:val="21"/>
                    </w:rPr>
                    <w:t>218</w:t>
                  </w:r>
                </w:p>
              </w:tc>
              <w:tc>
                <w:tcPr>
                  <w:tcW w:w="2097" w:type="pct"/>
                  <w:vAlign w:val="center"/>
                </w:tcPr>
                <w:p w14:paraId="0C46AD2B">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工业硅</w:t>
                  </w:r>
                </w:p>
              </w:tc>
            </w:tr>
            <w:tr w14:paraId="471D37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526E18C3">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6</w:t>
                  </w:r>
                </w:p>
              </w:tc>
              <w:tc>
                <w:tcPr>
                  <w:tcW w:w="670" w:type="pct"/>
                  <w:vMerge w:val="restart"/>
                  <w:shd w:val="clear" w:color="auto" w:fill="auto"/>
                  <w:vAlign w:val="center"/>
                </w:tcPr>
                <w:p w14:paraId="418F385F">
                  <w:pPr>
                    <w:pStyle w:val="68"/>
                    <w:textAlignment w:val="center"/>
                    <w:rPr>
                      <w:rFonts w:ascii="Times New Roman" w:hAnsi="Times New Roman" w:eastAsia="宋体"/>
                      <w:sz w:val="21"/>
                      <w:szCs w:val="21"/>
                    </w:rPr>
                  </w:pPr>
                  <w:r>
                    <w:rPr>
                      <w:rFonts w:hint="eastAsia" w:ascii="Times New Roman" w:hAnsi="Times New Roman" w:eastAsia="宋体"/>
                      <w:sz w:val="21"/>
                      <w:szCs w:val="21"/>
                    </w:rPr>
                    <w:t>煤电</w:t>
                  </w:r>
                </w:p>
              </w:tc>
              <w:tc>
                <w:tcPr>
                  <w:tcW w:w="1243" w:type="pct"/>
                  <w:shd w:val="clear" w:color="auto" w:fill="auto"/>
                  <w:vAlign w:val="center"/>
                </w:tcPr>
                <w:p w14:paraId="73E972C7">
                  <w:pPr>
                    <w:pStyle w:val="68"/>
                    <w:textAlignment w:val="center"/>
                    <w:rPr>
                      <w:rFonts w:ascii="Times New Roman" w:hAnsi="Times New Roman" w:eastAsia="宋体"/>
                      <w:sz w:val="21"/>
                      <w:szCs w:val="21"/>
                    </w:rPr>
                  </w:pPr>
                  <w:r>
                    <w:rPr>
                      <w:rFonts w:hint="eastAsia" w:ascii="Times New Roman" w:hAnsi="Times New Roman" w:eastAsia="宋体"/>
                      <w:sz w:val="21"/>
                      <w:szCs w:val="21"/>
                    </w:rPr>
                    <w:t>火力发电</w:t>
                  </w:r>
                </w:p>
              </w:tc>
              <w:tc>
                <w:tcPr>
                  <w:tcW w:w="574" w:type="pct"/>
                  <w:vAlign w:val="center"/>
                </w:tcPr>
                <w:p w14:paraId="7C86A653">
                  <w:pPr>
                    <w:pStyle w:val="68"/>
                    <w:textAlignment w:val="center"/>
                    <w:rPr>
                      <w:rFonts w:ascii="Times New Roman" w:hAnsi="Times New Roman" w:eastAsia="宋体"/>
                      <w:sz w:val="21"/>
                      <w:szCs w:val="21"/>
                    </w:rPr>
                  </w:pPr>
                  <w:r>
                    <w:rPr>
                      <w:rFonts w:hint="eastAsia" w:ascii="Times New Roman" w:hAnsi="Times New Roman" w:eastAsia="宋体"/>
                      <w:sz w:val="21"/>
                      <w:szCs w:val="21"/>
                    </w:rPr>
                    <w:t>4</w:t>
                  </w:r>
                  <w:r>
                    <w:rPr>
                      <w:rFonts w:ascii="Times New Roman" w:hAnsi="Times New Roman" w:eastAsia="宋体"/>
                      <w:sz w:val="21"/>
                      <w:szCs w:val="21"/>
                    </w:rPr>
                    <w:t>411</w:t>
                  </w:r>
                </w:p>
              </w:tc>
              <w:tc>
                <w:tcPr>
                  <w:tcW w:w="2097" w:type="pct"/>
                  <w:vAlign w:val="center"/>
                </w:tcPr>
                <w:p w14:paraId="757C4CFC">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燃煤发电</w:t>
                  </w:r>
                </w:p>
              </w:tc>
            </w:tr>
            <w:tr w14:paraId="2C48C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6" w:type="pct"/>
                  <w:vAlign w:val="center"/>
                </w:tcPr>
                <w:p w14:paraId="301720D9">
                  <w:pPr>
                    <w:pStyle w:val="68"/>
                    <w:textAlignment w:val="center"/>
                    <w:rPr>
                      <w:rFonts w:ascii="Times New Roman" w:hAnsi="Times New Roman" w:eastAsia="宋体"/>
                      <w:sz w:val="21"/>
                      <w:szCs w:val="21"/>
                    </w:rPr>
                  </w:pPr>
                  <w:r>
                    <w:rPr>
                      <w:rFonts w:hint="eastAsia" w:ascii="Times New Roman" w:hAnsi="Times New Roman" w:eastAsia="宋体"/>
                      <w:sz w:val="21"/>
                      <w:szCs w:val="21"/>
                    </w:rPr>
                    <w:t>2</w:t>
                  </w:r>
                  <w:r>
                    <w:rPr>
                      <w:rFonts w:ascii="Times New Roman" w:hAnsi="Times New Roman" w:eastAsia="宋体"/>
                      <w:sz w:val="21"/>
                      <w:szCs w:val="21"/>
                    </w:rPr>
                    <w:t>7</w:t>
                  </w:r>
                </w:p>
              </w:tc>
              <w:tc>
                <w:tcPr>
                  <w:tcW w:w="670" w:type="pct"/>
                  <w:vMerge w:val="continue"/>
                  <w:shd w:val="clear" w:color="auto" w:fill="auto"/>
                  <w:vAlign w:val="center"/>
                </w:tcPr>
                <w:p w14:paraId="7D4CFDA0">
                  <w:pPr>
                    <w:pStyle w:val="68"/>
                    <w:textAlignment w:val="center"/>
                    <w:rPr>
                      <w:rFonts w:ascii="Times New Roman" w:hAnsi="Times New Roman" w:eastAsia="宋体"/>
                      <w:sz w:val="21"/>
                      <w:szCs w:val="21"/>
                    </w:rPr>
                  </w:pPr>
                </w:p>
              </w:tc>
              <w:tc>
                <w:tcPr>
                  <w:tcW w:w="1243" w:type="pct"/>
                  <w:shd w:val="clear" w:color="auto" w:fill="auto"/>
                  <w:vAlign w:val="center"/>
                </w:tcPr>
                <w:p w14:paraId="67894814">
                  <w:pPr>
                    <w:pStyle w:val="68"/>
                    <w:textAlignment w:val="center"/>
                    <w:rPr>
                      <w:rFonts w:ascii="Times New Roman" w:hAnsi="Times New Roman" w:eastAsia="宋体"/>
                      <w:sz w:val="21"/>
                      <w:szCs w:val="21"/>
                    </w:rPr>
                  </w:pPr>
                  <w:r>
                    <w:rPr>
                      <w:rFonts w:hint="eastAsia" w:ascii="Times New Roman" w:hAnsi="Times New Roman" w:eastAsia="宋体"/>
                      <w:sz w:val="21"/>
                      <w:szCs w:val="21"/>
                    </w:rPr>
                    <w:t>热电联产</w:t>
                  </w:r>
                </w:p>
              </w:tc>
              <w:tc>
                <w:tcPr>
                  <w:tcW w:w="574" w:type="pct"/>
                  <w:vAlign w:val="center"/>
                </w:tcPr>
                <w:p w14:paraId="263A0E7E">
                  <w:pPr>
                    <w:pStyle w:val="68"/>
                    <w:textAlignment w:val="center"/>
                    <w:rPr>
                      <w:rFonts w:ascii="Times New Roman" w:hAnsi="Times New Roman" w:eastAsia="宋体"/>
                      <w:sz w:val="21"/>
                      <w:szCs w:val="21"/>
                    </w:rPr>
                  </w:pPr>
                  <w:r>
                    <w:rPr>
                      <w:rFonts w:hint="eastAsia" w:ascii="Times New Roman" w:hAnsi="Times New Roman" w:eastAsia="宋体"/>
                      <w:sz w:val="21"/>
                      <w:szCs w:val="21"/>
                    </w:rPr>
                    <w:t>4</w:t>
                  </w:r>
                  <w:r>
                    <w:rPr>
                      <w:rFonts w:ascii="Times New Roman" w:hAnsi="Times New Roman" w:eastAsia="宋体"/>
                      <w:sz w:val="21"/>
                      <w:szCs w:val="21"/>
                    </w:rPr>
                    <w:t>412</w:t>
                  </w:r>
                </w:p>
              </w:tc>
              <w:tc>
                <w:tcPr>
                  <w:tcW w:w="2097" w:type="pct"/>
                  <w:vAlign w:val="center"/>
                </w:tcPr>
                <w:p w14:paraId="558B2382">
                  <w:pPr>
                    <w:pStyle w:val="68"/>
                    <w:jc w:val="left"/>
                    <w:textAlignment w:val="center"/>
                    <w:rPr>
                      <w:rFonts w:ascii="Times New Roman" w:hAnsi="Times New Roman" w:eastAsia="宋体"/>
                      <w:sz w:val="21"/>
                      <w:szCs w:val="21"/>
                    </w:rPr>
                  </w:pPr>
                  <w:r>
                    <w:rPr>
                      <w:rFonts w:hint="eastAsia" w:ascii="Times New Roman" w:hAnsi="Times New Roman" w:eastAsia="宋体"/>
                      <w:sz w:val="21"/>
                      <w:szCs w:val="21"/>
                    </w:rPr>
                    <w:t>燃煤热电联产</w:t>
                  </w:r>
                </w:p>
              </w:tc>
            </w:tr>
          </w:tbl>
          <w:p w14:paraId="6FE59037">
            <w:pPr>
              <w:autoSpaceDE w:val="0"/>
              <w:autoSpaceDN w:val="0"/>
              <w:adjustRightInd w:val="0"/>
              <w:spacing w:line="360" w:lineRule="auto"/>
              <w:ind w:firstLine="480" w:firstLineChars="200"/>
              <w:jc w:val="left"/>
              <w:rPr>
                <w:sz w:val="24"/>
              </w:rPr>
            </w:pPr>
            <w:r>
              <w:rPr>
                <w:sz w:val="24"/>
              </w:rPr>
              <w:t>本项目属于</w:t>
            </w:r>
            <w:r>
              <w:rPr>
                <w:rFonts w:hint="eastAsia" w:cs="宋体"/>
                <w:sz w:val="24"/>
              </w:rPr>
              <w:t>汽车零部件及配件制造</w:t>
            </w:r>
            <w:r>
              <w:rPr>
                <w:rFonts w:cs="宋体"/>
                <w:sz w:val="24"/>
              </w:rPr>
              <w:t>［</w:t>
            </w:r>
            <w:r>
              <w:rPr>
                <w:rFonts w:hint="eastAsia" w:cs="宋体"/>
                <w:sz w:val="24"/>
              </w:rPr>
              <w:t>C3670</w:t>
            </w:r>
            <w:r>
              <w:rPr>
                <w:rFonts w:cs="宋体"/>
                <w:sz w:val="24"/>
              </w:rPr>
              <w:t>］</w:t>
            </w:r>
            <w:r>
              <w:rPr>
                <w:rFonts w:hint="eastAsia" w:cs="宋体"/>
                <w:sz w:val="24"/>
              </w:rPr>
              <w:t>及</w:t>
            </w:r>
            <w:r>
              <w:rPr>
                <w:rFonts w:hint="eastAsia" w:hAnsi="宋体"/>
                <w:kern w:val="24"/>
                <w:sz w:val="24"/>
                <w:szCs w:val="20"/>
              </w:rPr>
              <w:t>塑料零件及其他塑料制品制造</w:t>
            </w:r>
            <w:r>
              <w:rPr>
                <w:rFonts w:cs="宋体"/>
                <w:sz w:val="24"/>
              </w:rPr>
              <w:t>［</w:t>
            </w:r>
            <w:r>
              <w:rPr>
                <w:rFonts w:hint="eastAsia" w:hAnsi="宋体"/>
                <w:kern w:val="24"/>
                <w:sz w:val="24"/>
                <w:szCs w:val="20"/>
              </w:rPr>
              <w:t>C2929</w:t>
            </w:r>
            <w:r>
              <w:rPr>
                <w:rFonts w:cs="宋体"/>
                <w:sz w:val="24"/>
              </w:rPr>
              <w:t>］</w:t>
            </w:r>
            <w:r>
              <w:rPr>
                <w:sz w:val="24"/>
              </w:rPr>
              <w:t>，对照上</w:t>
            </w:r>
            <w:r>
              <w:rPr>
                <w:rFonts w:hint="eastAsia"/>
                <w:sz w:val="24"/>
              </w:rPr>
              <w:t>表</w:t>
            </w:r>
            <w:r>
              <w:rPr>
                <w:sz w:val="24"/>
              </w:rPr>
              <w:t>，本项目不属于安徽省</w:t>
            </w:r>
            <w:r>
              <w:rPr>
                <w:rFonts w:hint="eastAsia"/>
                <w:sz w:val="24"/>
              </w:rPr>
              <w:t>“</w:t>
            </w:r>
            <w:r>
              <w:rPr>
                <w:sz w:val="24"/>
              </w:rPr>
              <w:t>两高</w:t>
            </w:r>
            <w:r>
              <w:rPr>
                <w:rFonts w:hint="eastAsia"/>
                <w:sz w:val="24"/>
              </w:rPr>
              <w:t>”</w:t>
            </w:r>
            <w:r>
              <w:rPr>
                <w:sz w:val="24"/>
              </w:rPr>
              <w:t>项目</w:t>
            </w:r>
            <w:r>
              <w:rPr>
                <w:rFonts w:hint="eastAsia"/>
                <w:sz w:val="24"/>
              </w:rPr>
              <w:t>。</w:t>
            </w:r>
          </w:p>
          <w:p w14:paraId="2DD055E4">
            <w:pPr>
              <w:autoSpaceDE w:val="0"/>
              <w:autoSpaceDN w:val="0"/>
              <w:adjustRightInd w:val="0"/>
              <w:spacing w:line="360" w:lineRule="auto"/>
              <w:ind w:firstLine="482" w:firstLineChars="200"/>
              <w:rPr>
                <w:rFonts w:hAnsi="宋体"/>
                <w:b/>
                <w:kern w:val="0"/>
                <w:sz w:val="24"/>
              </w:rPr>
            </w:pPr>
            <w:r>
              <w:rPr>
                <w:rFonts w:hint="eastAsia"/>
                <w:b/>
                <w:bCs/>
                <w:sz w:val="24"/>
              </w:rPr>
              <w:t>9</w:t>
            </w:r>
            <w:r>
              <w:rPr>
                <w:b/>
                <w:bCs/>
                <w:sz w:val="24"/>
              </w:rPr>
              <w:t>、</w:t>
            </w:r>
            <w:r>
              <w:rPr>
                <w:rFonts w:hint="eastAsia" w:hAnsi="宋体"/>
                <w:b/>
                <w:kern w:val="0"/>
                <w:sz w:val="24"/>
              </w:rPr>
              <w:t>与《中华人民共和国长江保护法》相符性分析</w:t>
            </w:r>
          </w:p>
          <w:p w14:paraId="00E1A5C0">
            <w:pPr>
              <w:jc w:val="center"/>
              <w:rPr>
                <w:b/>
                <w:sz w:val="24"/>
              </w:rPr>
            </w:pPr>
            <w:r>
              <w:rPr>
                <w:rFonts w:hint="eastAsia"/>
                <w:b/>
                <w:sz w:val="24"/>
              </w:rPr>
              <w:t>表</w:t>
            </w:r>
            <w:r>
              <w:rPr>
                <w:b/>
                <w:sz w:val="24"/>
              </w:rPr>
              <w:t>1</w:t>
            </w:r>
            <w:r>
              <w:rPr>
                <w:rFonts w:hint="eastAsia"/>
                <w:b/>
                <w:sz w:val="24"/>
              </w:rPr>
              <w:t>-10</w:t>
            </w:r>
            <w:r>
              <w:rPr>
                <w:b/>
                <w:sz w:val="24"/>
              </w:rPr>
              <w:t xml:space="preserve"> </w:t>
            </w:r>
            <w:r>
              <w:rPr>
                <w:rFonts w:hint="eastAsia"/>
                <w:b/>
                <w:sz w:val="24"/>
              </w:rPr>
              <w:t>与《中华人民共和国长江保护法》要求相符性分析</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68"/>
              <w:gridCol w:w="4312"/>
              <w:gridCol w:w="2057"/>
              <w:gridCol w:w="828"/>
            </w:tblGrid>
            <w:tr w14:paraId="4005D7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14:paraId="64489E0B">
                  <w:pPr>
                    <w:pStyle w:val="68"/>
                    <w:textAlignment w:val="center"/>
                    <w:rPr>
                      <w:rFonts w:ascii="Times New Roman" w:hAnsi="Times New Roman" w:eastAsia="宋体"/>
                      <w:b/>
                      <w:sz w:val="21"/>
                      <w:szCs w:val="21"/>
                    </w:rPr>
                  </w:pPr>
                  <w:r>
                    <w:rPr>
                      <w:rFonts w:ascii="Times New Roman" w:hAnsi="Times New Roman" w:eastAsia="宋体"/>
                      <w:b/>
                      <w:sz w:val="21"/>
                      <w:szCs w:val="21"/>
                    </w:rPr>
                    <w:t>序号</w:t>
                  </w:r>
                </w:p>
              </w:tc>
              <w:tc>
                <w:tcPr>
                  <w:tcW w:w="2812" w:type="pct"/>
                  <w:shd w:val="clear" w:color="auto" w:fill="auto"/>
                  <w:vAlign w:val="center"/>
                </w:tcPr>
                <w:p w14:paraId="518B694E">
                  <w:pPr>
                    <w:pStyle w:val="68"/>
                    <w:textAlignment w:val="center"/>
                    <w:rPr>
                      <w:rFonts w:ascii="Times New Roman" w:hAnsi="Times New Roman" w:eastAsia="宋体"/>
                      <w:b/>
                      <w:sz w:val="21"/>
                      <w:szCs w:val="21"/>
                    </w:rPr>
                  </w:pPr>
                  <w:r>
                    <w:rPr>
                      <w:rFonts w:ascii="Times New Roman" w:hAnsi="Times New Roman" w:eastAsia="宋体"/>
                      <w:b/>
                      <w:sz w:val="21"/>
                      <w:szCs w:val="21"/>
                    </w:rPr>
                    <w:t>文件要求</w:t>
                  </w:r>
                </w:p>
              </w:tc>
              <w:tc>
                <w:tcPr>
                  <w:tcW w:w="1341" w:type="pct"/>
                  <w:shd w:val="clear" w:color="auto" w:fill="auto"/>
                  <w:vAlign w:val="center"/>
                </w:tcPr>
                <w:p w14:paraId="719A5AAE">
                  <w:pPr>
                    <w:pStyle w:val="68"/>
                    <w:textAlignment w:val="center"/>
                    <w:rPr>
                      <w:rFonts w:ascii="Times New Roman" w:hAnsi="Times New Roman" w:eastAsia="宋体"/>
                      <w:b/>
                      <w:sz w:val="21"/>
                      <w:szCs w:val="21"/>
                    </w:rPr>
                  </w:pPr>
                  <w:r>
                    <w:rPr>
                      <w:rFonts w:ascii="Times New Roman" w:hAnsi="Times New Roman" w:eastAsia="宋体"/>
                      <w:b/>
                      <w:sz w:val="21"/>
                      <w:szCs w:val="21"/>
                    </w:rPr>
                    <w:t>本项目相符性分析</w:t>
                  </w:r>
                </w:p>
              </w:tc>
              <w:tc>
                <w:tcPr>
                  <w:tcW w:w="540" w:type="pct"/>
                  <w:vAlign w:val="center"/>
                </w:tcPr>
                <w:p w14:paraId="4D0953E4">
                  <w:pPr>
                    <w:pStyle w:val="68"/>
                    <w:textAlignment w:val="center"/>
                    <w:rPr>
                      <w:rFonts w:ascii="Times New Roman" w:hAnsi="Times New Roman" w:eastAsia="宋体"/>
                      <w:b/>
                      <w:sz w:val="21"/>
                      <w:szCs w:val="21"/>
                    </w:rPr>
                  </w:pPr>
                  <w:r>
                    <w:rPr>
                      <w:rFonts w:ascii="Times New Roman" w:hAnsi="Times New Roman" w:eastAsia="宋体"/>
                      <w:b/>
                      <w:sz w:val="21"/>
                      <w:szCs w:val="21"/>
                    </w:rPr>
                    <w:t>相符性</w:t>
                  </w:r>
                </w:p>
              </w:tc>
            </w:tr>
            <w:tr w14:paraId="100FB4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14:paraId="781C20AA">
                  <w:pPr>
                    <w:pStyle w:val="68"/>
                    <w:textAlignment w:val="center"/>
                    <w:rPr>
                      <w:rFonts w:ascii="Times New Roman" w:hAnsi="Times New Roman" w:eastAsia="宋体"/>
                      <w:sz w:val="21"/>
                      <w:szCs w:val="21"/>
                    </w:rPr>
                  </w:pPr>
                  <w:r>
                    <w:rPr>
                      <w:rFonts w:ascii="Times New Roman" w:hAnsi="Times New Roman" w:eastAsia="宋体"/>
                      <w:sz w:val="21"/>
                      <w:szCs w:val="21"/>
                    </w:rPr>
                    <w:t>1</w:t>
                  </w:r>
                </w:p>
              </w:tc>
              <w:tc>
                <w:tcPr>
                  <w:tcW w:w="2812" w:type="pct"/>
                  <w:shd w:val="clear" w:color="auto" w:fill="auto"/>
                  <w:vAlign w:val="center"/>
                </w:tcPr>
                <w:p w14:paraId="77C080B7">
                  <w:pPr>
                    <w:pStyle w:val="68"/>
                    <w:jc w:val="left"/>
                    <w:textAlignment w:val="center"/>
                    <w:rPr>
                      <w:rFonts w:ascii="Times New Roman" w:hAnsi="Times New Roman" w:eastAsia="宋体"/>
                      <w:iCs/>
                      <w:sz w:val="21"/>
                      <w:szCs w:val="21"/>
                    </w:rPr>
                  </w:pPr>
                  <w:r>
                    <w:rPr>
                      <w:rFonts w:ascii="Times New Roman" w:hAnsi="Times New Roman" w:eastAsia="宋体"/>
                      <w:iCs/>
                      <w:sz w:val="21"/>
                      <w:szCs w:val="21"/>
                    </w:rPr>
                    <w:t>第二十六条 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14:paraId="2FD0FEE0">
                  <w:pPr>
                    <w:pStyle w:val="68"/>
                    <w:jc w:val="left"/>
                    <w:textAlignment w:val="center"/>
                    <w:rPr>
                      <w:rFonts w:ascii="Times New Roman" w:hAnsi="Times New Roman" w:eastAsia="宋体"/>
                      <w:iCs/>
                      <w:sz w:val="21"/>
                      <w:szCs w:val="21"/>
                    </w:rPr>
                  </w:pPr>
                  <w:r>
                    <w:rPr>
                      <w:rFonts w:ascii="Times New Roman" w:hAnsi="Times New Roman" w:eastAsia="宋体"/>
                      <w:iCs/>
                      <w:sz w:val="21"/>
                      <w:szCs w:val="21"/>
                    </w:rPr>
                    <w:t>禁止在长江干支流岸线一公里范围内新建、扩建化工园区和化工项目。</w:t>
                  </w:r>
                </w:p>
                <w:p w14:paraId="69C47BA8">
                  <w:pPr>
                    <w:pStyle w:val="68"/>
                    <w:jc w:val="left"/>
                    <w:textAlignment w:val="center"/>
                    <w:rPr>
                      <w:rFonts w:ascii="Times New Roman" w:hAnsi="Times New Roman" w:eastAsia="宋体"/>
                      <w:iCs/>
                      <w:sz w:val="21"/>
                      <w:szCs w:val="21"/>
                    </w:rPr>
                  </w:pPr>
                  <w:r>
                    <w:rPr>
                      <w:rFonts w:ascii="Times New Roman" w:hAnsi="Times New Roman" w:eastAsia="宋体"/>
                      <w:iCs/>
                      <w:sz w:val="21"/>
                      <w:szCs w:val="21"/>
                    </w:rPr>
                    <w:t>禁止在长江干流岸线三公里范围内和重要支流岸线一公里范围内新建、改建、扩建尾矿库；但是以提升安全、生态环境保护水平为目的的改建除外</w:t>
                  </w:r>
                </w:p>
              </w:tc>
              <w:tc>
                <w:tcPr>
                  <w:tcW w:w="1341" w:type="pct"/>
                  <w:shd w:val="clear" w:color="auto" w:fill="auto"/>
                  <w:vAlign w:val="center"/>
                </w:tcPr>
                <w:p w14:paraId="03043014">
                  <w:pPr>
                    <w:pStyle w:val="68"/>
                    <w:textAlignment w:val="center"/>
                    <w:rPr>
                      <w:rFonts w:ascii="Times New Roman" w:hAnsi="Times New Roman" w:eastAsia="宋体"/>
                      <w:iCs/>
                      <w:sz w:val="21"/>
                      <w:szCs w:val="21"/>
                    </w:rPr>
                  </w:pPr>
                  <w:r>
                    <w:rPr>
                      <w:rFonts w:ascii="Times New Roman" w:hAnsi="Times New Roman" w:eastAsia="宋体"/>
                      <w:iCs/>
                      <w:sz w:val="21"/>
                      <w:szCs w:val="21"/>
                    </w:rPr>
                    <w:t>本项目位于</w:t>
                  </w:r>
                  <w:r>
                    <w:rPr>
                      <w:rFonts w:hint="eastAsia" w:ascii="Times New Roman" w:hAnsi="Times New Roman" w:eastAsia="宋体"/>
                      <w:iCs/>
                      <w:sz w:val="21"/>
                      <w:szCs w:val="21"/>
                      <w:lang w:eastAsia="zh-CN"/>
                    </w:rPr>
                    <w:t>芜湖市鸠江经济开发区徽州路152号</w:t>
                  </w:r>
                  <w:r>
                    <w:rPr>
                      <w:rFonts w:ascii="Times New Roman" w:hAnsi="Times New Roman" w:eastAsia="宋体"/>
                      <w:iCs/>
                      <w:sz w:val="21"/>
                      <w:szCs w:val="21"/>
                    </w:rPr>
                    <w:t>，距离长江</w:t>
                  </w:r>
                  <w:r>
                    <w:rPr>
                      <w:rFonts w:hint="eastAsia" w:ascii="Times New Roman" w:hAnsi="Times New Roman" w:eastAsia="宋体"/>
                      <w:iCs/>
                      <w:sz w:val="21"/>
                      <w:szCs w:val="21"/>
                    </w:rPr>
                    <w:t>干流距离为</w:t>
                  </w:r>
                  <w:r>
                    <w:rPr>
                      <w:rFonts w:hint="eastAsia" w:ascii="Times New Roman" w:hAnsi="Times New Roman" w:eastAsia="宋体"/>
                      <w:iCs/>
                      <w:sz w:val="21"/>
                      <w:szCs w:val="21"/>
                      <w:lang w:eastAsia="zh-CN"/>
                    </w:rPr>
                    <w:t>9.7</w:t>
                  </w:r>
                  <w:r>
                    <w:rPr>
                      <w:rFonts w:ascii="Times New Roman" w:hAnsi="Times New Roman" w:eastAsia="宋体"/>
                      <w:iCs/>
                      <w:sz w:val="21"/>
                      <w:szCs w:val="21"/>
                    </w:rPr>
                    <w:t xml:space="preserve"> km</w:t>
                  </w:r>
                  <w:r>
                    <w:rPr>
                      <w:rFonts w:hint="eastAsia" w:ascii="Times New Roman" w:hAnsi="Times New Roman" w:eastAsia="宋体"/>
                      <w:iCs/>
                      <w:sz w:val="21"/>
                      <w:szCs w:val="21"/>
                    </w:rPr>
                    <w:t>，</w:t>
                  </w:r>
                  <w:r>
                    <w:rPr>
                      <w:rFonts w:hint="eastAsia" w:ascii="Times New Roman" w:hAnsi="Times New Roman" w:eastAsia="宋体"/>
                      <w:iCs/>
                      <w:sz w:val="21"/>
                      <w:szCs w:val="21"/>
                      <w:lang w:val="en-US" w:eastAsia="zh-CN"/>
                    </w:rPr>
                    <w:t>不</w:t>
                  </w:r>
                  <w:r>
                    <w:rPr>
                      <w:rFonts w:ascii="Times New Roman" w:hAnsi="Times New Roman" w:eastAsia="宋体"/>
                      <w:iCs/>
                      <w:sz w:val="21"/>
                      <w:szCs w:val="21"/>
                    </w:rPr>
                    <w:t>属于长江干支流岸线</w:t>
                  </w:r>
                  <w:r>
                    <w:rPr>
                      <w:rFonts w:hint="eastAsia" w:ascii="Times New Roman" w:hAnsi="Times New Roman" w:eastAsia="宋体"/>
                      <w:iCs/>
                      <w:sz w:val="21"/>
                      <w:szCs w:val="21"/>
                    </w:rPr>
                    <w:t>三</w:t>
                  </w:r>
                  <w:r>
                    <w:rPr>
                      <w:rFonts w:ascii="Times New Roman" w:hAnsi="Times New Roman" w:eastAsia="宋体"/>
                      <w:iCs/>
                      <w:sz w:val="21"/>
                      <w:szCs w:val="21"/>
                    </w:rPr>
                    <w:t>公里范围内</w:t>
                  </w:r>
                  <w:r>
                    <w:rPr>
                      <w:rFonts w:hint="eastAsia" w:ascii="Times New Roman" w:hAnsi="Times New Roman" w:eastAsia="宋体"/>
                      <w:iCs/>
                      <w:sz w:val="21"/>
                      <w:szCs w:val="21"/>
                    </w:rPr>
                    <w:t>，本项目不属于</w:t>
                  </w:r>
                  <w:r>
                    <w:rPr>
                      <w:rFonts w:ascii="Times New Roman" w:hAnsi="Times New Roman" w:eastAsia="宋体"/>
                      <w:iCs/>
                      <w:sz w:val="21"/>
                      <w:szCs w:val="21"/>
                    </w:rPr>
                    <w:t>尾矿库</w:t>
                  </w:r>
                  <w:r>
                    <w:rPr>
                      <w:rFonts w:hint="eastAsia" w:ascii="Times New Roman" w:hAnsi="Times New Roman" w:eastAsia="宋体"/>
                      <w:iCs/>
                      <w:sz w:val="21"/>
                      <w:szCs w:val="21"/>
                    </w:rPr>
                    <w:t>项目</w:t>
                  </w:r>
                </w:p>
              </w:tc>
              <w:tc>
                <w:tcPr>
                  <w:tcW w:w="540" w:type="pct"/>
                  <w:vAlign w:val="center"/>
                </w:tcPr>
                <w:p w14:paraId="071766CB">
                  <w:pPr>
                    <w:pStyle w:val="68"/>
                    <w:textAlignment w:val="center"/>
                    <w:rPr>
                      <w:rFonts w:ascii="Times New Roman" w:hAnsi="Times New Roman" w:eastAsia="宋体"/>
                      <w:iCs/>
                      <w:sz w:val="21"/>
                      <w:szCs w:val="21"/>
                    </w:rPr>
                  </w:pPr>
                  <w:r>
                    <w:rPr>
                      <w:rFonts w:ascii="Times New Roman" w:hAnsi="Times New Roman" w:eastAsia="宋体"/>
                      <w:iCs/>
                      <w:sz w:val="21"/>
                      <w:szCs w:val="21"/>
                    </w:rPr>
                    <w:t>相符</w:t>
                  </w:r>
                </w:p>
              </w:tc>
            </w:tr>
            <w:tr w14:paraId="28620F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14:paraId="65E3A3FC">
                  <w:pPr>
                    <w:pStyle w:val="68"/>
                    <w:textAlignment w:val="center"/>
                    <w:rPr>
                      <w:rFonts w:ascii="Times New Roman" w:hAnsi="Times New Roman" w:eastAsia="宋体"/>
                      <w:sz w:val="21"/>
                      <w:szCs w:val="21"/>
                    </w:rPr>
                  </w:pPr>
                  <w:r>
                    <w:rPr>
                      <w:rFonts w:ascii="Times New Roman" w:hAnsi="Times New Roman" w:eastAsia="宋体"/>
                      <w:sz w:val="21"/>
                      <w:szCs w:val="21"/>
                    </w:rPr>
                    <w:t>2</w:t>
                  </w:r>
                </w:p>
              </w:tc>
              <w:tc>
                <w:tcPr>
                  <w:tcW w:w="2812" w:type="pct"/>
                  <w:shd w:val="clear" w:color="auto" w:fill="auto"/>
                  <w:vAlign w:val="center"/>
                </w:tcPr>
                <w:p w14:paraId="0A3EDC12">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禁止在长江流域开放水域养殖、投放外来物</w:t>
                  </w:r>
                </w:p>
                <w:p w14:paraId="403F5D78">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种或者其他非本地物种种质资源。</w:t>
                  </w:r>
                </w:p>
              </w:tc>
              <w:tc>
                <w:tcPr>
                  <w:tcW w:w="1341" w:type="pct"/>
                  <w:shd w:val="clear" w:color="auto" w:fill="auto"/>
                  <w:vAlign w:val="center"/>
                </w:tcPr>
                <w:p w14:paraId="784EC0E5">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本项目不养殖、投放外来物种或者其他非本地物种种质资源</w:t>
                  </w:r>
                </w:p>
              </w:tc>
              <w:tc>
                <w:tcPr>
                  <w:tcW w:w="540" w:type="pct"/>
                  <w:vAlign w:val="center"/>
                </w:tcPr>
                <w:p w14:paraId="575B4759">
                  <w:pPr>
                    <w:pStyle w:val="68"/>
                    <w:textAlignment w:val="center"/>
                    <w:rPr>
                      <w:rFonts w:ascii="Times New Roman" w:hAnsi="Times New Roman" w:eastAsia="宋体"/>
                      <w:iCs/>
                      <w:sz w:val="21"/>
                      <w:szCs w:val="21"/>
                    </w:rPr>
                  </w:pPr>
                  <w:r>
                    <w:rPr>
                      <w:rFonts w:ascii="Times New Roman" w:hAnsi="Times New Roman" w:eastAsia="宋体"/>
                      <w:iCs/>
                      <w:sz w:val="21"/>
                      <w:szCs w:val="21"/>
                    </w:rPr>
                    <w:t>相符</w:t>
                  </w:r>
                </w:p>
              </w:tc>
            </w:tr>
            <w:tr w14:paraId="52988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14:paraId="58BAECA4">
                  <w:pPr>
                    <w:pStyle w:val="68"/>
                    <w:textAlignment w:val="center"/>
                    <w:rPr>
                      <w:rFonts w:ascii="Times New Roman" w:hAnsi="Times New Roman" w:eastAsia="宋体"/>
                      <w:sz w:val="21"/>
                      <w:szCs w:val="21"/>
                    </w:rPr>
                  </w:pPr>
                  <w:r>
                    <w:rPr>
                      <w:rFonts w:hint="eastAsia" w:ascii="Times New Roman" w:hAnsi="Times New Roman" w:eastAsia="宋体"/>
                      <w:sz w:val="21"/>
                      <w:szCs w:val="21"/>
                    </w:rPr>
                    <w:t>3</w:t>
                  </w:r>
                </w:p>
              </w:tc>
              <w:tc>
                <w:tcPr>
                  <w:tcW w:w="2812" w:type="pct"/>
                  <w:shd w:val="clear" w:color="auto" w:fill="auto"/>
                  <w:vAlign w:val="center"/>
                </w:tcPr>
                <w:p w14:paraId="7BDB26A7">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第四十九条 禁止在长江流域河湖管理范围内倾倒、填埋、堆放、弃置、处理固体废物。</w:t>
                  </w:r>
                </w:p>
                <w:p w14:paraId="134746F6">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长江流域县级以上地方人民政府应当加强对</w:t>
                  </w:r>
                </w:p>
                <w:p w14:paraId="08D8946E">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固体废物非法转移和倾倒的联防联控。</w:t>
                  </w:r>
                </w:p>
              </w:tc>
              <w:tc>
                <w:tcPr>
                  <w:tcW w:w="1341" w:type="pct"/>
                  <w:shd w:val="clear" w:color="auto" w:fill="auto"/>
                  <w:vAlign w:val="center"/>
                </w:tcPr>
                <w:p w14:paraId="3408A67A">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项目施工及运营过程中不倾倒、填埋、堆放、弃置、处理固体废物；各固体废物合理处理处置。</w:t>
                  </w:r>
                </w:p>
              </w:tc>
              <w:tc>
                <w:tcPr>
                  <w:tcW w:w="540" w:type="pct"/>
                  <w:vAlign w:val="center"/>
                </w:tcPr>
                <w:p w14:paraId="1D04BC8F">
                  <w:pPr>
                    <w:pStyle w:val="68"/>
                    <w:textAlignment w:val="center"/>
                    <w:rPr>
                      <w:rFonts w:ascii="Times New Roman" w:hAnsi="Times New Roman" w:eastAsia="宋体"/>
                      <w:iCs/>
                      <w:sz w:val="21"/>
                      <w:szCs w:val="21"/>
                    </w:rPr>
                  </w:pPr>
                  <w:r>
                    <w:rPr>
                      <w:rFonts w:ascii="Times New Roman" w:hAnsi="Times New Roman" w:eastAsia="宋体"/>
                      <w:iCs/>
                      <w:sz w:val="21"/>
                      <w:szCs w:val="21"/>
                    </w:rPr>
                    <w:t>相符</w:t>
                  </w:r>
                </w:p>
              </w:tc>
            </w:tr>
            <w:tr w14:paraId="2B664C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14:paraId="4FAA2DFD">
                  <w:pPr>
                    <w:pStyle w:val="68"/>
                    <w:textAlignment w:val="center"/>
                    <w:rPr>
                      <w:rFonts w:ascii="Times New Roman" w:hAnsi="Times New Roman" w:eastAsia="宋体"/>
                      <w:sz w:val="21"/>
                      <w:szCs w:val="21"/>
                    </w:rPr>
                  </w:pPr>
                  <w:r>
                    <w:rPr>
                      <w:rFonts w:hint="eastAsia" w:ascii="Times New Roman" w:hAnsi="Times New Roman" w:eastAsia="宋体"/>
                      <w:sz w:val="21"/>
                      <w:szCs w:val="21"/>
                    </w:rPr>
                    <w:t>4</w:t>
                  </w:r>
                </w:p>
              </w:tc>
              <w:tc>
                <w:tcPr>
                  <w:tcW w:w="2812" w:type="pct"/>
                  <w:shd w:val="clear" w:color="auto" w:fill="auto"/>
                  <w:vAlign w:val="center"/>
                </w:tcPr>
                <w:p w14:paraId="5B7A9CC3">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第六十一条禁止在长江流域水土流失严重、</w:t>
                  </w:r>
                </w:p>
                <w:p w14:paraId="3CCBB797">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生态脆弱的区域开展可能造成水土流失的生</w:t>
                  </w:r>
                </w:p>
                <w:p w14:paraId="5BA82154">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产建设活动。确因国家发展战略和国计民生</w:t>
                  </w:r>
                </w:p>
                <w:p w14:paraId="6FE17AE6">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需要建设的，应当经科学论证，并依法办理</w:t>
                  </w:r>
                </w:p>
                <w:p w14:paraId="7A2FEE69">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审批手续。</w:t>
                  </w:r>
                </w:p>
              </w:tc>
              <w:tc>
                <w:tcPr>
                  <w:tcW w:w="1341" w:type="pct"/>
                  <w:shd w:val="clear" w:color="auto" w:fill="auto"/>
                  <w:vAlign w:val="center"/>
                </w:tcPr>
                <w:p w14:paraId="19735C71">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本项目在租赁厂房内建设，不涉及土方活动。</w:t>
                  </w:r>
                </w:p>
              </w:tc>
              <w:tc>
                <w:tcPr>
                  <w:tcW w:w="540" w:type="pct"/>
                  <w:vAlign w:val="center"/>
                </w:tcPr>
                <w:p w14:paraId="22473E64">
                  <w:pPr>
                    <w:pStyle w:val="68"/>
                    <w:textAlignment w:val="center"/>
                    <w:rPr>
                      <w:rFonts w:ascii="Times New Roman" w:hAnsi="Times New Roman" w:eastAsia="宋体"/>
                      <w:iCs/>
                      <w:sz w:val="21"/>
                      <w:szCs w:val="21"/>
                    </w:rPr>
                  </w:pPr>
                  <w:r>
                    <w:rPr>
                      <w:rFonts w:ascii="Times New Roman" w:hAnsi="Times New Roman" w:eastAsia="宋体"/>
                      <w:iCs/>
                      <w:sz w:val="21"/>
                      <w:szCs w:val="21"/>
                    </w:rPr>
                    <w:t>相符</w:t>
                  </w:r>
                </w:p>
              </w:tc>
            </w:tr>
          </w:tbl>
          <w:p w14:paraId="6F7C6BA6">
            <w:pPr>
              <w:autoSpaceDE w:val="0"/>
              <w:autoSpaceDN w:val="0"/>
              <w:adjustRightInd w:val="0"/>
              <w:snapToGrid w:val="0"/>
              <w:spacing w:line="360" w:lineRule="auto"/>
              <w:ind w:firstLine="480" w:firstLineChars="200"/>
              <w:rPr>
                <w:rFonts w:hAnsi="宋体"/>
              </w:rPr>
            </w:pPr>
            <w:r>
              <w:rPr>
                <w:rFonts w:hint="eastAsia" w:hAnsi="宋体"/>
                <w:sz w:val="24"/>
              </w:rPr>
              <w:t>由上表可知，本项目的建设与《中华人民共和国长江保护法》中要求相符</w:t>
            </w:r>
            <w:r>
              <w:rPr>
                <w:rFonts w:hint="eastAsia" w:hAnsi="宋体"/>
              </w:rPr>
              <w:t>。</w:t>
            </w:r>
          </w:p>
          <w:p w14:paraId="4BCD8626">
            <w:pPr>
              <w:autoSpaceDE w:val="0"/>
              <w:autoSpaceDN w:val="0"/>
              <w:adjustRightInd w:val="0"/>
              <w:spacing w:line="360" w:lineRule="auto"/>
              <w:ind w:firstLine="482" w:firstLineChars="200"/>
              <w:rPr>
                <w:rFonts w:hAnsi="宋体"/>
                <w:b/>
                <w:kern w:val="0"/>
                <w:sz w:val="24"/>
              </w:rPr>
            </w:pPr>
            <w:r>
              <w:rPr>
                <w:rFonts w:hint="eastAsia"/>
                <w:b/>
                <w:bCs/>
                <w:sz w:val="24"/>
              </w:rPr>
              <w:t>10</w:t>
            </w:r>
            <w:r>
              <w:rPr>
                <w:rFonts w:hint="eastAsia"/>
                <w:sz w:val="24"/>
              </w:rPr>
              <w:t>、</w:t>
            </w:r>
            <w:r>
              <w:rPr>
                <w:rFonts w:hint="eastAsia" w:hAnsi="宋体"/>
                <w:b/>
                <w:kern w:val="0"/>
                <w:sz w:val="24"/>
              </w:rPr>
              <w:t>与《空气质量持续改善行动计划》（国发〔2023〕24号）相符性</w:t>
            </w:r>
          </w:p>
          <w:p w14:paraId="13F23B6F">
            <w:pPr>
              <w:spacing w:line="360" w:lineRule="auto"/>
              <w:jc w:val="center"/>
              <w:rPr>
                <w:b/>
                <w:sz w:val="24"/>
              </w:rPr>
            </w:pPr>
            <w:r>
              <w:rPr>
                <w:rFonts w:hint="eastAsia"/>
                <w:b/>
                <w:sz w:val="24"/>
              </w:rPr>
              <w:t>表1-11本项目与《空气质量持续改善行动计划》（国发〔2023〕24号）相符性分析</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325"/>
              <w:gridCol w:w="1055"/>
              <w:gridCol w:w="3575"/>
              <w:gridCol w:w="1927"/>
              <w:gridCol w:w="780"/>
            </w:tblGrid>
            <w:tr w14:paraId="790EC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12" w:type="pct"/>
                  <w:vAlign w:val="center"/>
                </w:tcPr>
                <w:p w14:paraId="033716C6">
                  <w:pPr>
                    <w:pStyle w:val="68"/>
                    <w:textAlignment w:val="center"/>
                    <w:rPr>
                      <w:rFonts w:ascii="Times New Roman" w:hAnsi="Times New Roman" w:eastAsia="宋体"/>
                      <w:b/>
                      <w:sz w:val="21"/>
                      <w:szCs w:val="21"/>
                    </w:rPr>
                  </w:pPr>
                  <w:r>
                    <w:rPr>
                      <w:rFonts w:ascii="Times New Roman" w:hAnsi="Times New Roman" w:eastAsia="宋体"/>
                      <w:b/>
                      <w:sz w:val="21"/>
                      <w:szCs w:val="21"/>
                    </w:rPr>
                    <w:t>序号</w:t>
                  </w:r>
                </w:p>
              </w:tc>
              <w:tc>
                <w:tcPr>
                  <w:tcW w:w="688" w:type="pct"/>
                  <w:shd w:val="clear" w:color="auto" w:fill="auto"/>
                  <w:vAlign w:val="center"/>
                </w:tcPr>
                <w:p w14:paraId="492F4539">
                  <w:pPr>
                    <w:pStyle w:val="68"/>
                    <w:textAlignment w:val="center"/>
                    <w:rPr>
                      <w:rFonts w:ascii="Times New Roman" w:hAnsi="Times New Roman" w:eastAsia="宋体"/>
                      <w:b/>
                      <w:sz w:val="21"/>
                      <w:szCs w:val="21"/>
                    </w:rPr>
                  </w:pPr>
                  <w:r>
                    <w:rPr>
                      <w:rFonts w:hint="eastAsia" w:ascii="Times New Roman" w:hAnsi="Times New Roman" w:eastAsia="宋体"/>
                      <w:b/>
                      <w:sz w:val="21"/>
                      <w:szCs w:val="21"/>
                    </w:rPr>
                    <w:t>内容</w:t>
                  </w:r>
                </w:p>
              </w:tc>
              <w:tc>
                <w:tcPr>
                  <w:tcW w:w="2332" w:type="pct"/>
                  <w:shd w:val="clear" w:color="auto" w:fill="auto"/>
                  <w:vAlign w:val="center"/>
                </w:tcPr>
                <w:p w14:paraId="1058B9AD">
                  <w:pPr>
                    <w:pStyle w:val="68"/>
                    <w:textAlignment w:val="center"/>
                    <w:rPr>
                      <w:rFonts w:ascii="Times New Roman" w:hAnsi="Times New Roman" w:eastAsia="宋体"/>
                      <w:b/>
                      <w:sz w:val="21"/>
                      <w:szCs w:val="21"/>
                    </w:rPr>
                  </w:pPr>
                  <w:r>
                    <w:rPr>
                      <w:rFonts w:hint="eastAsia" w:ascii="Times New Roman" w:hAnsi="Times New Roman" w:eastAsia="宋体"/>
                      <w:b/>
                      <w:sz w:val="21"/>
                      <w:szCs w:val="21"/>
                    </w:rPr>
                    <w:t>要求</w:t>
                  </w:r>
                </w:p>
              </w:tc>
              <w:tc>
                <w:tcPr>
                  <w:tcW w:w="1257" w:type="pct"/>
                  <w:shd w:val="clear" w:color="auto" w:fill="auto"/>
                  <w:vAlign w:val="center"/>
                </w:tcPr>
                <w:p w14:paraId="442CFF39">
                  <w:pPr>
                    <w:pStyle w:val="68"/>
                    <w:textAlignment w:val="center"/>
                    <w:rPr>
                      <w:rFonts w:ascii="Times New Roman" w:hAnsi="Times New Roman" w:eastAsia="宋体"/>
                      <w:b/>
                      <w:sz w:val="21"/>
                      <w:szCs w:val="21"/>
                    </w:rPr>
                  </w:pPr>
                  <w:r>
                    <w:rPr>
                      <w:rFonts w:hint="eastAsia" w:ascii="Times New Roman" w:hAnsi="Times New Roman" w:eastAsia="宋体"/>
                      <w:b/>
                      <w:sz w:val="21"/>
                      <w:szCs w:val="21"/>
                    </w:rPr>
                    <w:t>项目情况</w:t>
                  </w:r>
                </w:p>
              </w:tc>
              <w:tc>
                <w:tcPr>
                  <w:tcW w:w="509" w:type="pct"/>
                  <w:vAlign w:val="center"/>
                </w:tcPr>
                <w:p w14:paraId="0701F2A9">
                  <w:pPr>
                    <w:pStyle w:val="68"/>
                    <w:textAlignment w:val="center"/>
                    <w:rPr>
                      <w:rFonts w:ascii="Times New Roman" w:hAnsi="Times New Roman" w:eastAsia="宋体"/>
                      <w:b/>
                      <w:sz w:val="21"/>
                      <w:szCs w:val="21"/>
                    </w:rPr>
                  </w:pPr>
                  <w:r>
                    <w:rPr>
                      <w:rFonts w:ascii="Times New Roman" w:hAnsi="Times New Roman" w:eastAsia="宋体"/>
                      <w:b/>
                      <w:sz w:val="21"/>
                      <w:szCs w:val="21"/>
                    </w:rPr>
                    <w:t>相符性</w:t>
                  </w:r>
                </w:p>
              </w:tc>
            </w:tr>
            <w:tr w14:paraId="4E8FC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12" w:type="pct"/>
                  <w:vAlign w:val="center"/>
                </w:tcPr>
                <w:p w14:paraId="4D7FD7DA">
                  <w:pPr>
                    <w:pStyle w:val="68"/>
                    <w:textAlignment w:val="center"/>
                    <w:rPr>
                      <w:rFonts w:ascii="Times New Roman" w:hAnsi="Times New Roman" w:eastAsia="宋体"/>
                      <w:sz w:val="21"/>
                      <w:szCs w:val="21"/>
                    </w:rPr>
                  </w:pPr>
                  <w:r>
                    <w:rPr>
                      <w:rFonts w:ascii="Times New Roman" w:hAnsi="Times New Roman" w:eastAsia="宋体"/>
                      <w:sz w:val="21"/>
                      <w:szCs w:val="21"/>
                    </w:rPr>
                    <w:t>1</w:t>
                  </w:r>
                </w:p>
              </w:tc>
              <w:tc>
                <w:tcPr>
                  <w:tcW w:w="688" w:type="pct"/>
                  <w:shd w:val="clear" w:color="auto" w:fill="auto"/>
                  <w:vAlign w:val="center"/>
                </w:tcPr>
                <w:p w14:paraId="6A188B59">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坚决遏制</w:t>
                  </w:r>
                </w:p>
                <w:p w14:paraId="6FCC984A">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高耗能、高</w:t>
                  </w:r>
                </w:p>
                <w:p w14:paraId="69998901">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排放、低水</w:t>
                  </w:r>
                </w:p>
                <w:p w14:paraId="750B2F15">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平项目盲</w:t>
                  </w:r>
                </w:p>
                <w:p w14:paraId="3FE919F1">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目上马</w:t>
                  </w:r>
                </w:p>
              </w:tc>
              <w:tc>
                <w:tcPr>
                  <w:tcW w:w="2332" w:type="pct"/>
                  <w:shd w:val="clear" w:color="auto" w:fill="auto"/>
                  <w:vAlign w:val="center"/>
                </w:tcPr>
                <w:p w14:paraId="6404D572">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新改扩建项目严格落实国家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严禁新增钢铁产能。</w:t>
                  </w:r>
                </w:p>
              </w:tc>
              <w:tc>
                <w:tcPr>
                  <w:tcW w:w="1257" w:type="pct"/>
                  <w:shd w:val="clear" w:color="auto" w:fill="auto"/>
                  <w:vAlign w:val="center"/>
                </w:tcPr>
                <w:p w14:paraId="6B55456C">
                  <w:pPr>
                    <w:pStyle w:val="68"/>
                    <w:textAlignment w:val="center"/>
                    <w:rPr>
                      <w:rFonts w:hint="eastAsia" w:ascii="Times New Roman" w:hAnsi="Times New Roman" w:eastAsia="宋体" w:cs="Times New Roman"/>
                      <w:iCs/>
                      <w:sz w:val="21"/>
                      <w:szCs w:val="21"/>
                    </w:rPr>
                  </w:pPr>
                  <w:r>
                    <w:rPr>
                      <w:rFonts w:hint="eastAsia" w:ascii="Times New Roman" w:hAnsi="Times New Roman" w:eastAsia="宋体"/>
                      <w:iCs/>
                      <w:sz w:val="21"/>
                      <w:szCs w:val="21"/>
                    </w:rPr>
                    <w:t>项目符合《安徽芜湖鸠江经济开发区总体发展规划（</w:t>
                  </w:r>
                  <w:r>
                    <w:rPr>
                      <w:rFonts w:hint="eastAsia" w:ascii="Times New Roman" w:hAnsi="Times New Roman" w:eastAsia="宋体" w:cs="Times New Roman"/>
                      <w:iCs/>
                      <w:sz w:val="21"/>
                      <w:szCs w:val="21"/>
                    </w:rPr>
                    <w:t>201</w:t>
                  </w:r>
                  <w:r>
                    <w:rPr>
                      <w:rFonts w:hint="eastAsia" w:ascii="Times New Roman" w:hAnsi="Times New Roman" w:eastAsia="宋体" w:cs="Times New Roman"/>
                      <w:iCs/>
                      <w:sz w:val="21"/>
                      <w:szCs w:val="21"/>
                      <w:lang w:val="en-US" w:eastAsia="zh-CN"/>
                    </w:rPr>
                    <w:t>2</w:t>
                  </w:r>
                  <w:r>
                    <w:rPr>
                      <w:rFonts w:hint="eastAsia" w:ascii="Times New Roman" w:hAnsi="Times New Roman" w:eastAsia="宋体" w:cs="Times New Roman"/>
                      <w:iCs/>
                      <w:sz w:val="21"/>
                      <w:szCs w:val="21"/>
                    </w:rPr>
                    <w:t>-2020）》、</w:t>
                  </w:r>
                </w:p>
                <w:p w14:paraId="099C281E">
                  <w:pPr>
                    <w:pStyle w:val="68"/>
                    <w:textAlignment w:val="center"/>
                    <w:rPr>
                      <w:rFonts w:hint="eastAsia" w:ascii="Times New Roman" w:hAnsi="Times New Roman" w:eastAsia="宋体" w:cs="Times New Roman"/>
                      <w:iCs/>
                      <w:sz w:val="21"/>
                      <w:szCs w:val="21"/>
                    </w:rPr>
                  </w:pPr>
                  <w:r>
                    <w:rPr>
                      <w:rFonts w:hint="eastAsia" w:ascii="Times New Roman" w:hAnsi="Times New Roman" w:eastAsia="宋体" w:cs="Times New Roman"/>
                      <w:iCs/>
                      <w:sz w:val="21"/>
                      <w:szCs w:val="21"/>
                    </w:rPr>
                    <w:t>《安徽芜湖鸠江经济开发区总体发展规划环境影响报告书》等相</w:t>
                  </w:r>
                </w:p>
                <w:p w14:paraId="5022440B">
                  <w:pPr>
                    <w:pStyle w:val="68"/>
                    <w:textAlignment w:val="center"/>
                    <w:rPr>
                      <w:rFonts w:ascii="Times New Roman" w:hAnsi="Times New Roman" w:eastAsia="宋体"/>
                      <w:iCs/>
                      <w:sz w:val="21"/>
                      <w:szCs w:val="21"/>
                    </w:rPr>
                  </w:pPr>
                  <w:r>
                    <w:rPr>
                      <w:rFonts w:hint="eastAsia" w:ascii="Times New Roman" w:hAnsi="Times New Roman" w:eastAsia="宋体" w:cs="Times New Roman"/>
                      <w:iCs/>
                      <w:sz w:val="21"/>
                      <w:szCs w:val="21"/>
                    </w:rPr>
                    <w:t>关要求，本项</w:t>
                  </w:r>
                  <w:r>
                    <w:rPr>
                      <w:rFonts w:hint="eastAsia" w:ascii="Times New Roman" w:hAnsi="Times New Roman" w:eastAsia="宋体"/>
                      <w:iCs/>
                      <w:sz w:val="21"/>
                      <w:szCs w:val="21"/>
                    </w:rPr>
                    <w:t>目目</w:t>
                  </w:r>
                </w:p>
                <w:p w14:paraId="18A1A06D">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前属于环评阶段，</w:t>
                  </w:r>
                </w:p>
                <w:p w14:paraId="7D0F9D6E">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待项目审批完成，</w:t>
                  </w:r>
                </w:p>
                <w:p w14:paraId="21A0FFB3">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按照相关要求建设、投产。</w:t>
                  </w:r>
                </w:p>
              </w:tc>
              <w:tc>
                <w:tcPr>
                  <w:tcW w:w="509" w:type="pct"/>
                  <w:vAlign w:val="center"/>
                </w:tcPr>
                <w:p w14:paraId="26E05ECB">
                  <w:pPr>
                    <w:pStyle w:val="68"/>
                    <w:textAlignment w:val="center"/>
                    <w:rPr>
                      <w:rFonts w:ascii="Times New Roman" w:hAnsi="Times New Roman" w:eastAsia="宋体"/>
                      <w:iCs/>
                      <w:sz w:val="21"/>
                      <w:szCs w:val="21"/>
                    </w:rPr>
                  </w:pPr>
                  <w:r>
                    <w:rPr>
                      <w:rFonts w:ascii="Times New Roman" w:hAnsi="Times New Roman" w:eastAsia="宋体"/>
                      <w:iCs/>
                      <w:sz w:val="21"/>
                      <w:szCs w:val="21"/>
                    </w:rPr>
                    <w:t>相符</w:t>
                  </w:r>
                </w:p>
              </w:tc>
            </w:tr>
            <w:tr w14:paraId="10FCDE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12" w:type="pct"/>
                  <w:vAlign w:val="center"/>
                </w:tcPr>
                <w:p w14:paraId="515B097A">
                  <w:pPr>
                    <w:pStyle w:val="68"/>
                    <w:textAlignment w:val="center"/>
                    <w:rPr>
                      <w:rFonts w:ascii="Times New Roman" w:hAnsi="Times New Roman" w:eastAsia="宋体"/>
                      <w:sz w:val="21"/>
                      <w:szCs w:val="21"/>
                    </w:rPr>
                  </w:pPr>
                  <w:r>
                    <w:rPr>
                      <w:rFonts w:ascii="Times New Roman" w:hAnsi="Times New Roman" w:eastAsia="宋体"/>
                      <w:sz w:val="21"/>
                      <w:szCs w:val="21"/>
                    </w:rPr>
                    <w:t>2</w:t>
                  </w:r>
                </w:p>
              </w:tc>
              <w:tc>
                <w:tcPr>
                  <w:tcW w:w="688" w:type="pct"/>
                  <w:shd w:val="clear" w:color="auto" w:fill="auto"/>
                  <w:vAlign w:val="center"/>
                </w:tcPr>
                <w:p w14:paraId="15B81224">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推动绿色</w:t>
                  </w:r>
                </w:p>
                <w:p w14:paraId="69F24F33">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环保产业</w:t>
                  </w:r>
                </w:p>
                <w:p w14:paraId="6D0C1004">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健康发展</w:t>
                  </w:r>
                </w:p>
              </w:tc>
              <w:tc>
                <w:tcPr>
                  <w:tcW w:w="2332" w:type="pct"/>
                  <w:shd w:val="clear" w:color="auto" w:fill="auto"/>
                  <w:vAlign w:val="center"/>
                </w:tcPr>
                <w:p w14:paraId="030D7A5A">
                  <w:pPr>
                    <w:pStyle w:val="68"/>
                    <w:jc w:val="left"/>
                    <w:textAlignment w:val="center"/>
                    <w:rPr>
                      <w:rFonts w:ascii="Times New Roman" w:hAnsi="Times New Roman" w:eastAsia="宋体"/>
                      <w:iCs/>
                      <w:sz w:val="21"/>
                      <w:szCs w:val="21"/>
                    </w:rPr>
                  </w:pPr>
                  <w:r>
                    <w:rPr>
                      <w:rFonts w:hint="eastAsia" w:ascii="Times New Roman" w:hAnsi="Times New Roman" w:eastAsia="宋体"/>
                      <w:iCs/>
                      <w:sz w:val="21"/>
                      <w:szCs w:val="21"/>
                    </w:rPr>
                    <w:t>加大政策支持力度，在低（无）VOCs含量原辅材料生产和使用、VOCs污染治理、超低排放、环境和大气成分监测等领域支持培育一批龙头企业。</w:t>
                  </w:r>
                </w:p>
              </w:tc>
              <w:tc>
                <w:tcPr>
                  <w:tcW w:w="1257" w:type="pct"/>
                  <w:shd w:val="clear" w:color="auto" w:fill="auto"/>
                  <w:vAlign w:val="center"/>
                </w:tcPr>
                <w:p w14:paraId="3214D160">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项目原辅材料为</w:t>
                  </w:r>
                </w:p>
                <w:p w14:paraId="5255AE57">
                  <w:pPr>
                    <w:pStyle w:val="68"/>
                    <w:textAlignment w:val="center"/>
                    <w:rPr>
                      <w:rFonts w:ascii="Times New Roman" w:hAnsi="Times New Roman" w:eastAsia="宋体"/>
                      <w:iCs/>
                      <w:sz w:val="21"/>
                      <w:szCs w:val="21"/>
                    </w:rPr>
                  </w:pPr>
                  <w:r>
                    <w:rPr>
                      <w:rFonts w:hint="eastAsia" w:ascii="Times New Roman" w:hAnsi="Times New Roman" w:eastAsia="宋体"/>
                      <w:sz w:val="21"/>
                      <w:szCs w:val="21"/>
                      <w:lang w:val="en-US" w:eastAsia="zh-CN"/>
                    </w:rPr>
                    <w:t>PVC、PU</w:t>
                  </w:r>
                  <w:r>
                    <w:rPr>
                      <w:rFonts w:hint="eastAsia" w:ascii="Times New Roman" w:hAnsi="Times New Roman" w:eastAsia="宋体"/>
                      <w:iCs/>
                      <w:sz w:val="21"/>
                      <w:szCs w:val="21"/>
                    </w:rPr>
                    <w:t>等粒子，均为固态，常温下不涉及VOCs的产生。</w:t>
                  </w:r>
                  <w:r>
                    <w:rPr>
                      <w:rFonts w:hint="eastAsia" w:ascii="Times New Roman" w:hAnsi="Times New Roman" w:eastAsia="宋体"/>
                      <w:iCs/>
                      <w:sz w:val="21"/>
                      <w:szCs w:val="21"/>
                      <w:lang w:val="en-US" w:eastAsia="zh-CN"/>
                    </w:rPr>
                    <w:t>生产过程中</w:t>
                  </w:r>
                  <w:r>
                    <w:rPr>
                      <w:rFonts w:hint="eastAsia" w:ascii="Times New Roman" w:hAnsi="Times New Roman" w:eastAsia="宋体"/>
                      <w:iCs/>
                      <w:sz w:val="21"/>
                      <w:szCs w:val="21"/>
                    </w:rPr>
                    <w:t>会</w:t>
                  </w:r>
                </w:p>
                <w:p w14:paraId="3718465B">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产生少量的VOCs，</w:t>
                  </w:r>
                </w:p>
                <w:p w14:paraId="3E17405D">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采用集气二级活性</w:t>
                  </w:r>
                </w:p>
                <w:p w14:paraId="46045BBC">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炭吸附装置处理后</w:t>
                  </w:r>
                </w:p>
                <w:p w14:paraId="4604AD6B">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经15米高排气筒排</w:t>
                  </w:r>
                </w:p>
                <w:p w14:paraId="52B01E3A">
                  <w:pPr>
                    <w:pStyle w:val="68"/>
                    <w:textAlignment w:val="center"/>
                    <w:rPr>
                      <w:rFonts w:ascii="Times New Roman" w:hAnsi="Times New Roman" w:eastAsia="宋体"/>
                      <w:iCs/>
                      <w:sz w:val="21"/>
                      <w:szCs w:val="21"/>
                    </w:rPr>
                  </w:pPr>
                  <w:r>
                    <w:rPr>
                      <w:rFonts w:hint="eastAsia" w:ascii="Times New Roman" w:hAnsi="Times New Roman" w:eastAsia="宋体"/>
                      <w:iCs/>
                      <w:sz w:val="21"/>
                      <w:szCs w:val="21"/>
                    </w:rPr>
                    <w:t>放。</w:t>
                  </w:r>
                </w:p>
              </w:tc>
              <w:tc>
                <w:tcPr>
                  <w:tcW w:w="509" w:type="pct"/>
                  <w:vAlign w:val="center"/>
                </w:tcPr>
                <w:p w14:paraId="0268AE8D">
                  <w:pPr>
                    <w:pStyle w:val="68"/>
                    <w:textAlignment w:val="center"/>
                    <w:rPr>
                      <w:rFonts w:ascii="Times New Roman" w:hAnsi="Times New Roman" w:eastAsia="宋体"/>
                      <w:iCs/>
                      <w:sz w:val="21"/>
                      <w:szCs w:val="21"/>
                    </w:rPr>
                  </w:pPr>
                  <w:r>
                    <w:rPr>
                      <w:rFonts w:ascii="Times New Roman" w:hAnsi="Times New Roman" w:eastAsia="宋体"/>
                      <w:iCs/>
                      <w:sz w:val="21"/>
                      <w:szCs w:val="21"/>
                    </w:rPr>
                    <w:t>相符</w:t>
                  </w:r>
                </w:p>
              </w:tc>
            </w:tr>
          </w:tbl>
          <w:p w14:paraId="3A1F27A1">
            <w:pPr>
              <w:spacing w:line="360" w:lineRule="auto"/>
              <w:rPr>
                <w:b/>
                <w:sz w:val="24"/>
              </w:rPr>
            </w:pPr>
          </w:p>
          <w:p w14:paraId="653A2F44">
            <w:pPr>
              <w:numPr>
                <w:ilvl w:val="0"/>
                <w:numId w:val="5"/>
              </w:numPr>
              <w:spacing w:line="360" w:lineRule="auto"/>
              <w:ind w:firstLine="482" w:firstLineChars="200"/>
              <w:rPr>
                <w:b/>
                <w:sz w:val="24"/>
              </w:rPr>
            </w:pPr>
            <w:r>
              <w:rPr>
                <w:rFonts w:hint="eastAsia"/>
                <w:b/>
                <w:sz w:val="24"/>
              </w:rPr>
              <w:t>与《挥发性有机物无组织排放控制标准》（GB37822-2019）相符性分析</w:t>
            </w:r>
          </w:p>
          <w:p w14:paraId="19142D14">
            <w:pPr>
              <w:spacing w:line="360" w:lineRule="auto"/>
              <w:ind w:firstLine="480" w:firstLineChars="200"/>
              <w:rPr>
                <w:bCs/>
                <w:sz w:val="24"/>
              </w:rPr>
            </w:pPr>
            <w:r>
              <w:rPr>
                <w:rFonts w:hint="eastAsia"/>
                <w:bCs/>
                <w:sz w:val="24"/>
              </w:rPr>
              <w:t>本项目不涉及挥发性有机物液体储罐、液体装载，不涉及挥发性有机物物料的化工生产过程及设备与管线组件 VOCs 泄漏，本次评价对含 VOCs 产品的使用过程、VOCs 无组织排放废气收集处理系统的相符性进行分析</w:t>
            </w:r>
          </w:p>
          <w:p w14:paraId="572174DD">
            <w:pPr>
              <w:autoSpaceDE w:val="0"/>
              <w:autoSpaceDN w:val="0"/>
              <w:adjustRightInd w:val="0"/>
              <w:snapToGrid w:val="0"/>
              <w:spacing w:line="360" w:lineRule="auto"/>
              <w:ind w:firstLine="482" w:firstLineChars="200"/>
              <w:rPr>
                <w:b/>
                <w:sz w:val="24"/>
              </w:rPr>
            </w:pPr>
            <w:r>
              <w:rPr>
                <w:rFonts w:hint="eastAsia"/>
                <w:b/>
                <w:sz w:val="24"/>
              </w:rPr>
              <w:t>表1-</w:t>
            </w:r>
            <w:r>
              <w:rPr>
                <w:b/>
                <w:sz w:val="24"/>
              </w:rPr>
              <w:t>1</w:t>
            </w:r>
            <w:r>
              <w:rPr>
                <w:rFonts w:hint="eastAsia"/>
                <w:b/>
                <w:sz w:val="24"/>
              </w:rPr>
              <w:t>2 与《挥发性有机物无组织排放控制标准》相符性分析</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047"/>
              <w:gridCol w:w="2687"/>
              <w:gridCol w:w="931"/>
            </w:tblGrid>
            <w:tr w14:paraId="29EC0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5B69F41A">
                  <w:pPr>
                    <w:jc w:val="center"/>
                    <w:rPr>
                      <w:b/>
                      <w:szCs w:val="21"/>
                    </w:rPr>
                  </w:pPr>
                  <w:r>
                    <w:rPr>
                      <w:b/>
                      <w:szCs w:val="21"/>
                    </w:rPr>
                    <w:t>文件内容</w:t>
                  </w:r>
                </w:p>
              </w:tc>
              <w:tc>
                <w:tcPr>
                  <w:tcW w:w="1752" w:type="pct"/>
                  <w:vAlign w:val="center"/>
                </w:tcPr>
                <w:p w14:paraId="18A9B40B">
                  <w:pPr>
                    <w:jc w:val="center"/>
                    <w:rPr>
                      <w:b/>
                      <w:szCs w:val="21"/>
                    </w:rPr>
                  </w:pPr>
                  <w:r>
                    <w:rPr>
                      <w:b/>
                      <w:szCs w:val="21"/>
                    </w:rPr>
                    <w:t>本项目建设情况</w:t>
                  </w:r>
                </w:p>
              </w:tc>
              <w:tc>
                <w:tcPr>
                  <w:tcW w:w="607" w:type="pct"/>
                  <w:vAlign w:val="center"/>
                </w:tcPr>
                <w:p w14:paraId="63651CF7">
                  <w:pPr>
                    <w:jc w:val="center"/>
                    <w:rPr>
                      <w:b/>
                      <w:szCs w:val="21"/>
                    </w:rPr>
                  </w:pPr>
                  <w:r>
                    <w:rPr>
                      <w:b/>
                      <w:szCs w:val="21"/>
                    </w:rPr>
                    <w:t>相符性</w:t>
                  </w:r>
                </w:p>
              </w:tc>
            </w:tr>
            <w:tr w14:paraId="3ACAF0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24E9DA57">
                  <w:pPr>
                    <w:pStyle w:val="10"/>
                    <w:jc w:val="center"/>
                    <w:rPr>
                      <w:sz w:val="21"/>
                      <w:szCs w:val="21"/>
                    </w:rPr>
                  </w:pPr>
                  <w:r>
                    <w:rPr>
                      <w:rFonts w:hint="eastAsia"/>
                      <w:sz w:val="21"/>
                      <w:szCs w:val="21"/>
                    </w:rPr>
                    <w:t>有机聚合物产品用于制品生产的过程，在混合/混炼、塑炼/塑化/熔化、加工成型（挤出、注射、压制、压延、发泡、纺丝等）等作业中应采用密闭设备或在密闭空间内操作，废气应排至 VOCs 废气收集处理系统：无法密闭的，应采取局部气体收集措施，废气应排至VOCs 废气收集处理系统。</w:t>
                  </w:r>
                </w:p>
              </w:tc>
              <w:tc>
                <w:tcPr>
                  <w:tcW w:w="1752" w:type="pct"/>
                  <w:vAlign w:val="center"/>
                </w:tcPr>
                <w:p w14:paraId="0C38DDE3">
                  <w:pPr>
                    <w:jc w:val="center"/>
                    <w:rPr>
                      <w:szCs w:val="21"/>
                    </w:rPr>
                  </w:pPr>
                  <w:r>
                    <w:rPr>
                      <w:rFonts w:hint="eastAsia"/>
                      <w:szCs w:val="21"/>
                    </w:rPr>
                    <w:t>本项目涉及VOCs原辅材</w:t>
                  </w:r>
                </w:p>
                <w:p w14:paraId="1A685444">
                  <w:pPr>
                    <w:jc w:val="center"/>
                    <w:rPr>
                      <w:szCs w:val="21"/>
                    </w:rPr>
                  </w:pPr>
                  <w:r>
                    <w:rPr>
                      <w:rFonts w:hint="eastAsia"/>
                      <w:szCs w:val="21"/>
                    </w:rPr>
                    <w:t>料为塑料粒子，塑料粒子主 要成分为树脂，常温下不产生废气，</w:t>
                  </w:r>
                  <w:r>
                    <w:rPr>
                      <w:rFonts w:hint="eastAsia"/>
                      <w:szCs w:val="21"/>
                      <w:lang w:eastAsia="zh-CN"/>
                    </w:rPr>
                    <w:t>吸塑</w:t>
                  </w:r>
                  <w:r>
                    <w:rPr>
                      <w:rFonts w:hint="eastAsia"/>
                      <w:szCs w:val="21"/>
                    </w:rPr>
                    <w:t>过程温度在</w:t>
                  </w:r>
                </w:p>
                <w:p w14:paraId="4FCC45AA">
                  <w:pPr>
                    <w:jc w:val="center"/>
                    <w:rPr>
                      <w:szCs w:val="21"/>
                    </w:rPr>
                  </w:pPr>
                  <w:r>
                    <w:rPr>
                      <w:rFonts w:hint="eastAsia"/>
                      <w:szCs w:val="21"/>
                    </w:rPr>
                    <w:t>200-260℃产生的有机废气收集后经“二级活性炭吸附”装置处理后高空排放</w:t>
                  </w:r>
                </w:p>
              </w:tc>
              <w:tc>
                <w:tcPr>
                  <w:tcW w:w="607" w:type="pct"/>
                  <w:vAlign w:val="center"/>
                </w:tcPr>
                <w:p w14:paraId="42D08AAC">
                  <w:pPr>
                    <w:jc w:val="center"/>
                    <w:rPr>
                      <w:szCs w:val="21"/>
                    </w:rPr>
                  </w:pPr>
                  <w:r>
                    <w:rPr>
                      <w:szCs w:val="21"/>
                    </w:rPr>
                    <w:t>相符</w:t>
                  </w:r>
                </w:p>
              </w:tc>
            </w:tr>
            <w:tr w14:paraId="01A5F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26596621">
                  <w:pPr>
                    <w:pStyle w:val="10"/>
                    <w:jc w:val="center"/>
                    <w:rPr>
                      <w:sz w:val="21"/>
                      <w:szCs w:val="21"/>
                    </w:rPr>
                  </w:pPr>
                  <w:r>
                    <w:rPr>
                      <w:rFonts w:hint="eastAsia"/>
                      <w:sz w:val="21"/>
                      <w:szCs w:val="21"/>
                    </w:rPr>
                    <w:t>企业应建立台账，记录含 VOCs原辅材料和含 VOCs 产品的名称、使用量、回收量、废弃量、去向以及 VOCs 含量等信息。台账保存期限不少于 3 年</w:t>
                  </w:r>
                </w:p>
              </w:tc>
              <w:tc>
                <w:tcPr>
                  <w:tcW w:w="1752" w:type="pct"/>
                  <w:vAlign w:val="center"/>
                </w:tcPr>
                <w:p w14:paraId="1B489CD6">
                  <w:pPr>
                    <w:jc w:val="center"/>
                    <w:rPr>
                      <w:szCs w:val="21"/>
                    </w:rPr>
                  </w:pPr>
                  <w:r>
                    <w:rPr>
                      <w:rFonts w:hint="eastAsia"/>
                      <w:szCs w:val="21"/>
                    </w:rPr>
                    <w:t>企业在营运期建立相关</w:t>
                  </w:r>
                </w:p>
                <w:p w14:paraId="4DB1B01D">
                  <w:pPr>
                    <w:jc w:val="center"/>
                    <w:rPr>
                      <w:szCs w:val="21"/>
                    </w:rPr>
                  </w:pPr>
                  <w:r>
                    <w:rPr>
                      <w:rFonts w:hint="eastAsia"/>
                      <w:szCs w:val="21"/>
                    </w:rPr>
                    <w:t>的 VOCs 原料使用台账，</w:t>
                  </w:r>
                </w:p>
                <w:p w14:paraId="4BD2690F">
                  <w:pPr>
                    <w:jc w:val="center"/>
                    <w:rPr>
                      <w:szCs w:val="21"/>
                    </w:rPr>
                  </w:pPr>
                  <w:r>
                    <w:rPr>
                      <w:rFonts w:hint="eastAsia"/>
                      <w:szCs w:val="21"/>
                    </w:rPr>
                    <w:t>详细记录其名称、使用量</w:t>
                  </w:r>
                </w:p>
                <w:p w14:paraId="38781F9D">
                  <w:pPr>
                    <w:jc w:val="center"/>
                    <w:rPr>
                      <w:szCs w:val="21"/>
                    </w:rPr>
                  </w:pPr>
                  <w:r>
                    <w:rPr>
                      <w:rFonts w:hint="eastAsia"/>
                      <w:szCs w:val="21"/>
                    </w:rPr>
                    <w:t>等相关信息，并保存 3 年</w:t>
                  </w:r>
                </w:p>
                <w:p w14:paraId="2BCCF737">
                  <w:pPr>
                    <w:jc w:val="center"/>
                    <w:rPr>
                      <w:szCs w:val="21"/>
                    </w:rPr>
                  </w:pPr>
                  <w:r>
                    <w:rPr>
                      <w:rFonts w:hint="eastAsia"/>
                      <w:szCs w:val="21"/>
                    </w:rPr>
                    <w:t>以上。</w:t>
                  </w:r>
                </w:p>
              </w:tc>
              <w:tc>
                <w:tcPr>
                  <w:tcW w:w="607" w:type="pct"/>
                  <w:vAlign w:val="center"/>
                </w:tcPr>
                <w:p w14:paraId="4B61DC16">
                  <w:pPr>
                    <w:jc w:val="center"/>
                    <w:rPr>
                      <w:szCs w:val="21"/>
                    </w:rPr>
                  </w:pPr>
                  <w:r>
                    <w:rPr>
                      <w:szCs w:val="21"/>
                    </w:rPr>
                    <w:t>相符</w:t>
                  </w:r>
                </w:p>
              </w:tc>
            </w:tr>
            <w:tr w14:paraId="463CC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3655CDE0">
                  <w:pPr>
                    <w:pStyle w:val="10"/>
                    <w:jc w:val="center"/>
                    <w:rPr>
                      <w:sz w:val="21"/>
                      <w:szCs w:val="21"/>
                    </w:rPr>
                  </w:pPr>
                  <w:r>
                    <w:rPr>
                      <w:rFonts w:hint="eastAsia"/>
                      <w:sz w:val="21"/>
                      <w:szCs w:val="21"/>
                    </w:rPr>
                    <w:t>通风生产设备、操作工位、车间厂房等应在符合安全生产、职业卫生相关规定的前提下，根据行业作业规程和标准、工业建筑及洁净厂房通风设计规范等的要求，采用合理的通风量。</w:t>
                  </w:r>
                </w:p>
              </w:tc>
              <w:tc>
                <w:tcPr>
                  <w:tcW w:w="1752" w:type="pct"/>
                  <w:vAlign w:val="center"/>
                </w:tcPr>
                <w:p w14:paraId="41CAF2B8">
                  <w:pPr>
                    <w:jc w:val="center"/>
                    <w:rPr>
                      <w:szCs w:val="21"/>
                    </w:rPr>
                  </w:pPr>
                  <w:r>
                    <w:rPr>
                      <w:rFonts w:hint="eastAsia"/>
                      <w:szCs w:val="21"/>
                    </w:rPr>
                    <w:t>车间、工位等符合相关安</w:t>
                  </w:r>
                </w:p>
                <w:p w14:paraId="12B9A030">
                  <w:pPr>
                    <w:jc w:val="center"/>
                    <w:rPr>
                      <w:szCs w:val="21"/>
                    </w:rPr>
                  </w:pPr>
                  <w:r>
                    <w:rPr>
                      <w:rFonts w:hint="eastAsia"/>
                      <w:szCs w:val="21"/>
                    </w:rPr>
                    <w:t>全生产、职业卫生等条</w:t>
                  </w:r>
                </w:p>
                <w:p w14:paraId="27E3D181">
                  <w:pPr>
                    <w:jc w:val="center"/>
                    <w:rPr>
                      <w:szCs w:val="21"/>
                    </w:rPr>
                  </w:pPr>
                  <w:r>
                    <w:rPr>
                      <w:rFonts w:hint="eastAsia"/>
                      <w:szCs w:val="21"/>
                    </w:rPr>
                    <w:t>件，厂房采用车窗、排风</w:t>
                  </w:r>
                </w:p>
                <w:p w14:paraId="1A31E3B4">
                  <w:pPr>
                    <w:jc w:val="center"/>
                    <w:rPr>
                      <w:szCs w:val="21"/>
                    </w:rPr>
                  </w:pPr>
                  <w:r>
                    <w:rPr>
                      <w:rFonts w:hint="eastAsia"/>
                      <w:szCs w:val="21"/>
                    </w:rPr>
                    <w:t>扇进行通风</w:t>
                  </w:r>
                </w:p>
              </w:tc>
              <w:tc>
                <w:tcPr>
                  <w:tcW w:w="607" w:type="pct"/>
                  <w:vAlign w:val="center"/>
                </w:tcPr>
                <w:p w14:paraId="3CBFF94B">
                  <w:pPr>
                    <w:jc w:val="center"/>
                    <w:rPr>
                      <w:szCs w:val="21"/>
                    </w:rPr>
                  </w:pPr>
                  <w:r>
                    <w:rPr>
                      <w:szCs w:val="21"/>
                    </w:rPr>
                    <w:t>相符</w:t>
                  </w:r>
                </w:p>
              </w:tc>
            </w:tr>
            <w:tr w14:paraId="27A891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21096BE9">
                  <w:pPr>
                    <w:widowControl/>
                    <w:jc w:val="center"/>
                    <w:rPr>
                      <w:kern w:val="0"/>
                      <w:szCs w:val="21"/>
                    </w:rPr>
                  </w:pPr>
                  <w:r>
                    <w:rPr>
                      <w:rFonts w:hint="eastAsia"/>
                      <w:kern w:val="0"/>
                      <w:szCs w:val="21"/>
                    </w:rPr>
                    <w:t>VOCs 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1752" w:type="pct"/>
                  <w:vAlign w:val="center"/>
                </w:tcPr>
                <w:p w14:paraId="5D16F3D5">
                  <w:pPr>
                    <w:jc w:val="center"/>
                    <w:rPr>
                      <w:szCs w:val="21"/>
                    </w:rPr>
                  </w:pPr>
                  <w:r>
                    <w:rPr>
                      <w:rFonts w:hint="eastAsia"/>
                      <w:szCs w:val="21"/>
                    </w:rPr>
                    <w:t>项目营运期废气收集设</w:t>
                  </w:r>
                </w:p>
                <w:p w14:paraId="6F833577">
                  <w:pPr>
                    <w:jc w:val="center"/>
                    <w:rPr>
                      <w:szCs w:val="21"/>
                    </w:rPr>
                  </w:pPr>
                  <w:r>
                    <w:rPr>
                      <w:rFonts w:hint="eastAsia"/>
                      <w:szCs w:val="21"/>
                    </w:rPr>
                    <w:t>施在生产前提前开启，生</w:t>
                  </w:r>
                </w:p>
                <w:p w14:paraId="6CAD3584">
                  <w:pPr>
                    <w:jc w:val="center"/>
                    <w:rPr>
                      <w:szCs w:val="21"/>
                    </w:rPr>
                  </w:pPr>
                  <w:r>
                    <w:rPr>
                      <w:rFonts w:hint="eastAsia"/>
                      <w:szCs w:val="21"/>
                    </w:rPr>
                    <w:t>产停止后，运行一段时间</w:t>
                  </w:r>
                </w:p>
                <w:p w14:paraId="7F6EFF4E">
                  <w:pPr>
                    <w:jc w:val="center"/>
                    <w:rPr>
                      <w:szCs w:val="21"/>
                    </w:rPr>
                  </w:pPr>
                  <w:r>
                    <w:rPr>
                      <w:rFonts w:hint="eastAsia"/>
                      <w:szCs w:val="21"/>
                    </w:rPr>
                    <w:t>后再行关闭；当废气收集</w:t>
                  </w:r>
                </w:p>
                <w:p w14:paraId="57AB3399">
                  <w:pPr>
                    <w:jc w:val="center"/>
                    <w:rPr>
                      <w:szCs w:val="21"/>
                    </w:rPr>
                  </w:pPr>
                  <w:r>
                    <w:rPr>
                      <w:rFonts w:hint="eastAsia"/>
                      <w:szCs w:val="21"/>
                    </w:rPr>
                    <w:t>设施发生故障时，应及时</w:t>
                  </w:r>
                </w:p>
                <w:p w14:paraId="06670CC8">
                  <w:pPr>
                    <w:jc w:val="center"/>
                    <w:rPr>
                      <w:szCs w:val="21"/>
                    </w:rPr>
                  </w:pPr>
                  <w:r>
                    <w:rPr>
                      <w:rFonts w:hint="eastAsia"/>
                      <w:szCs w:val="21"/>
                    </w:rPr>
                    <w:t>停止生产</w:t>
                  </w:r>
                </w:p>
              </w:tc>
              <w:tc>
                <w:tcPr>
                  <w:tcW w:w="607" w:type="pct"/>
                  <w:vAlign w:val="center"/>
                </w:tcPr>
                <w:p w14:paraId="3E69B4CC">
                  <w:pPr>
                    <w:jc w:val="center"/>
                    <w:rPr>
                      <w:szCs w:val="21"/>
                    </w:rPr>
                  </w:pPr>
                  <w:r>
                    <w:rPr>
                      <w:szCs w:val="21"/>
                    </w:rPr>
                    <w:t>相符</w:t>
                  </w:r>
                </w:p>
              </w:tc>
            </w:tr>
            <w:tr w14:paraId="0F032C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51E9B88D">
                  <w:pPr>
                    <w:widowControl/>
                    <w:jc w:val="center"/>
                    <w:rPr>
                      <w:kern w:val="0"/>
                      <w:szCs w:val="21"/>
                    </w:rPr>
                  </w:pPr>
                  <w:r>
                    <w:rPr>
                      <w:rFonts w:hint="eastAsia"/>
                      <w:kern w:val="0"/>
                      <w:szCs w:val="21"/>
                    </w:rPr>
                    <w:t>废气收集系统排风罩（集气罩）的设置应符合 GB/T16758 的规定。采用外部排风罩的，应按GB/T16758、AQ/T4274-2016 规定的方法测量控制风速，测量点应选取在距排风罩开口面最远处的 VOCs 无组织排放位置，控制风速不低于 0.3m/s。</w:t>
                  </w:r>
                </w:p>
              </w:tc>
              <w:tc>
                <w:tcPr>
                  <w:tcW w:w="1752" w:type="pct"/>
                  <w:vAlign w:val="center"/>
                </w:tcPr>
                <w:p w14:paraId="2AACB7E0">
                  <w:pPr>
                    <w:jc w:val="center"/>
                    <w:rPr>
                      <w:rFonts w:hint="eastAsia" w:eastAsia="宋体"/>
                      <w:szCs w:val="21"/>
                      <w:lang w:eastAsia="zh-CN"/>
                    </w:rPr>
                  </w:pPr>
                  <w:r>
                    <w:rPr>
                      <w:rFonts w:hint="eastAsia"/>
                      <w:szCs w:val="21"/>
                    </w:rPr>
                    <w:t>项目集气罩</w:t>
                  </w:r>
                  <w:r>
                    <w:rPr>
                      <w:rFonts w:hint="eastAsia"/>
                      <w:szCs w:val="21"/>
                      <w:lang w:val="en-US" w:eastAsia="zh-CN"/>
                    </w:rPr>
                    <w:t>采用</w:t>
                  </w:r>
                  <w:r>
                    <w:rPr>
                      <w:rFonts w:hint="eastAsia"/>
                      <w:kern w:val="0"/>
                      <w:szCs w:val="21"/>
                    </w:rPr>
                    <w:t>外部排风罩</w:t>
                  </w:r>
                  <w:r>
                    <w:rPr>
                      <w:rFonts w:hint="eastAsia"/>
                      <w:kern w:val="0"/>
                      <w:szCs w:val="21"/>
                      <w:lang w:eastAsia="zh-CN"/>
                    </w:rPr>
                    <w:t>，</w:t>
                  </w:r>
                  <w:r>
                    <w:rPr>
                      <w:rFonts w:hint="eastAsia"/>
                      <w:kern w:val="0"/>
                      <w:szCs w:val="21"/>
                    </w:rPr>
                    <w:t>符合GB/T16758 的规定</w:t>
                  </w:r>
                </w:p>
              </w:tc>
              <w:tc>
                <w:tcPr>
                  <w:tcW w:w="607" w:type="pct"/>
                  <w:vAlign w:val="center"/>
                </w:tcPr>
                <w:p w14:paraId="22877F3B">
                  <w:pPr>
                    <w:jc w:val="center"/>
                    <w:rPr>
                      <w:szCs w:val="21"/>
                    </w:rPr>
                  </w:pPr>
                  <w:r>
                    <w:rPr>
                      <w:szCs w:val="21"/>
                    </w:rPr>
                    <w:t>相符</w:t>
                  </w:r>
                </w:p>
              </w:tc>
            </w:tr>
            <w:tr w14:paraId="09CE48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197BD2F2">
                  <w:pPr>
                    <w:pStyle w:val="10"/>
                    <w:rPr>
                      <w:sz w:val="21"/>
                      <w:szCs w:val="21"/>
                    </w:rPr>
                  </w:pPr>
                  <w:r>
                    <w:rPr>
                      <w:rFonts w:hint="eastAsia"/>
                      <w:sz w:val="21"/>
                      <w:szCs w:val="21"/>
                    </w:rPr>
                    <w:t>收集的废气中 NMHC 初始排放速率≥3kg/h 时，应配置 VOCs处理设施，处理效率不应低于80%；对于重点地区，收集的废气 中 NMHC 初 始 排 放 速 率≥2kg/h 时，应配置 VOCs 处理设施，处理效率不应低于 80%；采用的原辅材料符合国家有关低 VOCs 含量产品规定的除外。</w:t>
                  </w:r>
                </w:p>
              </w:tc>
              <w:tc>
                <w:tcPr>
                  <w:tcW w:w="1752" w:type="pct"/>
                  <w:vAlign w:val="center"/>
                </w:tcPr>
                <w:p w14:paraId="4BE9C9C6">
                  <w:pPr>
                    <w:jc w:val="center"/>
                    <w:rPr>
                      <w:szCs w:val="21"/>
                    </w:rPr>
                  </w:pPr>
                  <w:r>
                    <w:rPr>
                      <w:rFonts w:hint="eastAsia"/>
                      <w:szCs w:val="21"/>
                    </w:rPr>
                    <w:t>项目配置了“集气罩+二级活性炭吸附装置+15m 排气筒（DA001）”的方式处理。废气收集效率 90%，废气处理效率为 90%，能够达到好的治理效果。</w:t>
                  </w:r>
                </w:p>
              </w:tc>
              <w:tc>
                <w:tcPr>
                  <w:tcW w:w="607" w:type="pct"/>
                  <w:vAlign w:val="center"/>
                </w:tcPr>
                <w:p w14:paraId="7483F0EB">
                  <w:pPr>
                    <w:jc w:val="center"/>
                    <w:rPr>
                      <w:szCs w:val="21"/>
                    </w:rPr>
                  </w:pPr>
                  <w:r>
                    <w:rPr>
                      <w:szCs w:val="21"/>
                    </w:rPr>
                    <w:t>相符</w:t>
                  </w:r>
                </w:p>
              </w:tc>
            </w:tr>
            <w:tr w14:paraId="76805E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pct"/>
                  <w:vAlign w:val="center"/>
                </w:tcPr>
                <w:p w14:paraId="47867F1E">
                  <w:pPr>
                    <w:widowControl/>
                    <w:jc w:val="center"/>
                    <w:rPr>
                      <w:kern w:val="0"/>
                      <w:szCs w:val="21"/>
                    </w:rPr>
                  </w:pPr>
                  <w:r>
                    <w:rPr>
                      <w:rFonts w:hint="eastAsia"/>
                      <w:kern w:val="0"/>
                      <w:szCs w:val="21"/>
                    </w:rPr>
                    <w:t>排气筒高度不低于 15m（因安全考虑或有特殊工艺要求的除外），具体高度以及与周围建筑物的相对高度关系根据环境影响评价文件确定。</w:t>
                  </w:r>
                </w:p>
              </w:tc>
              <w:tc>
                <w:tcPr>
                  <w:tcW w:w="1752" w:type="pct"/>
                  <w:vAlign w:val="center"/>
                </w:tcPr>
                <w:p w14:paraId="0BFB85B5">
                  <w:pPr>
                    <w:jc w:val="center"/>
                    <w:rPr>
                      <w:szCs w:val="21"/>
                    </w:rPr>
                  </w:pPr>
                  <w:r>
                    <w:rPr>
                      <w:rFonts w:hint="eastAsia"/>
                      <w:szCs w:val="21"/>
                    </w:rPr>
                    <w:t>项目废气排气筒高度设</w:t>
                  </w:r>
                </w:p>
                <w:p w14:paraId="7C58836D">
                  <w:pPr>
                    <w:jc w:val="center"/>
                    <w:rPr>
                      <w:szCs w:val="21"/>
                    </w:rPr>
                  </w:pPr>
                  <w:r>
                    <w:rPr>
                      <w:rFonts w:hint="eastAsia"/>
                      <w:szCs w:val="21"/>
                    </w:rPr>
                    <w:t>置为 15m，符合要求</w:t>
                  </w:r>
                </w:p>
              </w:tc>
              <w:tc>
                <w:tcPr>
                  <w:tcW w:w="607" w:type="pct"/>
                  <w:vAlign w:val="center"/>
                </w:tcPr>
                <w:p w14:paraId="7CA9D2AF">
                  <w:pPr>
                    <w:jc w:val="center"/>
                    <w:rPr>
                      <w:szCs w:val="21"/>
                    </w:rPr>
                  </w:pPr>
                  <w:r>
                    <w:rPr>
                      <w:szCs w:val="21"/>
                    </w:rPr>
                    <w:t>相符</w:t>
                  </w:r>
                </w:p>
              </w:tc>
            </w:tr>
          </w:tbl>
          <w:p w14:paraId="652CA6CB">
            <w:pPr>
              <w:autoSpaceDE w:val="0"/>
              <w:autoSpaceDN w:val="0"/>
              <w:adjustRightInd w:val="0"/>
              <w:snapToGrid w:val="0"/>
              <w:spacing w:line="360" w:lineRule="auto"/>
              <w:rPr>
                <w:b/>
                <w:sz w:val="24"/>
              </w:rPr>
            </w:pPr>
          </w:p>
        </w:tc>
      </w:tr>
    </w:tbl>
    <w:p w14:paraId="3CDEB8AB">
      <w:pPr>
        <w:spacing w:line="360" w:lineRule="auto"/>
        <w:rPr>
          <w:sz w:val="30"/>
        </w:rPr>
        <w:sectPr>
          <w:headerReference r:id="rId3" w:type="default"/>
          <w:footerReference r:id="rId4" w:type="default"/>
          <w:pgSz w:w="11906" w:h="16838"/>
          <w:pgMar w:top="1701" w:right="1531" w:bottom="1701" w:left="1531" w:header="851" w:footer="1077" w:gutter="0"/>
          <w:pgNumType w:start="1"/>
          <w:cols w:space="720" w:num="1"/>
          <w:docGrid w:linePitch="312" w:charSpace="0"/>
        </w:sectPr>
      </w:pPr>
    </w:p>
    <w:p w14:paraId="3450C7C5">
      <w:pPr>
        <w:pStyle w:val="27"/>
        <w:adjustRightInd w:val="0"/>
        <w:snapToGrid w:val="0"/>
        <w:spacing w:before="0" w:beforeAutospacing="0" w:after="0" w:afterAutospacing="0"/>
        <w:jc w:val="center"/>
        <w:outlineLvl w:val="0"/>
        <w:rPr>
          <w:rFonts w:ascii="Times New Roman" w:hAnsi="Times New Roman"/>
          <w:b/>
          <w:bCs/>
          <w:snapToGrid w:val="0"/>
          <w:sz w:val="30"/>
          <w:szCs w:val="30"/>
        </w:rPr>
      </w:pPr>
      <w:bookmarkStart w:id="2" w:name="_Toc31813"/>
      <w:r>
        <w:rPr>
          <w:rFonts w:ascii="Times New Roman" w:hAnsi="Times New Roman"/>
          <w:b/>
          <w:bCs/>
          <w:snapToGrid w:val="0"/>
          <w:sz w:val="30"/>
          <w:szCs w:val="30"/>
        </w:rPr>
        <w:t>二、建设项目工程分析</w:t>
      </w:r>
      <w:bookmarkEnd w:id="2"/>
    </w:p>
    <w:tbl>
      <w:tblPr>
        <w:tblStyle w:val="29"/>
        <w:tblW w:w="90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7"/>
        <w:gridCol w:w="8613"/>
      </w:tblGrid>
      <w:tr w14:paraId="726D81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447" w:type="dxa"/>
            <w:tcBorders>
              <w:tl2br w:val="nil"/>
              <w:tr2bl w:val="nil"/>
            </w:tcBorders>
            <w:vAlign w:val="center"/>
          </w:tcPr>
          <w:p w14:paraId="4E6F86B2">
            <w:pPr>
              <w:pStyle w:val="27"/>
              <w:adjustRightInd w:val="0"/>
              <w:snapToGrid w:val="0"/>
              <w:spacing w:before="0" w:beforeAutospacing="0" w:after="0" w:afterAutospacing="0"/>
              <w:jc w:val="center"/>
              <w:rPr>
                <w:rFonts w:ascii="Times New Roman" w:hAnsi="Times New Roman"/>
                <w:sz w:val="21"/>
                <w:szCs w:val="21"/>
              </w:rPr>
            </w:pPr>
            <w:r>
              <w:rPr>
                <w:rFonts w:ascii="Times New Roman" w:hAnsi="Times New Roman"/>
                <w:szCs w:val="24"/>
              </w:rPr>
              <w:t>建设内容</w:t>
            </w:r>
          </w:p>
        </w:tc>
        <w:tc>
          <w:tcPr>
            <w:tcW w:w="8613" w:type="dxa"/>
            <w:tcBorders>
              <w:tl2br w:val="nil"/>
              <w:tr2bl w:val="nil"/>
            </w:tcBorders>
          </w:tcPr>
          <w:p w14:paraId="039EDC19">
            <w:pPr>
              <w:adjustRightInd w:val="0"/>
              <w:snapToGrid w:val="0"/>
              <w:spacing w:line="360" w:lineRule="auto"/>
              <w:ind w:firstLine="482"/>
              <w:rPr>
                <w:b/>
                <w:sz w:val="24"/>
              </w:rPr>
            </w:pPr>
            <w:r>
              <w:rPr>
                <w:b/>
                <w:sz w:val="24"/>
              </w:rPr>
              <w:t>1、</w:t>
            </w:r>
            <w:r>
              <w:rPr>
                <w:rFonts w:hint="eastAsia"/>
                <w:b/>
                <w:sz w:val="24"/>
              </w:rPr>
              <w:t>企业概况及项目背景</w:t>
            </w:r>
          </w:p>
          <w:p w14:paraId="76A3944A">
            <w:pPr>
              <w:pStyle w:val="71"/>
              <w:tabs>
                <w:tab w:val="left" w:pos="1110"/>
              </w:tabs>
              <w:spacing w:line="360" w:lineRule="auto"/>
              <w:ind w:firstLine="480" w:firstLineChars="200"/>
              <w:jc w:val="both"/>
              <w:rPr>
                <w:rFonts w:ascii="宋体" w:hAnsi="宋体"/>
                <w:color w:val="000000"/>
                <w:sz w:val="24"/>
                <w:shd w:val="clear" w:color="auto" w:fill="FFFFFF"/>
              </w:rPr>
            </w:pPr>
            <w:r>
              <w:rPr>
                <w:rFonts w:hint="eastAsia"/>
                <w:sz w:val="24"/>
                <w:lang w:val="zh-CN"/>
              </w:rPr>
              <w:t>安徽源峰汽车部件有限公司</w:t>
            </w:r>
            <w:r>
              <w:rPr>
                <w:rFonts w:hint="eastAsia"/>
                <w:sz w:val="24"/>
              </w:rPr>
              <w:t>成立于2023年，位于安徽省</w:t>
            </w:r>
            <w:r>
              <w:rPr>
                <w:rFonts w:hint="eastAsia"/>
                <w:sz w:val="24"/>
                <w:lang w:eastAsia="zh-CN"/>
              </w:rPr>
              <w:t>芜湖市鸠江经济开发区徽州路152号</w:t>
            </w:r>
            <w:r>
              <w:rPr>
                <w:rFonts w:hint="eastAsia"/>
                <w:sz w:val="24"/>
              </w:rPr>
              <w:t>，</w:t>
            </w:r>
            <w:r>
              <w:rPr>
                <w:rFonts w:hint="eastAsia"/>
                <w:bCs/>
                <w:sz w:val="24"/>
              </w:rPr>
              <w:t>主要经营范围包括汽车零部件及配件制造；汽车零部件研发；汽车零配件零售；模具制造等。</w:t>
            </w:r>
          </w:p>
          <w:p w14:paraId="6D81C974">
            <w:pPr>
              <w:pStyle w:val="71"/>
              <w:tabs>
                <w:tab w:val="left" w:pos="1110"/>
              </w:tabs>
              <w:spacing w:line="360" w:lineRule="auto"/>
              <w:ind w:firstLine="480" w:firstLineChars="200"/>
              <w:jc w:val="both"/>
              <w:rPr>
                <w:bCs/>
                <w:sz w:val="24"/>
              </w:rPr>
            </w:pPr>
            <w:r>
              <w:rPr>
                <w:rFonts w:hint="eastAsia"/>
                <w:bCs/>
                <w:sz w:val="24"/>
              </w:rPr>
              <w:t>2024年</w:t>
            </w:r>
            <w:r>
              <w:rPr>
                <w:rFonts w:hint="eastAsia"/>
                <w:bCs/>
                <w:sz w:val="24"/>
                <w:lang w:val="en-US" w:eastAsia="zh-CN"/>
              </w:rPr>
              <w:t>7</w:t>
            </w:r>
            <w:r>
              <w:rPr>
                <w:rFonts w:hint="eastAsia"/>
                <w:bCs/>
                <w:sz w:val="24"/>
              </w:rPr>
              <w:t>月，</w:t>
            </w:r>
            <w:r>
              <w:rPr>
                <w:rFonts w:hint="eastAsia"/>
                <w:sz w:val="24"/>
                <w:lang w:val="zh-CN"/>
              </w:rPr>
              <w:t>安徽源峰汽车部件有限公司</w:t>
            </w:r>
            <w:r>
              <w:rPr>
                <w:rFonts w:hint="eastAsia"/>
                <w:sz w:val="24"/>
              </w:rPr>
              <w:t>投资</w:t>
            </w:r>
            <w:r>
              <w:rPr>
                <w:rFonts w:hint="eastAsia"/>
                <w:sz w:val="24"/>
                <w:lang w:val="en-US" w:eastAsia="zh-CN"/>
              </w:rPr>
              <w:t>1058</w:t>
            </w:r>
            <w:r>
              <w:rPr>
                <w:rFonts w:hint="eastAsia"/>
                <w:sz w:val="24"/>
              </w:rPr>
              <w:t>万元</w:t>
            </w:r>
            <w:r>
              <w:rPr>
                <w:rFonts w:hint="eastAsia"/>
                <w:bCs/>
                <w:sz w:val="24"/>
              </w:rPr>
              <w:t>租赁芜湖市天意数码打印有限责任公司厂房，建设生产“年产150万个汽车内饰包覆件产品项目”。本项目已于2024年0</w:t>
            </w:r>
            <w:r>
              <w:rPr>
                <w:rFonts w:hint="eastAsia"/>
                <w:bCs/>
                <w:sz w:val="24"/>
                <w:lang w:val="en-US" w:eastAsia="zh-CN"/>
              </w:rPr>
              <w:t>7</w:t>
            </w:r>
            <w:r>
              <w:rPr>
                <w:rFonts w:hint="eastAsia"/>
                <w:bCs/>
                <w:sz w:val="24"/>
              </w:rPr>
              <w:t>月</w:t>
            </w:r>
            <w:r>
              <w:rPr>
                <w:rFonts w:hint="eastAsia"/>
                <w:bCs/>
                <w:sz w:val="24"/>
                <w:lang w:val="en-US" w:eastAsia="zh-CN"/>
              </w:rPr>
              <w:t>30</w:t>
            </w:r>
            <w:r>
              <w:rPr>
                <w:rFonts w:hint="eastAsia"/>
                <w:bCs/>
                <w:sz w:val="24"/>
              </w:rPr>
              <w:t>日取得</w:t>
            </w:r>
            <w:r>
              <w:rPr>
                <w:rFonts w:hint="eastAsia"/>
                <w:bCs/>
                <w:sz w:val="24"/>
                <w:lang w:val="en-US" w:eastAsia="zh-CN"/>
              </w:rPr>
              <w:t>芜湖市鸠江区发展和改革</w:t>
            </w:r>
            <w:r>
              <w:rPr>
                <w:bCs/>
                <w:sz w:val="24"/>
              </w:rPr>
              <w:t>委员会出具的备案文件（</w:t>
            </w:r>
            <w:r>
              <w:rPr>
                <w:rFonts w:hint="eastAsia"/>
                <w:bCs/>
                <w:sz w:val="24"/>
                <w:lang w:val="en-US" w:eastAsia="zh-CN"/>
              </w:rPr>
              <w:t>鸠发改</w:t>
            </w:r>
            <w:r>
              <w:rPr>
                <w:bCs/>
                <w:sz w:val="24"/>
              </w:rPr>
              <w:t>〔202</w:t>
            </w:r>
            <w:r>
              <w:rPr>
                <w:rFonts w:hint="eastAsia"/>
                <w:bCs/>
                <w:sz w:val="24"/>
              </w:rPr>
              <w:t>4</w:t>
            </w:r>
            <w:r>
              <w:rPr>
                <w:bCs/>
                <w:sz w:val="24"/>
              </w:rPr>
              <w:t>〕</w:t>
            </w:r>
            <w:r>
              <w:rPr>
                <w:rFonts w:hint="eastAsia"/>
                <w:bCs/>
                <w:sz w:val="24"/>
                <w:lang w:val="en-US" w:eastAsia="zh-CN"/>
              </w:rPr>
              <w:t>26</w:t>
            </w:r>
            <w:r>
              <w:rPr>
                <w:rFonts w:hint="eastAsia"/>
                <w:bCs/>
                <w:sz w:val="24"/>
              </w:rPr>
              <w:t>5</w:t>
            </w:r>
            <w:r>
              <w:rPr>
                <w:bCs/>
                <w:sz w:val="24"/>
              </w:rPr>
              <w:t>号）</w:t>
            </w:r>
            <w:r>
              <w:rPr>
                <w:rFonts w:hint="eastAsia"/>
                <w:bCs/>
                <w:sz w:val="24"/>
              </w:rPr>
              <w:t>。</w:t>
            </w:r>
          </w:p>
          <w:p w14:paraId="1FFBA732">
            <w:pPr>
              <w:adjustRightInd w:val="0"/>
              <w:snapToGrid w:val="0"/>
              <w:spacing w:line="360" w:lineRule="auto"/>
              <w:ind w:firstLine="480" w:firstLineChars="200"/>
              <w:rPr>
                <w:sz w:val="24"/>
              </w:rPr>
            </w:pPr>
            <w:r>
              <w:rPr>
                <w:sz w:val="24"/>
              </w:rPr>
              <w:t>经查询《建设项目环境影响评价分类管理名录（2021年版）》，本项目属于</w:t>
            </w:r>
            <w:r>
              <w:rPr>
                <w:bCs/>
                <w:sz w:val="24"/>
              </w:rPr>
              <w:t>其中</w:t>
            </w:r>
            <w:r>
              <w:rPr>
                <w:rFonts w:hint="eastAsia"/>
                <w:sz w:val="24"/>
              </w:rPr>
              <w:t>“三十三“汽车制造业 36”中“71 汽车零部件及配件制造 367” “其他（年用非溶剂型低 VOCs 含量涂料 10 吨以下的除外）”类及</w:t>
            </w:r>
            <w:r>
              <w:rPr>
                <w:rFonts w:hint="eastAsia"/>
                <w:color w:val="0D0D0D"/>
                <w:sz w:val="24"/>
              </w:rPr>
              <w:t>“二十六、橡胶和塑料制品业29，第53 条塑料制品业292”“其他</w:t>
            </w:r>
            <w:r>
              <w:rPr>
                <w:rFonts w:hint="eastAsia"/>
                <w:sz w:val="24"/>
              </w:rPr>
              <w:t>年用非溶剂型低 VOCs 含量涂料 10 吨以下的除外）</w:t>
            </w:r>
            <w:r>
              <w:rPr>
                <w:rFonts w:hint="eastAsia"/>
                <w:color w:val="0D0D0D"/>
                <w:sz w:val="24"/>
              </w:rPr>
              <w:t>”</w:t>
            </w:r>
            <w:r>
              <w:rPr>
                <w:bCs/>
                <w:sz w:val="24"/>
              </w:rPr>
              <w:t>，应编制环境影响</w:t>
            </w:r>
            <w:r>
              <w:rPr>
                <w:sz w:val="24"/>
              </w:rPr>
              <w:t>报告表。</w:t>
            </w:r>
            <w:r>
              <w:rPr>
                <w:rFonts w:hint="eastAsia"/>
                <w:sz w:val="24"/>
              </w:rPr>
              <w:t>为此，</w:t>
            </w:r>
            <w:r>
              <w:rPr>
                <w:rFonts w:hint="eastAsia"/>
                <w:sz w:val="24"/>
                <w:lang w:val="zh-CN"/>
              </w:rPr>
              <w:t>安徽源峰汽车部件有限公司</w:t>
            </w:r>
            <w:r>
              <w:rPr>
                <w:rFonts w:hint="eastAsia"/>
                <w:sz w:val="24"/>
              </w:rPr>
              <w:t>委托我公司承担该项目环境影响评价工作。我公司接受委托后，对项目拟建现场进行了踏勘，在资料收集的基础上，根据环评技术导则及其它相关文件要求，</w:t>
            </w:r>
            <w:r>
              <w:rPr>
                <w:sz w:val="24"/>
              </w:rPr>
              <w:t>编制了本环境影响报告表</w:t>
            </w:r>
            <w:r>
              <w:rPr>
                <w:rFonts w:hint="eastAsia"/>
                <w:sz w:val="24"/>
              </w:rPr>
              <w:t>。</w:t>
            </w:r>
          </w:p>
          <w:p w14:paraId="151BE9E6">
            <w:pPr>
              <w:adjustRightInd w:val="0"/>
              <w:snapToGrid w:val="0"/>
              <w:jc w:val="center"/>
              <w:rPr>
                <w:b/>
                <w:sz w:val="24"/>
              </w:rPr>
            </w:pPr>
            <w:r>
              <w:rPr>
                <w:b/>
                <w:sz w:val="24"/>
              </w:rPr>
              <w:t>表2-1  项目环境影响评价文件类别判定</w:t>
            </w:r>
          </w:p>
          <w:tbl>
            <w:tblPr>
              <w:tblStyle w:val="29"/>
              <w:tblW w:w="839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7"/>
              <w:gridCol w:w="2395"/>
              <w:gridCol w:w="2938"/>
              <w:gridCol w:w="1695"/>
              <w:gridCol w:w="852"/>
            </w:tblGrid>
            <w:tr w14:paraId="0B9D5B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12" w:type="dxa"/>
                  <w:gridSpan w:val="2"/>
                  <w:tcBorders>
                    <w:tl2br w:val="single" w:color="auto" w:sz="4" w:space="0"/>
                  </w:tcBorders>
                  <w:vAlign w:val="center"/>
                </w:tcPr>
                <w:p w14:paraId="15456A52">
                  <w:pPr>
                    <w:adjustRightInd w:val="0"/>
                    <w:snapToGrid w:val="0"/>
                    <w:jc w:val="right"/>
                    <w:rPr>
                      <w:b/>
                      <w:szCs w:val="21"/>
                    </w:rPr>
                  </w:pPr>
                  <w:r>
                    <w:rPr>
                      <w:b/>
                      <w:szCs w:val="21"/>
                    </w:rPr>
                    <w:t>环评类别</w:t>
                  </w:r>
                </w:p>
                <w:p w14:paraId="5C7828AE">
                  <w:pPr>
                    <w:adjustRightInd w:val="0"/>
                    <w:snapToGrid w:val="0"/>
                    <w:jc w:val="left"/>
                    <w:rPr>
                      <w:b/>
                      <w:szCs w:val="21"/>
                    </w:rPr>
                  </w:pPr>
                  <w:r>
                    <w:rPr>
                      <w:b/>
                      <w:szCs w:val="21"/>
                    </w:rPr>
                    <w:t>项目类别</w:t>
                  </w:r>
                </w:p>
              </w:tc>
              <w:tc>
                <w:tcPr>
                  <w:tcW w:w="2938" w:type="dxa"/>
                  <w:vAlign w:val="center"/>
                </w:tcPr>
                <w:p w14:paraId="007979E3">
                  <w:pPr>
                    <w:adjustRightInd w:val="0"/>
                    <w:snapToGrid w:val="0"/>
                    <w:jc w:val="center"/>
                    <w:rPr>
                      <w:b/>
                      <w:szCs w:val="21"/>
                    </w:rPr>
                  </w:pPr>
                  <w:r>
                    <w:rPr>
                      <w:b/>
                      <w:szCs w:val="21"/>
                    </w:rPr>
                    <w:t>报告书</w:t>
                  </w:r>
                </w:p>
              </w:tc>
              <w:tc>
                <w:tcPr>
                  <w:tcW w:w="1695" w:type="dxa"/>
                  <w:shd w:val="clear" w:color="auto" w:fill="D7D7D7" w:themeFill="background1" w:themeFillShade="D8"/>
                  <w:vAlign w:val="center"/>
                </w:tcPr>
                <w:p w14:paraId="61638924">
                  <w:pPr>
                    <w:adjustRightInd w:val="0"/>
                    <w:snapToGrid w:val="0"/>
                    <w:jc w:val="center"/>
                    <w:rPr>
                      <w:b/>
                      <w:szCs w:val="21"/>
                    </w:rPr>
                  </w:pPr>
                  <w:r>
                    <w:rPr>
                      <w:b/>
                      <w:szCs w:val="21"/>
                    </w:rPr>
                    <w:t>报告表</w:t>
                  </w:r>
                </w:p>
              </w:tc>
              <w:tc>
                <w:tcPr>
                  <w:tcW w:w="852" w:type="dxa"/>
                  <w:vAlign w:val="center"/>
                </w:tcPr>
                <w:p w14:paraId="64231D5F">
                  <w:pPr>
                    <w:adjustRightInd w:val="0"/>
                    <w:snapToGrid w:val="0"/>
                    <w:jc w:val="center"/>
                    <w:rPr>
                      <w:b/>
                      <w:szCs w:val="21"/>
                    </w:rPr>
                  </w:pPr>
                  <w:r>
                    <w:rPr>
                      <w:b/>
                      <w:szCs w:val="21"/>
                    </w:rPr>
                    <w:t>登记表</w:t>
                  </w:r>
                </w:p>
              </w:tc>
            </w:tr>
            <w:tr w14:paraId="66EBD9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8397" w:type="dxa"/>
                  <w:gridSpan w:val="5"/>
                  <w:shd w:val="clear" w:color="auto" w:fill="auto"/>
                  <w:vAlign w:val="center"/>
                </w:tcPr>
                <w:p w14:paraId="704F8FA7">
                  <w:pPr>
                    <w:adjustRightInd w:val="0"/>
                    <w:snapToGrid w:val="0"/>
                    <w:jc w:val="left"/>
                    <w:rPr>
                      <w:bCs/>
                      <w:szCs w:val="21"/>
                    </w:rPr>
                  </w:pPr>
                  <w:r>
                    <w:rPr>
                      <w:rFonts w:hint="eastAsia" w:ascii="宋体" w:hAnsi="宋体" w:cs="宋体"/>
                      <w:bCs/>
                      <w:szCs w:val="21"/>
                    </w:rPr>
                    <w:t>三十三、汽车制造业 36</w:t>
                  </w:r>
                </w:p>
              </w:tc>
            </w:tr>
            <w:tr w14:paraId="606EC4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517" w:type="dxa"/>
                  <w:shd w:val="clear" w:color="auto" w:fill="auto"/>
                  <w:vAlign w:val="center"/>
                </w:tcPr>
                <w:p w14:paraId="581ADA89">
                  <w:pPr>
                    <w:adjustRightInd w:val="0"/>
                    <w:snapToGrid w:val="0"/>
                    <w:jc w:val="center"/>
                    <w:rPr>
                      <w:bCs/>
                      <w:szCs w:val="21"/>
                    </w:rPr>
                  </w:pPr>
                  <w:r>
                    <w:rPr>
                      <w:rFonts w:hint="eastAsia"/>
                      <w:bCs/>
                      <w:szCs w:val="21"/>
                    </w:rPr>
                    <w:t>71</w:t>
                  </w:r>
                </w:p>
              </w:tc>
              <w:tc>
                <w:tcPr>
                  <w:tcW w:w="2395" w:type="dxa"/>
                  <w:shd w:val="clear" w:color="auto" w:fill="auto"/>
                  <w:vAlign w:val="center"/>
                </w:tcPr>
                <w:p w14:paraId="5FF896F4">
                  <w:pPr>
                    <w:adjustRightInd w:val="0"/>
                    <w:snapToGrid w:val="0"/>
                    <w:jc w:val="center"/>
                    <w:rPr>
                      <w:bCs/>
                      <w:szCs w:val="21"/>
                    </w:rPr>
                  </w:pPr>
                  <w:r>
                    <w:rPr>
                      <w:bCs/>
                      <w:szCs w:val="21"/>
                    </w:rPr>
                    <w:t>汽车零部件及配件制造 367</w:t>
                  </w:r>
                </w:p>
              </w:tc>
              <w:tc>
                <w:tcPr>
                  <w:tcW w:w="2938" w:type="dxa"/>
                  <w:shd w:val="clear" w:color="auto" w:fill="auto"/>
                  <w:vAlign w:val="center"/>
                </w:tcPr>
                <w:p w14:paraId="5E1C911C">
                  <w:pPr>
                    <w:widowControl/>
                    <w:jc w:val="left"/>
                    <w:rPr>
                      <w:bCs/>
                      <w:szCs w:val="21"/>
                    </w:rPr>
                  </w:pPr>
                  <w:r>
                    <w:rPr>
                      <w:bCs/>
                      <w:szCs w:val="21"/>
                    </w:rPr>
                    <w:t>汽车整车制造（仅组装的除外）；汽车用发动机制造（仅组装的除外）；有电镀工艺的；年用溶剂型涂料（含稀释剂）10吨及以上的</w:t>
                  </w:r>
                </w:p>
              </w:tc>
              <w:tc>
                <w:tcPr>
                  <w:tcW w:w="1695" w:type="dxa"/>
                  <w:shd w:val="clear" w:color="auto" w:fill="D7D7D7"/>
                  <w:vAlign w:val="center"/>
                </w:tcPr>
                <w:p w14:paraId="394C9519">
                  <w:pPr>
                    <w:adjustRightInd w:val="0"/>
                    <w:snapToGrid w:val="0"/>
                    <w:jc w:val="center"/>
                    <w:rPr>
                      <w:bCs/>
                      <w:szCs w:val="21"/>
                    </w:rPr>
                  </w:pPr>
                  <w:r>
                    <w:rPr>
                      <w:bCs/>
                      <w:szCs w:val="21"/>
                    </w:rPr>
                    <w:t>其他（年用非溶剂型低VOCs含</w:t>
                  </w:r>
                </w:p>
                <w:p w14:paraId="2DC862A0">
                  <w:pPr>
                    <w:adjustRightInd w:val="0"/>
                    <w:snapToGrid w:val="0"/>
                    <w:jc w:val="center"/>
                    <w:rPr>
                      <w:bCs/>
                      <w:szCs w:val="21"/>
                    </w:rPr>
                  </w:pPr>
                  <w:r>
                    <w:rPr>
                      <w:bCs/>
                      <w:szCs w:val="21"/>
                    </w:rPr>
                    <w:t>量涂料10吨以下的除外）</w:t>
                  </w:r>
                </w:p>
              </w:tc>
              <w:tc>
                <w:tcPr>
                  <w:tcW w:w="852" w:type="dxa"/>
                  <w:vAlign w:val="center"/>
                </w:tcPr>
                <w:p w14:paraId="02BAB000">
                  <w:pPr>
                    <w:adjustRightInd w:val="0"/>
                    <w:snapToGrid w:val="0"/>
                    <w:jc w:val="center"/>
                    <w:rPr>
                      <w:bCs/>
                      <w:szCs w:val="21"/>
                    </w:rPr>
                  </w:pPr>
                  <w:r>
                    <w:rPr>
                      <w:rFonts w:hint="eastAsia"/>
                      <w:bCs/>
                      <w:szCs w:val="21"/>
                    </w:rPr>
                    <w:t>/</w:t>
                  </w:r>
                </w:p>
              </w:tc>
            </w:tr>
            <w:tr w14:paraId="58C497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397" w:type="dxa"/>
                  <w:gridSpan w:val="5"/>
                  <w:shd w:val="clear" w:color="auto" w:fill="auto"/>
                  <w:vAlign w:val="center"/>
                </w:tcPr>
                <w:p w14:paraId="3B6EB29A">
                  <w:pPr>
                    <w:adjustRightInd w:val="0"/>
                    <w:snapToGrid w:val="0"/>
                    <w:jc w:val="left"/>
                    <w:rPr>
                      <w:bCs/>
                      <w:szCs w:val="21"/>
                    </w:rPr>
                  </w:pPr>
                  <w:r>
                    <w:rPr>
                      <w:rFonts w:hint="eastAsia" w:eastAsiaTheme="minorEastAsia"/>
                      <w:szCs w:val="21"/>
                    </w:rPr>
                    <w:t>二十六、橡胶和塑料制品业29</w:t>
                  </w:r>
                </w:p>
              </w:tc>
            </w:tr>
            <w:tr w14:paraId="3EF07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517" w:type="dxa"/>
                  <w:shd w:val="clear" w:color="auto" w:fill="auto"/>
                  <w:vAlign w:val="center"/>
                </w:tcPr>
                <w:p w14:paraId="12FB5897">
                  <w:pPr>
                    <w:pStyle w:val="71"/>
                    <w:spacing w:before="1"/>
                    <w:rPr>
                      <w:rFonts w:eastAsiaTheme="minorEastAsia"/>
                      <w:szCs w:val="21"/>
                    </w:rPr>
                  </w:pPr>
                  <w:r>
                    <w:rPr>
                      <w:rFonts w:eastAsiaTheme="minorEastAsia"/>
                      <w:szCs w:val="21"/>
                      <w:lang w:eastAsia="en-US"/>
                    </w:rPr>
                    <w:t>50</w:t>
                  </w:r>
                </w:p>
              </w:tc>
              <w:tc>
                <w:tcPr>
                  <w:tcW w:w="2395" w:type="dxa"/>
                  <w:shd w:val="clear" w:color="auto" w:fill="auto"/>
                  <w:vAlign w:val="center"/>
                </w:tcPr>
                <w:p w14:paraId="3EFD56EE">
                  <w:pPr>
                    <w:pStyle w:val="71"/>
                    <w:ind w:left="205"/>
                    <w:rPr>
                      <w:rFonts w:eastAsiaTheme="minorEastAsia"/>
                      <w:szCs w:val="21"/>
                    </w:rPr>
                  </w:pPr>
                  <w:r>
                    <w:rPr>
                      <w:rFonts w:hint="eastAsia" w:eastAsiaTheme="minorEastAsia"/>
                      <w:szCs w:val="21"/>
                      <w:lang w:eastAsia="en-US"/>
                    </w:rPr>
                    <w:t>塑料制品业292</w:t>
                  </w:r>
                </w:p>
              </w:tc>
              <w:tc>
                <w:tcPr>
                  <w:tcW w:w="2938" w:type="dxa"/>
                  <w:shd w:val="clear" w:color="auto" w:fill="auto"/>
                  <w:vAlign w:val="center"/>
                </w:tcPr>
                <w:p w14:paraId="56AE0A65">
                  <w:pPr>
                    <w:pStyle w:val="71"/>
                    <w:spacing w:before="72"/>
                    <w:rPr>
                      <w:rFonts w:eastAsiaTheme="minorEastAsia"/>
                      <w:szCs w:val="21"/>
                    </w:rPr>
                  </w:pPr>
                  <w:r>
                    <w:rPr>
                      <w:rFonts w:hint="eastAsia" w:eastAsiaTheme="minorEastAsia"/>
                      <w:szCs w:val="21"/>
                    </w:rPr>
                    <w:t>以再生塑料为原料生产的；有电镀工艺的；年用溶剂型胶粘剂10吨及以上的；年用溶剂型涂料（含稀释剂）10吨及以上的</w:t>
                  </w:r>
                </w:p>
              </w:tc>
              <w:tc>
                <w:tcPr>
                  <w:tcW w:w="1695" w:type="dxa"/>
                  <w:shd w:val="clear" w:color="auto" w:fill="D7D7D7"/>
                  <w:vAlign w:val="center"/>
                </w:tcPr>
                <w:p w14:paraId="0FB3EA19">
                  <w:pPr>
                    <w:pStyle w:val="71"/>
                    <w:ind w:left="111" w:right="104"/>
                    <w:rPr>
                      <w:rFonts w:eastAsiaTheme="minorEastAsia"/>
                      <w:szCs w:val="21"/>
                    </w:rPr>
                  </w:pPr>
                  <w:r>
                    <w:rPr>
                      <w:rFonts w:hint="eastAsia" w:eastAsiaTheme="minorEastAsia"/>
                      <w:szCs w:val="21"/>
                    </w:rPr>
                    <w:t>其他（年用非溶剂型低VOCs含量涂料10吨以下的除外）</w:t>
                  </w:r>
                </w:p>
              </w:tc>
              <w:tc>
                <w:tcPr>
                  <w:tcW w:w="852" w:type="dxa"/>
                  <w:vAlign w:val="center"/>
                </w:tcPr>
                <w:p w14:paraId="0DB7B2E8">
                  <w:pPr>
                    <w:pStyle w:val="71"/>
                    <w:ind w:left="11"/>
                    <w:jc w:val="center"/>
                    <w:rPr>
                      <w:rFonts w:eastAsiaTheme="minorEastAsia"/>
                      <w:szCs w:val="21"/>
                    </w:rPr>
                  </w:pPr>
                  <w:r>
                    <w:rPr>
                      <w:rFonts w:eastAsiaTheme="minorEastAsia"/>
                      <w:szCs w:val="21"/>
                    </w:rPr>
                    <w:t>/</w:t>
                  </w:r>
                </w:p>
              </w:tc>
            </w:tr>
          </w:tbl>
          <w:p w14:paraId="66BC5839">
            <w:pPr>
              <w:adjustRightInd w:val="0"/>
              <w:snapToGrid w:val="0"/>
              <w:spacing w:line="360" w:lineRule="auto"/>
              <w:ind w:firstLine="480" w:firstLineChars="200"/>
              <w:rPr>
                <w:rFonts w:hint="eastAsia"/>
                <w:color w:val="0D0D0D"/>
                <w:sz w:val="24"/>
              </w:rPr>
            </w:pPr>
          </w:p>
          <w:p w14:paraId="09234F1E">
            <w:pPr>
              <w:adjustRightInd w:val="0"/>
              <w:snapToGrid w:val="0"/>
              <w:spacing w:line="360" w:lineRule="auto"/>
              <w:ind w:firstLine="480" w:firstLineChars="200"/>
              <w:rPr>
                <w:rFonts w:hint="eastAsia"/>
                <w:color w:val="0D0D0D"/>
                <w:sz w:val="24"/>
              </w:rPr>
            </w:pPr>
          </w:p>
          <w:p w14:paraId="15B1AC14">
            <w:pPr>
              <w:adjustRightInd w:val="0"/>
              <w:snapToGrid w:val="0"/>
              <w:spacing w:line="360" w:lineRule="auto"/>
              <w:ind w:firstLine="480" w:firstLineChars="200"/>
              <w:rPr>
                <w:bCs/>
                <w:sz w:val="24"/>
              </w:rPr>
            </w:pPr>
            <w:r>
              <w:rPr>
                <w:rFonts w:hint="eastAsia"/>
                <w:bCs/>
                <w:sz w:val="24"/>
              </w:rPr>
              <w:t>对照</w:t>
            </w:r>
            <w:r>
              <w:rPr>
                <w:bCs/>
                <w:sz w:val="24"/>
              </w:rPr>
              <w:t>《固定污染源排污许可分类管理名录（2019年版）》，本项目属于</w:t>
            </w:r>
            <w:r>
              <w:rPr>
                <w:rFonts w:hint="eastAsia"/>
                <w:bCs/>
                <w:sz w:val="24"/>
              </w:rPr>
              <w:t>《名录》中</w:t>
            </w:r>
            <w:r>
              <w:rPr>
                <w:rFonts w:hint="eastAsia"/>
                <w:color w:val="0D0D0D"/>
                <w:sz w:val="24"/>
              </w:rPr>
              <w:t xml:space="preserve">第二十四项“橡胶和塑料制品业29”，第 </w:t>
            </w:r>
            <w:r>
              <w:rPr>
                <w:color w:val="0D0D0D"/>
                <w:sz w:val="24"/>
              </w:rPr>
              <w:t>62</w:t>
            </w:r>
            <w:r>
              <w:rPr>
                <w:rFonts w:hint="eastAsia"/>
                <w:color w:val="0D0D0D"/>
                <w:sz w:val="24"/>
              </w:rPr>
              <w:t xml:space="preserve"> 号—塑料制品业 292 “其他”及</w:t>
            </w:r>
            <w:r>
              <w:rPr>
                <w:rFonts w:hint="eastAsia"/>
                <w:bCs/>
                <w:sz w:val="24"/>
              </w:rPr>
              <w:t>“</w:t>
            </w:r>
            <w:r>
              <w:rPr>
                <w:bCs/>
                <w:sz w:val="24"/>
              </w:rPr>
              <w:t>三十一、汽车制造业 36</w:t>
            </w:r>
            <w:r>
              <w:rPr>
                <w:rFonts w:hint="eastAsia"/>
                <w:bCs/>
                <w:sz w:val="24"/>
              </w:rPr>
              <w:t>”</w:t>
            </w:r>
            <w:r>
              <w:rPr>
                <w:bCs/>
                <w:sz w:val="24"/>
              </w:rPr>
              <w:t>中第 85 项</w:t>
            </w:r>
            <w:r>
              <w:rPr>
                <w:rFonts w:hint="eastAsia"/>
                <w:bCs/>
                <w:sz w:val="24"/>
              </w:rPr>
              <w:t>“</w:t>
            </w:r>
            <w:r>
              <w:rPr>
                <w:bCs/>
                <w:sz w:val="24"/>
              </w:rPr>
              <w:t>汽车零部件及配件制造 367</w:t>
            </w:r>
            <w:r>
              <w:rPr>
                <w:rFonts w:hint="eastAsia"/>
                <w:bCs/>
                <w:sz w:val="24"/>
              </w:rPr>
              <w:t>”中的“其他”</w:t>
            </w:r>
            <w:r>
              <w:rPr>
                <w:bCs/>
                <w:sz w:val="24"/>
              </w:rPr>
              <w:t>类，</w:t>
            </w:r>
            <w:r>
              <w:rPr>
                <w:rFonts w:hint="eastAsia"/>
                <w:bCs/>
                <w:sz w:val="24"/>
              </w:rPr>
              <w:t>均属于</w:t>
            </w:r>
            <w:r>
              <w:rPr>
                <w:bCs/>
                <w:sz w:val="24"/>
              </w:rPr>
              <w:t>排污许可</w:t>
            </w:r>
            <w:r>
              <w:rPr>
                <w:rFonts w:hint="eastAsia"/>
                <w:bCs/>
                <w:sz w:val="24"/>
              </w:rPr>
              <w:t>中的“</w:t>
            </w:r>
            <w:r>
              <w:rPr>
                <w:bCs/>
                <w:sz w:val="24"/>
              </w:rPr>
              <w:t>登记管理</w:t>
            </w:r>
            <w:r>
              <w:rPr>
                <w:rFonts w:hint="eastAsia"/>
                <w:bCs/>
                <w:sz w:val="24"/>
              </w:rPr>
              <w:t>”</w:t>
            </w:r>
            <w:r>
              <w:rPr>
                <w:sz w:val="24"/>
              </w:rPr>
              <w:t>。本单位已于</w:t>
            </w:r>
            <w:r>
              <w:rPr>
                <w:color w:val="0000FF"/>
                <w:sz w:val="24"/>
              </w:rPr>
              <w:t xml:space="preserve"> </w:t>
            </w:r>
            <w:r>
              <w:rPr>
                <w:sz w:val="24"/>
              </w:rPr>
              <w:t>2024年</w:t>
            </w:r>
            <w:r>
              <w:rPr>
                <w:rFonts w:hint="eastAsia"/>
                <w:sz w:val="24"/>
              </w:rPr>
              <w:t>3</w:t>
            </w:r>
            <w:r>
              <w:rPr>
                <w:sz w:val="24"/>
              </w:rPr>
              <w:t>月</w:t>
            </w:r>
            <w:r>
              <w:rPr>
                <w:rFonts w:hint="eastAsia"/>
                <w:sz w:val="24"/>
              </w:rPr>
              <w:t>19</w:t>
            </w:r>
            <w:r>
              <w:rPr>
                <w:sz w:val="24"/>
              </w:rPr>
              <w:t>日完成排污许可登记（登记编号：91340207MA8QUEJC6M001W）。</w:t>
            </w:r>
          </w:p>
          <w:p w14:paraId="47AF1449">
            <w:pPr>
              <w:adjustRightInd w:val="0"/>
              <w:snapToGrid w:val="0"/>
              <w:jc w:val="center"/>
              <w:rPr>
                <w:b/>
                <w:sz w:val="24"/>
              </w:rPr>
            </w:pPr>
            <w:r>
              <w:rPr>
                <w:b/>
                <w:sz w:val="24"/>
              </w:rPr>
              <w:t>表2-2  项目</w:t>
            </w:r>
            <w:r>
              <w:rPr>
                <w:rFonts w:hint="eastAsia"/>
                <w:b/>
                <w:sz w:val="24"/>
              </w:rPr>
              <w:t>固定污染源</w:t>
            </w:r>
            <w:r>
              <w:rPr>
                <w:b/>
                <w:sz w:val="24"/>
              </w:rPr>
              <w:t>排污许可类别判定</w:t>
            </w:r>
          </w:p>
          <w:tbl>
            <w:tblPr>
              <w:tblStyle w:val="29"/>
              <w:tblW w:w="839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587"/>
              <w:gridCol w:w="1718"/>
              <w:gridCol w:w="3308"/>
              <w:gridCol w:w="1062"/>
            </w:tblGrid>
            <w:tr w14:paraId="6C0F80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2" w:type="dxa"/>
                  <w:vAlign w:val="center"/>
                </w:tcPr>
                <w:p w14:paraId="1735DC64">
                  <w:pPr>
                    <w:adjustRightInd w:val="0"/>
                    <w:snapToGrid w:val="0"/>
                    <w:jc w:val="center"/>
                    <w:rPr>
                      <w:b/>
                      <w:szCs w:val="21"/>
                    </w:rPr>
                  </w:pPr>
                  <w:r>
                    <w:rPr>
                      <w:b/>
                      <w:szCs w:val="21"/>
                    </w:rPr>
                    <w:t>序号</w:t>
                  </w:r>
                </w:p>
              </w:tc>
              <w:tc>
                <w:tcPr>
                  <w:tcW w:w="1587" w:type="dxa"/>
                  <w:vAlign w:val="center"/>
                </w:tcPr>
                <w:p w14:paraId="1719C3DE">
                  <w:pPr>
                    <w:adjustRightInd w:val="0"/>
                    <w:snapToGrid w:val="0"/>
                    <w:jc w:val="center"/>
                    <w:rPr>
                      <w:b/>
                      <w:szCs w:val="21"/>
                    </w:rPr>
                  </w:pPr>
                  <w:r>
                    <w:rPr>
                      <w:b/>
                      <w:szCs w:val="21"/>
                    </w:rPr>
                    <w:t>行业类别</w:t>
                  </w:r>
                </w:p>
              </w:tc>
              <w:tc>
                <w:tcPr>
                  <w:tcW w:w="1718" w:type="dxa"/>
                  <w:vAlign w:val="center"/>
                </w:tcPr>
                <w:p w14:paraId="23DC2C16">
                  <w:pPr>
                    <w:adjustRightInd w:val="0"/>
                    <w:snapToGrid w:val="0"/>
                    <w:jc w:val="center"/>
                    <w:rPr>
                      <w:b/>
                      <w:szCs w:val="21"/>
                    </w:rPr>
                  </w:pPr>
                  <w:r>
                    <w:rPr>
                      <w:b/>
                      <w:szCs w:val="21"/>
                    </w:rPr>
                    <w:t>重点管理</w:t>
                  </w:r>
                </w:p>
              </w:tc>
              <w:tc>
                <w:tcPr>
                  <w:tcW w:w="3308" w:type="dxa"/>
                  <w:vAlign w:val="center"/>
                </w:tcPr>
                <w:p w14:paraId="753DFF83">
                  <w:pPr>
                    <w:adjustRightInd w:val="0"/>
                    <w:snapToGrid w:val="0"/>
                    <w:jc w:val="center"/>
                    <w:rPr>
                      <w:b/>
                      <w:szCs w:val="21"/>
                    </w:rPr>
                  </w:pPr>
                  <w:r>
                    <w:rPr>
                      <w:b/>
                      <w:szCs w:val="21"/>
                    </w:rPr>
                    <w:t>简化管理</w:t>
                  </w:r>
                </w:p>
              </w:tc>
              <w:tc>
                <w:tcPr>
                  <w:tcW w:w="1062" w:type="dxa"/>
                  <w:shd w:val="clear" w:color="auto" w:fill="D7D7D7" w:themeFill="background1" w:themeFillShade="D8"/>
                  <w:vAlign w:val="center"/>
                </w:tcPr>
                <w:p w14:paraId="4E816ABA">
                  <w:pPr>
                    <w:adjustRightInd w:val="0"/>
                    <w:snapToGrid w:val="0"/>
                    <w:jc w:val="center"/>
                    <w:rPr>
                      <w:b/>
                      <w:szCs w:val="21"/>
                    </w:rPr>
                  </w:pPr>
                  <w:r>
                    <w:rPr>
                      <w:b/>
                      <w:szCs w:val="21"/>
                    </w:rPr>
                    <w:t>登记管理</w:t>
                  </w:r>
                </w:p>
              </w:tc>
            </w:tr>
            <w:tr w14:paraId="775266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97" w:type="dxa"/>
                  <w:gridSpan w:val="5"/>
                  <w:shd w:val="clear" w:color="auto" w:fill="auto"/>
                  <w:vAlign w:val="center"/>
                </w:tcPr>
                <w:p w14:paraId="2B462042">
                  <w:pPr>
                    <w:pStyle w:val="71"/>
                    <w:rPr>
                      <w:rFonts w:eastAsiaTheme="minorEastAsia"/>
                    </w:rPr>
                  </w:pPr>
                  <w:r>
                    <w:rPr>
                      <w:rFonts w:hint="eastAsia" w:eastAsiaTheme="minorEastAsia"/>
                    </w:rPr>
                    <w:t>三十一、汽车制造业 36</w:t>
                  </w:r>
                </w:p>
              </w:tc>
            </w:tr>
            <w:tr w14:paraId="4C2DB1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2" w:type="dxa"/>
                  <w:shd w:val="clear" w:color="auto" w:fill="auto"/>
                  <w:vAlign w:val="center"/>
                </w:tcPr>
                <w:p w14:paraId="7BCDD5F8">
                  <w:pPr>
                    <w:pStyle w:val="71"/>
                    <w:jc w:val="center"/>
                    <w:rPr>
                      <w:rFonts w:eastAsiaTheme="minorEastAsia"/>
                    </w:rPr>
                  </w:pPr>
                  <w:r>
                    <w:rPr>
                      <w:rFonts w:hint="eastAsia" w:eastAsiaTheme="minorEastAsia"/>
                    </w:rPr>
                    <w:t>85</w:t>
                  </w:r>
                </w:p>
              </w:tc>
              <w:tc>
                <w:tcPr>
                  <w:tcW w:w="1587" w:type="dxa"/>
                  <w:shd w:val="clear" w:color="auto" w:fill="auto"/>
                  <w:vAlign w:val="center"/>
                </w:tcPr>
                <w:p w14:paraId="25131578">
                  <w:pPr>
                    <w:pStyle w:val="71"/>
                    <w:rPr>
                      <w:rFonts w:ascii="宋体" w:hAnsi="宋体" w:cs="宋体"/>
                    </w:rPr>
                  </w:pPr>
                  <w:r>
                    <w:rPr>
                      <w:rFonts w:hint="eastAsia" w:ascii="宋体" w:hAnsi="宋体" w:cs="宋体"/>
                    </w:rPr>
                    <w:t>汽车零部件及配件制造 367</w:t>
                  </w:r>
                </w:p>
              </w:tc>
              <w:tc>
                <w:tcPr>
                  <w:tcW w:w="1718" w:type="dxa"/>
                  <w:shd w:val="clear" w:color="auto" w:fill="auto"/>
                  <w:vAlign w:val="center"/>
                </w:tcPr>
                <w:p w14:paraId="0A1413B9">
                  <w:pPr>
                    <w:pStyle w:val="71"/>
                    <w:jc w:val="center"/>
                    <w:rPr>
                      <w:rFonts w:ascii="宋体" w:hAnsi="宋体" w:cs="宋体"/>
                    </w:rPr>
                  </w:pPr>
                  <w:r>
                    <w:rPr>
                      <w:rFonts w:hint="eastAsia" w:ascii="宋体" w:hAnsi="宋体" w:cs="宋体"/>
                    </w:rPr>
                    <w:t>纳入重点排污单位名录的</w:t>
                  </w:r>
                </w:p>
              </w:tc>
              <w:tc>
                <w:tcPr>
                  <w:tcW w:w="3308" w:type="dxa"/>
                  <w:shd w:val="clear" w:color="auto" w:fill="auto"/>
                  <w:vAlign w:val="center"/>
                </w:tcPr>
                <w:p w14:paraId="04C6FF5F">
                  <w:pPr>
                    <w:pStyle w:val="71"/>
                    <w:spacing w:line="260" w:lineRule="exact"/>
                    <w:rPr>
                      <w:rFonts w:ascii="宋体" w:hAnsi="宋体" w:cs="宋体"/>
                    </w:rPr>
                  </w:pPr>
                  <w:r>
                    <w:rPr>
                      <w:rFonts w:hint="eastAsia" w:ascii="宋体" w:hAnsi="宋体" w:cs="宋体"/>
                    </w:rPr>
                    <w:t>除重点管理以外的汽车整车制造361，除重点管理以外的年使用 10吨及以上溶剂型涂料或者胶粘剂（含稀释剂、固化剂、清洗溶剂）的汽车用发动机制造 362、改装汽车制造363、低速汽车制造 364、电车制造365、汽车车身、挂车制造 366、汽车零部件及配件制造 367</w:t>
                  </w:r>
                </w:p>
              </w:tc>
              <w:tc>
                <w:tcPr>
                  <w:tcW w:w="1062" w:type="dxa"/>
                  <w:shd w:val="clear" w:color="auto" w:fill="D7D7D7" w:themeFill="background1" w:themeFillShade="D8"/>
                  <w:vAlign w:val="center"/>
                </w:tcPr>
                <w:p w14:paraId="0ECCEBFE">
                  <w:pPr>
                    <w:pStyle w:val="71"/>
                    <w:jc w:val="center"/>
                    <w:rPr>
                      <w:rFonts w:ascii="宋体" w:hAnsi="宋体" w:cs="宋体"/>
                    </w:rPr>
                  </w:pPr>
                  <w:r>
                    <w:rPr>
                      <w:rFonts w:hint="eastAsia" w:ascii="宋体" w:hAnsi="宋体" w:cs="宋体"/>
                    </w:rPr>
                    <w:t>其他</w:t>
                  </w:r>
                </w:p>
              </w:tc>
            </w:tr>
            <w:tr w14:paraId="208A32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97" w:type="dxa"/>
                  <w:gridSpan w:val="5"/>
                  <w:shd w:val="clear" w:color="auto" w:fill="auto"/>
                  <w:vAlign w:val="center"/>
                </w:tcPr>
                <w:p w14:paraId="200B9997">
                  <w:pPr>
                    <w:pStyle w:val="71"/>
                    <w:rPr>
                      <w:rFonts w:ascii="宋体" w:hAnsi="宋体" w:cs="宋体"/>
                    </w:rPr>
                  </w:pPr>
                  <w:r>
                    <w:rPr>
                      <w:rFonts w:hint="eastAsia" w:eastAsiaTheme="minorEastAsia"/>
                      <w:bCs/>
                    </w:rPr>
                    <w:t>二十四、橡胶和塑料制品业29</w:t>
                  </w:r>
                </w:p>
              </w:tc>
            </w:tr>
            <w:tr w14:paraId="373F5E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2" w:type="dxa"/>
                  <w:shd w:val="clear" w:color="auto" w:fill="auto"/>
                  <w:vAlign w:val="center"/>
                </w:tcPr>
                <w:p w14:paraId="39777F7D">
                  <w:pPr>
                    <w:pStyle w:val="71"/>
                    <w:rPr>
                      <w:rFonts w:eastAsiaTheme="minorEastAsia"/>
                    </w:rPr>
                  </w:pPr>
                  <w:r>
                    <w:rPr>
                      <w:rFonts w:eastAsiaTheme="minorEastAsia"/>
                      <w:lang w:eastAsia="en-US"/>
                    </w:rPr>
                    <w:t>62</w:t>
                  </w:r>
                </w:p>
              </w:tc>
              <w:tc>
                <w:tcPr>
                  <w:tcW w:w="1587" w:type="dxa"/>
                  <w:shd w:val="clear" w:color="auto" w:fill="auto"/>
                  <w:vAlign w:val="center"/>
                </w:tcPr>
                <w:p w14:paraId="079CCF28">
                  <w:pPr>
                    <w:pStyle w:val="71"/>
                    <w:rPr>
                      <w:rFonts w:eastAsiaTheme="minorEastAsia"/>
                      <w:lang w:eastAsia="en-US"/>
                    </w:rPr>
                  </w:pPr>
                  <w:r>
                    <w:rPr>
                      <w:rFonts w:eastAsiaTheme="minorEastAsia"/>
                      <w:lang w:eastAsia="en-US"/>
                    </w:rPr>
                    <w:t>塑料制品业 292</w:t>
                  </w:r>
                </w:p>
              </w:tc>
              <w:tc>
                <w:tcPr>
                  <w:tcW w:w="1718" w:type="dxa"/>
                  <w:shd w:val="clear" w:color="auto" w:fill="auto"/>
                  <w:vAlign w:val="center"/>
                </w:tcPr>
                <w:p w14:paraId="40B1074B">
                  <w:pPr>
                    <w:pStyle w:val="71"/>
                    <w:rPr>
                      <w:rFonts w:eastAsiaTheme="minorEastAsia"/>
                    </w:rPr>
                  </w:pPr>
                  <w:r>
                    <w:rPr>
                      <w:rFonts w:eastAsiaTheme="minorEastAsia"/>
                    </w:rPr>
                    <w:t>塑料人造革、合成革制造 2925</w:t>
                  </w:r>
                </w:p>
              </w:tc>
              <w:tc>
                <w:tcPr>
                  <w:tcW w:w="3308" w:type="dxa"/>
                  <w:shd w:val="clear" w:color="auto" w:fill="auto"/>
                  <w:vAlign w:val="center"/>
                </w:tcPr>
                <w:p w14:paraId="5CA21EDD">
                  <w:pPr>
                    <w:pStyle w:val="71"/>
                    <w:spacing w:line="260" w:lineRule="exact"/>
                    <w:rPr>
                      <w:rFonts w:eastAsiaTheme="minorEastAsia"/>
                    </w:rPr>
                  </w:pPr>
                  <w:r>
                    <w:rPr>
                      <w:rFonts w:hint="eastAsia" w:eastAsiaTheme="minorEastAsia"/>
                    </w:rPr>
                    <w:t>年产 1 万吨及以上的泡沫塑料制造2924,年产 1 万吨及以上涉及改性的塑料薄膜制造 2921、塑料板、管、型材制造 2922、塑料丝、绳和编织品制造 2923、塑料包装箱及容器制造 2926、日用塑料品制造 2927、人造草坪制造 2928、塑料零件及其他塑料制品制造 2929</w:t>
                  </w:r>
                </w:p>
              </w:tc>
              <w:tc>
                <w:tcPr>
                  <w:tcW w:w="1062" w:type="dxa"/>
                  <w:shd w:val="clear" w:color="auto" w:fill="D7D7D7" w:themeFill="background1" w:themeFillShade="D8"/>
                  <w:vAlign w:val="center"/>
                </w:tcPr>
                <w:p w14:paraId="41CC6D8C">
                  <w:pPr>
                    <w:pStyle w:val="71"/>
                    <w:jc w:val="center"/>
                    <w:rPr>
                      <w:rFonts w:eastAsiaTheme="minorEastAsia"/>
                      <w:spacing w:val="-6"/>
                    </w:rPr>
                  </w:pPr>
                  <w:r>
                    <w:rPr>
                      <w:rFonts w:eastAsiaTheme="minorEastAsia"/>
                    </w:rPr>
                    <w:t>其他</w:t>
                  </w:r>
                </w:p>
              </w:tc>
            </w:tr>
          </w:tbl>
          <w:p w14:paraId="562DBE5D">
            <w:pPr>
              <w:adjustRightInd w:val="0"/>
              <w:snapToGrid w:val="0"/>
              <w:spacing w:line="360" w:lineRule="auto"/>
              <w:ind w:firstLine="482" w:firstLineChars="200"/>
              <w:rPr>
                <w:b/>
                <w:sz w:val="24"/>
              </w:rPr>
            </w:pPr>
          </w:p>
          <w:p w14:paraId="00BF2878">
            <w:pPr>
              <w:adjustRightInd w:val="0"/>
              <w:snapToGrid w:val="0"/>
              <w:spacing w:line="360" w:lineRule="auto"/>
              <w:ind w:firstLine="482" w:firstLineChars="200"/>
              <w:rPr>
                <w:b/>
                <w:sz w:val="24"/>
              </w:rPr>
            </w:pPr>
            <w:r>
              <w:rPr>
                <w:b/>
                <w:sz w:val="24"/>
              </w:rPr>
              <w:t>2、产品方案</w:t>
            </w:r>
          </w:p>
          <w:p w14:paraId="7F938420">
            <w:pPr>
              <w:adjustRightInd w:val="0"/>
              <w:snapToGrid w:val="0"/>
              <w:spacing w:line="360" w:lineRule="auto"/>
              <w:ind w:firstLine="480" w:firstLineChars="200"/>
              <w:rPr>
                <w:bCs/>
                <w:sz w:val="24"/>
              </w:rPr>
            </w:pPr>
            <w:r>
              <w:rPr>
                <w:sz w:val="24"/>
              </w:rPr>
              <w:t>项目产品方案见</w:t>
            </w:r>
            <w:r>
              <w:rPr>
                <w:rFonts w:hint="eastAsia"/>
                <w:sz w:val="24"/>
              </w:rPr>
              <w:t>下</w:t>
            </w:r>
            <w:r>
              <w:rPr>
                <w:sz w:val="24"/>
              </w:rPr>
              <w:t>表2-3</w:t>
            </w:r>
            <w:r>
              <w:rPr>
                <w:bCs/>
                <w:sz w:val="24"/>
              </w:rPr>
              <w:t>。</w:t>
            </w:r>
          </w:p>
          <w:p w14:paraId="006EBBC4">
            <w:pPr>
              <w:adjustRightInd w:val="0"/>
              <w:snapToGrid w:val="0"/>
              <w:jc w:val="center"/>
              <w:rPr>
                <w:rFonts w:hint="eastAsia"/>
                <w:b/>
                <w:sz w:val="24"/>
              </w:rPr>
            </w:pPr>
            <w:r>
              <w:rPr>
                <w:b/>
                <w:sz w:val="24"/>
              </w:rPr>
              <w:t>表2-3  项目产品方案</w:t>
            </w:r>
            <w:r>
              <w:rPr>
                <w:rFonts w:hint="eastAsia"/>
                <w:b/>
                <w:sz w:val="24"/>
              </w:rPr>
              <w:t>及生产规模一览表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720"/>
              <w:gridCol w:w="1511"/>
              <w:gridCol w:w="1327"/>
              <w:gridCol w:w="1154"/>
              <w:gridCol w:w="981"/>
              <w:gridCol w:w="1203"/>
            </w:tblGrid>
            <w:tr w14:paraId="354FA6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98" w:type="pct"/>
                  <w:vAlign w:val="center"/>
                </w:tcPr>
                <w:p w14:paraId="73B7C319">
                  <w:pPr>
                    <w:widowControl/>
                    <w:spacing w:line="240" w:lineRule="exact"/>
                    <w:ind w:left="-105" w:leftChars="-50" w:right="-105" w:rightChars="-50"/>
                    <w:jc w:val="center"/>
                    <w:rPr>
                      <w:b/>
                      <w:kern w:val="0"/>
                      <w:szCs w:val="21"/>
                    </w:rPr>
                  </w:pPr>
                  <w:r>
                    <w:rPr>
                      <w:rFonts w:hint="eastAsia"/>
                      <w:b/>
                      <w:kern w:val="0"/>
                      <w:szCs w:val="21"/>
                    </w:rPr>
                    <w:t>序号</w:t>
                  </w:r>
                </w:p>
              </w:tc>
              <w:tc>
                <w:tcPr>
                  <w:tcW w:w="1024" w:type="pct"/>
                  <w:vAlign w:val="center"/>
                </w:tcPr>
                <w:p w14:paraId="29610D35">
                  <w:pPr>
                    <w:widowControl/>
                    <w:spacing w:line="240" w:lineRule="exact"/>
                    <w:ind w:left="-105" w:leftChars="-50" w:right="-105" w:rightChars="-50"/>
                    <w:jc w:val="center"/>
                    <w:rPr>
                      <w:b/>
                      <w:kern w:val="0"/>
                      <w:szCs w:val="21"/>
                    </w:rPr>
                  </w:pPr>
                  <w:r>
                    <w:rPr>
                      <w:rFonts w:hint="eastAsia"/>
                      <w:b/>
                      <w:kern w:val="0"/>
                      <w:szCs w:val="21"/>
                    </w:rPr>
                    <w:t>产品名称</w:t>
                  </w:r>
                </w:p>
              </w:tc>
              <w:tc>
                <w:tcPr>
                  <w:tcW w:w="899" w:type="pct"/>
                  <w:vAlign w:val="center"/>
                </w:tcPr>
                <w:p w14:paraId="525872D6">
                  <w:pPr>
                    <w:widowControl/>
                    <w:spacing w:line="240" w:lineRule="exact"/>
                    <w:ind w:left="-105" w:leftChars="-50" w:right="-105" w:rightChars="-50"/>
                    <w:jc w:val="center"/>
                    <w:rPr>
                      <w:b/>
                      <w:kern w:val="0"/>
                      <w:szCs w:val="21"/>
                    </w:rPr>
                  </w:pPr>
                  <w:r>
                    <w:rPr>
                      <w:rFonts w:hint="eastAsia"/>
                      <w:b/>
                      <w:kern w:val="0"/>
                      <w:szCs w:val="21"/>
                    </w:rPr>
                    <w:t>产品参数(mm)</w:t>
                  </w:r>
                </w:p>
              </w:tc>
              <w:tc>
                <w:tcPr>
                  <w:tcW w:w="790" w:type="pct"/>
                  <w:vAlign w:val="center"/>
                </w:tcPr>
                <w:p w14:paraId="4AADA60E">
                  <w:pPr>
                    <w:widowControl/>
                    <w:spacing w:line="240" w:lineRule="exact"/>
                    <w:ind w:left="-105" w:leftChars="-50" w:right="-105" w:rightChars="-50"/>
                    <w:jc w:val="center"/>
                    <w:rPr>
                      <w:rFonts w:hint="eastAsia"/>
                      <w:b/>
                      <w:kern w:val="0"/>
                      <w:szCs w:val="21"/>
                    </w:rPr>
                  </w:pPr>
                  <w:r>
                    <w:rPr>
                      <w:rFonts w:hint="eastAsia"/>
                      <w:b/>
                      <w:kern w:val="0"/>
                      <w:szCs w:val="21"/>
                    </w:rPr>
                    <w:t>单个产品重量</w:t>
                  </w:r>
                </w:p>
                <w:p w14:paraId="6C0084AC">
                  <w:pPr>
                    <w:widowControl/>
                    <w:spacing w:line="240" w:lineRule="exact"/>
                    <w:ind w:left="-105" w:leftChars="-50" w:right="-105" w:rightChars="-50"/>
                    <w:jc w:val="center"/>
                    <w:rPr>
                      <w:rFonts w:hint="eastAsia"/>
                      <w:b/>
                      <w:kern w:val="0"/>
                      <w:szCs w:val="21"/>
                    </w:rPr>
                  </w:pPr>
                  <w:r>
                    <w:rPr>
                      <w:rFonts w:hint="eastAsia"/>
                      <w:b/>
                      <w:kern w:val="0"/>
                      <w:szCs w:val="21"/>
                    </w:rPr>
                    <w:t>(g/件)</w:t>
                  </w:r>
                </w:p>
              </w:tc>
              <w:tc>
                <w:tcPr>
                  <w:tcW w:w="687" w:type="pct"/>
                  <w:vAlign w:val="center"/>
                </w:tcPr>
                <w:p w14:paraId="228DE075">
                  <w:pPr>
                    <w:widowControl/>
                    <w:spacing w:line="240" w:lineRule="exact"/>
                    <w:ind w:left="-105" w:leftChars="-50" w:right="-105" w:rightChars="-50"/>
                    <w:jc w:val="center"/>
                    <w:rPr>
                      <w:rFonts w:hint="eastAsia" w:ascii="Times New Roman" w:hAnsi="Times New Roman" w:eastAsia="宋体" w:cs="Times New Roman"/>
                      <w:b/>
                      <w:kern w:val="0"/>
                      <w:szCs w:val="21"/>
                    </w:rPr>
                  </w:pPr>
                  <w:r>
                    <w:rPr>
                      <w:rFonts w:hint="eastAsia" w:ascii="Times New Roman" w:hAnsi="Times New Roman" w:eastAsia="宋体" w:cs="Times New Roman"/>
                      <w:b/>
                      <w:kern w:val="0"/>
                      <w:szCs w:val="21"/>
                    </w:rPr>
                    <w:t>年产量</w:t>
                  </w:r>
                </w:p>
                <w:p w14:paraId="1D7FE789">
                  <w:pPr>
                    <w:widowControl/>
                    <w:spacing w:line="240" w:lineRule="exact"/>
                    <w:ind w:left="-105" w:leftChars="-50" w:right="-105" w:rightChars="-50"/>
                    <w:jc w:val="center"/>
                    <w:rPr>
                      <w:rFonts w:hint="eastAsia" w:eastAsia="宋体"/>
                      <w:b/>
                      <w:kern w:val="0"/>
                      <w:szCs w:val="21"/>
                      <w:lang w:eastAsia="zh-CN"/>
                    </w:rPr>
                  </w:pPr>
                  <w:r>
                    <w:rPr>
                      <w:rFonts w:hint="eastAsia" w:ascii="Times New Roman" w:hAnsi="Times New Roman" w:eastAsia="宋体" w:cs="Times New Roman"/>
                      <w:b/>
                      <w:kern w:val="0"/>
                      <w:szCs w:val="21"/>
                      <w:lang w:eastAsia="zh-CN"/>
                    </w:rPr>
                    <w:t>（</w:t>
                  </w:r>
                  <w:r>
                    <w:rPr>
                      <w:rFonts w:hint="eastAsia" w:ascii="Times New Roman" w:hAnsi="Times New Roman" w:eastAsia="宋体" w:cs="Times New Roman"/>
                      <w:b/>
                      <w:kern w:val="0"/>
                      <w:szCs w:val="21"/>
                    </w:rPr>
                    <w:t>万件/a</w:t>
                  </w:r>
                  <w:r>
                    <w:rPr>
                      <w:rFonts w:hint="eastAsia" w:ascii="Times New Roman" w:hAnsi="Times New Roman" w:eastAsia="宋体" w:cs="Times New Roman"/>
                      <w:b/>
                      <w:kern w:val="0"/>
                      <w:szCs w:val="21"/>
                      <w:lang w:eastAsia="zh-CN"/>
                    </w:rPr>
                    <w:t>）</w:t>
                  </w:r>
                </w:p>
              </w:tc>
              <w:tc>
                <w:tcPr>
                  <w:tcW w:w="584" w:type="pct"/>
                  <w:vAlign w:val="center"/>
                </w:tcPr>
                <w:p w14:paraId="1E3717EC">
                  <w:pPr>
                    <w:widowControl/>
                    <w:spacing w:line="240" w:lineRule="exact"/>
                    <w:ind w:left="-105" w:leftChars="-50" w:right="-105" w:rightChars="-50"/>
                    <w:jc w:val="center"/>
                    <w:rPr>
                      <w:rFonts w:hint="default" w:eastAsia="宋体"/>
                      <w:b/>
                      <w:kern w:val="0"/>
                      <w:szCs w:val="21"/>
                      <w:lang w:val="en-US" w:eastAsia="zh-CN"/>
                    </w:rPr>
                  </w:pPr>
                  <w:r>
                    <w:rPr>
                      <w:rFonts w:hint="eastAsia"/>
                      <w:b/>
                      <w:kern w:val="0"/>
                      <w:szCs w:val="21"/>
                      <w:lang w:val="en-US" w:eastAsia="zh-CN"/>
                    </w:rPr>
                    <w:t>重量（t）</w:t>
                  </w:r>
                </w:p>
              </w:tc>
              <w:tc>
                <w:tcPr>
                  <w:tcW w:w="716" w:type="pct"/>
                  <w:vAlign w:val="center"/>
                </w:tcPr>
                <w:p w14:paraId="76DEBED4">
                  <w:pPr>
                    <w:widowControl/>
                    <w:spacing w:line="240" w:lineRule="exact"/>
                    <w:ind w:left="-105" w:leftChars="-50" w:right="-105" w:rightChars="-50"/>
                    <w:jc w:val="center"/>
                    <w:rPr>
                      <w:b/>
                      <w:kern w:val="0"/>
                      <w:szCs w:val="21"/>
                    </w:rPr>
                  </w:pPr>
                  <w:r>
                    <w:rPr>
                      <w:rFonts w:hint="eastAsia"/>
                      <w:b/>
                      <w:kern w:val="0"/>
                      <w:szCs w:val="21"/>
                    </w:rPr>
                    <w:t>年运行时数</w:t>
                  </w:r>
                </w:p>
              </w:tc>
            </w:tr>
            <w:tr w14:paraId="5447DD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8" w:type="pct"/>
                  <w:vAlign w:val="center"/>
                </w:tcPr>
                <w:p w14:paraId="3FED11DA">
                  <w:pPr>
                    <w:widowControl/>
                    <w:jc w:val="center"/>
                    <w:textAlignment w:val="center"/>
                    <w:rPr>
                      <w:kern w:val="0"/>
                      <w:szCs w:val="21"/>
                    </w:rPr>
                  </w:pPr>
                  <w:r>
                    <w:rPr>
                      <w:rFonts w:hint="eastAsia"/>
                      <w:kern w:val="0"/>
                      <w:szCs w:val="21"/>
                    </w:rPr>
                    <w:t>1</w:t>
                  </w:r>
                </w:p>
              </w:tc>
              <w:tc>
                <w:tcPr>
                  <w:tcW w:w="1024" w:type="pct"/>
                  <w:vAlign w:val="center"/>
                </w:tcPr>
                <w:p w14:paraId="15FA56BB">
                  <w:pPr>
                    <w:spacing w:line="400" w:lineRule="exact"/>
                    <w:jc w:val="center"/>
                    <w:rPr>
                      <w:rFonts w:hint="eastAsia" w:ascii="宋体" w:hAnsi="宋体"/>
                      <w:sz w:val="18"/>
                      <w:szCs w:val="18"/>
                    </w:rPr>
                  </w:pPr>
                  <w:r>
                    <w:rPr>
                      <w:rFonts w:hint="eastAsia" w:ascii="宋体" w:hAnsi="宋体"/>
                      <w:sz w:val="18"/>
                      <w:szCs w:val="18"/>
                    </w:rPr>
                    <w:t>中央扶手</w:t>
                  </w:r>
                </w:p>
              </w:tc>
              <w:tc>
                <w:tcPr>
                  <w:tcW w:w="899" w:type="pct"/>
                  <w:vAlign w:val="center"/>
                </w:tcPr>
                <w:p w14:paraId="7E5D57B6">
                  <w:pPr>
                    <w:widowControl/>
                    <w:jc w:val="center"/>
                    <w:rPr>
                      <w:rFonts w:hint="eastAsia" w:ascii="宋体" w:hAnsi="宋体" w:eastAsia="宋体"/>
                      <w:sz w:val="18"/>
                      <w:szCs w:val="18"/>
                      <w:lang w:eastAsia="zh-CN"/>
                    </w:rPr>
                  </w:pPr>
                  <w:r>
                    <w:rPr>
                      <w:rFonts w:hint="eastAsia" w:ascii="宋体" w:hAnsi="宋体"/>
                      <w:sz w:val="18"/>
                      <w:szCs w:val="18"/>
                    </w:rPr>
                    <w:t>350*200*80</w:t>
                  </w:r>
                </w:p>
              </w:tc>
              <w:tc>
                <w:tcPr>
                  <w:tcW w:w="1327" w:type="dxa"/>
                  <w:vAlign w:val="center"/>
                </w:tcPr>
                <w:p w14:paraId="7B3295EA">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270</w:t>
                  </w:r>
                </w:p>
              </w:tc>
              <w:tc>
                <w:tcPr>
                  <w:tcW w:w="687" w:type="pct"/>
                  <w:vAlign w:val="center"/>
                </w:tcPr>
                <w:p w14:paraId="7BB08B1E">
                  <w:pPr>
                    <w:jc w:val="center"/>
                  </w:pPr>
                  <w:r>
                    <w:rPr>
                      <w:rFonts w:hint="eastAsia"/>
                      <w:kern w:val="0"/>
                      <w:szCs w:val="21"/>
                    </w:rPr>
                    <w:t>3</w:t>
                  </w:r>
                  <w:r>
                    <w:rPr>
                      <w:kern w:val="0"/>
                      <w:szCs w:val="21"/>
                    </w:rPr>
                    <w:t>0</w:t>
                  </w:r>
                </w:p>
              </w:tc>
              <w:tc>
                <w:tcPr>
                  <w:tcW w:w="981" w:type="dxa"/>
                  <w:vAlign w:val="center"/>
                </w:tcPr>
                <w:p w14:paraId="08B48404">
                  <w:pPr>
                    <w:keepNext w:val="0"/>
                    <w:keepLines w:val="0"/>
                    <w:widowControl/>
                    <w:suppressLineNumbers w:val="0"/>
                    <w:jc w:val="center"/>
                    <w:textAlignment w:val="center"/>
                    <w:rPr>
                      <w:rFonts w:hint="default"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81</w:t>
                  </w:r>
                </w:p>
              </w:tc>
              <w:tc>
                <w:tcPr>
                  <w:tcW w:w="716" w:type="pct"/>
                  <w:vMerge w:val="restart"/>
                  <w:vAlign w:val="center"/>
                </w:tcPr>
                <w:p w14:paraId="225AC84D">
                  <w:pPr>
                    <w:jc w:val="center"/>
                  </w:pPr>
                  <w:r>
                    <w:rPr>
                      <w:rFonts w:hint="eastAsia"/>
                    </w:rPr>
                    <w:t>4800h</w:t>
                  </w:r>
                </w:p>
              </w:tc>
            </w:tr>
            <w:tr w14:paraId="35AF7B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98" w:type="pct"/>
                  <w:vAlign w:val="center"/>
                </w:tcPr>
                <w:p w14:paraId="765D0146">
                  <w:pPr>
                    <w:widowControl/>
                    <w:jc w:val="center"/>
                    <w:textAlignment w:val="center"/>
                    <w:rPr>
                      <w:kern w:val="0"/>
                      <w:szCs w:val="21"/>
                    </w:rPr>
                  </w:pPr>
                  <w:r>
                    <w:rPr>
                      <w:rFonts w:hint="eastAsia"/>
                      <w:kern w:val="0"/>
                      <w:szCs w:val="21"/>
                    </w:rPr>
                    <w:t>2</w:t>
                  </w:r>
                </w:p>
              </w:tc>
              <w:tc>
                <w:tcPr>
                  <w:tcW w:w="1024" w:type="pct"/>
                  <w:vAlign w:val="center"/>
                </w:tcPr>
                <w:p w14:paraId="59AE461F">
                  <w:pPr>
                    <w:spacing w:line="400" w:lineRule="exact"/>
                    <w:jc w:val="center"/>
                    <w:rPr>
                      <w:rFonts w:hint="eastAsia" w:ascii="宋体" w:hAnsi="宋体"/>
                      <w:sz w:val="18"/>
                      <w:szCs w:val="18"/>
                    </w:rPr>
                  </w:pPr>
                  <w:r>
                    <w:rPr>
                      <w:rFonts w:hint="eastAsia" w:ascii="宋体" w:hAnsi="宋体"/>
                      <w:sz w:val="18"/>
                      <w:szCs w:val="18"/>
                    </w:rPr>
                    <w:t>中间饰板</w:t>
                  </w:r>
                </w:p>
              </w:tc>
              <w:tc>
                <w:tcPr>
                  <w:tcW w:w="899" w:type="pct"/>
                  <w:vAlign w:val="center"/>
                </w:tcPr>
                <w:p w14:paraId="57819F67">
                  <w:pPr>
                    <w:jc w:val="center"/>
                    <w:rPr>
                      <w:rFonts w:ascii="宋体" w:hAnsi="宋体"/>
                      <w:sz w:val="18"/>
                      <w:szCs w:val="18"/>
                    </w:rPr>
                  </w:pPr>
                  <w:r>
                    <w:rPr>
                      <w:rFonts w:hint="eastAsia" w:ascii="宋体" w:hAnsi="宋体"/>
                      <w:sz w:val="18"/>
                      <w:szCs w:val="18"/>
                    </w:rPr>
                    <w:t>800*270*60</w:t>
                  </w:r>
                </w:p>
              </w:tc>
              <w:tc>
                <w:tcPr>
                  <w:tcW w:w="1327" w:type="dxa"/>
                  <w:vAlign w:val="center"/>
                </w:tcPr>
                <w:p w14:paraId="1D09EB9F">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350</w:t>
                  </w:r>
                </w:p>
              </w:tc>
              <w:tc>
                <w:tcPr>
                  <w:tcW w:w="687" w:type="pct"/>
                  <w:vAlign w:val="center"/>
                </w:tcPr>
                <w:p w14:paraId="35E11AEC">
                  <w:pPr>
                    <w:jc w:val="center"/>
                  </w:pPr>
                  <w:r>
                    <w:rPr>
                      <w:rFonts w:hint="eastAsia"/>
                      <w:kern w:val="0"/>
                      <w:szCs w:val="21"/>
                    </w:rPr>
                    <w:t>3</w:t>
                  </w:r>
                  <w:r>
                    <w:rPr>
                      <w:kern w:val="0"/>
                      <w:szCs w:val="21"/>
                    </w:rPr>
                    <w:t>0</w:t>
                  </w:r>
                </w:p>
              </w:tc>
              <w:tc>
                <w:tcPr>
                  <w:tcW w:w="981" w:type="dxa"/>
                  <w:vAlign w:val="center"/>
                </w:tcPr>
                <w:p w14:paraId="643DAFA5">
                  <w:pPr>
                    <w:keepNext w:val="0"/>
                    <w:keepLines w:val="0"/>
                    <w:widowControl/>
                    <w:suppressLineNumbers w:val="0"/>
                    <w:jc w:val="center"/>
                    <w:textAlignment w:val="center"/>
                    <w:rPr>
                      <w:rFonts w:hint="default"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105</w:t>
                  </w:r>
                </w:p>
              </w:tc>
              <w:tc>
                <w:tcPr>
                  <w:tcW w:w="716" w:type="pct"/>
                  <w:vMerge w:val="continue"/>
                  <w:vAlign w:val="center"/>
                </w:tcPr>
                <w:p w14:paraId="2E2CB234">
                  <w:pPr>
                    <w:jc w:val="center"/>
                  </w:pPr>
                </w:p>
              </w:tc>
            </w:tr>
            <w:tr w14:paraId="773534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16" w:hRule="atLeast"/>
                <w:jc w:val="center"/>
              </w:trPr>
              <w:tc>
                <w:tcPr>
                  <w:tcW w:w="298" w:type="pct"/>
                  <w:vAlign w:val="center"/>
                </w:tcPr>
                <w:p w14:paraId="7B7E35C7">
                  <w:pPr>
                    <w:widowControl/>
                    <w:jc w:val="center"/>
                    <w:textAlignment w:val="center"/>
                    <w:rPr>
                      <w:kern w:val="0"/>
                      <w:szCs w:val="21"/>
                    </w:rPr>
                  </w:pPr>
                  <w:r>
                    <w:rPr>
                      <w:rFonts w:hint="eastAsia"/>
                      <w:kern w:val="0"/>
                      <w:szCs w:val="21"/>
                    </w:rPr>
                    <w:t>3</w:t>
                  </w:r>
                </w:p>
              </w:tc>
              <w:tc>
                <w:tcPr>
                  <w:tcW w:w="1024" w:type="pct"/>
                  <w:vAlign w:val="center"/>
                </w:tcPr>
                <w:p w14:paraId="11A01049">
                  <w:pPr>
                    <w:spacing w:line="400" w:lineRule="exact"/>
                    <w:jc w:val="center"/>
                    <w:rPr>
                      <w:rFonts w:hint="eastAsia" w:ascii="宋体" w:hAnsi="宋体"/>
                      <w:sz w:val="18"/>
                      <w:szCs w:val="18"/>
                    </w:rPr>
                  </w:pPr>
                  <w:r>
                    <w:rPr>
                      <w:rFonts w:hint="eastAsia" w:ascii="宋体" w:hAnsi="宋体"/>
                      <w:sz w:val="18"/>
                      <w:szCs w:val="18"/>
                    </w:rPr>
                    <w:t>门板扶手</w:t>
                  </w:r>
                </w:p>
              </w:tc>
              <w:tc>
                <w:tcPr>
                  <w:tcW w:w="899" w:type="pct"/>
                  <w:vAlign w:val="center"/>
                </w:tcPr>
                <w:p w14:paraId="0658AA3E">
                  <w:pPr>
                    <w:jc w:val="center"/>
                    <w:rPr>
                      <w:rFonts w:ascii="宋体" w:hAnsi="宋体"/>
                      <w:sz w:val="18"/>
                      <w:szCs w:val="18"/>
                    </w:rPr>
                  </w:pPr>
                  <w:r>
                    <w:rPr>
                      <w:rFonts w:hint="eastAsia" w:ascii="宋体" w:hAnsi="宋体"/>
                      <w:sz w:val="18"/>
                      <w:szCs w:val="18"/>
                    </w:rPr>
                    <w:t>600*150*150</w:t>
                  </w:r>
                </w:p>
              </w:tc>
              <w:tc>
                <w:tcPr>
                  <w:tcW w:w="1327" w:type="dxa"/>
                  <w:vAlign w:val="center"/>
                </w:tcPr>
                <w:p w14:paraId="31C8D358">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220</w:t>
                  </w:r>
                </w:p>
              </w:tc>
              <w:tc>
                <w:tcPr>
                  <w:tcW w:w="687" w:type="pct"/>
                  <w:vAlign w:val="center"/>
                </w:tcPr>
                <w:p w14:paraId="66967205">
                  <w:pPr>
                    <w:jc w:val="center"/>
                  </w:pPr>
                  <w:r>
                    <w:rPr>
                      <w:rFonts w:hint="eastAsia"/>
                      <w:kern w:val="0"/>
                      <w:szCs w:val="21"/>
                    </w:rPr>
                    <w:t>1</w:t>
                  </w:r>
                  <w:r>
                    <w:rPr>
                      <w:kern w:val="0"/>
                      <w:szCs w:val="21"/>
                    </w:rPr>
                    <w:t>0</w:t>
                  </w:r>
                </w:p>
              </w:tc>
              <w:tc>
                <w:tcPr>
                  <w:tcW w:w="981" w:type="dxa"/>
                  <w:vAlign w:val="center"/>
                </w:tcPr>
                <w:p w14:paraId="6F34F741">
                  <w:pPr>
                    <w:keepNext w:val="0"/>
                    <w:keepLines w:val="0"/>
                    <w:widowControl/>
                    <w:suppressLineNumbers w:val="0"/>
                    <w:jc w:val="center"/>
                    <w:textAlignment w:val="center"/>
                    <w:rPr>
                      <w:rFonts w:hint="eastAsia"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716" w:type="pct"/>
                  <w:vMerge w:val="continue"/>
                  <w:vAlign w:val="center"/>
                </w:tcPr>
                <w:p w14:paraId="5D2C4EFB">
                  <w:pPr>
                    <w:jc w:val="center"/>
                  </w:pPr>
                </w:p>
              </w:tc>
            </w:tr>
            <w:tr w14:paraId="74741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98" w:type="pct"/>
                  <w:vAlign w:val="center"/>
                </w:tcPr>
                <w:p w14:paraId="5CF2F014">
                  <w:pPr>
                    <w:widowControl/>
                    <w:jc w:val="center"/>
                    <w:textAlignment w:val="center"/>
                    <w:rPr>
                      <w:kern w:val="0"/>
                      <w:szCs w:val="21"/>
                    </w:rPr>
                  </w:pPr>
                  <w:r>
                    <w:rPr>
                      <w:rFonts w:hint="eastAsia"/>
                      <w:kern w:val="0"/>
                      <w:szCs w:val="21"/>
                    </w:rPr>
                    <w:t>4</w:t>
                  </w:r>
                </w:p>
              </w:tc>
              <w:tc>
                <w:tcPr>
                  <w:tcW w:w="1024" w:type="pct"/>
                  <w:vAlign w:val="center"/>
                </w:tcPr>
                <w:p w14:paraId="574ADF84">
                  <w:pPr>
                    <w:spacing w:line="400" w:lineRule="exact"/>
                    <w:jc w:val="center"/>
                    <w:rPr>
                      <w:rFonts w:hint="eastAsia" w:ascii="宋体" w:hAnsi="宋体"/>
                      <w:sz w:val="18"/>
                      <w:szCs w:val="18"/>
                    </w:rPr>
                  </w:pPr>
                  <w:r>
                    <w:rPr>
                      <w:rFonts w:hint="eastAsia" w:ascii="宋体" w:hAnsi="宋体"/>
                      <w:sz w:val="18"/>
                      <w:szCs w:val="18"/>
                    </w:rPr>
                    <w:t>仪表板</w:t>
                  </w:r>
                </w:p>
              </w:tc>
              <w:tc>
                <w:tcPr>
                  <w:tcW w:w="899" w:type="pct"/>
                  <w:vAlign w:val="center"/>
                </w:tcPr>
                <w:p w14:paraId="071CBAE9">
                  <w:pPr>
                    <w:jc w:val="center"/>
                    <w:rPr>
                      <w:rFonts w:ascii="宋体" w:hAnsi="宋体"/>
                      <w:sz w:val="18"/>
                      <w:szCs w:val="18"/>
                    </w:rPr>
                  </w:pPr>
                  <w:r>
                    <w:rPr>
                      <w:rFonts w:hint="eastAsia" w:ascii="宋体" w:hAnsi="宋体"/>
                      <w:sz w:val="18"/>
                      <w:szCs w:val="18"/>
                    </w:rPr>
                    <w:t>600*150*50</w:t>
                  </w:r>
                </w:p>
              </w:tc>
              <w:tc>
                <w:tcPr>
                  <w:tcW w:w="1327" w:type="dxa"/>
                  <w:vAlign w:val="center"/>
                </w:tcPr>
                <w:p w14:paraId="7D099461">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220</w:t>
                  </w:r>
                </w:p>
              </w:tc>
              <w:tc>
                <w:tcPr>
                  <w:tcW w:w="687" w:type="pct"/>
                  <w:vAlign w:val="center"/>
                </w:tcPr>
                <w:p w14:paraId="736D1030">
                  <w:pPr>
                    <w:jc w:val="center"/>
                  </w:pPr>
                  <w:r>
                    <w:rPr>
                      <w:rFonts w:hint="eastAsia"/>
                      <w:kern w:val="0"/>
                      <w:szCs w:val="21"/>
                    </w:rPr>
                    <w:t>1</w:t>
                  </w:r>
                  <w:r>
                    <w:rPr>
                      <w:kern w:val="0"/>
                      <w:szCs w:val="21"/>
                    </w:rPr>
                    <w:t>0</w:t>
                  </w:r>
                </w:p>
              </w:tc>
              <w:tc>
                <w:tcPr>
                  <w:tcW w:w="981" w:type="dxa"/>
                  <w:vAlign w:val="center"/>
                </w:tcPr>
                <w:p w14:paraId="2771A6BE">
                  <w:pPr>
                    <w:keepNext w:val="0"/>
                    <w:keepLines w:val="0"/>
                    <w:widowControl/>
                    <w:suppressLineNumbers w:val="0"/>
                    <w:jc w:val="center"/>
                    <w:textAlignment w:val="center"/>
                    <w:rPr>
                      <w:rFonts w:hint="eastAsia"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716" w:type="pct"/>
                  <w:vMerge w:val="continue"/>
                  <w:vAlign w:val="center"/>
                </w:tcPr>
                <w:p w14:paraId="0302CF8D">
                  <w:pPr>
                    <w:jc w:val="center"/>
                  </w:pPr>
                </w:p>
              </w:tc>
            </w:tr>
            <w:tr w14:paraId="254C23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98" w:type="pct"/>
                  <w:vAlign w:val="center"/>
                </w:tcPr>
                <w:p w14:paraId="00DC4B37">
                  <w:pPr>
                    <w:widowControl/>
                    <w:jc w:val="center"/>
                    <w:textAlignment w:val="center"/>
                    <w:rPr>
                      <w:rFonts w:hint="eastAsia"/>
                      <w:kern w:val="0"/>
                      <w:szCs w:val="21"/>
                    </w:rPr>
                  </w:pPr>
                  <w:r>
                    <w:rPr>
                      <w:rFonts w:hint="eastAsia"/>
                      <w:kern w:val="0"/>
                      <w:szCs w:val="21"/>
                    </w:rPr>
                    <w:t>5</w:t>
                  </w:r>
                </w:p>
              </w:tc>
              <w:tc>
                <w:tcPr>
                  <w:tcW w:w="1024" w:type="pct"/>
                  <w:vAlign w:val="center"/>
                </w:tcPr>
                <w:p w14:paraId="0C113493">
                  <w:pPr>
                    <w:spacing w:line="400" w:lineRule="exact"/>
                    <w:jc w:val="center"/>
                    <w:rPr>
                      <w:rFonts w:hint="eastAsia" w:ascii="宋体" w:hAnsi="宋体"/>
                      <w:sz w:val="18"/>
                      <w:szCs w:val="18"/>
                    </w:rPr>
                  </w:pPr>
                  <w:r>
                    <w:rPr>
                      <w:rFonts w:hint="eastAsia" w:ascii="宋体" w:hAnsi="宋体"/>
                      <w:sz w:val="18"/>
                      <w:szCs w:val="18"/>
                    </w:rPr>
                    <w:t>挂挡球头</w:t>
                  </w:r>
                </w:p>
              </w:tc>
              <w:tc>
                <w:tcPr>
                  <w:tcW w:w="899" w:type="pct"/>
                  <w:vAlign w:val="center"/>
                </w:tcPr>
                <w:p w14:paraId="79394E3B">
                  <w:pPr>
                    <w:jc w:val="center"/>
                    <w:rPr>
                      <w:rFonts w:ascii="宋体" w:hAnsi="宋体"/>
                      <w:sz w:val="18"/>
                      <w:szCs w:val="18"/>
                    </w:rPr>
                  </w:pPr>
                  <w:r>
                    <w:rPr>
                      <w:rFonts w:hint="eastAsia" w:ascii="宋体" w:hAnsi="宋体"/>
                      <w:sz w:val="18"/>
                      <w:szCs w:val="18"/>
                    </w:rPr>
                    <w:t>150*70*15</w:t>
                  </w:r>
                </w:p>
              </w:tc>
              <w:tc>
                <w:tcPr>
                  <w:tcW w:w="1327" w:type="dxa"/>
                  <w:vAlign w:val="center"/>
                </w:tcPr>
                <w:p w14:paraId="1CA3CD2C">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687" w:type="pct"/>
                  <w:vAlign w:val="center"/>
                </w:tcPr>
                <w:p w14:paraId="5673EE22">
                  <w:pPr>
                    <w:jc w:val="center"/>
                    <w:rPr>
                      <w:rFonts w:hint="eastAsia"/>
                    </w:rPr>
                  </w:pPr>
                  <w:r>
                    <w:rPr>
                      <w:rFonts w:hint="eastAsia"/>
                      <w:kern w:val="0"/>
                      <w:szCs w:val="21"/>
                    </w:rPr>
                    <w:t>1</w:t>
                  </w:r>
                  <w:r>
                    <w:rPr>
                      <w:kern w:val="0"/>
                      <w:szCs w:val="21"/>
                    </w:rPr>
                    <w:t>0</w:t>
                  </w:r>
                </w:p>
              </w:tc>
              <w:tc>
                <w:tcPr>
                  <w:tcW w:w="981" w:type="dxa"/>
                  <w:vAlign w:val="center"/>
                </w:tcPr>
                <w:p w14:paraId="36775DDE">
                  <w:pPr>
                    <w:keepNext w:val="0"/>
                    <w:keepLines w:val="0"/>
                    <w:widowControl/>
                    <w:suppressLineNumbers w:val="0"/>
                    <w:jc w:val="center"/>
                    <w:textAlignment w:val="center"/>
                    <w:rPr>
                      <w:rFonts w:hint="default"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716" w:type="pct"/>
                  <w:vMerge w:val="continue"/>
                  <w:vAlign w:val="center"/>
                </w:tcPr>
                <w:p w14:paraId="5A5A3851">
                  <w:pPr>
                    <w:jc w:val="center"/>
                  </w:pPr>
                </w:p>
              </w:tc>
            </w:tr>
            <w:tr w14:paraId="1B9CC0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98" w:type="pct"/>
                  <w:vAlign w:val="center"/>
                </w:tcPr>
                <w:p w14:paraId="34437C26">
                  <w:pPr>
                    <w:widowControl/>
                    <w:jc w:val="center"/>
                    <w:textAlignment w:val="center"/>
                    <w:rPr>
                      <w:rFonts w:hint="eastAsia"/>
                      <w:kern w:val="0"/>
                      <w:szCs w:val="21"/>
                    </w:rPr>
                  </w:pPr>
                  <w:r>
                    <w:rPr>
                      <w:rFonts w:hint="eastAsia"/>
                      <w:kern w:val="0"/>
                      <w:szCs w:val="21"/>
                    </w:rPr>
                    <w:t>6</w:t>
                  </w:r>
                </w:p>
              </w:tc>
              <w:tc>
                <w:tcPr>
                  <w:tcW w:w="1024" w:type="pct"/>
                  <w:vAlign w:val="center"/>
                </w:tcPr>
                <w:p w14:paraId="4E4692C5">
                  <w:pPr>
                    <w:spacing w:line="400" w:lineRule="exact"/>
                    <w:jc w:val="center"/>
                    <w:rPr>
                      <w:rFonts w:hint="eastAsia" w:ascii="宋体" w:hAnsi="宋体"/>
                      <w:sz w:val="18"/>
                      <w:szCs w:val="18"/>
                    </w:rPr>
                  </w:pPr>
                  <w:r>
                    <w:rPr>
                      <w:rFonts w:hint="eastAsia" w:ascii="宋体" w:hAnsi="宋体"/>
                      <w:sz w:val="18"/>
                      <w:szCs w:val="18"/>
                    </w:rPr>
                    <w:t>手刹皮套</w:t>
                  </w:r>
                </w:p>
              </w:tc>
              <w:tc>
                <w:tcPr>
                  <w:tcW w:w="899" w:type="pct"/>
                  <w:vAlign w:val="center"/>
                </w:tcPr>
                <w:p w14:paraId="3B512FC0">
                  <w:pPr>
                    <w:jc w:val="center"/>
                    <w:rPr>
                      <w:rFonts w:ascii="宋体" w:hAnsi="宋体"/>
                      <w:sz w:val="18"/>
                      <w:szCs w:val="18"/>
                    </w:rPr>
                  </w:pPr>
                  <w:r>
                    <w:rPr>
                      <w:rFonts w:hint="eastAsia" w:ascii="宋体" w:hAnsi="宋体"/>
                      <w:sz w:val="18"/>
                      <w:szCs w:val="18"/>
                    </w:rPr>
                    <w:t>350*70*25</w:t>
                  </w:r>
                </w:p>
              </w:tc>
              <w:tc>
                <w:tcPr>
                  <w:tcW w:w="1327" w:type="dxa"/>
                  <w:vAlign w:val="center"/>
                </w:tcPr>
                <w:p w14:paraId="40C4BBEC">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687" w:type="pct"/>
                  <w:vAlign w:val="center"/>
                </w:tcPr>
                <w:p w14:paraId="4382E271">
                  <w:pPr>
                    <w:jc w:val="center"/>
                    <w:rPr>
                      <w:rFonts w:hint="eastAsia"/>
                    </w:rPr>
                  </w:pPr>
                  <w:r>
                    <w:rPr>
                      <w:rFonts w:hint="eastAsia"/>
                      <w:kern w:val="0"/>
                      <w:szCs w:val="21"/>
                    </w:rPr>
                    <w:t>1</w:t>
                  </w:r>
                  <w:r>
                    <w:rPr>
                      <w:kern w:val="0"/>
                      <w:szCs w:val="21"/>
                    </w:rPr>
                    <w:t>0</w:t>
                  </w:r>
                </w:p>
              </w:tc>
              <w:tc>
                <w:tcPr>
                  <w:tcW w:w="981" w:type="dxa"/>
                  <w:vAlign w:val="center"/>
                </w:tcPr>
                <w:p w14:paraId="1611BF66">
                  <w:pPr>
                    <w:keepNext w:val="0"/>
                    <w:keepLines w:val="0"/>
                    <w:widowControl/>
                    <w:suppressLineNumbers w:val="0"/>
                    <w:jc w:val="center"/>
                    <w:textAlignment w:val="center"/>
                    <w:rPr>
                      <w:rFonts w:hint="default"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716" w:type="pct"/>
                  <w:vMerge w:val="continue"/>
                  <w:vAlign w:val="center"/>
                </w:tcPr>
                <w:p w14:paraId="5D7E220B">
                  <w:pPr>
                    <w:jc w:val="center"/>
                  </w:pPr>
                </w:p>
              </w:tc>
            </w:tr>
            <w:tr w14:paraId="6171B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98" w:type="pct"/>
                  <w:vAlign w:val="center"/>
                </w:tcPr>
                <w:p w14:paraId="2607A2A9">
                  <w:pPr>
                    <w:widowControl/>
                    <w:jc w:val="center"/>
                    <w:textAlignment w:val="center"/>
                    <w:rPr>
                      <w:rFonts w:hint="eastAsia"/>
                      <w:kern w:val="0"/>
                      <w:szCs w:val="21"/>
                    </w:rPr>
                  </w:pPr>
                  <w:r>
                    <w:rPr>
                      <w:rFonts w:hint="eastAsia"/>
                      <w:kern w:val="0"/>
                      <w:szCs w:val="21"/>
                    </w:rPr>
                    <w:t>7</w:t>
                  </w:r>
                </w:p>
              </w:tc>
              <w:tc>
                <w:tcPr>
                  <w:tcW w:w="1024" w:type="pct"/>
                  <w:vAlign w:val="center"/>
                </w:tcPr>
                <w:p w14:paraId="1361DA15">
                  <w:pPr>
                    <w:spacing w:line="400" w:lineRule="exact"/>
                    <w:jc w:val="center"/>
                    <w:rPr>
                      <w:rFonts w:hint="eastAsia" w:ascii="宋体" w:hAnsi="宋体"/>
                      <w:sz w:val="18"/>
                      <w:szCs w:val="18"/>
                    </w:rPr>
                  </w:pPr>
                  <w:r>
                    <w:rPr>
                      <w:rFonts w:hint="eastAsia" w:ascii="宋体" w:hAnsi="宋体"/>
                      <w:sz w:val="18"/>
                      <w:szCs w:val="18"/>
                    </w:rPr>
                    <w:t>头枕皮套</w:t>
                  </w:r>
                </w:p>
              </w:tc>
              <w:tc>
                <w:tcPr>
                  <w:tcW w:w="899" w:type="pct"/>
                  <w:vAlign w:val="center"/>
                </w:tcPr>
                <w:p w14:paraId="688FDACB">
                  <w:pPr>
                    <w:jc w:val="center"/>
                    <w:rPr>
                      <w:rFonts w:ascii="宋体" w:hAnsi="宋体"/>
                      <w:sz w:val="18"/>
                      <w:szCs w:val="18"/>
                    </w:rPr>
                  </w:pPr>
                  <w:r>
                    <w:rPr>
                      <w:rFonts w:hint="eastAsia" w:ascii="宋体" w:hAnsi="宋体"/>
                      <w:sz w:val="18"/>
                      <w:szCs w:val="18"/>
                    </w:rPr>
                    <w:t>350*240*80</w:t>
                  </w:r>
                </w:p>
              </w:tc>
              <w:tc>
                <w:tcPr>
                  <w:tcW w:w="1327" w:type="dxa"/>
                  <w:vAlign w:val="center"/>
                </w:tcPr>
                <w:p w14:paraId="35B4D746">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687" w:type="pct"/>
                  <w:vAlign w:val="center"/>
                </w:tcPr>
                <w:p w14:paraId="66613D0E">
                  <w:pPr>
                    <w:jc w:val="center"/>
                    <w:rPr>
                      <w:rFonts w:hint="eastAsia"/>
                    </w:rPr>
                  </w:pPr>
                  <w:r>
                    <w:rPr>
                      <w:rFonts w:hint="eastAsia"/>
                      <w:kern w:val="0"/>
                      <w:szCs w:val="21"/>
                    </w:rPr>
                    <w:t>3</w:t>
                  </w:r>
                  <w:r>
                    <w:rPr>
                      <w:kern w:val="0"/>
                      <w:szCs w:val="21"/>
                    </w:rPr>
                    <w:t>0</w:t>
                  </w:r>
                </w:p>
              </w:tc>
              <w:tc>
                <w:tcPr>
                  <w:tcW w:w="981" w:type="dxa"/>
                  <w:vAlign w:val="center"/>
                </w:tcPr>
                <w:p w14:paraId="75408732">
                  <w:pPr>
                    <w:keepNext w:val="0"/>
                    <w:keepLines w:val="0"/>
                    <w:widowControl/>
                    <w:suppressLineNumbers w:val="0"/>
                    <w:jc w:val="center"/>
                    <w:textAlignment w:val="center"/>
                    <w:rPr>
                      <w:rFonts w:hint="eastAsia"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716" w:type="pct"/>
                  <w:vMerge w:val="continue"/>
                  <w:vAlign w:val="center"/>
                </w:tcPr>
                <w:p w14:paraId="5EE79183">
                  <w:pPr>
                    <w:jc w:val="center"/>
                  </w:pPr>
                </w:p>
              </w:tc>
            </w:tr>
            <w:tr w14:paraId="6109BD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98" w:type="pct"/>
                  <w:vAlign w:val="center"/>
                </w:tcPr>
                <w:p w14:paraId="40CDECBC">
                  <w:pPr>
                    <w:widowControl/>
                    <w:jc w:val="center"/>
                    <w:textAlignment w:val="center"/>
                    <w:rPr>
                      <w:rFonts w:hint="eastAsia"/>
                      <w:kern w:val="0"/>
                      <w:szCs w:val="21"/>
                    </w:rPr>
                  </w:pPr>
                  <w:r>
                    <w:rPr>
                      <w:rFonts w:hint="eastAsia"/>
                      <w:kern w:val="0"/>
                      <w:szCs w:val="21"/>
                    </w:rPr>
                    <w:t>8</w:t>
                  </w:r>
                </w:p>
              </w:tc>
              <w:tc>
                <w:tcPr>
                  <w:tcW w:w="1024" w:type="pct"/>
                  <w:vAlign w:val="center"/>
                </w:tcPr>
                <w:p w14:paraId="77E392B6">
                  <w:pPr>
                    <w:spacing w:line="400" w:lineRule="exact"/>
                    <w:jc w:val="center"/>
                    <w:rPr>
                      <w:rFonts w:hint="eastAsia" w:ascii="宋体" w:hAnsi="宋体"/>
                      <w:sz w:val="18"/>
                      <w:szCs w:val="18"/>
                    </w:rPr>
                  </w:pPr>
                  <w:r>
                    <w:rPr>
                      <w:rFonts w:hint="eastAsia" w:ascii="宋体" w:hAnsi="宋体"/>
                      <w:sz w:val="18"/>
                      <w:szCs w:val="18"/>
                    </w:rPr>
                    <w:t>座椅皮套</w:t>
                  </w:r>
                </w:p>
              </w:tc>
              <w:tc>
                <w:tcPr>
                  <w:tcW w:w="899" w:type="pct"/>
                  <w:vAlign w:val="center"/>
                </w:tcPr>
                <w:p w14:paraId="0E2302F7">
                  <w:pPr>
                    <w:jc w:val="center"/>
                    <w:rPr>
                      <w:rFonts w:ascii="宋体" w:hAnsi="宋体"/>
                      <w:sz w:val="18"/>
                      <w:szCs w:val="18"/>
                    </w:rPr>
                  </w:pPr>
                  <w:r>
                    <w:rPr>
                      <w:rFonts w:hint="eastAsia" w:ascii="宋体" w:hAnsi="宋体"/>
                      <w:sz w:val="18"/>
                      <w:szCs w:val="18"/>
                    </w:rPr>
                    <w:t>800*650*60</w:t>
                  </w:r>
                </w:p>
              </w:tc>
              <w:tc>
                <w:tcPr>
                  <w:tcW w:w="1327" w:type="dxa"/>
                  <w:vAlign w:val="center"/>
                </w:tcPr>
                <w:p w14:paraId="360CE24F">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687" w:type="pct"/>
                  <w:vAlign w:val="center"/>
                </w:tcPr>
                <w:p w14:paraId="75988642">
                  <w:pPr>
                    <w:jc w:val="center"/>
                    <w:rPr>
                      <w:rFonts w:hint="eastAsia"/>
                    </w:rPr>
                  </w:pPr>
                  <w:r>
                    <w:rPr>
                      <w:rFonts w:hint="eastAsia"/>
                      <w:kern w:val="0"/>
                      <w:szCs w:val="21"/>
                    </w:rPr>
                    <w:t>2</w:t>
                  </w:r>
                  <w:r>
                    <w:rPr>
                      <w:kern w:val="0"/>
                      <w:szCs w:val="21"/>
                    </w:rPr>
                    <w:t>0</w:t>
                  </w:r>
                </w:p>
              </w:tc>
              <w:tc>
                <w:tcPr>
                  <w:tcW w:w="981" w:type="dxa"/>
                  <w:vAlign w:val="center"/>
                </w:tcPr>
                <w:p w14:paraId="21AE425D">
                  <w:pPr>
                    <w:keepNext w:val="0"/>
                    <w:keepLines w:val="0"/>
                    <w:widowControl/>
                    <w:suppressLineNumbers w:val="0"/>
                    <w:jc w:val="center"/>
                    <w:textAlignment w:val="center"/>
                    <w:rPr>
                      <w:rFonts w:hint="default"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200</w:t>
                  </w:r>
                </w:p>
              </w:tc>
              <w:tc>
                <w:tcPr>
                  <w:tcW w:w="716" w:type="pct"/>
                  <w:vMerge w:val="continue"/>
                  <w:vAlign w:val="center"/>
                </w:tcPr>
                <w:p w14:paraId="2FF82BF8">
                  <w:pPr>
                    <w:jc w:val="center"/>
                  </w:pPr>
                </w:p>
              </w:tc>
            </w:tr>
            <w:tr w14:paraId="4B8F85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222" w:type="pct"/>
                  <w:gridSpan w:val="3"/>
                  <w:vAlign w:val="center"/>
                </w:tcPr>
                <w:p w14:paraId="5DAB265D">
                  <w:pPr>
                    <w:widowControl/>
                    <w:jc w:val="center"/>
                    <w:textAlignment w:val="center"/>
                    <w:rPr>
                      <w:kern w:val="0"/>
                      <w:szCs w:val="21"/>
                    </w:rPr>
                  </w:pPr>
                  <w:r>
                    <w:rPr>
                      <w:rFonts w:hint="eastAsia"/>
                      <w:kern w:val="0"/>
                      <w:szCs w:val="21"/>
                    </w:rPr>
                    <w:t>合计</w:t>
                  </w:r>
                </w:p>
              </w:tc>
              <w:tc>
                <w:tcPr>
                  <w:tcW w:w="790" w:type="pct"/>
                  <w:vAlign w:val="center"/>
                </w:tcPr>
                <w:p w14:paraId="4A454B3F">
                  <w:pPr>
                    <w:jc w:val="center"/>
                    <w:rPr>
                      <w:rFonts w:hint="eastAsia"/>
                      <w:kern w:val="0"/>
                      <w:szCs w:val="21"/>
                    </w:rPr>
                  </w:pPr>
                </w:p>
              </w:tc>
              <w:tc>
                <w:tcPr>
                  <w:tcW w:w="687" w:type="pct"/>
                  <w:vAlign w:val="center"/>
                </w:tcPr>
                <w:p w14:paraId="6E000B89">
                  <w:pPr>
                    <w:jc w:val="center"/>
                  </w:pPr>
                  <w:r>
                    <w:rPr>
                      <w:rFonts w:hint="eastAsia"/>
                      <w:kern w:val="0"/>
                      <w:szCs w:val="21"/>
                    </w:rPr>
                    <w:t>1</w:t>
                  </w:r>
                  <w:r>
                    <w:rPr>
                      <w:kern w:val="0"/>
                      <w:szCs w:val="21"/>
                    </w:rPr>
                    <w:t>50</w:t>
                  </w:r>
                </w:p>
              </w:tc>
              <w:tc>
                <w:tcPr>
                  <w:tcW w:w="981" w:type="dxa"/>
                  <w:vAlign w:val="center"/>
                </w:tcPr>
                <w:p w14:paraId="73C410CC">
                  <w:pPr>
                    <w:keepNext w:val="0"/>
                    <w:keepLines w:val="0"/>
                    <w:widowControl/>
                    <w:suppressLineNumbers w:val="0"/>
                    <w:jc w:val="center"/>
                    <w:textAlignment w:val="center"/>
                    <w:rPr>
                      <w:rFonts w:hint="default" w:eastAsia="宋体"/>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480</w:t>
                  </w:r>
                </w:p>
              </w:tc>
              <w:tc>
                <w:tcPr>
                  <w:tcW w:w="716" w:type="pct"/>
                  <w:vMerge w:val="continue"/>
                </w:tcPr>
                <w:p w14:paraId="2A29F79B">
                  <w:pPr>
                    <w:jc w:val="center"/>
                  </w:pPr>
                </w:p>
              </w:tc>
            </w:tr>
          </w:tbl>
          <w:p w14:paraId="5158C78C">
            <w:pPr>
              <w:adjustRightInd w:val="0"/>
              <w:snapToGrid w:val="0"/>
              <w:spacing w:line="360" w:lineRule="auto"/>
              <w:ind w:firstLine="482" w:firstLineChars="200"/>
              <w:rPr>
                <w:b/>
                <w:bCs/>
                <w:sz w:val="24"/>
              </w:rPr>
            </w:pPr>
          </w:p>
          <w:p w14:paraId="770F05DC">
            <w:pPr>
              <w:adjustRightInd w:val="0"/>
              <w:snapToGrid w:val="0"/>
              <w:spacing w:line="360" w:lineRule="auto"/>
              <w:ind w:firstLine="482" w:firstLineChars="200"/>
              <w:rPr>
                <w:b/>
                <w:bCs/>
                <w:sz w:val="24"/>
              </w:rPr>
            </w:pPr>
            <w:r>
              <w:rPr>
                <w:b/>
                <w:bCs/>
                <w:sz w:val="24"/>
              </w:rPr>
              <w:t>3、</w:t>
            </w:r>
            <w:r>
              <w:rPr>
                <w:rFonts w:hint="eastAsia"/>
                <w:b/>
                <w:bCs/>
                <w:sz w:val="24"/>
              </w:rPr>
              <w:t>项目</w:t>
            </w:r>
            <w:r>
              <w:rPr>
                <w:b/>
                <w:bCs/>
                <w:sz w:val="24"/>
              </w:rPr>
              <w:t>建设内容</w:t>
            </w:r>
          </w:p>
          <w:p w14:paraId="24EE5797">
            <w:pPr>
              <w:adjustRightInd w:val="0"/>
              <w:snapToGrid w:val="0"/>
              <w:spacing w:line="360" w:lineRule="auto"/>
              <w:ind w:firstLine="480" w:firstLineChars="200"/>
            </w:pPr>
            <w:r>
              <w:rPr>
                <w:sz w:val="24"/>
              </w:rPr>
              <w:t>项目主要建设内容及规模见表2-4。</w:t>
            </w:r>
          </w:p>
          <w:p w14:paraId="532D746B">
            <w:pPr>
              <w:jc w:val="center"/>
              <w:rPr>
                <w:b/>
                <w:sz w:val="24"/>
              </w:rPr>
            </w:pPr>
            <w:r>
              <w:rPr>
                <w:b/>
                <w:sz w:val="24"/>
              </w:rPr>
              <w:t>表2-4  建设项目组成情况一览表</w:t>
            </w:r>
          </w:p>
          <w:tbl>
            <w:tblPr>
              <w:tblStyle w:val="29"/>
              <w:tblW w:w="84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681"/>
              <w:gridCol w:w="900"/>
              <w:gridCol w:w="649"/>
              <w:gridCol w:w="447"/>
              <w:gridCol w:w="4377"/>
              <w:gridCol w:w="688"/>
            </w:tblGrid>
            <w:tr w14:paraId="54465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tcBorders>
                    <w:left w:val="nil"/>
                    <w:bottom w:val="single" w:color="auto" w:sz="4" w:space="0"/>
                    <w:right w:val="nil"/>
                  </w:tcBorders>
                  <w:vAlign w:val="center"/>
                </w:tcPr>
                <w:p w14:paraId="61041A78">
                  <w:pPr>
                    <w:adjustRightInd w:val="0"/>
                    <w:snapToGrid w:val="0"/>
                    <w:jc w:val="center"/>
                    <w:rPr>
                      <w:rFonts w:hAnsi="宋体"/>
                      <w:b/>
                      <w:kern w:val="24"/>
                      <w:szCs w:val="21"/>
                    </w:rPr>
                  </w:pPr>
                  <w:r>
                    <w:rPr>
                      <w:rFonts w:hint="eastAsia" w:hAnsi="宋体"/>
                      <w:b/>
                      <w:kern w:val="24"/>
                      <w:szCs w:val="21"/>
                    </w:rPr>
                    <w:t>工程类别</w:t>
                  </w:r>
                </w:p>
              </w:tc>
              <w:tc>
                <w:tcPr>
                  <w:tcW w:w="933" w:type="pct"/>
                  <w:gridSpan w:val="2"/>
                  <w:tcBorders>
                    <w:left w:val="nil"/>
                    <w:bottom w:val="single" w:color="auto" w:sz="4" w:space="0"/>
                  </w:tcBorders>
                  <w:vAlign w:val="center"/>
                </w:tcPr>
                <w:p w14:paraId="683830F8">
                  <w:pPr>
                    <w:adjustRightInd w:val="0"/>
                    <w:snapToGrid w:val="0"/>
                    <w:jc w:val="center"/>
                    <w:rPr>
                      <w:rFonts w:hAnsi="宋体"/>
                      <w:b/>
                      <w:kern w:val="24"/>
                      <w:szCs w:val="21"/>
                    </w:rPr>
                  </w:pPr>
                  <w:r>
                    <w:rPr>
                      <w:rFonts w:hint="eastAsia" w:hAnsi="宋体"/>
                      <w:b/>
                      <w:kern w:val="24"/>
                      <w:szCs w:val="21"/>
                    </w:rPr>
                    <w:t>单项</w:t>
                  </w:r>
                  <w:r>
                    <w:rPr>
                      <w:rFonts w:hAnsi="宋体"/>
                      <w:b/>
                      <w:kern w:val="24"/>
                      <w:szCs w:val="21"/>
                    </w:rPr>
                    <w:t>工程名称</w:t>
                  </w:r>
                </w:p>
              </w:tc>
              <w:tc>
                <w:tcPr>
                  <w:tcW w:w="3230" w:type="pct"/>
                  <w:gridSpan w:val="3"/>
                  <w:tcBorders>
                    <w:bottom w:val="single" w:color="auto" w:sz="4" w:space="0"/>
                  </w:tcBorders>
                  <w:vAlign w:val="center"/>
                </w:tcPr>
                <w:p w14:paraId="5DCA945C">
                  <w:pPr>
                    <w:adjustRightInd w:val="0"/>
                    <w:snapToGrid w:val="0"/>
                    <w:jc w:val="center"/>
                    <w:rPr>
                      <w:rFonts w:hAnsi="宋体"/>
                      <w:b/>
                      <w:kern w:val="24"/>
                      <w:szCs w:val="21"/>
                    </w:rPr>
                  </w:pPr>
                  <w:r>
                    <w:rPr>
                      <w:rFonts w:hint="eastAsia" w:hAnsi="宋体"/>
                      <w:b/>
                      <w:kern w:val="24"/>
                      <w:szCs w:val="21"/>
                    </w:rPr>
                    <w:t>建设内容及规模</w:t>
                  </w:r>
                </w:p>
              </w:tc>
              <w:tc>
                <w:tcPr>
                  <w:tcW w:w="406" w:type="pct"/>
                  <w:tcBorders>
                    <w:bottom w:val="single" w:color="auto" w:sz="4" w:space="0"/>
                    <w:right w:val="nil"/>
                  </w:tcBorders>
                  <w:vAlign w:val="center"/>
                </w:tcPr>
                <w:p w14:paraId="174AE3A2">
                  <w:pPr>
                    <w:adjustRightInd w:val="0"/>
                    <w:snapToGrid w:val="0"/>
                    <w:jc w:val="center"/>
                    <w:rPr>
                      <w:rFonts w:hAnsi="宋体"/>
                      <w:b/>
                      <w:kern w:val="24"/>
                      <w:szCs w:val="21"/>
                    </w:rPr>
                  </w:pPr>
                  <w:r>
                    <w:rPr>
                      <w:rFonts w:hint="eastAsia" w:hAnsi="宋体"/>
                      <w:b/>
                      <w:kern w:val="24"/>
                      <w:szCs w:val="21"/>
                    </w:rPr>
                    <w:t>依托关系</w:t>
                  </w:r>
                </w:p>
              </w:tc>
            </w:tr>
            <w:tr w14:paraId="0C264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430" w:type="pct"/>
                  <w:tcBorders>
                    <w:left w:val="nil"/>
                  </w:tcBorders>
                  <w:vAlign w:val="center"/>
                </w:tcPr>
                <w:p w14:paraId="4E7153A0">
                  <w:pPr>
                    <w:adjustRightInd w:val="0"/>
                    <w:snapToGrid w:val="0"/>
                    <w:jc w:val="center"/>
                    <w:rPr>
                      <w:rFonts w:hAnsi="宋体"/>
                      <w:kern w:val="24"/>
                      <w:szCs w:val="21"/>
                    </w:rPr>
                  </w:pPr>
                  <w:r>
                    <w:rPr>
                      <w:rFonts w:hAnsi="宋体"/>
                      <w:kern w:val="24"/>
                      <w:szCs w:val="21"/>
                    </w:rPr>
                    <w:t>主体工程</w:t>
                  </w:r>
                </w:p>
              </w:tc>
              <w:tc>
                <w:tcPr>
                  <w:tcW w:w="933" w:type="pct"/>
                  <w:gridSpan w:val="2"/>
                  <w:vAlign w:val="center"/>
                </w:tcPr>
                <w:p w14:paraId="455FA613">
                  <w:pPr>
                    <w:adjustRightInd w:val="0"/>
                    <w:snapToGrid w:val="0"/>
                    <w:jc w:val="center"/>
                    <w:rPr>
                      <w:rFonts w:hint="default" w:hAnsi="宋体" w:eastAsia="宋体"/>
                      <w:kern w:val="24"/>
                      <w:szCs w:val="21"/>
                      <w:lang w:val="en-US" w:eastAsia="zh-CN"/>
                    </w:rPr>
                  </w:pPr>
                  <w:r>
                    <w:rPr>
                      <w:rFonts w:hint="eastAsia" w:hAnsi="宋体"/>
                      <w:kern w:val="24"/>
                      <w:szCs w:val="21"/>
                    </w:rPr>
                    <w:t>生产</w:t>
                  </w:r>
                  <w:r>
                    <w:rPr>
                      <w:rFonts w:hint="eastAsia" w:hAnsi="宋体"/>
                      <w:kern w:val="24"/>
                      <w:szCs w:val="21"/>
                      <w:lang w:val="en-US" w:eastAsia="zh-CN"/>
                    </w:rPr>
                    <w:t>厂房2F</w:t>
                  </w:r>
                </w:p>
              </w:tc>
              <w:tc>
                <w:tcPr>
                  <w:tcW w:w="3230" w:type="pct"/>
                  <w:gridSpan w:val="3"/>
                  <w:vAlign w:val="center"/>
                </w:tcPr>
                <w:p w14:paraId="184A38C4">
                  <w:pPr>
                    <w:jc w:val="center"/>
                    <w:rPr>
                      <w:szCs w:val="21"/>
                    </w:rPr>
                  </w:pPr>
                  <w:r>
                    <w:rPr>
                      <w:rFonts w:hint="eastAsia"/>
                      <w:snapToGrid w:val="0"/>
                      <w:kern w:val="0"/>
                      <w:szCs w:val="21"/>
                      <w:lang w:val="en-US" w:eastAsia="zh-CN"/>
                    </w:rPr>
                    <w:t>2</w:t>
                  </w:r>
                  <w:r>
                    <w:rPr>
                      <w:rFonts w:hint="eastAsia"/>
                      <w:snapToGrid w:val="0"/>
                      <w:kern w:val="0"/>
                      <w:szCs w:val="21"/>
                    </w:rPr>
                    <w:t>F，</w:t>
                  </w:r>
                  <w:r>
                    <w:rPr>
                      <w:rFonts w:hint="eastAsia"/>
                      <w:snapToGrid w:val="0"/>
                      <w:kern w:val="0"/>
                      <w:szCs w:val="21"/>
                      <w:lang w:val="en-US" w:eastAsia="zh-CN"/>
                    </w:rPr>
                    <w:t>租赁芜湖市天意数码打印有限责任公司厂房1F部分厂房</w:t>
                  </w:r>
                  <w:r>
                    <w:rPr>
                      <w:rFonts w:hint="eastAsia"/>
                      <w:snapToGrid w:val="0"/>
                      <w:kern w:val="0"/>
                      <w:szCs w:val="21"/>
                    </w:rPr>
                    <w:t>面积约</w:t>
                  </w:r>
                  <w:r>
                    <w:rPr>
                      <w:rFonts w:hint="eastAsia"/>
                      <w:snapToGrid w:val="0"/>
                      <w:kern w:val="0"/>
                      <w:szCs w:val="21"/>
                      <w:lang w:val="en-US" w:eastAsia="zh-CN"/>
                    </w:rPr>
                    <w:t>35</w:t>
                  </w:r>
                  <w:r>
                    <w:rPr>
                      <w:rFonts w:hint="eastAsia"/>
                      <w:snapToGrid w:val="0"/>
                      <w:kern w:val="0"/>
                      <w:szCs w:val="21"/>
                    </w:rPr>
                    <w:t>0m</w:t>
                  </w:r>
                  <w:r>
                    <w:rPr>
                      <w:rFonts w:hint="eastAsia"/>
                      <w:snapToGrid w:val="0"/>
                      <w:kern w:val="0"/>
                      <w:szCs w:val="21"/>
                      <w:vertAlign w:val="superscript"/>
                    </w:rPr>
                    <w:t>2</w:t>
                  </w:r>
                  <w:r>
                    <w:rPr>
                      <w:rFonts w:hint="eastAsia"/>
                      <w:snapToGrid w:val="0"/>
                      <w:kern w:val="0"/>
                      <w:szCs w:val="21"/>
                    </w:rPr>
                    <w:t>，</w:t>
                  </w:r>
                  <w:r>
                    <w:rPr>
                      <w:rFonts w:hint="eastAsia"/>
                      <w:snapToGrid w:val="0"/>
                      <w:kern w:val="0"/>
                      <w:szCs w:val="21"/>
                      <w:lang w:val="en-US" w:eastAsia="zh-CN"/>
                    </w:rPr>
                    <w:t>2F厂房</w:t>
                  </w:r>
                  <w:r>
                    <w:rPr>
                      <w:rFonts w:hint="eastAsia"/>
                      <w:snapToGrid w:val="0"/>
                      <w:kern w:val="0"/>
                      <w:szCs w:val="21"/>
                    </w:rPr>
                    <w:t>面积约</w:t>
                  </w:r>
                  <w:r>
                    <w:rPr>
                      <w:rFonts w:hint="eastAsia"/>
                      <w:snapToGrid w:val="0"/>
                      <w:kern w:val="0"/>
                      <w:szCs w:val="21"/>
                      <w:lang w:val="en-US" w:eastAsia="zh-CN"/>
                    </w:rPr>
                    <w:t>1860</w:t>
                  </w:r>
                  <w:r>
                    <w:rPr>
                      <w:rFonts w:hint="eastAsia"/>
                      <w:snapToGrid w:val="0"/>
                      <w:kern w:val="0"/>
                      <w:szCs w:val="21"/>
                    </w:rPr>
                    <w:t>m</w:t>
                  </w:r>
                  <w:r>
                    <w:rPr>
                      <w:rFonts w:hint="eastAsia"/>
                      <w:snapToGrid w:val="0"/>
                      <w:kern w:val="0"/>
                      <w:szCs w:val="21"/>
                      <w:vertAlign w:val="superscript"/>
                    </w:rPr>
                    <w:t>2</w:t>
                  </w:r>
                  <w:r>
                    <w:rPr>
                      <w:rFonts w:hint="eastAsia"/>
                      <w:snapToGrid w:val="0"/>
                      <w:kern w:val="0"/>
                      <w:szCs w:val="21"/>
                    </w:rPr>
                    <w:t>，</w:t>
                  </w:r>
                  <w:r>
                    <w:rPr>
                      <w:rFonts w:hint="eastAsia"/>
                      <w:snapToGrid w:val="0"/>
                      <w:kern w:val="0"/>
                      <w:szCs w:val="21"/>
                      <w:lang w:val="en-US" w:eastAsia="zh-CN"/>
                    </w:rPr>
                    <w:t>1F为发泡车间，设置两条生产生产线和成品储存区</w:t>
                  </w:r>
                  <w:r>
                    <w:rPr>
                      <w:rFonts w:hint="eastAsia"/>
                      <w:snapToGrid w:val="0"/>
                      <w:kern w:val="0"/>
                      <w:szCs w:val="21"/>
                    </w:rPr>
                    <w:t>，</w:t>
                  </w:r>
                  <w:r>
                    <w:rPr>
                      <w:rFonts w:hint="eastAsia"/>
                      <w:snapToGrid w:val="0"/>
                      <w:kern w:val="0"/>
                      <w:szCs w:val="21"/>
                      <w:lang w:val="en-US" w:eastAsia="zh-CN"/>
                    </w:rPr>
                    <w:t>主要用于发泡生产工艺</w:t>
                  </w:r>
                  <w:r>
                    <w:rPr>
                      <w:rFonts w:hint="eastAsia"/>
                      <w:snapToGrid w:val="0"/>
                      <w:kern w:val="0"/>
                      <w:szCs w:val="21"/>
                      <w:lang w:eastAsia="zh-CN"/>
                    </w:rPr>
                    <w:t>；</w:t>
                  </w:r>
                  <w:r>
                    <w:rPr>
                      <w:rFonts w:hint="eastAsia"/>
                      <w:snapToGrid w:val="0"/>
                      <w:kern w:val="0"/>
                      <w:szCs w:val="21"/>
                      <w:lang w:val="en-US" w:eastAsia="zh-CN"/>
                    </w:rPr>
                    <w:t>2F设置喷胶房、烘道、模压吸塑区、裁切区、焊接区、半成品区及原料区，主要用于骨架及包覆件的生产，</w:t>
                  </w:r>
                  <w:r>
                    <w:rPr>
                      <w:rFonts w:hint="eastAsia"/>
                      <w:snapToGrid w:val="0"/>
                      <w:kern w:val="0"/>
                      <w:szCs w:val="21"/>
                    </w:rPr>
                    <w:t>项目建成后可</w:t>
                  </w:r>
                  <w:r>
                    <w:rPr>
                      <w:rFonts w:hint="eastAsia"/>
                      <w:snapToGrid w:val="0"/>
                      <w:kern w:val="0"/>
                      <w:szCs w:val="21"/>
                      <w:lang w:eastAsia="zh-CN"/>
                    </w:rPr>
                    <w:t>年产150万个汽车内饰包覆件产品</w:t>
                  </w:r>
                </w:p>
              </w:tc>
              <w:tc>
                <w:tcPr>
                  <w:tcW w:w="406" w:type="pct"/>
                  <w:tcBorders>
                    <w:right w:val="nil"/>
                  </w:tcBorders>
                  <w:vAlign w:val="center"/>
                </w:tcPr>
                <w:p w14:paraId="7BCEC398">
                  <w:pPr>
                    <w:jc w:val="center"/>
                    <w:rPr>
                      <w:szCs w:val="21"/>
                    </w:rPr>
                  </w:pPr>
                  <w:r>
                    <w:rPr>
                      <w:rFonts w:hint="eastAsia"/>
                      <w:szCs w:val="21"/>
                    </w:rPr>
                    <w:t>依托租赁厂房</w:t>
                  </w:r>
                </w:p>
              </w:tc>
            </w:tr>
            <w:tr w14:paraId="3FC0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30" w:type="pct"/>
                  <w:tcBorders>
                    <w:left w:val="nil"/>
                    <w:bottom w:val="single" w:color="auto" w:sz="4" w:space="0"/>
                  </w:tcBorders>
                  <w:vAlign w:val="center"/>
                </w:tcPr>
                <w:p w14:paraId="4AEC8239">
                  <w:pPr>
                    <w:adjustRightInd w:val="0"/>
                    <w:snapToGrid w:val="0"/>
                    <w:jc w:val="center"/>
                    <w:rPr>
                      <w:rFonts w:hAnsi="宋体"/>
                      <w:kern w:val="24"/>
                      <w:szCs w:val="21"/>
                    </w:rPr>
                  </w:pPr>
                  <w:r>
                    <w:rPr>
                      <w:rFonts w:hint="eastAsia" w:hAnsi="宋体"/>
                      <w:kern w:val="24"/>
                      <w:szCs w:val="21"/>
                    </w:rPr>
                    <w:t>辅助工程</w:t>
                  </w:r>
                </w:p>
              </w:tc>
              <w:tc>
                <w:tcPr>
                  <w:tcW w:w="933" w:type="pct"/>
                  <w:gridSpan w:val="2"/>
                  <w:tcBorders>
                    <w:bottom w:val="single" w:color="auto" w:sz="4" w:space="0"/>
                  </w:tcBorders>
                  <w:vAlign w:val="center"/>
                </w:tcPr>
                <w:p w14:paraId="027C5C5A">
                  <w:pPr>
                    <w:adjustRightInd w:val="0"/>
                    <w:snapToGrid w:val="0"/>
                    <w:ind w:left="-105" w:leftChars="-50" w:right="-105" w:rightChars="-50"/>
                    <w:jc w:val="center"/>
                    <w:rPr>
                      <w:rFonts w:hAnsi="宋体"/>
                      <w:kern w:val="24"/>
                      <w:szCs w:val="21"/>
                    </w:rPr>
                  </w:pPr>
                  <w:r>
                    <w:rPr>
                      <w:rFonts w:hint="eastAsia" w:hAnsi="宋体"/>
                      <w:kern w:val="24"/>
                      <w:szCs w:val="21"/>
                    </w:rPr>
                    <w:t>办公区</w:t>
                  </w:r>
                </w:p>
              </w:tc>
              <w:tc>
                <w:tcPr>
                  <w:tcW w:w="3230" w:type="pct"/>
                  <w:gridSpan w:val="3"/>
                  <w:tcBorders>
                    <w:bottom w:val="single" w:color="auto" w:sz="4" w:space="0"/>
                  </w:tcBorders>
                  <w:vAlign w:val="center"/>
                </w:tcPr>
                <w:p w14:paraId="6D7418CB">
                  <w:pPr>
                    <w:ind w:left="-105" w:leftChars="-50" w:right="-105" w:rightChars="-50"/>
                    <w:jc w:val="center"/>
                    <w:rPr>
                      <w:rFonts w:hAnsi="宋体"/>
                      <w:kern w:val="24"/>
                      <w:szCs w:val="21"/>
                    </w:rPr>
                  </w:pPr>
                  <w:r>
                    <w:rPr>
                      <w:rFonts w:hint="eastAsia"/>
                      <w:snapToGrid w:val="0"/>
                      <w:kern w:val="0"/>
                      <w:szCs w:val="21"/>
                      <w:lang w:val="en-US" w:eastAsia="zh-CN"/>
                    </w:rPr>
                    <w:t>位于2</w:t>
                  </w:r>
                  <w:r>
                    <w:rPr>
                      <w:rFonts w:hint="eastAsia"/>
                      <w:snapToGrid w:val="0"/>
                      <w:kern w:val="0"/>
                      <w:szCs w:val="21"/>
                    </w:rPr>
                    <w:t>F，约</w:t>
                  </w:r>
                  <w:r>
                    <w:rPr>
                      <w:rFonts w:hint="eastAsia"/>
                      <w:snapToGrid w:val="0"/>
                      <w:kern w:val="0"/>
                      <w:szCs w:val="21"/>
                      <w:lang w:val="en-US" w:eastAsia="zh-CN"/>
                    </w:rPr>
                    <w:t>8</w:t>
                  </w:r>
                  <w:r>
                    <w:rPr>
                      <w:rFonts w:hint="eastAsia"/>
                      <w:snapToGrid w:val="0"/>
                      <w:kern w:val="0"/>
                      <w:szCs w:val="21"/>
                    </w:rPr>
                    <w:t>0m</w:t>
                  </w:r>
                  <w:r>
                    <w:rPr>
                      <w:rFonts w:hint="eastAsia"/>
                      <w:snapToGrid w:val="0"/>
                      <w:kern w:val="0"/>
                      <w:szCs w:val="21"/>
                      <w:vertAlign w:val="superscript"/>
                    </w:rPr>
                    <w:t>2</w:t>
                  </w:r>
                  <w:r>
                    <w:rPr>
                      <w:rFonts w:hint="eastAsia"/>
                      <w:snapToGrid w:val="0"/>
                      <w:kern w:val="0"/>
                      <w:szCs w:val="21"/>
                    </w:rPr>
                    <w:t>，位于生产车间的南侧，用于日常办公</w:t>
                  </w:r>
                </w:p>
              </w:tc>
              <w:tc>
                <w:tcPr>
                  <w:tcW w:w="406" w:type="pct"/>
                  <w:tcBorders>
                    <w:right w:val="nil"/>
                  </w:tcBorders>
                  <w:vAlign w:val="center"/>
                </w:tcPr>
                <w:p w14:paraId="2E7CAE62">
                  <w:pPr>
                    <w:ind w:left="-105" w:leftChars="-50" w:right="-105" w:rightChars="-50"/>
                    <w:jc w:val="center"/>
                    <w:rPr>
                      <w:szCs w:val="21"/>
                    </w:rPr>
                  </w:pPr>
                  <w:r>
                    <w:rPr>
                      <w:rFonts w:hint="eastAsia"/>
                      <w:szCs w:val="21"/>
                    </w:rPr>
                    <w:t>依托租赁厂房</w:t>
                  </w:r>
                </w:p>
              </w:tc>
            </w:tr>
            <w:tr w14:paraId="03D42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30" w:type="pct"/>
                  <w:vMerge w:val="restart"/>
                  <w:tcBorders>
                    <w:left w:val="nil"/>
                  </w:tcBorders>
                  <w:vAlign w:val="center"/>
                </w:tcPr>
                <w:p w14:paraId="4B7E974F">
                  <w:pPr>
                    <w:adjustRightInd w:val="0"/>
                    <w:snapToGrid w:val="0"/>
                    <w:jc w:val="center"/>
                    <w:rPr>
                      <w:rFonts w:hAnsi="宋体"/>
                      <w:kern w:val="24"/>
                      <w:szCs w:val="21"/>
                    </w:rPr>
                  </w:pPr>
                  <w:r>
                    <w:rPr>
                      <w:rFonts w:hAnsi="宋体"/>
                      <w:kern w:val="24"/>
                      <w:szCs w:val="21"/>
                    </w:rPr>
                    <w:t>储运工程</w:t>
                  </w:r>
                </w:p>
              </w:tc>
              <w:tc>
                <w:tcPr>
                  <w:tcW w:w="933" w:type="pct"/>
                  <w:gridSpan w:val="2"/>
                  <w:vAlign w:val="center"/>
                </w:tcPr>
                <w:p w14:paraId="3ECCA64B">
                  <w:pPr>
                    <w:adjustRightInd w:val="0"/>
                    <w:snapToGrid w:val="0"/>
                    <w:jc w:val="center"/>
                    <w:rPr>
                      <w:rFonts w:hAnsi="宋体"/>
                      <w:kern w:val="24"/>
                      <w:szCs w:val="21"/>
                    </w:rPr>
                  </w:pPr>
                  <w:r>
                    <w:rPr>
                      <w:rFonts w:hint="eastAsia" w:hAnsi="宋体"/>
                      <w:kern w:val="24"/>
                      <w:szCs w:val="21"/>
                    </w:rPr>
                    <w:t>原料区</w:t>
                  </w:r>
                </w:p>
              </w:tc>
              <w:tc>
                <w:tcPr>
                  <w:tcW w:w="3230" w:type="pct"/>
                  <w:gridSpan w:val="3"/>
                  <w:vAlign w:val="center"/>
                </w:tcPr>
                <w:p w14:paraId="3B7831B6">
                  <w:pPr>
                    <w:adjustRightInd w:val="0"/>
                    <w:snapToGrid w:val="0"/>
                    <w:jc w:val="center"/>
                    <w:rPr>
                      <w:rFonts w:hAnsi="宋体"/>
                      <w:kern w:val="24"/>
                      <w:szCs w:val="21"/>
                    </w:rPr>
                  </w:pPr>
                  <w:r>
                    <w:rPr>
                      <w:rFonts w:hint="eastAsia" w:hAnsi="宋体"/>
                      <w:kern w:val="24"/>
                      <w:szCs w:val="21"/>
                      <w:lang w:val="en-US" w:eastAsia="zh-CN"/>
                    </w:rPr>
                    <w:t>2</w:t>
                  </w:r>
                  <w:r>
                    <w:rPr>
                      <w:rFonts w:hint="eastAsia" w:hAnsi="宋体"/>
                      <w:kern w:val="24"/>
                      <w:szCs w:val="21"/>
                    </w:rPr>
                    <w:t>F，</w:t>
                  </w:r>
                  <w:r>
                    <w:rPr>
                      <w:rFonts w:hint="eastAsia"/>
                      <w:snapToGrid w:val="0"/>
                      <w:kern w:val="0"/>
                      <w:szCs w:val="21"/>
                    </w:rPr>
                    <w:t>约</w:t>
                  </w:r>
                  <w:r>
                    <w:rPr>
                      <w:rFonts w:hint="eastAsia"/>
                      <w:snapToGrid w:val="0"/>
                      <w:kern w:val="0"/>
                      <w:szCs w:val="21"/>
                      <w:lang w:val="en-US" w:eastAsia="zh-CN"/>
                    </w:rPr>
                    <w:t>4</w:t>
                  </w:r>
                  <w:r>
                    <w:rPr>
                      <w:rFonts w:hint="eastAsia"/>
                      <w:snapToGrid w:val="0"/>
                      <w:kern w:val="0"/>
                      <w:szCs w:val="21"/>
                    </w:rPr>
                    <w:t>0m</w:t>
                  </w:r>
                  <w:r>
                    <w:rPr>
                      <w:rFonts w:hint="eastAsia"/>
                      <w:snapToGrid w:val="0"/>
                      <w:kern w:val="0"/>
                      <w:szCs w:val="21"/>
                      <w:vertAlign w:val="superscript"/>
                    </w:rPr>
                    <w:t>2</w:t>
                  </w:r>
                  <w:r>
                    <w:rPr>
                      <w:rFonts w:hint="eastAsia"/>
                      <w:snapToGrid w:val="0"/>
                      <w:kern w:val="0"/>
                      <w:szCs w:val="21"/>
                    </w:rPr>
                    <w:t>，</w:t>
                  </w:r>
                  <w:r>
                    <w:rPr>
                      <w:rFonts w:hint="eastAsia" w:hAnsi="宋体"/>
                      <w:kern w:val="24"/>
                      <w:szCs w:val="21"/>
                    </w:rPr>
                    <w:t>位于</w:t>
                  </w:r>
                  <w:r>
                    <w:rPr>
                      <w:rFonts w:hint="eastAsia" w:hAnsi="宋体"/>
                      <w:kern w:val="24"/>
                      <w:szCs w:val="21"/>
                      <w:lang w:val="en-US" w:eastAsia="zh-CN"/>
                    </w:rPr>
                    <w:t>办公区西</w:t>
                  </w:r>
                  <w:r>
                    <w:rPr>
                      <w:rFonts w:hint="eastAsia" w:hAnsi="宋体"/>
                      <w:kern w:val="24"/>
                      <w:szCs w:val="21"/>
                    </w:rPr>
                    <w:t>北侧，用于存放原材料</w:t>
                  </w:r>
                  <w:r>
                    <w:rPr>
                      <w:rFonts w:hint="eastAsia"/>
                    </w:rPr>
                    <w:t>，主要为</w:t>
                  </w:r>
                  <w:r>
                    <w:rPr>
                      <w:rFonts w:hint="eastAsia" w:ascii="Times New Roman" w:hAnsi="Times New Roman" w:eastAsia="宋体" w:cs="Times New Roman"/>
                      <w:lang w:val="en-US" w:eastAsia="zh-CN"/>
                    </w:rPr>
                    <w:t>PP</w:t>
                  </w:r>
                  <w:r>
                    <w:rPr>
                      <w:rFonts w:hint="eastAsia" w:cs="Times New Roman"/>
                      <w:lang w:val="en-US" w:eastAsia="zh-CN"/>
                    </w:rPr>
                    <w:t>板材、</w:t>
                  </w:r>
                  <w:r>
                    <w:rPr>
                      <w:rFonts w:hint="eastAsia" w:ascii="Times New Roman" w:hAnsi="Times New Roman" w:eastAsia="宋体" w:cs="Times New Roman"/>
                      <w:lang w:val="en-US" w:eastAsia="zh-CN"/>
                    </w:rPr>
                    <w:t>PVC</w:t>
                  </w:r>
                  <w:r>
                    <w:rPr>
                      <w:rFonts w:hint="eastAsia" w:cs="Times New Roman"/>
                      <w:lang w:val="en-US" w:eastAsia="zh-CN"/>
                    </w:rPr>
                    <w:t>条、</w:t>
                  </w:r>
                  <w:r>
                    <w:rPr>
                      <w:rFonts w:hint="eastAsia" w:ascii="Times New Roman" w:hAnsi="Times New Roman" w:eastAsia="宋体" w:cs="Times New Roman"/>
                      <w:lang w:val="en-US" w:eastAsia="zh-CN"/>
                    </w:rPr>
                    <w:t>PU</w:t>
                  </w:r>
                  <w:r>
                    <w:rPr>
                      <w:rFonts w:hint="eastAsia" w:cs="Times New Roman"/>
                      <w:lang w:val="en-US" w:eastAsia="zh-CN"/>
                    </w:rPr>
                    <w:t>条、</w:t>
                  </w:r>
                  <w:r>
                    <w:rPr>
                      <w:rFonts w:hint="eastAsia" w:ascii="Times New Roman" w:hAnsi="Times New Roman" w:eastAsia="宋体" w:cs="Times New Roman"/>
                      <w:lang w:val="en-US" w:eastAsia="zh-CN"/>
                    </w:rPr>
                    <w:t>织物</w:t>
                  </w:r>
                  <w:r>
                    <w:rPr>
                      <w:rFonts w:hint="eastAsia" w:ascii="Times New Roman" w:hAnsi="Times New Roman" w:cs="Times New Roman"/>
                      <w:lang w:val="en-US" w:eastAsia="zh-CN"/>
                    </w:rPr>
                    <w:t>、</w:t>
                  </w:r>
                  <w:r>
                    <w:rPr>
                      <w:rFonts w:hint="eastAsia" w:ascii="Times New Roman" w:hAnsi="Times New Roman" w:eastAsia="宋体" w:cs="Times New Roman"/>
                      <w:lang w:val="en-US" w:eastAsia="zh-CN"/>
                    </w:rPr>
                    <w:t>麂皮</w:t>
                  </w:r>
                  <w:r>
                    <w:rPr>
                      <w:rFonts w:hint="eastAsia" w:ascii="Times New Roman" w:hAnsi="Times New Roman" w:cs="Times New Roman"/>
                      <w:lang w:val="en-US" w:eastAsia="zh-CN"/>
                    </w:rPr>
                    <w:t>、</w:t>
                  </w:r>
                  <w:r>
                    <w:rPr>
                      <w:rFonts w:hint="eastAsia" w:ascii="Times New Roman" w:hAnsi="Times New Roman" w:eastAsia="宋体" w:cs="Times New Roman"/>
                      <w:lang w:val="en-US" w:eastAsia="zh-CN"/>
                    </w:rPr>
                    <w:t>水性胶</w:t>
                  </w:r>
                  <w:r>
                    <w:rPr>
                      <w:rFonts w:hint="eastAsia" w:ascii="Times New Roman" w:hAnsi="Times New Roman" w:cs="Times New Roman"/>
                      <w:lang w:val="en-US" w:eastAsia="zh-CN"/>
                    </w:rPr>
                    <w:t>、脱模剂、</w:t>
                  </w:r>
                  <w:r>
                    <w:rPr>
                      <w:rFonts w:hint="eastAsia" w:ascii="Times New Roman" w:hAnsi="Times New Roman" w:eastAsia="宋体" w:cs="Times New Roman"/>
                      <w:lang w:val="en-US" w:eastAsia="zh-CN"/>
                    </w:rPr>
                    <w:t>聚醚多元醇</w:t>
                  </w:r>
                  <w:r>
                    <w:rPr>
                      <w:rFonts w:hint="eastAsia" w:ascii="Times New Roman" w:hAnsi="Times New Roman" w:cs="Times New Roman"/>
                      <w:lang w:val="en-US" w:eastAsia="zh-CN"/>
                    </w:rPr>
                    <w:t>及</w:t>
                  </w:r>
                  <w:r>
                    <w:rPr>
                      <w:rFonts w:hint="eastAsia" w:ascii="Times New Roman" w:hAnsi="Times New Roman" w:eastAsia="宋体" w:cs="Times New Roman"/>
                      <w:lang w:val="en-US" w:eastAsia="zh-CN"/>
                    </w:rPr>
                    <w:t>醋酸正乙酯</w:t>
                  </w:r>
                  <w:r>
                    <w:rPr>
                      <w:rFonts w:hint="eastAsia"/>
                    </w:rPr>
                    <w:t>等。</w:t>
                  </w:r>
                </w:p>
              </w:tc>
              <w:tc>
                <w:tcPr>
                  <w:tcW w:w="406" w:type="pct"/>
                  <w:vMerge w:val="restart"/>
                  <w:tcBorders>
                    <w:right w:val="nil"/>
                  </w:tcBorders>
                  <w:vAlign w:val="center"/>
                </w:tcPr>
                <w:p w14:paraId="0999D4CD">
                  <w:pPr>
                    <w:adjustRightInd w:val="0"/>
                    <w:snapToGrid w:val="0"/>
                    <w:jc w:val="center"/>
                    <w:rPr>
                      <w:rFonts w:hAnsi="宋体"/>
                      <w:kern w:val="24"/>
                      <w:szCs w:val="21"/>
                    </w:rPr>
                  </w:pPr>
                  <w:r>
                    <w:rPr>
                      <w:rFonts w:hint="eastAsia"/>
                      <w:szCs w:val="21"/>
                    </w:rPr>
                    <w:t>依托租赁厂房</w:t>
                  </w:r>
                </w:p>
              </w:tc>
            </w:tr>
            <w:tr w14:paraId="5F433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30" w:type="pct"/>
                  <w:vMerge w:val="continue"/>
                  <w:tcBorders>
                    <w:left w:val="nil"/>
                  </w:tcBorders>
                  <w:vAlign w:val="center"/>
                </w:tcPr>
                <w:p w14:paraId="6A3297E5">
                  <w:pPr>
                    <w:adjustRightInd w:val="0"/>
                    <w:snapToGrid w:val="0"/>
                    <w:jc w:val="center"/>
                    <w:rPr>
                      <w:rFonts w:hAnsi="宋体"/>
                      <w:kern w:val="24"/>
                      <w:szCs w:val="21"/>
                    </w:rPr>
                  </w:pPr>
                </w:p>
              </w:tc>
              <w:tc>
                <w:tcPr>
                  <w:tcW w:w="933" w:type="pct"/>
                  <w:gridSpan w:val="2"/>
                  <w:vAlign w:val="center"/>
                </w:tcPr>
                <w:p w14:paraId="20A99EF3">
                  <w:pPr>
                    <w:jc w:val="center"/>
                    <w:rPr>
                      <w:szCs w:val="21"/>
                    </w:rPr>
                  </w:pPr>
                  <w:r>
                    <w:rPr>
                      <w:rFonts w:hint="eastAsia"/>
                      <w:szCs w:val="21"/>
                    </w:rPr>
                    <w:t>成品区</w:t>
                  </w:r>
                </w:p>
              </w:tc>
              <w:tc>
                <w:tcPr>
                  <w:tcW w:w="3230" w:type="pct"/>
                  <w:gridSpan w:val="3"/>
                  <w:vAlign w:val="center"/>
                </w:tcPr>
                <w:p w14:paraId="687848CC">
                  <w:pPr>
                    <w:jc w:val="center"/>
                    <w:rPr>
                      <w:rFonts w:hint="default" w:eastAsia="宋体"/>
                      <w:szCs w:val="21"/>
                      <w:lang w:val="en-US" w:eastAsia="zh-CN"/>
                    </w:rPr>
                  </w:pPr>
                  <w:r>
                    <w:rPr>
                      <w:rFonts w:hint="eastAsia"/>
                      <w:szCs w:val="21"/>
                      <w:lang w:val="en-US" w:eastAsia="zh-CN"/>
                    </w:rPr>
                    <w:t>1F南侧设置一成品区，主要储存有发泡工艺产品；2F东侧设置成品区，主要用于储存包覆件产品</w:t>
                  </w:r>
                </w:p>
              </w:tc>
              <w:tc>
                <w:tcPr>
                  <w:tcW w:w="406" w:type="pct"/>
                  <w:vMerge w:val="continue"/>
                  <w:tcBorders>
                    <w:right w:val="nil"/>
                  </w:tcBorders>
                  <w:vAlign w:val="center"/>
                </w:tcPr>
                <w:p w14:paraId="0BFF0D6C">
                  <w:pPr>
                    <w:jc w:val="center"/>
                    <w:rPr>
                      <w:rFonts w:ascii="宋体" w:hAnsi="宋体"/>
                      <w:szCs w:val="21"/>
                    </w:rPr>
                  </w:pPr>
                </w:p>
              </w:tc>
            </w:tr>
            <w:tr w14:paraId="6C260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30" w:type="pct"/>
                  <w:vMerge w:val="continue"/>
                  <w:tcBorders>
                    <w:left w:val="nil"/>
                  </w:tcBorders>
                  <w:vAlign w:val="center"/>
                </w:tcPr>
                <w:p w14:paraId="304B5E94">
                  <w:pPr>
                    <w:adjustRightInd w:val="0"/>
                    <w:snapToGrid w:val="0"/>
                    <w:jc w:val="center"/>
                    <w:rPr>
                      <w:rFonts w:hAnsi="宋体"/>
                      <w:kern w:val="24"/>
                      <w:szCs w:val="21"/>
                    </w:rPr>
                  </w:pPr>
                </w:p>
              </w:tc>
              <w:tc>
                <w:tcPr>
                  <w:tcW w:w="933" w:type="pct"/>
                  <w:gridSpan w:val="2"/>
                  <w:vAlign w:val="center"/>
                </w:tcPr>
                <w:p w14:paraId="01741184">
                  <w:pPr>
                    <w:jc w:val="center"/>
                    <w:rPr>
                      <w:szCs w:val="21"/>
                    </w:rPr>
                  </w:pPr>
                  <w:r>
                    <w:rPr>
                      <w:rFonts w:hint="eastAsia"/>
                      <w:szCs w:val="21"/>
                    </w:rPr>
                    <w:t>运输</w:t>
                  </w:r>
                </w:p>
              </w:tc>
              <w:tc>
                <w:tcPr>
                  <w:tcW w:w="3230" w:type="pct"/>
                  <w:gridSpan w:val="3"/>
                  <w:vAlign w:val="center"/>
                </w:tcPr>
                <w:p w14:paraId="4AB3D39A">
                  <w:pPr>
                    <w:jc w:val="center"/>
                    <w:rPr>
                      <w:szCs w:val="21"/>
                    </w:rPr>
                  </w:pPr>
                  <w:r>
                    <w:rPr>
                      <w:rFonts w:hint="eastAsia"/>
                      <w:szCs w:val="21"/>
                    </w:rPr>
                    <w:t>厂内以叉车为主，厂外运输委托地方运输部门承担</w:t>
                  </w:r>
                </w:p>
              </w:tc>
              <w:tc>
                <w:tcPr>
                  <w:tcW w:w="406" w:type="pct"/>
                  <w:tcBorders>
                    <w:right w:val="nil"/>
                  </w:tcBorders>
                  <w:vAlign w:val="center"/>
                </w:tcPr>
                <w:p w14:paraId="1292FE7E">
                  <w:pPr>
                    <w:jc w:val="center"/>
                    <w:rPr>
                      <w:rFonts w:ascii="宋体" w:hAnsi="宋体"/>
                      <w:szCs w:val="21"/>
                    </w:rPr>
                  </w:pPr>
                  <w:r>
                    <w:rPr>
                      <w:rFonts w:hint="eastAsia" w:ascii="宋体" w:hAnsi="宋体"/>
                      <w:szCs w:val="21"/>
                    </w:rPr>
                    <w:t>/</w:t>
                  </w:r>
                </w:p>
              </w:tc>
            </w:tr>
            <w:tr w14:paraId="62AE3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30" w:type="pct"/>
                  <w:vMerge w:val="restart"/>
                  <w:tcBorders>
                    <w:left w:val="nil"/>
                  </w:tcBorders>
                  <w:vAlign w:val="center"/>
                </w:tcPr>
                <w:p w14:paraId="1EBF9887">
                  <w:pPr>
                    <w:adjustRightInd w:val="0"/>
                    <w:snapToGrid w:val="0"/>
                    <w:jc w:val="center"/>
                    <w:rPr>
                      <w:rFonts w:hAnsi="宋体"/>
                      <w:kern w:val="24"/>
                      <w:szCs w:val="21"/>
                    </w:rPr>
                  </w:pPr>
                  <w:r>
                    <w:rPr>
                      <w:rFonts w:hAnsi="宋体"/>
                      <w:kern w:val="24"/>
                      <w:szCs w:val="21"/>
                    </w:rPr>
                    <w:t>公用工程</w:t>
                  </w:r>
                </w:p>
              </w:tc>
              <w:tc>
                <w:tcPr>
                  <w:tcW w:w="933" w:type="pct"/>
                  <w:gridSpan w:val="2"/>
                  <w:vAlign w:val="center"/>
                </w:tcPr>
                <w:p w14:paraId="4592C7A1">
                  <w:pPr>
                    <w:adjustRightInd w:val="0"/>
                    <w:snapToGrid w:val="0"/>
                    <w:ind w:left="-105" w:leftChars="-50" w:right="-105" w:rightChars="-50"/>
                    <w:jc w:val="center"/>
                    <w:rPr>
                      <w:rFonts w:hAnsi="宋体"/>
                      <w:kern w:val="24"/>
                      <w:szCs w:val="21"/>
                    </w:rPr>
                  </w:pPr>
                  <w:r>
                    <w:rPr>
                      <w:rFonts w:hint="eastAsia" w:hAnsi="宋体"/>
                      <w:kern w:val="24"/>
                      <w:szCs w:val="21"/>
                    </w:rPr>
                    <w:t>供水</w:t>
                  </w:r>
                  <w:r>
                    <w:rPr>
                      <w:rFonts w:hAnsi="宋体"/>
                      <w:kern w:val="24"/>
                      <w:szCs w:val="21"/>
                    </w:rPr>
                    <w:t>工程</w:t>
                  </w:r>
                </w:p>
              </w:tc>
              <w:tc>
                <w:tcPr>
                  <w:tcW w:w="3230" w:type="pct"/>
                  <w:gridSpan w:val="3"/>
                  <w:vAlign w:val="center"/>
                </w:tcPr>
                <w:p w14:paraId="7305F0C3">
                  <w:pPr>
                    <w:jc w:val="center"/>
                    <w:rPr>
                      <w:szCs w:val="21"/>
                    </w:rPr>
                  </w:pPr>
                  <w:r>
                    <w:rPr>
                      <w:rFonts w:hint="eastAsia"/>
                      <w:szCs w:val="21"/>
                    </w:rPr>
                    <w:t>由园区供水管网供给，用水量为</w:t>
                  </w:r>
                  <w:r>
                    <w:rPr>
                      <w:rFonts w:hint="eastAsia"/>
                      <w:szCs w:val="21"/>
                      <w:lang w:eastAsia="zh-CN"/>
                    </w:rPr>
                    <w:t>7</w:t>
                  </w:r>
                  <w:r>
                    <w:rPr>
                      <w:rFonts w:hint="eastAsia"/>
                      <w:szCs w:val="21"/>
                      <w:lang w:val="en-US" w:eastAsia="zh-CN"/>
                    </w:rPr>
                    <w:t>5</w:t>
                  </w:r>
                  <w:r>
                    <w:rPr>
                      <w:rFonts w:hint="eastAsia"/>
                      <w:szCs w:val="21"/>
                      <w:lang w:eastAsia="zh-CN"/>
                    </w:rPr>
                    <w:t>0</w:t>
                  </w:r>
                  <w:r>
                    <w:rPr>
                      <w:rFonts w:hint="eastAsia"/>
                      <w:szCs w:val="21"/>
                      <w:lang w:val="en-US" w:eastAsia="zh-CN"/>
                    </w:rPr>
                    <w:t xml:space="preserve"> </w:t>
                  </w:r>
                  <w:r>
                    <w:rPr>
                      <w:rFonts w:hint="eastAsia"/>
                      <w:szCs w:val="21"/>
                    </w:rPr>
                    <w:t>t/a</w:t>
                  </w:r>
                </w:p>
              </w:tc>
              <w:tc>
                <w:tcPr>
                  <w:tcW w:w="406" w:type="pct"/>
                  <w:vMerge w:val="restart"/>
                  <w:tcBorders>
                    <w:right w:val="nil"/>
                  </w:tcBorders>
                  <w:vAlign w:val="center"/>
                </w:tcPr>
                <w:p w14:paraId="65537117">
                  <w:pPr>
                    <w:jc w:val="center"/>
                    <w:rPr>
                      <w:szCs w:val="21"/>
                    </w:rPr>
                  </w:pPr>
                  <w:r>
                    <w:rPr>
                      <w:rFonts w:hint="eastAsia"/>
                      <w:szCs w:val="21"/>
                    </w:rPr>
                    <w:t>依托现有</w:t>
                  </w:r>
                </w:p>
              </w:tc>
            </w:tr>
            <w:tr w14:paraId="6CAE5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430" w:type="pct"/>
                  <w:vMerge w:val="continue"/>
                  <w:tcBorders>
                    <w:left w:val="nil"/>
                  </w:tcBorders>
                  <w:vAlign w:val="center"/>
                </w:tcPr>
                <w:p w14:paraId="34D6376E">
                  <w:pPr>
                    <w:adjustRightInd w:val="0"/>
                    <w:snapToGrid w:val="0"/>
                    <w:jc w:val="center"/>
                    <w:rPr>
                      <w:rFonts w:hAnsi="宋体"/>
                      <w:kern w:val="24"/>
                      <w:szCs w:val="21"/>
                    </w:rPr>
                  </w:pPr>
                </w:p>
              </w:tc>
              <w:tc>
                <w:tcPr>
                  <w:tcW w:w="933" w:type="pct"/>
                  <w:gridSpan w:val="2"/>
                  <w:vAlign w:val="center"/>
                </w:tcPr>
                <w:p w14:paraId="0FCF227A">
                  <w:pPr>
                    <w:adjustRightInd w:val="0"/>
                    <w:snapToGrid w:val="0"/>
                    <w:ind w:left="-105" w:leftChars="-50" w:right="-105" w:rightChars="-50"/>
                    <w:jc w:val="center"/>
                    <w:rPr>
                      <w:rFonts w:hAnsi="宋体"/>
                      <w:kern w:val="24"/>
                      <w:szCs w:val="21"/>
                    </w:rPr>
                  </w:pPr>
                  <w:r>
                    <w:rPr>
                      <w:rFonts w:hAnsi="宋体"/>
                      <w:kern w:val="24"/>
                      <w:szCs w:val="21"/>
                    </w:rPr>
                    <w:t>供电工程</w:t>
                  </w:r>
                </w:p>
              </w:tc>
              <w:tc>
                <w:tcPr>
                  <w:tcW w:w="3230" w:type="pct"/>
                  <w:gridSpan w:val="3"/>
                  <w:vAlign w:val="center"/>
                </w:tcPr>
                <w:p w14:paraId="453EB9CA">
                  <w:pPr>
                    <w:jc w:val="center"/>
                    <w:rPr>
                      <w:szCs w:val="21"/>
                    </w:rPr>
                  </w:pPr>
                  <w:r>
                    <w:rPr>
                      <w:rFonts w:hint="eastAsia"/>
                      <w:szCs w:val="21"/>
                    </w:rPr>
                    <w:t>由园区供电管网供给，本项目用电量约为</w:t>
                  </w:r>
                  <w:r>
                    <w:rPr>
                      <w:rFonts w:hint="eastAsia"/>
                      <w:lang w:val="en-US" w:eastAsia="zh-CN"/>
                    </w:rPr>
                    <w:t>11.4</w:t>
                  </w:r>
                  <w:r>
                    <w:rPr>
                      <w:szCs w:val="21"/>
                    </w:rPr>
                    <w:t>万kWh</w:t>
                  </w:r>
                </w:p>
              </w:tc>
              <w:tc>
                <w:tcPr>
                  <w:tcW w:w="406" w:type="pct"/>
                  <w:vMerge w:val="continue"/>
                  <w:tcBorders>
                    <w:right w:val="nil"/>
                  </w:tcBorders>
                  <w:vAlign w:val="center"/>
                </w:tcPr>
                <w:p w14:paraId="03AE3C50">
                  <w:pPr>
                    <w:jc w:val="center"/>
                    <w:rPr>
                      <w:szCs w:val="21"/>
                    </w:rPr>
                  </w:pPr>
                </w:p>
              </w:tc>
            </w:tr>
            <w:tr w14:paraId="57CEC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430" w:type="pct"/>
                  <w:vMerge w:val="continue"/>
                  <w:tcBorders>
                    <w:left w:val="nil"/>
                  </w:tcBorders>
                  <w:vAlign w:val="center"/>
                </w:tcPr>
                <w:p w14:paraId="7CAFC256">
                  <w:pPr>
                    <w:adjustRightInd w:val="0"/>
                    <w:snapToGrid w:val="0"/>
                    <w:jc w:val="center"/>
                    <w:rPr>
                      <w:rFonts w:hAnsi="宋体"/>
                      <w:kern w:val="24"/>
                      <w:szCs w:val="21"/>
                    </w:rPr>
                  </w:pPr>
                </w:p>
              </w:tc>
              <w:tc>
                <w:tcPr>
                  <w:tcW w:w="933" w:type="pct"/>
                  <w:gridSpan w:val="2"/>
                  <w:vAlign w:val="center"/>
                </w:tcPr>
                <w:p w14:paraId="76688CAF">
                  <w:pPr>
                    <w:adjustRightInd w:val="0"/>
                    <w:snapToGrid w:val="0"/>
                    <w:ind w:left="-105" w:leftChars="-50" w:right="-105" w:rightChars="-50"/>
                    <w:jc w:val="center"/>
                    <w:rPr>
                      <w:rFonts w:hAnsi="宋体"/>
                      <w:kern w:val="24"/>
                      <w:szCs w:val="21"/>
                    </w:rPr>
                  </w:pPr>
                  <w:r>
                    <w:rPr>
                      <w:rFonts w:hint="eastAsia" w:hAnsi="宋体"/>
                      <w:kern w:val="24"/>
                      <w:szCs w:val="21"/>
                    </w:rPr>
                    <w:t>排水工程</w:t>
                  </w:r>
                </w:p>
              </w:tc>
              <w:tc>
                <w:tcPr>
                  <w:tcW w:w="3230" w:type="pct"/>
                  <w:gridSpan w:val="3"/>
                  <w:vAlign w:val="center"/>
                </w:tcPr>
                <w:p w14:paraId="79364565">
                  <w:pPr>
                    <w:jc w:val="center"/>
                    <w:rPr>
                      <w:szCs w:val="21"/>
                    </w:rPr>
                  </w:pPr>
                  <w:r>
                    <w:rPr>
                      <w:rFonts w:hint="eastAsia"/>
                      <w:szCs w:val="21"/>
                    </w:rPr>
                    <w:t>项目排水采用雨、污分流制，雨水经租赁厂房现有雨水管道排入雨水管网；生活污水经租赁厂房现有化粪池处理后</w:t>
                  </w:r>
                </w:p>
                <w:p w14:paraId="36D5367C">
                  <w:pPr>
                    <w:jc w:val="center"/>
                    <w:rPr>
                      <w:szCs w:val="21"/>
                    </w:rPr>
                  </w:pPr>
                  <w:r>
                    <w:rPr>
                      <w:rFonts w:hint="eastAsia"/>
                      <w:szCs w:val="21"/>
                    </w:rPr>
                    <w:t>接污水管网进入芜湖市城东污水处理厂集中处理，尾水排入青弋江</w:t>
                  </w:r>
                </w:p>
              </w:tc>
              <w:tc>
                <w:tcPr>
                  <w:tcW w:w="406" w:type="pct"/>
                  <w:vMerge w:val="continue"/>
                  <w:tcBorders>
                    <w:right w:val="nil"/>
                  </w:tcBorders>
                  <w:vAlign w:val="center"/>
                </w:tcPr>
                <w:p w14:paraId="3AF46FF5">
                  <w:pPr>
                    <w:jc w:val="center"/>
                    <w:rPr>
                      <w:szCs w:val="21"/>
                    </w:rPr>
                  </w:pPr>
                </w:p>
              </w:tc>
            </w:tr>
            <w:tr w14:paraId="7AD6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0" w:type="pct"/>
                  <w:vMerge w:val="restart"/>
                  <w:tcBorders>
                    <w:left w:val="nil"/>
                  </w:tcBorders>
                  <w:vAlign w:val="center"/>
                </w:tcPr>
                <w:p w14:paraId="07494CF6">
                  <w:pPr>
                    <w:adjustRightInd w:val="0"/>
                    <w:snapToGrid w:val="0"/>
                    <w:jc w:val="center"/>
                    <w:rPr>
                      <w:rFonts w:hAnsi="宋体"/>
                      <w:kern w:val="24"/>
                      <w:szCs w:val="21"/>
                    </w:rPr>
                  </w:pPr>
                  <w:r>
                    <w:rPr>
                      <w:rFonts w:hint="eastAsia" w:hAnsi="宋体"/>
                      <w:kern w:val="24"/>
                      <w:szCs w:val="21"/>
                    </w:rPr>
                    <w:t>环保工程</w:t>
                  </w:r>
                </w:p>
              </w:tc>
              <w:tc>
                <w:tcPr>
                  <w:tcW w:w="933" w:type="pct"/>
                  <w:gridSpan w:val="2"/>
                  <w:vMerge w:val="restart"/>
                  <w:vAlign w:val="center"/>
                </w:tcPr>
                <w:p w14:paraId="4BC03F13">
                  <w:pPr>
                    <w:autoSpaceDE w:val="0"/>
                    <w:autoSpaceDN w:val="0"/>
                    <w:jc w:val="center"/>
                    <w:rPr>
                      <w:szCs w:val="21"/>
                    </w:rPr>
                  </w:pPr>
                  <w:r>
                    <w:rPr>
                      <w:rFonts w:hint="eastAsia" w:hAnsi="宋体"/>
                      <w:kern w:val="24"/>
                      <w:szCs w:val="21"/>
                    </w:rPr>
                    <w:t>废气治理</w:t>
                  </w:r>
                </w:p>
              </w:tc>
              <w:tc>
                <w:tcPr>
                  <w:tcW w:w="383" w:type="pct"/>
                  <w:vAlign w:val="center"/>
                </w:tcPr>
                <w:p w14:paraId="0902266D">
                  <w:pPr>
                    <w:autoSpaceDE w:val="0"/>
                    <w:autoSpaceDN w:val="0"/>
                    <w:rPr>
                      <w:rFonts w:hAnsi="宋体"/>
                      <w:kern w:val="24"/>
                      <w:szCs w:val="21"/>
                    </w:rPr>
                  </w:pPr>
                  <w:r>
                    <w:rPr>
                      <w:rFonts w:hint="eastAsia" w:ascii="Times New Roman" w:hAnsi="Times New Roman" w:cs="Times New Roman"/>
                      <w:szCs w:val="21"/>
                      <w:lang w:val="en-US" w:eastAsia="zh-CN"/>
                    </w:rPr>
                    <w:t>发泡废气</w:t>
                  </w:r>
                </w:p>
              </w:tc>
              <w:tc>
                <w:tcPr>
                  <w:tcW w:w="2847" w:type="pct"/>
                  <w:gridSpan w:val="2"/>
                  <w:vMerge w:val="restart"/>
                  <w:vAlign w:val="center"/>
                </w:tcPr>
                <w:p w14:paraId="63EC20C1">
                  <w:pPr>
                    <w:autoSpaceDE w:val="0"/>
                    <w:autoSpaceDN w:val="0"/>
                    <w:rPr>
                      <w:rFonts w:hint="default"/>
                      <w:szCs w:val="21"/>
                      <w:lang w:val="en-US"/>
                    </w:rPr>
                  </w:pPr>
                  <w:r>
                    <w:rPr>
                      <w:rFonts w:hint="default" w:ascii="Times New Roman" w:hAnsi="Times New Roman" w:eastAsia="宋体" w:cs="Times New Roman"/>
                      <w:color w:val="auto"/>
                      <w:sz w:val="21"/>
                      <w:szCs w:val="21"/>
                      <w:lang w:eastAsia="zh-CN"/>
                    </w:rPr>
                    <w:t>发泡废气</w:t>
                  </w:r>
                  <w:r>
                    <w:rPr>
                      <w:rFonts w:hint="eastAsia" w:cs="Times New Roman"/>
                      <w:color w:val="auto"/>
                      <w:sz w:val="21"/>
                      <w:szCs w:val="21"/>
                      <w:lang w:val="en-US" w:eastAsia="zh-CN"/>
                    </w:rPr>
                    <w:t>和脱模废气</w:t>
                  </w:r>
                  <w:r>
                    <w:rPr>
                      <w:rFonts w:hint="default" w:ascii="Times New Roman" w:hAnsi="Times New Roman" w:eastAsia="宋体" w:cs="Times New Roman"/>
                      <w:color w:val="auto"/>
                      <w:sz w:val="21"/>
                      <w:szCs w:val="21"/>
                      <w:lang w:eastAsia="zh-CN"/>
                    </w:rPr>
                    <w:t>收集后进入两级活性炭吸附装置处理后由15米高排气筒（DA00</w:t>
                  </w:r>
                  <w:r>
                    <w:rPr>
                      <w:rFonts w:hint="eastAsia"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）排放</w:t>
                  </w:r>
                  <w:r>
                    <w:rPr>
                      <w:rFonts w:hint="eastAsia" w:cs="Times New Roman"/>
                      <w:color w:val="auto"/>
                      <w:sz w:val="21"/>
                      <w:szCs w:val="21"/>
                      <w:lang w:eastAsia="zh-CN"/>
                    </w:rPr>
                    <w:t>，</w:t>
                  </w:r>
                  <w:r>
                    <w:rPr>
                      <w:rFonts w:hint="default" w:ascii="Times New Roman" w:hAnsi="Times New Roman" w:eastAsia="宋体" w:cs="Times New Roman"/>
                      <w:color w:val="auto"/>
                      <w:sz w:val="21"/>
                      <w:szCs w:val="21"/>
                      <w:lang w:eastAsia="zh-CN"/>
                    </w:rPr>
                    <w:t>发泡废气</w:t>
                  </w:r>
                  <w:r>
                    <w:rPr>
                      <w:rFonts w:hint="eastAsia" w:ascii="Times New Roman" w:hAnsi="Times New Roman" w:eastAsia="宋体" w:cs="Times New Roman"/>
                      <w:color w:val="auto"/>
                      <w:sz w:val="21"/>
                      <w:szCs w:val="21"/>
                      <w:lang w:val="en-US" w:eastAsia="zh-CN"/>
                    </w:rPr>
                    <w:t>密闭收集效率95%，</w:t>
                  </w:r>
                  <w:r>
                    <w:rPr>
                      <w:rFonts w:hint="eastAsia" w:cs="Times New Roman"/>
                      <w:color w:val="auto"/>
                      <w:sz w:val="21"/>
                      <w:szCs w:val="21"/>
                      <w:lang w:val="en-US" w:eastAsia="zh-CN"/>
                    </w:rPr>
                    <w:t>脱模废气收集效率90%，</w:t>
                  </w:r>
                  <w:r>
                    <w:rPr>
                      <w:rFonts w:hint="eastAsia" w:cs="Times New Roman"/>
                      <w:color w:val="auto"/>
                      <w:sz w:val="21"/>
                      <w:szCs w:val="21"/>
                      <w:lang w:val="en-US" w:eastAsia="zh-CN"/>
                    </w:rPr>
                    <w:t>处理效率90%</w:t>
                  </w:r>
                </w:p>
              </w:tc>
              <w:tc>
                <w:tcPr>
                  <w:tcW w:w="406" w:type="pct"/>
                  <w:tcBorders>
                    <w:right w:val="nil"/>
                  </w:tcBorders>
                  <w:vAlign w:val="center"/>
                </w:tcPr>
                <w:p w14:paraId="02239302">
                  <w:pPr>
                    <w:autoSpaceDE w:val="0"/>
                    <w:autoSpaceDN w:val="0"/>
                    <w:jc w:val="center"/>
                    <w:rPr>
                      <w:szCs w:val="21"/>
                      <w:lang w:val="zh-CN"/>
                    </w:rPr>
                  </w:pPr>
                  <w:r>
                    <w:rPr>
                      <w:rFonts w:hint="eastAsia"/>
                      <w:szCs w:val="21"/>
                    </w:rPr>
                    <w:t>新建</w:t>
                  </w:r>
                </w:p>
              </w:tc>
            </w:tr>
            <w:tr w14:paraId="28B0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0" w:type="pct"/>
                  <w:vMerge w:val="continue"/>
                  <w:tcBorders>
                    <w:left w:val="nil"/>
                  </w:tcBorders>
                  <w:vAlign w:val="center"/>
                </w:tcPr>
                <w:p w14:paraId="3A628B7D">
                  <w:pPr>
                    <w:adjustRightInd w:val="0"/>
                    <w:snapToGrid w:val="0"/>
                    <w:jc w:val="center"/>
                    <w:rPr>
                      <w:rFonts w:hint="eastAsia" w:hAnsi="宋体"/>
                      <w:kern w:val="24"/>
                      <w:szCs w:val="21"/>
                    </w:rPr>
                  </w:pPr>
                </w:p>
              </w:tc>
              <w:tc>
                <w:tcPr>
                  <w:tcW w:w="933" w:type="pct"/>
                  <w:gridSpan w:val="2"/>
                  <w:vMerge w:val="continue"/>
                  <w:vAlign w:val="center"/>
                </w:tcPr>
                <w:p w14:paraId="4CFDFEFE">
                  <w:pPr>
                    <w:autoSpaceDE w:val="0"/>
                    <w:autoSpaceDN w:val="0"/>
                    <w:jc w:val="center"/>
                    <w:rPr>
                      <w:rFonts w:hint="eastAsia" w:hAnsi="宋体"/>
                      <w:kern w:val="24"/>
                      <w:szCs w:val="21"/>
                    </w:rPr>
                  </w:pPr>
                </w:p>
              </w:tc>
              <w:tc>
                <w:tcPr>
                  <w:tcW w:w="383" w:type="pct"/>
                  <w:vAlign w:val="center"/>
                </w:tcPr>
                <w:p w14:paraId="20AA189F">
                  <w:pPr>
                    <w:autoSpaceDE w:val="0"/>
                    <w:autoSpaceDN w:val="0"/>
                    <w:rPr>
                      <w:rFonts w:hint="eastAsia" w:hAnsi="宋体"/>
                      <w:kern w:val="24"/>
                      <w:szCs w:val="21"/>
                    </w:rPr>
                  </w:pPr>
                  <w:r>
                    <w:rPr>
                      <w:rFonts w:hint="eastAsia" w:cs="Times New Roman"/>
                      <w:szCs w:val="21"/>
                      <w:lang w:val="en-US" w:eastAsia="zh-CN"/>
                    </w:rPr>
                    <w:t>脱模</w:t>
                  </w:r>
                  <w:r>
                    <w:rPr>
                      <w:rFonts w:hint="eastAsia" w:ascii="Times New Roman" w:hAnsi="Times New Roman" w:cs="Times New Roman"/>
                      <w:szCs w:val="21"/>
                      <w:lang w:val="en-US" w:eastAsia="zh-CN"/>
                    </w:rPr>
                    <w:t>废气</w:t>
                  </w:r>
                </w:p>
              </w:tc>
              <w:tc>
                <w:tcPr>
                  <w:tcW w:w="2847" w:type="pct"/>
                  <w:gridSpan w:val="2"/>
                  <w:vMerge w:val="continue"/>
                  <w:tcBorders/>
                  <w:vAlign w:val="center"/>
                </w:tcPr>
                <w:p w14:paraId="1AE6CE7E">
                  <w:pPr>
                    <w:autoSpaceDE w:val="0"/>
                    <w:autoSpaceDN w:val="0"/>
                    <w:rPr>
                      <w:rFonts w:hint="eastAsia"/>
                      <w:szCs w:val="21"/>
                      <w:lang w:val="zh-CN"/>
                    </w:rPr>
                  </w:pPr>
                </w:p>
              </w:tc>
              <w:tc>
                <w:tcPr>
                  <w:tcW w:w="406" w:type="pct"/>
                  <w:tcBorders>
                    <w:right w:val="nil"/>
                  </w:tcBorders>
                  <w:vAlign w:val="center"/>
                </w:tcPr>
                <w:p w14:paraId="7E2AB183">
                  <w:pPr>
                    <w:autoSpaceDE w:val="0"/>
                    <w:autoSpaceDN w:val="0"/>
                    <w:jc w:val="center"/>
                    <w:rPr>
                      <w:rFonts w:hint="eastAsia"/>
                      <w:szCs w:val="21"/>
                    </w:rPr>
                  </w:pPr>
                  <w:r>
                    <w:rPr>
                      <w:rFonts w:hint="eastAsia"/>
                      <w:szCs w:val="21"/>
                    </w:rPr>
                    <w:t>新建</w:t>
                  </w:r>
                </w:p>
              </w:tc>
            </w:tr>
            <w:tr w14:paraId="2701B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0" w:type="pct"/>
                  <w:vMerge w:val="continue"/>
                  <w:tcBorders>
                    <w:left w:val="nil"/>
                  </w:tcBorders>
                  <w:vAlign w:val="center"/>
                </w:tcPr>
                <w:p w14:paraId="721126B2">
                  <w:pPr>
                    <w:adjustRightInd w:val="0"/>
                    <w:snapToGrid w:val="0"/>
                    <w:jc w:val="center"/>
                    <w:rPr>
                      <w:rFonts w:hint="eastAsia" w:hAnsi="宋体"/>
                      <w:kern w:val="24"/>
                      <w:szCs w:val="21"/>
                    </w:rPr>
                  </w:pPr>
                </w:p>
              </w:tc>
              <w:tc>
                <w:tcPr>
                  <w:tcW w:w="933" w:type="pct"/>
                  <w:gridSpan w:val="2"/>
                  <w:vMerge w:val="continue"/>
                  <w:vAlign w:val="center"/>
                </w:tcPr>
                <w:p w14:paraId="487B54FE">
                  <w:pPr>
                    <w:autoSpaceDE w:val="0"/>
                    <w:autoSpaceDN w:val="0"/>
                    <w:jc w:val="center"/>
                    <w:rPr>
                      <w:rFonts w:hint="eastAsia" w:hAnsi="宋体"/>
                      <w:kern w:val="24"/>
                      <w:szCs w:val="21"/>
                    </w:rPr>
                  </w:pPr>
                </w:p>
              </w:tc>
              <w:tc>
                <w:tcPr>
                  <w:tcW w:w="383" w:type="pct"/>
                  <w:vAlign w:val="center"/>
                </w:tcPr>
                <w:p w14:paraId="021AF14B">
                  <w:pPr>
                    <w:autoSpaceDE w:val="0"/>
                    <w:autoSpaceDN w:val="0"/>
                    <w:jc w:val="center"/>
                    <w:rPr>
                      <w:rFonts w:hint="eastAsia" w:hAnsi="宋体"/>
                      <w:kern w:val="24"/>
                      <w:szCs w:val="21"/>
                    </w:rPr>
                  </w:pPr>
                  <w:r>
                    <w:rPr>
                      <w:rFonts w:hint="eastAsia"/>
                      <w:szCs w:val="21"/>
                      <w:lang w:val="en-US" w:eastAsia="zh-CN"/>
                    </w:rPr>
                    <w:t>喷胶固化废气</w:t>
                  </w:r>
                </w:p>
              </w:tc>
              <w:tc>
                <w:tcPr>
                  <w:tcW w:w="2847" w:type="pct"/>
                  <w:gridSpan w:val="2"/>
                  <w:vAlign w:val="center"/>
                </w:tcPr>
                <w:p w14:paraId="11707819">
                  <w:pPr>
                    <w:autoSpaceDE w:val="0"/>
                    <w:autoSpaceDN w:val="0"/>
                    <w:rPr>
                      <w:rFonts w:hint="eastAsia"/>
                      <w:szCs w:val="21"/>
                      <w:lang w:val="zh-CN"/>
                    </w:rPr>
                  </w:pPr>
                  <w:r>
                    <w:rPr>
                      <w:rFonts w:hint="eastAsia"/>
                      <w:szCs w:val="21"/>
                      <w:lang w:val="zh-CN"/>
                    </w:rPr>
                    <w:t>废气</w:t>
                  </w:r>
                  <w:r>
                    <w:rPr>
                      <w:rFonts w:hint="eastAsia"/>
                      <w:szCs w:val="21"/>
                    </w:rPr>
                    <w:t>通过</w:t>
                  </w:r>
                  <w:r>
                    <w:rPr>
                      <w:rFonts w:hint="default" w:ascii="Times New Roman" w:hAnsi="Times New Roman" w:cs="Times New Roman"/>
                      <w:bCs/>
                      <w:color w:val="auto"/>
                      <w:sz w:val="21"/>
                      <w:szCs w:val="21"/>
                      <w:lang w:val="en-US" w:eastAsia="zh-CN"/>
                    </w:rPr>
                    <w:t>集气罩收集后</w:t>
                  </w:r>
                  <w:r>
                    <w:rPr>
                      <w:rFonts w:hint="eastAsia" w:cs="Times New Roman"/>
                      <w:bCs/>
                      <w:color w:val="auto"/>
                      <w:sz w:val="21"/>
                      <w:szCs w:val="21"/>
                      <w:lang w:val="en-US" w:eastAsia="zh-CN"/>
                    </w:rPr>
                    <w:t>，</w:t>
                  </w:r>
                  <w:r>
                    <w:rPr>
                      <w:rFonts w:hint="default" w:ascii="Times New Roman" w:hAnsi="Times New Roman" w:cs="Times New Roman"/>
                      <w:bCs/>
                      <w:color w:val="auto"/>
                      <w:sz w:val="21"/>
                      <w:szCs w:val="21"/>
                      <w:lang w:val="en-US" w:eastAsia="zh-CN"/>
                    </w:rPr>
                    <w:t>经</w:t>
                  </w:r>
                  <w:r>
                    <w:rPr>
                      <w:rFonts w:hint="eastAsia" w:ascii="Times New Roman" w:hAnsi="Times New Roman" w:cs="Times New Roman"/>
                      <w:bCs/>
                      <w:color w:val="auto"/>
                      <w:sz w:val="21"/>
                      <w:szCs w:val="21"/>
                      <w:lang w:val="en-US" w:eastAsia="zh-CN"/>
                    </w:rPr>
                    <w:t>“过滤棉+二级活性炭吸附装置”</w:t>
                  </w:r>
                  <w:r>
                    <w:rPr>
                      <w:rFonts w:hint="default" w:ascii="Times New Roman" w:hAnsi="Times New Roman" w:cs="Times New Roman"/>
                      <w:bCs/>
                      <w:color w:val="auto"/>
                      <w:sz w:val="21"/>
                      <w:szCs w:val="21"/>
                      <w:lang w:val="en-US" w:eastAsia="zh-CN"/>
                    </w:rPr>
                    <w:t>处理</w:t>
                  </w:r>
                  <w:r>
                    <w:rPr>
                      <w:rFonts w:hint="eastAsia" w:ascii="Times New Roman" w:hAnsi="Times New Roman" w:cs="Times New Roman"/>
                      <w:bCs/>
                      <w:color w:val="auto"/>
                      <w:sz w:val="21"/>
                      <w:szCs w:val="21"/>
                      <w:lang w:val="en-US" w:eastAsia="zh-CN"/>
                    </w:rPr>
                    <w:t>+15m高排气筒（DA002）</w:t>
                  </w:r>
                  <w:r>
                    <w:rPr>
                      <w:rFonts w:hint="eastAsia" w:cs="Times New Roman"/>
                      <w:bCs/>
                      <w:color w:val="auto"/>
                      <w:sz w:val="21"/>
                      <w:szCs w:val="21"/>
                      <w:lang w:val="en-US" w:eastAsia="zh-CN"/>
                    </w:rPr>
                    <w:t>，</w:t>
                  </w:r>
                  <w:r>
                    <w:rPr>
                      <w:rFonts w:hint="eastAsia" w:cs="Times New Roman"/>
                      <w:color w:val="auto"/>
                      <w:sz w:val="21"/>
                      <w:szCs w:val="21"/>
                      <w:lang w:val="en-US" w:eastAsia="zh-CN"/>
                    </w:rPr>
                    <w:t>收集效率90%，处理效率90%</w:t>
                  </w:r>
                </w:p>
              </w:tc>
              <w:tc>
                <w:tcPr>
                  <w:tcW w:w="406" w:type="pct"/>
                  <w:tcBorders>
                    <w:right w:val="nil"/>
                  </w:tcBorders>
                  <w:vAlign w:val="center"/>
                </w:tcPr>
                <w:p w14:paraId="71A6F6D0">
                  <w:pPr>
                    <w:autoSpaceDE w:val="0"/>
                    <w:autoSpaceDN w:val="0"/>
                    <w:jc w:val="center"/>
                    <w:rPr>
                      <w:rFonts w:hint="eastAsia"/>
                      <w:szCs w:val="21"/>
                    </w:rPr>
                  </w:pPr>
                  <w:r>
                    <w:rPr>
                      <w:rFonts w:hint="eastAsia"/>
                      <w:szCs w:val="21"/>
                    </w:rPr>
                    <w:t>新建</w:t>
                  </w:r>
                </w:p>
              </w:tc>
            </w:tr>
            <w:tr w14:paraId="22481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430" w:type="pct"/>
                  <w:vMerge w:val="continue"/>
                  <w:tcBorders>
                    <w:left w:val="nil"/>
                  </w:tcBorders>
                  <w:vAlign w:val="center"/>
                </w:tcPr>
                <w:p w14:paraId="39B6725A">
                  <w:pPr>
                    <w:adjustRightInd w:val="0"/>
                    <w:snapToGrid w:val="0"/>
                    <w:jc w:val="center"/>
                    <w:rPr>
                      <w:rFonts w:hAnsi="宋体"/>
                      <w:kern w:val="24"/>
                      <w:szCs w:val="21"/>
                    </w:rPr>
                  </w:pPr>
                </w:p>
              </w:tc>
              <w:tc>
                <w:tcPr>
                  <w:tcW w:w="933" w:type="pct"/>
                  <w:gridSpan w:val="2"/>
                  <w:vAlign w:val="center"/>
                </w:tcPr>
                <w:p w14:paraId="19D4EE1F">
                  <w:pPr>
                    <w:adjustRightInd w:val="0"/>
                    <w:snapToGrid w:val="0"/>
                    <w:jc w:val="center"/>
                    <w:rPr>
                      <w:rFonts w:hAnsi="宋体"/>
                      <w:kern w:val="24"/>
                      <w:szCs w:val="21"/>
                    </w:rPr>
                  </w:pPr>
                  <w:r>
                    <w:rPr>
                      <w:rFonts w:hAnsi="宋体"/>
                      <w:kern w:val="24"/>
                      <w:szCs w:val="21"/>
                    </w:rPr>
                    <w:t>废水</w:t>
                  </w:r>
                  <w:r>
                    <w:rPr>
                      <w:rFonts w:hint="eastAsia" w:hAnsi="宋体"/>
                      <w:kern w:val="24"/>
                      <w:szCs w:val="21"/>
                    </w:rPr>
                    <w:t>治理</w:t>
                  </w:r>
                </w:p>
              </w:tc>
              <w:tc>
                <w:tcPr>
                  <w:tcW w:w="383" w:type="pct"/>
                  <w:vAlign w:val="center"/>
                </w:tcPr>
                <w:p w14:paraId="57DE3931">
                  <w:pPr>
                    <w:adjustRightInd w:val="0"/>
                    <w:snapToGrid w:val="0"/>
                    <w:jc w:val="center"/>
                    <w:rPr>
                      <w:rFonts w:hAnsi="宋体"/>
                      <w:kern w:val="24"/>
                      <w:szCs w:val="21"/>
                    </w:rPr>
                  </w:pPr>
                  <w:r>
                    <w:rPr>
                      <w:rFonts w:hint="eastAsia"/>
                      <w:szCs w:val="21"/>
                    </w:rPr>
                    <w:t>生活污水</w:t>
                  </w:r>
                </w:p>
              </w:tc>
              <w:tc>
                <w:tcPr>
                  <w:tcW w:w="2847" w:type="pct"/>
                  <w:gridSpan w:val="2"/>
                  <w:vAlign w:val="center"/>
                </w:tcPr>
                <w:p w14:paraId="6D560D90">
                  <w:pPr>
                    <w:adjustRightInd w:val="0"/>
                    <w:snapToGrid w:val="0"/>
                    <w:jc w:val="center"/>
                    <w:rPr>
                      <w:szCs w:val="21"/>
                    </w:rPr>
                  </w:pPr>
                  <w:r>
                    <w:rPr>
                      <w:rFonts w:hint="eastAsia"/>
                    </w:rPr>
                    <w:t>冷却水循环使用，不外排。生活污水</w:t>
                  </w:r>
                  <w:r>
                    <w:rPr>
                      <w:rFonts w:hint="eastAsia"/>
                      <w:szCs w:val="21"/>
                    </w:rPr>
                    <w:t>经厂区现有化粪池预处理后，接园区污水管网进入芜湖市城东污水处理厂</w:t>
                  </w:r>
                </w:p>
              </w:tc>
              <w:tc>
                <w:tcPr>
                  <w:tcW w:w="406" w:type="pct"/>
                  <w:tcBorders>
                    <w:right w:val="nil"/>
                  </w:tcBorders>
                  <w:vAlign w:val="center"/>
                </w:tcPr>
                <w:p w14:paraId="29F1FBBA">
                  <w:pPr>
                    <w:adjustRightInd w:val="0"/>
                    <w:snapToGrid w:val="0"/>
                    <w:jc w:val="center"/>
                    <w:rPr>
                      <w:rFonts w:hAnsi="宋体"/>
                      <w:kern w:val="24"/>
                      <w:szCs w:val="21"/>
                    </w:rPr>
                  </w:pPr>
                  <w:r>
                    <w:rPr>
                      <w:rFonts w:hint="eastAsia"/>
                      <w:szCs w:val="21"/>
                    </w:rPr>
                    <w:t>依托现有</w:t>
                  </w:r>
                </w:p>
              </w:tc>
            </w:tr>
            <w:tr w14:paraId="2209B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Merge w:val="continue"/>
                  <w:tcBorders>
                    <w:left w:val="nil"/>
                  </w:tcBorders>
                  <w:vAlign w:val="center"/>
                </w:tcPr>
                <w:p w14:paraId="075349DA">
                  <w:pPr>
                    <w:adjustRightInd w:val="0"/>
                    <w:snapToGrid w:val="0"/>
                    <w:jc w:val="center"/>
                    <w:rPr>
                      <w:rFonts w:hAnsi="宋体"/>
                      <w:kern w:val="24"/>
                      <w:szCs w:val="21"/>
                    </w:rPr>
                  </w:pPr>
                </w:p>
              </w:tc>
              <w:tc>
                <w:tcPr>
                  <w:tcW w:w="933" w:type="pct"/>
                  <w:gridSpan w:val="2"/>
                  <w:vAlign w:val="center"/>
                </w:tcPr>
                <w:p w14:paraId="3E556E36">
                  <w:pPr>
                    <w:adjustRightInd w:val="0"/>
                    <w:snapToGrid w:val="0"/>
                    <w:jc w:val="center"/>
                    <w:rPr>
                      <w:rFonts w:hAnsi="宋体"/>
                      <w:kern w:val="24"/>
                      <w:szCs w:val="21"/>
                    </w:rPr>
                  </w:pPr>
                  <w:r>
                    <w:rPr>
                      <w:rFonts w:hAnsi="宋体"/>
                      <w:kern w:val="24"/>
                      <w:szCs w:val="21"/>
                    </w:rPr>
                    <w:t>噪声</w:t>
                  </w:r>
                  <w:r>
                    <w:rPr>
                      <w:rFonts w:hint="eastAsia" w:hAnsi="宋体"/>
                      <w:kern w:val="24"/>
                      <w:szCs w:val="21"/>
                    </w:rPr>
                    <w:t>治理</w:t>
                  </w:r>
                </w:p>
              </w:tc>
              <w:tc>
                <w:tcPr>
                  <w:tcW w:w="3230" w:type="pct"/>
                  <w:gridSpan w:val="3"/>
                  <w:vAlign w:val="center"/>
                </w:tcPr>
                <w:p w14:paraId="4249FC5A">
                  <w:pPr>
                    <w:adjustRightInd w:val="0"/>
                    <w:snapToGrid w:val="0"/>
                    <w:jc w:val="center"/>
                    <w:rPr>
                      <w:rFonts w:hAnsi="宋体"/>
                      <w:kern w:val="24"/>
                      <w:szCs w:val="21"/>
                    </w:rPr>
                  </w:pPr>
                  <w:r>
                    <w:rPr>
                      <w:rFonts w:hint="eastAsia" w:hAnsi="宋体"/>
                      <w:kern w:val="24"/>
                      <w:szCs w:val="21"/>
                    </w:rPr>
                    <w:t>合理布局，选用低噪设备，高噪声设备采隔声、减振等措施</w:t>
                  </w:r>
                </w:p>
              </w:tc>
              <w:tc>
                <w:tcPr>
                  <w:tcW w:w="406" w:type="pct"/>
                  <w:tcBorders>
                    <w:right w:val="nil"/>
                  </w:tcBorders>
                  <w:vAlign w:val="center"/>
                </w:tcPr>
                <w:p w14:paraId="00340136">
                  <w:pPr>
                    <w:adjustRightInd w:val="0"/>
                    <w:snapToGrid w:val="0"/>
                    <w:jc w:val="center"/>
                    <w:rPr>
                      <w:rFonts w:hAnsi="宋体"/>
                      <w:kern w:val="24"/>
                      <w:szCs w:val="21"/>
                    </w:rPr>
                  </w:pPr>
                  <w:r>
                    <w:rPr>
                      <w:rFonts w:hint="eastAsia"/>
                      <w:szCs w:val="21"/>
                    </w:rPr>
                    <w:t>新建</w:t>
                  </w:r>
                </w:p>
              </w:tc>
            </w:tr>
            <w:tr w14:paraId="0ED08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Merge w:val="continue"/>
                  <w:tcBorders>
                    <w:left w:val="nil"/>
                  </w:tcBorders>
                  <w:vAlign w:val="center"/>
                </w:tcPr>
                <w:p w14:paraId="4C62108D">
                  <w:pPr>
                    <w:adjustRightInd w:val="0"/>
                    <w:snapToGrid w:val="0"/>
                    <w:jc w:val="center"/>
                    <w:rPr>
                      <w:rFonts w:hAnsi="宋体"/>
                      <w:kern w:val="24"/>
                      <w:szCs w:val="21"/>
                    </w:rPr>
                  </w:pPr>
                </w:p>
              </w:tc>
              <w:tc>
                <w:tcPr>
                  <w:tcW w:w="933" w:type="pct"/>
                  <w:gridSpan w:val="2"/>
                  <w:vMerge w:val="restart"/>
                  <w:vAlign w:val="center"/>
                </w:tcPr>
                <w:p w14:paraId="00ACA509">
                  <w:pPr>
                    <w:adjustRightInd w:val="0"/>
                    <w:snapToGrid w:val="0"/>
                    <w:jc w:val="center"/>
                    <w:rPr>
                      <w:rFonts w:hAnsi="宋体"/>
                      <w:kern w:val="24"/>
                      <w:szCs w:val="21"/>
                    </w:rPr>
                  </w:pPr>
                  <w:r>
                    <w:rPr>
                      <w:rFonts w:hint="eastAsia" w:hAnsi="宋体"/>
                      <w:kern w:val="24"/>
                      <w:szCs w:val="21"/>
                    </w:rPr>
                    <w:t>固废治理</w:t>
                  </w:r>
                </w:p>
              </w:tc>
              <w:tc>
                <w:tcPr>
                  <w:tcW w:w="646" w:type="pct"/>
                  <w:gridSpan w:val="2"/>
                  <w:vAlign w:val="center"/>
                </w:tcPr>
                <w:p w14:paraId="26154188">
                  <w:pPr>
                    <w:adjustRightInd w:val="0"/>
                    <w:snapToGrid w:val="0"/>
                    <w:jc w:val="center"/>
                    <w:rPr>
                      <w:rFonts w:hAnsi="宋体"/>
                      <w:kern w:val="24"/>
                      <w:szCs w:val="21"/>
                    </w:rPr>
                  </w:pPr>
                  <w:r>
                    <w:rPr>
                      <w:rFonts w:hint="eastAsia" w:hAnsi="宋体"/>
                      <w:kern w:val="24"/>
                      <w:szCs w:val="21"/>
                    </w:rPr>
                    <w:t>一般工业固废</w:t>
                  </w:r>
                </w:p>
              </w:tc>
              <w:tc>
                <w:tcPr>
                  <w:tcW w:w="2583" w:type="pct"/>
                  <w:vAlign w:val="center"/>
                </w:tcPr>
                <w:p w14:paraId="7420658C">
                  <w:pPr>
                    <w:adjustRightInd w:val="0"/>
                    <w:snapToGrid w:val="0"/>
                    <w:jc w:val="left"/>
                    <w:rPr>
                      <w:rFonts w:hAnsi="宋体"/>
                      <w:kern w:val="24"/>
                      <w:szCs w:val="21"/>
                    </w:rPr>
                  </w:pPr>
                  <w:r>
                    <w:rPr>
                      <w:rFonts w:hint="eastAsia" w:hAnsi="宋体"/>
                      <w:kern w:val="24"/>
                      <w:szCs w:val="21"/>
                    </w:rPr>
                    <w:t>废边角料、不合格产品、废包装袋等一般固废收集后外售。一般固废库位于厂房南侧，面积为10m</w:t>
                  </w:r>
                  <w:r>
                    <w:rPr>
                      <w:rFonts w:hint="eastAsia" w:hAnsi="宋体"/>
                      <w:kern w:val="24"/>
                      <w:szCs w:val="21"/>
                      <w:vertAlign w:val="superscript"/>
                    </w:rPr>
                    <w:t>2</w:t>
                  </w:r>
                </w:p>
              </w:tc>
              <w:tc>
                <w:tcPr>
                  <w:tcW w:w="406" w:type="pct"/>
                  <w:tcBorders>
                    <w:right w:val="nil"/>
                  </w:tcBorders>
                  <w:vAlign w:val="center"/>
                </w:tcPr>
                <w:p w14:paraId="2AB5A703">
                  <w:pPr>
                    <w:adjustRightInd w:val="0"/>
                    <w:snapToGrid w:val="0"/>
                    <w:jc w:val="center"/>
                    <w:rPr>
                      <w:rFonts w:hAnsi="宋体"/>
                      <w:kern w:val="24"/>
                      <w:szCs w:val="21"/>
                    </w:rPr>
                  </w:pPr>
                  <w:r>
                    <w:rPr>
                      <w:rFonts w:hint="eastAsia"/>
                      <w:szCs w:val="21"/>
                    </w:rPr>
                    <w:t>新建</w:t>
                  </w:r>
                </w:p>
              </w:tc>
            </w:tr>
            <w:tr w14:paraId="2B87D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Merge w:val="continue"/>
                  <w:tcBorders>
                    <w:left w:val="nil"/>
                  </w:tcBorders>
                  <w:vAlign w:val="center"/>
                </w:tcPr>
                <w:p w14:paraId="18EB7854">
                  <w:pPr>
                    <w:adjustRightInd w:val="0"/>
                    <w:snapToGrid w:val="0"/>
                    <w:jc w:val="center"/>
                    <w:rPr>
                      <w:rFonts w:hAnsi="宋体"/>
                      <w:kern w:val="24"/>
                      <w:szCs w:val="21"/>
                    </w:rPr>
                  </w:pPr>
                </w:p>
              </w:tc>
              <w:tc>
                <w:tcPr>
                  <w:tcW w:w="933" w:type="pct"/>
                  <w:gridSpan w:val="2"/>
                  <w:vMerge w:val="continue"/>
                  <w:vAlign w:val="center"/>
                </w:tcPr>
                <w:p w14:paraId="31EEE642">
                  <w:pPr>
                    <w:adjustRightInd w:val="0"/>
                    <w:snapToGrid w:val="0"/>
                    <w:jc w:val="center"/>
                    <w:rPr>
                      <w:rFonts w:hAnsi="宋体"/>
                      <w:kern w:val="24"/>
                      <w:szCs w:val="21"/>
                    </w:rPr>
                  </w:pPr>
                </w:p>
              </w:tc>
              <w:tc>
                <w:tcPr>
                  <w:tcW w:w="646" w:type="pct"/>
                  <w:gridSpan w:val="2"/>
                  <w:vAlign w:val="center"/>
                </w:tcPr>
                <w:p w14:paraId="0FEDA075">
                  <w:pPr>
                    <w:adjustRightInd w:val="0"/>
                    <w:snapToGrid w:val="0"/>
                    <w:jc w:val="center"/>
                    <w:rPr>
                      <w:rFonts w:hAnsi="宋体"/>
                      <w:kern w:val="24"/>
                      <w:szCs w:val="21"/>
                    </w:rPr>
                  </w:pPr>
                  <w:r>
                    <w:rPr>
                      <w:rFonts w:hint="eastAsia" w:hAnsi="宋体"/>
                      <w:kern w:val="24"/>
                      <w:szCs w:val="21"/>
                    </w:rPr>
                    <w:t>危险废物</w:t>
                  </w:r>
                </w:p>
              </w:tc>
              <w:tc>
                <w:tcPr>
                  <w:tcW w:w="2583" w:type="pct"/>
                  <w:vAlign w:val="center"/>
                </w:tcPr>
                <w:p w14:paraId="05536380">
                  <w:pPr>
                    <w:adjustRightInd w:val="0"/>
                    <w:snapToGrid w:val="0"/>
                    <w:jc w:val="left"/>
                    <w:rPr>
                      <w:rFonts w:hAnsi="宋体"/>
                      <w:kern w:val="24"/>
                      <w:szCs w:val="21"/>
                    </w:rPr>
                  </w:pPr>
                  <w:r>
                    <w:rPr>
                      <w:rFonts w:hint="eastAsia" w:hAnsi="宋体"/>
                      <w:kern w:val="24"/>
                      <w:szCs w:val="21"/>
                    </w:rPr>
                    <w:t>废机油、废活性炭等暂存于危废暂存库定期委托危废经营资质单位处理。危废库位于厂房南侧，面积为6m</w:t>
                  </w:r>
                  <w:r>
                    <w:rPr>
                      <w:rFonts w:hint="eastAsia" w:hAnsi="宋体"/>
                      <w:kern w:val="24"/>
                      <w:szCs w:val="21"/>
                      <w:vertAlign w:val="superscript"/>
                    </w:rPr>
                    <w:t>2</w:t>
                  </w:r>
                </w:p>
              </w:tc>
              <w:tc>
                <w:tcPr>
                  <w:tcW w:w="406" w:type="pct"/>
                  <w:tcBorders>
                    <w:right w:val="nil"/>
                  </w:tcBorders>
                  <w:vAlign w:val="center"/>
                </w:tcPr>
                <w:p w14:paraId="01F24B07">
                  <w:pPr>
                    <w:adjustRightInd w:val="0"/>
                    <w:snapToGrid w:val="0"/>
                    <w:jc w:val="center"/>
                    <w:rPr>
                      <w:szCs w:val="21"/>
                    </w:rPr>
                  </w:pPr>
                  <w:r>
                    <w:rPr>
                      <w:rFonts w:hint="eastAsia"/>
                      <w:szCs w:val="21"/>
                    </w:rPr>
                    <w:t>新建</w:t>
                  </w:r>
                </w:p>
              </w:tc>
            </w:tr>
            <w:tr w14:paraId="5A37F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Merge w:val="continue"/>
                  <w:tcBorders>
                    <w:left w:val="nil"/>
                  </w:tcBorders>
                  <w:vAlign w:val="center"/>
                </w:tcPr>
                <w:p w14:paraId="4E1E3D94">
                  <w:pPr>
                    <w:adjustRightInd w:val="0"/>
                    <w:snapToGrid w:val="0"/>
                    <w:jc w:val="center"/>
                    <w:rPr>
                      <w:rFonts w:hAnsi="宋体"/>
                      <w:kern w:val="24"/>
                      <w:szCs w:val="21"/>
                    </w:rPr>
                  </w:pPr>
                </w:p>
              </w:tc>
              <w:tc>
                <w:tcPr>
                  <w:tcW w:w="933" w:type="pct"/>
                  <w:gridSpan w:val="2"/>
                  <w:vMerge w:val="continue"/>
                  <w:vAlign w:val="center"/>
                </w:tcPr>
                <w:p w14:paraId="5900D3B8">
                  <w:pPr>
                    <w:adjustRightInd w:val="0"/>
                    <w:snapToGrid w:val="0"/>
                    <w:jc w:val="center"/>
                    <w:rPr>
                      <w:rFonts w:hAnsi="宋体"/>
                      <w:kern w:val="24"/>
                      <w:szCs w:val="21"/>
                    </w:rPr>
                  </w:pPr>
                </w:p>
              </w:tc>
              <w:tc>
                <w:tcPr>
                  <w:tcW w:w="646" w:type="pct"/>
                  <w:gridSpan w:val="2"/>
                  <w:vAlign w:val="center"/>
                </w:tcPr>
                <w:p w14:paraId="4780D60A">
                  <w:pPr>
                    <w:adjustRightInd w:val="0"/>
                    <w:snapToGrid w:val="0"/>
                    <w:jc w:val="center"/>
                    <w:rPr>
                      <w:rFonts w:hAnsi="宋体"/>
                      <w:kern w:val="24"/>
                      <w:szCs w:val="21"/>
                    </w:rPr>
                  </w:pPr>
                  <w:r>
                    <w:rPr>
                      <w:rFonts w:hint="eastAsia" w:hAnsi="宋体"/>
                      <w:kern w:val="24"/>
                      <w:szCs w:val="21"/>
                    </w:rPr>
                    <w:t>生活垃圾</w:t>
                  </w:r>
                </w:p>
              </w:tc>
              <w:tc>
                <w:tcPr>
                  <w:tcW w:w="2583" w:type="pct"/>
                  <w:vAlign w:val="center"/>
                </w:tcPr>
                <w:p w14:paraId="4F911987">
                  <w:pPr>
                    <w:adjustRightInd w:val="0"/>
                    <w:snapToGrid w:val="0"/>
                    <w:jc w:val="center"/>
                    <w:rPr>
                      <w:rFonts w:hAnsi="宋体"/>
                      <w:kern w:val="24"/>
                      <w:szCs w:val="21"/>
                    </w:rPr>
                  </w:pPr>
                  <w:r>
                    <w:rPr>
                      <w:rFonts w:hint="eastAsia" w:hAnsi="宋体"/>
                      <w:kern w:val="24"/>
                      <w:szCs w:val="21"/>
                    </w:rPr>
                    <w:t>交由环卫部门统一清运</w:t>
                  </w:r>
                </w:p>
              </w:tc>
              <w:tc>
                <w:tcPr>
                  <w:tcW w:w="406" w:type="pct"/>
                  <w:tcBorders>
                    <w:right w:val="nil"/>
                  </w:tcBorders>
                  <w:vAlign w:val="center"/>
                </w:tcPr>
                <w:p w14:paraId="675D9C16">
                  <w:pPr>
                    <w:adjustRightInd w:val="0"/>
                    <w:snapToGrid w:val="0"/>
                    <w:jc w:val="center"/>
                    <w:rPr>
                      <w:szCs w:val="21"/>
                    </w:rPr>
                  </w:pPr>
                  <w:r>
                    <w:rPr>
                      <w:rFonts w:hint="eastAsia"/>
                      <w:szCs w:val="21"/>
                    </w:rPr>
                    <w:t>新建</w:t>
                  </w:r>
                </w:p>
              </w:tc>
            </w:tr>
            <w:tr w14:paraId="1F8CD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Merge w:val="continue"/>
                  <w:tcBorders>
                    <w:left w:val="nil"/>
                  </w:tcBorders>
                  <w:vAlign w:val="center"/>
                </w:tcPr>
                <w:p w14:paraId="613FE67D">
                  <w:pPr>
                    <w:adjustRightInd w:val="0"/>
                    <w:snapToGrid w:val="0"/>
                    <w:jc w:val="center"/>
                    <w:rPr>
                      <w:rFonts w:hAnsi="宋体"/>
                      <w:kern w:val="24"/>
                      <w:szCs w:val="21"/>
                    </w:rPr>
                  </w:pPr>
                </w:p>
              </w:tc>
              <w:tc>
                <w:tcPr>
                  <w:tcW w:w="401" w:type="pct"/>
                  <w:vMerge w:val="restart"/>
                  <w:vAlign w:val="center"/>
                </w:tcPr>
                <w:p w14:paraId="77432FE3">
                  <w:pPr>
                    <w:adjustRightInd w:val="0"/>
                    <w:snapToGrid w:val="0"/>
                    <w:jc w:val="center"/>
                    <w:rPr>
                      <w:rFonts w:hAnsi="宋体"/>
                      <w:kern w:val="24"/>
                      <w:szCs w:val="21"/>
                    </w:rPr>
                  </w:pPr>
                  <w:r>
                    <w:t>地下水、土壤防护</w:t>
                  </w:r>
                </w:p>
              </w:tc>
              <w:tc>
                <w:tcPr>
                  <w:tcW w:w="531" w:type="pct"/>
                  <w:vAlign w:val="center"/>
                </w:tcPr>
                <w:p w14:paraId="33F228E4">
                  <w:pPr>
                    <w:adjustRightInd w:val="0"/>
                    <w:snapToGrid w:val="0"/>
                    <w:jc w:val="center"/>
                  </w:pPr>
                  <w:r>
                    <w:rPr>
                      <w:rFonts w:hint="eastAsia"/>
                    </w:rPr>
                    <w:t>一般防渗</w:t>
                  </w:r>
                </w:p>
              </w:tc>
              <w:tc>
                <w:tcPr>
                  <w:tcW w:w="3230" w:type="pct"/>
                  <w:gridSpan w:val="3"/>
                  <w:vAlign w:val="center"/>
                </w:tcPr>
                <w:p w14:paraId="6AFC0A08">
                  <w:pPr>
                    <w:adjustRightInd w:val="0"/>
                    <w:snapToGrid w:val="0"/>
                    <w:jc w:val="left"/>
                    <w:rPr>
                      <w:rFonts w:hAnsi="宋体"/>
                      <w:kern w:val="24"/>
                      <w:szCs w:val="21"/>
                    </w:rPr>
                  </w:pPr>
                  <w:r>
                    <w:rPr>
                      <w:szCs w:val="21"/>
                    </w:rPr>
                    <w:t>生产区、一般固废库等做一般防渗，防渗措施：水泥硬化处理，</w:t>
                  </w:r>
                  <w:r>
                    <w:rPr>
                      <w:rFonts w:hint="eastAsia"/>
                      <w:szCs w:val="21"/>
                    </w:rPr>
                    <w:t>等效黏土防渗层Mb≥1.5 m，K≤10-7cm/s；或参照GB16889执行。</w:t>
                  </w:r>
                  <w:r>
                    <w:rPr>
                      <w:szCs w:val="21"/>
                    </w:rPr>
                    <w:t>采取10cm厚三合土铺底，再铺15~20cm的水泥进行硬化</w:t>
                  </w:r>
                </w:p>
              </w:tc>
              <w:tc>
                <w:tcPr>
                  <w:tcW w:w="406" w:type="pct"/>
                  <w:tcBorders>
                    <w:right w:val="nil"/>
                  </w:tcBorders>
                  <w:vAlign w:val="center"/>
                </w:tcPr>
                <w:p w14:paraId="5FDAA4BD">
                  <w:pPr>
                    <w:adjustRightInd w:val="0"/>
                    <w:snapToGrid w:val="0"/>
                    <w:jc w:val="center"/>
                    <w:rPr>
                      <w:szCs w:val="21"/>
                    </w:rPr>
                  </w:pPr>
                  <w:r>
                    <w:rPr>
                      <w:rFonts w:hint="eastAsia"/>
                      <w:szCs w:val="21"/>
                    </w:rPr>
                    <w:t>新建</w:t>
                  </w:r>
                </w:p>
              </w:tc>
            </w:tr>
            <w:tr w14:paraId="14723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0" w:type="pct"/>
                  <w:vMerge w:val="continue"/>
                  <w:tcBorders>
                    <w:left w:val="nil"/>
                  </w:tcBorders>
                  <w:vAlign w:val="center"/>
                </w:tcPr>
                <w:p w14:paraId="7C1C0FFB">
                  <w:pPr>
                    <w:adjustRightInd w:val="0"/>
                    <w:snapToGrid w:val="0"/>
                    <w:jc w:val="center"/>
                    <w:rPr>
                      <w:rFonts w:hAnsi="宋体"/>
                      <w:kern w:val="24"/>
                      <w:szCs w:val="21"/>
                    </w:rPr>
                  </w:pPr>
                </w:p>
              </w:tc>
              <w:tc>
                <w:tcPr>
                  <w:tcW w:w="401" w:type="pct"/>
                  <w:vMerge w:val="continue"/>
                  <w:vAlign w:val="center"/>
                </w:tcPr>
                <w:p w14:paraId="75BA6413">
                  <w:pPr>
                    <w:adjustRightInd w:val="0"/>
                    <w:snapToGrid w:val="0"/>
                    <w:jc w:val="center"/>
                    <w:rPr>
                      <w:rFonts w:hAnsi="宋体"/>
                      <w:kern w:val="24"/>
                      <w:szCs w:val="21"/>
                    </w:rPr>
                  </w:pPr>
                </w:p>
              </w:tc>
              <w:tc>
                <w:tcPr>
                  <w:tcW w:w="531" w:type="pct"/>
                  <w:vAlign w:val="center"/>
                </w:tcPr>
                <w:p w14:paraId="68E1FDDF">
                  <w:pPr>
                    <w:adjustRightInd w:val="0"/>
                    <w:snapToGrid w:val="0"/>
                    <w:jc w:val="center"/>
                    <w:rPr>
                      <w:rFonts w:hAnsi="宋体"/>
                      <w:kern w:val="24"/>
                      <w:szCs w:val="21"/>
                    </w:rPr>
                  </w:pPr>
                  <w:r>
                    <w:rPr>
                      <w:rFonts w:hint="eastAsia" w:hAnsi="宋体"/>
                      <w:kern w:val="24"/>
                      <w:szCs w:val="21"/>
                    </w:rPr>
                    <w:t>重点防渗</w:t>
                  </w:r>
                </w:p>
              </w:tc>
              <w:tc>
                <w:tcPr>
                  <w:tcW w:w="3230" w:type="pct"/>
                  <w:gridSpan w:val="3"/>
                  <w:vAlign w:val="center"/>
                </w:tcPr>
                <w:p w14:paraId="61EE5ACF">
                  <w:pPr>
                    <w:adjustRightInd w:val="0"/>
                    <w:snapToGrid w:val="0"/>
                    <w:jc w:val="left"/>
                    <w:rPr>
                      <w:szCs w:val="21"/>
                    </w:rPr>
                  </w:pPr>
                  <w:r>
                    <w:rPr>
                      <w:szCs w:val="21"/>
                    </w:rPr>
                    <w:t>危废暂存间做重点防渗，防渗措施：</w:t>
                  </w:r>
                  <w:r>
                    <w:rPr>
                      <w:rFonts w:hint="eastAsia"/>
                      <w:szCs w:val="21"/>
                    </w:rPr>
                    <w:t>铺设2mm 以上HDPE膜防渗，并采用环氧树脂涂层进行防腐处理，保证重点污染区各单元等效黏土防渗层Mb≥6.0m，防渗层渗透系数 K≤1×10-7cm/s；或参照GB18598执行</w:t>
                  </w:r>
                </w:p>
              </w:tc>
              <w:tc>
                <w:tcPr>
                  <w:tcW w:w="406" w:type="pct"/>
                  <w:tcBorders>
                    <w:right w:val="nil"/>
                  </w:tcBorders>
                  <w:vAlign w:val="center"/>
                </w:tcPr>
                <w:p w14:paraId="4C1464BE">
                  <w:pPr>
                    <w:adjustRightInd w:val="0"/>
                    <w:snapToGrid w:val="0"/>
                    <w:jc w:val="center"/>
                    <w:rPr>
                      <w:szCs w:val="21"/>
                    </w:rPr>
                  </w:pPr>
                  <w:r>
                    <w:rPr>
                      <w:rFonts w:hint="eastAsia"/>
                      <w:szCs w:val="21"/>
                    </w:rPr>
                    <w:t>新建</w:t>
                  </w:r>
                </w:p>
              </w:tc>
            </w:tr>
          </w:tbl>
          <w:p w14:paraId="234B7790">
            <w:pPr>
              <w:adjustRightInd w:val="0"/>
              <w:snapToGrid w:val="0"/>
              <w:spacing w:before="120" w:beforeLines="50" w:line="360" w:lineRule="auto"/>
              <w:ind w:firstLine="482" w:firstLineChars="200"/>
              <w:rPr>
                <w:b/>
                <w:sz w:val="24"/>
              </w:rPr>
            </w:pPr>
            <w:r>
              <w:rPr>
                <w:b/>
                <w:sz w:val="24"/>
              </w:rPr>
              <w:t>4、主要生产设备</w:t>
            </w:r>
          </w:p>
          <w:p w14:paraId="29A1C64D">
            <w:pPr>
              <w:adjustRightInd w:val="0"/>
              <w:snapToGrid w:val="0"/>
              <w:spacing w:line="360" w:lineRule="auto"/>
              <w:ind w:firstLine="480" w:firstLineChars="200"/>
              <w:rPr>
                <w:b/>
                <w:szCs w:val="21"/>
              </w:rPr>
            </w:pPr>
            <w:r>
              <w:rPr>
                <w:sz w:val="24"/>
              </w:rPr>
              <w:t>本项目主要生产设备详见表2-</w:t>
            </w:r>
            <w:r>
              <w:rPr>
                <w:rFonts w:hint="eastAsia"/>
                <w:sz w:val="24"/>
                <w:lang w:val="en-US" w:eastAsia="zh-CN"/>
              </w:rPr>
              <w:t>5</w:t>
            </w:r>
            <w:r>
              <w:rPr>
                <w:sz w:val="24"/>
              </w:rPr>
              <w:t>。</w:t>
            </w:r>
          </w:p>
          <w:p w14:paraId="3E28EA85">
            <w:pPr>
              <w:snapToGrid w:val="0"/>
              <w:ind w:firstLine="482" w:firstLineChars="200"/>
              <w:jc w:val="center"/>
              <w:rPr>
                <w:rFonts w:hint="eastAsia"/>
                <w:b/>
                <w:sz w:val="24"/>
                <w:lang w:eastAsia="zh-CN"/>
              </w:rPr>
            </w:pPr>
            <w:r>
              <w:rPr>
                <w:b/>
                <w:sz w:val="24"/>
              </w:rPr>
              <w:t>表2-</w:t>
            </w:r>
            <w:r>
              <w:rPr>
                <w:rFonts w:hint="eastAsia"/>
                <w:b/>
                <w:sz w:val="24"/>
                <w:lang w:val="en-US" w:eastAsia="zh-CN"/>
              </w:rPr>
              <w:t>5</w:t>
            </w:r>
            <w:r>
              <w:rPr>
                <w:b/>
                <w:sz w:val="24"/>
              </w:rPr>
              <w:t xml:space="preserve">  项目主要生产设备一览表</w:t>
            </w:r>
          </w:p>
          <w:tbl>
            <w:tblPr>
              <w:tblStyle w:val="29"/>
              <w:tblpPr w:leftFromText="180" w:rightFromText="180" w:vertAnchor="text" w:horzAnchor="page" w:tblpX="98" w:tblpY="299"/>
              <w:tblOverlap w:val="never"/>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9"/>
              <w:gridCol w:w="2597"/>
              <w:gridCol w:w="2988"/>
              <w:gridCol w:w="1840"/>
            </w:tblGrid>
            <w:tr w14:paraId="61D1F5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577" w:type="pct"/>
                  <w:vAlign w:val="center"/>
                </w:tcPr>
                <w:p w14:paraId="0B621DA4">
                  <w:pPr>
                    <w:widowControl/>
                    <w:jc w:val="center"/>
                    <w:rPr>
                      <w:rFonts w:ascii="宋体" w:hAnsi="宋体" w:cs="宋体"/>
                      <w:b/>
                      <w:bCs/>
                      <w:color w:val="000000"/>
                      <w:kern w:val="0"/>
                      <w:szCs w:val="21"/>
                    </w:rPr>
                  </w:pPr>
                  <w:bookmarkStart w:id="3" w:name="_Hlk129684722"/>
                  <w:r>
                    <w:rPr>
                      <w:rFonts w:hint="eastAsia" w:ascii="宋体" w:hAnsi="宋体" w:cs="宋体"/>
                      <w:b/>
                      <w:bCs/>
                      <w:color w:val="000000"/>
                      <w:kern w:val="0"/>
                      <w:szCs w:val="21"/>
                    </w:rPr>
                    <w:t>序号</w:t>
                  </w:r>
                </w:p>
              </w:tc>
              <w:tc>
                <w:tcPr>
                  <w:tcW w:w="1546" w:type="pct"/>
                  <w:vAlign w:val="center"/>
                </w:tcPr>
                <w:p w14:paraId="65593BE2">
                  <w:pPr>
                    <w:widowControl/>
                    <w:jc w:val="center"/>
                    <w:rPr>
                      <w:rFonts w:ascii="宋体" w:hAnsi="宋体" w:cs="宋体"/>
                      <w:b/>
                      <w:bCs/>
                      <w:color w:val="000000"/>
                      <w:kern w:val="0"/>
                      <w:szCs w:val="21"/>
                    </w:rPr>
                  </w:pPr>
                  <w:r>
                    <w:rPr>
                      <w:rFonts w:hint="eastAsia" w:ascii="宋体" w:hAnsi="宋体" w:cs="宋体"/>
                      <w:b/>
                      <w:bCs/>
                      <w:color w:val="000000"/>
                      <w:kern w:val="0"/>
                      <w:szCs w:val="21"/>
                    </w:rPr>
                    <w:t>设备名称</w:t>
                  </w:r>
                </w:p>
              </w:tc>
              <w:tc>
                <w:tcPr>
                  <w:tcW w:w="1779" w:type="pct"/>
                  <w:vAlign w:val="center"/>
                </w:tcPr>
                <w:p w14:paraId="43D734C2">
                  <w:pPr>
                    <w:widowControl/>
                    <w:jc w:val="center"/>
                    <w:rPr>
                      <w:rFonts w:ascii="宋体" w:hAnsi="宋体" w:cs="宋体"/>
                      <w:b/>
                      <w:bCs/>
                      <w:color w:val="000000"/>
                      <w:kern w:val="0"/>
                      <w:szCs w:val="21"/>
                    </w:rPr>
                  </w:pPr>
                  <w:r>
                    <w:rPr>
                      <w:rFonts w:hint="eastAsia" w:ascii="宋体" w:hAnsi="宋体" w:cs="宋体"/>
                      <w:b/>
                      <w:bCs/>
                      <w:color w:val="000000"/>
                      <w:kern w:val="0"/>
                      <w:szCs w:val="21"/>
                    </w:rPr>
                    <w:t>规格型号</w:t>
                  </w:r>
                </w:p>
              </w:tc>
              <w:tc>
                <w:tcPr>
                  <w:tcW w:w="1096" w:type="pct"/>
                  <w:vAlign w:val="center"/>
                </w:tcPr>
                <w:p w14:paraId="05527678">
                  <w:pPr>
                    <w:widowControl/>
                    <w:jc w:val="center"/>
                    <w:rPr>
                      <w:rFonts w:ascii="宋体" w:hAnsi="宋体" w:cs="宋体"/>
                      <w:b/>
                      <w:bCs/>
                      <w:color w:val="000000"/>
                      <w:kern w:val="0"/>
                      <w:szCs w:val="21"/>
                    </w:rPr>
                  </w:pPr>
                  <w:r>
                    <w:rPr>
                      <w:rFonts w:hint="eastAsia" w:ascii="宋体" w:hAnsi="宋体" w:cs="宋体"/>
                      <w:b/>
                      <w:bCs/>
                      <w:color w:val="000000"/>
                      <w:kern w:val="0"/>
                      <w:szCs w:val="21"/>
                    </w:rPr>
                    <w:t>数量（台/套）</w:t>
                  </w:r>
                </w:p>
              </w:tc>
            </w:tr>
            <w:tr w14:paraId="6FF6D9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7D89BCD9">
                  <w:pPr>
                    <w:widowControl/>
                    <w:jc w:val="center"/>
                  </w:pPr>
                  <w:r>
                    <w:rPr>
                      <w:rFonts w:hint="eastAsia"/>
                    </w:rPr>
                    <w:t>1</w:t>
                  </w:r>
                </w:p>
              </w:tc>
              <w:tc>
                <w:tcPr>
                  <w:tcW w:w="1546" w:type="pct"/>
                  <w:shd w:val="clear" w:color="auto" w:fill="auto"/>
                  <w:noWrap/>
                  <w:vAlign w:val="center"/>
                </w:tcPr>
                <w:p w14:paraId="30F3428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自动切线同步单针车</w:t>
                  </w:r>
                </w:p>
              </w:tc>
              <w:tc>
                <w:tcPr>
                  <w:tcW w:w="1779" w:type="pct"/>
                  <w:shd w:val="clear" w:color="auto" w:fill="auto"/>
                  <w:vAlign w:val="center"/>
                </w:tcPr>
                <w:p w14:paraId="6A07A461">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GC20618-1-D</w:t>
                  </w:r>
                </w:p>
              </w:tc>
              <w:tc>
                <w:tcPr>
                  <w:tcW w:w="1096" w:type="pct"/>
                  <w:noWrap/>
                  <w:vAlign w:val="center"/>
                </w:tcPr>
                <w:p w14:paraId="78D898BD">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8</w:t>
                  </w:r>
                </w:p>
              </w:tc>
            </w:tr>
            <w:tr w14:paraId="36F972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0DCC59DE">
                  <w:pPr>
                    <w:widowControl/>
                    <w:jc w:val="center"/>
                  </w:pPr>
                  <w:r>
                    <w:rPr>
                      <w:rFonts w:hint="eastAsia"/>
                    </w:rPr>
                    <w:t>2</w:t>
                  </w:r>
                </w:p>
              </w:tc>
              <w:tc>
                <w:tcPr>
                  <w:tcW w:w="1546" w:type="pct"/>
                  <w:shd w:val="clear" w:color="auto" w:fill="auto"/>
                  <w:noWrap/>
                  <w:vAlign w:val="center"/>
                </w:tcPr>
                <w:p w14:paraId="71E0B460">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自动切线同步单针车</w:t>
                  </w:r>
                </w:p>
              </w:tc>
              <w:tc>
                <w:tcPr>
                  <w:tcW w:w="1779" w:type="pct"/>
                  <w:shd w:val="clear" w:color="auto" w:fill="auto"/>
                  <w:vAlign w:val="center"/>
                </w:tcPr>
                <w:p w14:paraId="253AA4B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GC0318-1C</w:t>
                  </w:r>
                </w:p>
              </w:tc>
              <w:tc>
                <w:tcPr>
                  <w:tcW w:w="1096" w:type="pct"/>
                  <w:noWrap/>
                  <w:vAlign w:val="center"/>
                </w:tcPr>
                <w:p w14:paraId="33177D5B">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r>
            <w:tr w14:paraId="438D93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71035A48">
                  <w:pPr>
                    <w:widowControl/>
                    <w:jc w:val="center"/>
                  </w:pPr>
                  <w:r>
                    <w:rPr>
                      <w:rFonts w:hint="eastAsia"/>
                    </w:rPr>
                    <w:t>3</w:t>
                  </w:r>
                </w:p>
              </w:tc>
              <w:tc>
                <w:tcPr>
                  <w:tcW w:w="1546" w:type="pct"/>
                  <w:shd w:val="clear" w:color="auto" w:fill="auto"/>
                  <w:noWrap/>
                  <w:vAlign w:val="center"/>
                </w:tcPr>
                <w:p w14:paraId="1D4AE2D6">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自动切线同步单针车</w:t>
                  </w:r>
                </w:p>
              </w:tc>
              <w:tc>
                <w:tcPr>
                  <w:tcW w:w="1779" w:type="pct"/>
                  <w:shd w:val="clear" w:color="auto" w:fill="auto"/>
                  <w:vAlign w:val="center"/>
                </w:tcPr>
                <w:p w14:paraId="7F44964E">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GC0330QD3</w:t>
                  </w:r>
                </w:p>
                <w:p w14:paraId="4281AF43">
                  <w:pPr>
                    <w:widowControl/>
                    <w:jc w:val="center"/>
                    <w:rPr>
                      <w:rFonts w:hint="eastAsia" w:ascii="Times New Roman" w:hAnsi="Times New Roman" w:eastAsia="宋体" w:cs="Times New Roman"/>
                      <w:lang w:val="en-US" w:eastAsia="zh-CN"/>
                    </w:rPr>
                  </w:pPr>
                </w:p>
              </w:tc>
              <w:tc>
                <w:tcPr>
                  <w:tcW w:w="1096" w:type="pct"/>
                  <w:noWrap/>
                  <w:vAlign w:val="center"/>
                </w:tcPr>
                <w:p w14:paraId="00EB31BE">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r>
            <w:tr w14:paraId="63001E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391F930B">
                  <w:pPr>
                    <w:widowControl/>
                    <w:jc w:val="center"/>
                  </w:pPr>
                  <w:r>
                    <w:rPr>
                      <w:rFonts w:hint="eastAsia"/>
                    </w:rPr>
                    <w:t>4</w:t>
                  </w:r>
                </w:p>
              </w:tc>
              <w:tc>
                <w:tcPr>
                  <w:tcW w:w="1546" w:type="pct"/>
                  <w:shd w:val="clear" w:color="auto" w:fill="auto"/>
                  <w:noWrap/>
                  <w:vAlign w:val="center"/>
                </w:tcPr>
                <w:p w14:paraId="78A0FFD6">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立柱双针车</w:t>
                  </w:r>
                </w:p>
              </w:tc>
              <w:tc>
                <w:tcPr>
                  <w:tcW w:w="1779" w:type="pct"/>
                  <w:shd w:val="clear" w:color="auto" w:fill="auto"/>
                  <w:vAlign w:val="center"/>
                </w:tcPr>
                <w:p w14:paraId="55B37DD8">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CS-8350BFT</w:t>
                  </w:r>
                </w:p>
              </w:tc>
              <w:tc>
                <w:tcPr>
                  <w:tcW w:w="1096" w:type="pct"/>
                  <w:noWrap/>
                  <w:vAlign w:val="center"/>
                </w:tcPr>
                <w:p w14:paraId="346F5AC1">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6</w:t>
                  </w:r>
                </w:p>
              </w:tc>
            </w:tr>
            <w:tr w14:paraId="1AEBCE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0A2A8719">
                  <w:pPr>
                    <w:widowControl/>
                    <w:jc w:val="center"/>
                  </w:pPr>
                  <w:r>
                    <w:rPr>
                      <w:rFonts w:hint="eastAsia"/>
                    </w:rPr>
                    <w:t>5</w:t>
                  </w:r>
                </w:p>
              </w:tc>
              <w:tc>
                <w:tcPr>
                  <w:tcW w:w="1546" w:type="pct"/>
                  <w:shd w:val="clear" w:color="auto" w:fill="auto"/>
                  <w:noWrap/>
                  <w:vAlign w:val="center"/>
                </w:tcPr>
                <w:p w14:paraId="6D3F3C8B">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重机立柱双针车</w:t>
                  </w:r>
                </w:p>
              </w:tc>
              <w:tc>
                <w:tcPr>
                  <w:tcW w:w="1779" w:type="pct"/>
                  <w:vAlign w:val="center"/>
                </w:tcPr>
                <w:p w14:paraId="07A9A5A7">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46168ADE">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r>
            <w:tr w14:paraId="4754BE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0CAC432E">
                  <w:pPr>
                    <w:widowControl/>
                    <w:jc w:val="center"/>
                  </w:pPr>
                  <w:r>
                    <w:rPr>
                      <w:rFonts w:hint="eastAsia"/>
                    </w:rPr>
                    <w:t>6</w:t>
                  </w:r>
                </w:p>
              </w:tc>
              <w:tc>
                <w:tcPr>
                  <w:tcW w:w="1546" w:type="pct"/>
                  <w:shd w:val="clear" w:color="auto" w:fill="auto"/>
                  <w:noWrap/>
                  <w:vAlign w:val="center"/>
                </w:tcPr>
                <w:p w14:paraId="11C422C1">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杜克普立柱双针车</w:t>
                  </w:r>
                </w:p>
              </w:tc>
              <w:tc>
                <w:tcPr>
                  <w:tcW w:w="1779" w:type="pct"/>
                  <w:vAlign w:val="center"/>
                </w:tcPr>
                <w:p w14:paraId="6CF4ACD2">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073A0BFE">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r>
            <w:tr w14:paraId="4566E3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44CF3778">
                  <w:pPr>
                    <w:widowControl/>
                    <w:jc w:val="center"/>
                  </w:pPr>
                  <w:r>
                    <w:rPr>
                      <w:rFonts w:hint="eastAsia"/>
                    </w:rPr>
                    <w:t>7</w:t>
                  </w:r>
                </w:p>
              </w:tc>
              <w:tc>
                <w:tcPr>
                  <w:tcW w:w="1546" w:type="pct"/>
                  <w:shd w:val="clear" w:color="auto" w:fill="auto"/>
                  <w:noWrap/>
                  <w:vAlign w:val="center"/>
                </w:tcPr>
                <w:p w14:paraId="0C7FA150">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模板缝纫机</w:t>
                  </w:r>
                </w:p>
              </w:tc>
              <w:tc>
                <w:tcPr>
                  <w:tcW w:w="1779" w:type="pct"/>
                  <w:shd w:val="clear" w:color="auto" w:fill="auto"/>
                  <w:vAlign w:val="center"/>
                </w:tcPr>
                <w:p w14:paraId="6D9F4DD7">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JH-AGP10090-XZ-H-SF-DTT</w:t>
                  </w:r>
                </w:p>
              </w:tc>
              <w:tc>
                <w:tcPr>
                  <w:tcW w:w="1096" w:type="pct"/>
                  <w:noWrap/>
                  <w:vAlign w:val="center"/>
                </w:tcPr>
                <w:p w14:paraId="79A4C9A2">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r>
            <w:tr w14:paraId="1B606D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167C3DFC">
                  <w:pPr>
                    <w:widowControl/>
                    <w:jc w:val="center"/>
                  </w:pPr>
                  <w:r>
                    <w:rPr>
                      <w:rFonts w:hint="eastAsia"/>
                    </w:rPr>
                    <w:t>8</w:t>
                  </w:r>
                </w:p>
              </w:tc>
              <w:tc>
                <w:tcPr>
                  <w:tcW w:w="1546" w:type="pct"/>
                  <w:shd w:val="clear" w:color="auto" w:fill="auto"/>
                  <w:noWrap/>
                  <w:vAlign w:val="center"/>
                </w:tcPr>
                <w:p w14:paraId="1245081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电脑裁床</w:t>
                  </w:r>
                </w:p>
              </w:tc>
              <w:tc>
                <w:tcPr>
                  <w:tcW w:w="1779" w:type="pct"/>
                  <w:shd w:val="clear" w:color="auto" w:fill="auto"/>
                  <w:vAlign w:val="center"/>
                </w:tcPr>
                <w:p w14:paraId="4C5F148B">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IX6 加宽型</w:t>
                  </w:r>
                </w:p>
              </w:tc>
              <w:tc>
                <w:tcPr>
                  <w:tcW w:w="1096" w:type="pct"/>
                  <w:noWrap/>
                  <w:vAlign w:val="center"/>
                </w:tcPr>
                <w:p w14:paraId="7F260A40">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r>
            <w:tr w14:paraId="274CFC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45044CF8">
                  <w:pPr>
                    <w:widowControl/>
                    <w:jc w:val="center"/>
                  </w:pPr>
                  <w:r>
                    <w:rPr>
                      <w:rFonts w:hint="eastAsia"/>
                    </w:rPr>
                    <w:t>9</w:t>
                  </w:r>
                </w:p>
              </w:tc>
              <w:tc>
                <w:tcPr>
                  <w:tcW w:w="1546" w:type="pct"/>
                  <w:shd w:val="clear" w:color="auto" w:fill="auto"/>
                  <w:noWrap/>
                  <w:vAlign w:val="center"/>
                </w:tcPr>
                <w:p w14:paraId="6E1E6BCE">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加热烘道</w:t>
                  </w:r>
                </w:p>
              </w:tc>
              <w:tc>
                <w:tcPr>
                  <w:tcW w:w="1779" w:type="pct"/>
                  <w:shd w:val="clear" w:color="auto" w:fill="auto"/>
                  <w:vAlign w:val="center"/>
                </w:tcPr>
                <w:p w14:paraId="51B53D1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24327AAB">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r>
            <w:tr w14:paraId="693F46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114252FB">
                  <w:pPr>
                    <w:widowControl/>
                    <w:jc w:val="center"/>
                  </w:pPr>
                  <w:r>
                    <w:rPr>
                      <w:rFonts w:hint="eastAsia"/>
                    </w:rPr>
                    <w:t>10</w:t>
                  </w:r>
                </w:p>
              </w:tc>
              <w:tc>
                <w:tcPr>
                  <w:tcW w:w="1546" w:type="pct"/>
                  <w:shd w:val="clear" w:color="auto" w:fill="auto"/>
                  <w:noWrap/>
                  <w:vAlign w:val="center"/>
                </w:tcPr>
                <w:p w14:paraId="6611C09D">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超声波焊机</w:t>
                  </w:r>
                </w:p>
              </w:tc>
              <w:tc>
                <w:tcPr>
                  <w:tcW w:w="1779" w:type="pct"/>
                  <w:shd w:val="clear" w:color="auto" w:fill="auto"/>
                  <w:vAlign w:val="center"/>
                </w:tcPr>
                <w:p w14:paraId="213D4EBC">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28K</w:t>
                  </w:r>
                </w:p>
              </w:tc>
              <w:tc>
                <w:tcPr>
                  <w:tcW w:w="1096" w:type="pct"/>
                  <w:noWrap/>
                  <w:vAlign w:val="center"/>
                </w:tcPr>
                <w:p w14:paraId="33B27F74">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33</w:t>
                  </w:r>
                </w:p>
              </w:tc>
            </w:tr>
            <w:tr w14:paraId="557C4B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61A83096">
                  <w:pPr>
                    <w:widowControl/>
                    <w:jc w:val="center"/>
                  </w:pPr>
                  <w:r>
                    <w:rPr>
                      <w:rFonts w:hint="eastAsia"/>
                    </w:rPr>
                    <w:t>11</w:t>
                  </w:r>
                </w:p>
              </w:tc>
              <w:tc>
                <w:tcPr>
                  <w:tcW w:w="1546" w:type="pct"/>
                  <w:shd w:val="clear" w:color="auto" w:fill="auto"/>
                  <w:noWrap/>
                  <w:vAlign w:val="center"/>
                </w:tcPr>
                <w:p w14:paraId="280AC248">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模压机</w:t>
                  </w:r>
                </w:p>
              </w:tc>
              <w:tc>
                <w:tcPr>
                  <w:tcW w:w="1779" w:type="pct"/>
                  <w:shd w:val="clear" w:color="auto" w:fill="auto"/>
                  <w:vAlign w:val="center"/>
                </w:tcPr>
                <w:p w14:paraId="07A74BFD">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BF-KX-001</w:t>
                  </w:r>
                </w:p>
              </w:tc>
              <w:tc>
                <w:tcPr>
                  <w:tcW w:w="1096" w:type="pct"/>
                  <w:noWrap/>
                  <w:vAlign w:val="center"/>
                </w:tcPr>
                <w:p w14:paraId="74B65D6C">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r>
            <w:tr w14:paraId="1A58DF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21377CCA">
                  <w:pPr>
                    <w:widowControl/>
                    <w:jc w:val="center"/>
                  </w:pPr>
                  <w:r>
                    <w:rPr>
                      <w:rFonts w:hint="eastAsia"/>
                    </w:rPr>
                    <w:t>12</w:t>
                  </w:r>
                </w:p>
              </w:tc>
              <w:tc>
                <w:tcPr>
                  <w:tcW w:w="1546" w:type="pct"/>
                  <w:shd w:val="clear" w:color="auto" w:fill="auto"/>
                  <w:noWrap/>
                  <w:vAlign w:val="center"/>
                </w:tcPr>
                <w:p w14:paraId="1CCCF9B9">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高温发泡线</w:t>
                  </w:r>
                </w:p>
              </w:tc>
              <w:tc>
                <w:tcPr>
                  <w:tcW w:w="1779" w:type="pct"/>
                  <w:vAlign w:val="center"/>
                </w:tcPr>
                <w:p w14:paraId="545A0CEA">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30DB91D0">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r>
            <w:tr w14:paraId="479496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vAlign w:val="center"/>
                </w:tcPr>
                <w:p w14:paraId="4874F132">
                  <w:pPr>
                    <w:widowControl/>
                    <w:jc w:val="center"/>
                  </w:pPr>
                  <w:r>
                    <w:rPr>
                      <w:rFonts w:hint="eastAsia"/>
                    </w:rPr>
                    <w:t>13</w:t>
                  </w:r>
                </w:p>
              </w:tc>
              <w:tc>
                <w:tcPr>
                  <w:tcW w:w="1546" w:type="pct"/>
                  <w:shd w:val="clear" w:color="auto" w:fill="auto"/>
                  <w:noWrap/>
                  <w:vAlign w:val="bottom"/>
                </w:tcPr>
                <w:p w14:paraId="0FA91182">
                  <w:pPr>
                    <w:widowControl/>
                    <w:jc w:val="center"/>
                    <w:rPr>
                      <w:rFonts w:hint="eastAsia" w:ascii="Times New Roman" w:hAnsi="Times New Roman" w:eastAsia="宋体" w:cs="Times New Roman"/>
                      <w:lang w:val="en-US" w:eastAsia="zh-CN"/>
                    </w:rPr>
                  </w:pPr>
                  <w:r>
                    <w:rPr>
                      <w:rStyle w:val="98"/>
                      <w:rFonts w:hint="eastAsia" w:cs="Times New Roman"/>
                      <w:color w:val="auto"/>
                      <w:sz w:val="21"/>
                      <w:szCs w:val="21"/>
                      <w:lang w:val="en-US" w:eastAsia="zh-CN" w:bidi="ar"/>
                    </w:rPr>
                    <w:t>吸附</w:t>
                  </w:r>
                  <w:r>
                    <w:rPr>
                      <w:rStyle w:val="98"/>
                      <w:rFonts w:hint="default" w:ascii="Times New Roman" w:hAnsi="Times New Roman" w:eastAsia="宋体" w:cs="Times New Roman"/>
                      <w:color w:val="auto"/>
                      <w:sz w:val="21"/>
                      <w:szCs w:val="21"/>
                      <w:lang w:val="en-US" w:eastAsia="zh-CN" w:bidi="ar"/>
                    </w:rPr>
                    <w:t>机</w:t>
                  </w:r>
                </w:p>
              </w:tc>
              <w:tc>
                <w:tcPr>
                  <w:tcW w:w="1779" w:type="pct"/>
                  <w:vAlign w:val="center"/>
                </w:tcPr>
                <w:p w14:paraId="67B47F94">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bottom"/>
                </w:tcPr>
                <w:p w14:paraId="22704A1F">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r>
            <w:tr w14:paraId="47B730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shd w:val="clear" w:color="auto" w:fill="auto"/>
                  <w:vAlign w:val="center"/>
                </w:tcPr>
                <w:p w14:paraId="221977A7">
                  <w:pPr>
                    <w:widowControl/>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14</w:t>
                  </w:r>
                </w:p>
              </w:tc>
              <w:tc>
                <w:tcPr>
                  <w:tcW w:w="1546" w:type="pct"/>
                  <w:shd w:val="clear" w:color="auto" w:fill="auto"/>
                  <w:noWrap/>
                  <w:vAlign w:val="bottom"/>
                </w:tcPr>
                <w:p w14:paraId="761EFF39">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喷胶房</w:t>
                  </w:r>
                </w:p>
              </w:tc>
              <w:tc>
                <w:tcPr>
                  <w:tcW w:w="1779" w:type="pct"/>
                  <w:vAlign w:val="center"/>
                </w:tcPr>
                <w:p w14:paraId="44372817">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bottom"/>
                </w:tcPr>
                <w:p w14:paraId="24DB6849">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r>
            <w:tr w14:paraId="5207E1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shd w:val="clear" w:color="auto" w:fill="auto"/>
                  <w:vAlign w:val="center"/>
                </w:tcPr>
                <w:p w14:paraId="6DB863D5">
                  <w:pPr>
                    <w:widowControl/>
                    <w:jc w:val="center"/>
                    <w:rPr>
                      <w:rFonts w:hint="eastAsia" w:ascii="Times New Roman" w:hAnsi="Times New Roman" w:eastAsia="宋体" w:cs="Times New Roman"/>
                      <w:kern w:val="2"/>
                      <w:sz w:val="21"/>
                      <w:szCs w:val="24"/>
                      <w:lang w:val="en-US" w:eastAsia="zh-CN" w:bidi="ar-SA"/>
                    </w:rPr>
                  </w:pPr>
                  <w:r>
                    <w:rPr>
                      <w:rFonts w:hint="eastAsia"/>
                    </w:rPr>
                    <w:t>15</w:t>
                  </w:r>
                </w:p>
              </w:tc>
              <w:tc>
                <w:tcPr>
                  <w:tcW w:w="1546" w:type="pct"/>
                  <w:shd w:val="clear" w:color="auto" w:fill="auto"/>
                  <w:noWrap/>
                  <w:vAlign w:val="bottom"/>
                </w:tcPr>
                <w:p w14:paraId="0030AF50">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减震垫发泡模具</w:t>
                  </w:r>
                </w:p>
              </w:tc>
              <w:tc>
                <w:tcPr>
                  <w:tcW w:w="1779" w:type="pct"/>
                  <w:vAlign w:val="center"/>
                </w:tcPr>
                <w:p w14:paraId="3777E6B8">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bottom"/>
                </w:tcPr>
                <w:p w14:paraId="5A69AA3F">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r>
            <w:tr w14:paraId="16D538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shd w:val="clear" w:color="auto" w:fill="auto"/>
                  <w:vAlign w:val="center"/>
                </w:tcPr>
                <w:p w14:paraId="2235A0C4">
                  <w:pPr>
                    <w:widowControl/>
                    <w:jc w:val="center"/>
                    <w:rPr>
                      <w:rFonts w:hint="default" w:ascii="Times New Roman" w:hAnsi="Times New Roman" w:eastAsia="宋体" w:cs="Times New Roman"/>
                      <w:kern w:val="2"/>
                      <w:sz w:val="21"/>
                      <w:szCs w:val="24"/>
                      <w:lang w:val="en-US" w:eastAsia="zh-CN" w:bidi="ar-SA"/>
                    </w:rPr>
                  </w:pPr>
                  <w:r>
                    <w:rPr>
                      <w:rFonts w:hint="eastAsia"/>
                      <w:lang w:val="en-US" w:eastAsia="zh-CN"/>
                    </w:rPr>
                    <w:t>16</w:t>
                  </w:r>
                </w:p>
              </w:tc>
              <w:tc>
                <w:tcPr>
                  <w:tcW w:w="1546" w:type="pct"/>
                  <w:shd w:val="clear" w:color="auto" w:fill="auto"/>
                  <w:noWrap/>
                  <w:vAlign w:val="center"/>
                </w:tcPr>
                <w:p w14:paraId="528C3D7D">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空压机</w:t>
                  </w:r>
                </w:p>
              </w:tc>
              <w:tc>
                <w:tcPr>
                  <w:tcW w:w="1779" w:type="pct"/>
                  <w:vAlign w:val="center"/>
                </w:tcPr>
                <w:p w14:paraId="3DDB8126">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K3</w:t>
                  </w:r>
                </w:p>
              </w:tc>
              <w:tc>
                <w:tcPr>
                  <w:tcW w:w="1096" w:type="pct"/>
                  <w:noWrap/>
                  <w:vAlign w:val="center"/>
                </w:tcPr>
                <w:p w14:paraId="29E91EED">
                  <w:pPr>
                    <w:widowControl/>
                    <w:jc w:val="center"/>
                    <w:rPr>
                      <w:rFonts w:hint="eastAsia" w:eastAsia="宋体"/>
                      <w:lang w:eastAsia="zh-CN"/>
                    </w:rPr>
                  </w:pPr>
                  <w:r>
                    <w:rPr>
                      <w:rFonts w:hint="eastAsia"/>
                      <w:lang w:val="en-US" w:eastAsia="zh-CN"/>
                    </w:rPr>
                    <w:t>3</w:t>
                  </w:r>
                </w:p>
              </w:tc>
            </w:tr>
            <w:tr w14:paraId="6E1252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shd w:val="clear" w:color="auto" w:fill="auto"/>
                  <w:vAlign w:val="center"/>
                </w:tcPr>
                <w:p w14:paraId="1CD038C9">
                  <w:pPr>
                    <w:widowControl/>
                    <w:jc w:val="center"/>
                    <w:rPr>
                      <w:rFonts w:hint="eastAsia" w:ascii="Times New Roman" w:hAnsi="Times New Roman" w:eastAsia="宋体" w:cs="Times New Roman"/>
                      <w:kern w:val="2"/>
                      <w:sz w:val="21"/>
                      <w:szCs w:val="24"/>
                      <w:lang w:val="en-US" w:eastAsia="zh-CN" w:bidi="ar-SA"/>
                    </w:rPr>
                  </w:pPr>
                  <w:r>
                    <w:rPr>
                      <w:rFonts w:hint="eastAsia"/>
                      <w:lang w:val="en-US" w:eastAsia="zh-CN"/>
                    </w:rPr>
                    <w:t>17</w:t>
                  </w:r>
                </w:p>
              </w:tc>
              <w:tc>
                <w:tcPr>
                  <w:tcW w:w="1546" w:type="pct"/>
                  <w:noWrap/>
                  <w:vAlign w:val="bottom"/>
                </w:tcPr>
                <w:p w14:paraId="64C9DAB7">
                  <w:pPr>
                    <w:widowControl/>
                    <w:jc w:val="center"/>
                    <w:rPr>
                      <w:rFonts w:hint="eastAsia" w:ascii="Times New Roman" w:hAnsi="Times New Roman" w:eastAsia="宋体" w:cs="Times New Roman"/>
                    </w:rPr>
                  </w:pPr>
                  <w:r>
                    <w:rPr>
                      <w:rFonts w:hint="eastAsia" w:ascii="Times New Roman" w:hAnsi="Times New Roman" w:eastAsia="宋体" w:cs="Times New Roman"/>
                      <w:lang w:val="en-US" w:eastAsia="zh-CN"/>
                    </w:rPr>
                    <w:t>叉车</w:t>
                  </w:r>
                </w:p>
              </w:tc>
              <w:tc>
                <w:tcPr>
                  <w:tcW w:w="1779" w:type="pct"/>
                  <w:vAlign w:val="center"/>
                </w:tcPr>
                <w:p w14:paraId="5879329F">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11C3D41C">
                  <w:pPr>
                    <w:widowControl/>
                    <w:jc w:val="center"/>
                  </w:pPr>
                  <w:r>
                    <w:rPr>
                      <w:rFonts w:hint="eastAsia"/>
                    </w:rPr>
                    <w:t>1</w:t>
                  </w:r>
                </w:p>
              </w:tc>
            </w:tr>
            <w:tr w14:paraId="0039FF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shd w:val="clear" w:color="auto" w:fill="auto"/>
                  <w:vAlign w:val="center"/>
                </w:tcPr>
                <w:p w14:paraId="64A97AD1">
                  <w:pPr>
                    <w:widowControl/>
                    <w:jc w:val="center"/>
                    <w:rPr>
                      <w:rFonts w:hint="default" w:ascii="Times New Roman" w:hAnsi="Times New Roman" w:eastAsia="宋体" w:cs="Times New Roman"/>
                      <w:kern w:val="2"/>
                      <w:sz w:val="21"/>
                      <w:szCs w:val="24"/>
                      <w:lang w:val="en-US" w:eastAsia="zh-CN" w:bidi="ar-SA"/>
                    </w:rPr>
                  </w:pPr>
                  <w:r>
                    <w:rPr>
                      <w:rFonts w:hint="eastAsia"/>
                    </w:rPr>
                    <w:t>1</w:t>
                  </w:r>
                  <w:r>
                    <w:rPr>
                      <w:rFonts w:hint="eastAsia"/>
                      <w:lang w:val="en-US" w:eastAsia="zh-CN"/>
                    </w:rPr>
                    <w:t>8</w:t>
                  </w:r>
                </w:p>
              </w:tc>
              <w:tc>
                <w:tcPr>
                  <w:tcW w:w="1546" w:type="pct"/>
                  <w:noWrap/>
                  <w:vAlign w:val="bottom"/>
                </w:tcPr>
                <w:p w14:paraId="00E88C91">
                  <w:pPr>
                    <w:widowControl/>
                    <w:jc w:val="center"/>
                    <w:rPr>
                      <w:rFonts w:hint="eastAsia" w:ascii="Times New Roman" w:hAnsi="Times New Roman" w:eastAsia="宋体" w:cs="Times New Roman"/>
                    </w:rPr>
                  </w:pPr>
                  <w:r>
                    <w:rPr>
                      <w:rFonts w:hint="eastAsia" w:ascii="Times New Roman" w:hAnsi="Times New Roman" w:eastAsia="宋体" w:cs="Times New Roman"/>
                      <w:lang w:val="en-US" w:eastAsia="zh-CN"/>
                    </w:rPr>
                    <w:t>检测设备</w:t>
                  </w:r>
                </w:p>
              </w:tc>
              <w:tc>
                <w:tcPr>
                  <w:tcW w:w="1779" w:type="pct"/>
                  <w:vAlign w:val="center"/>
                </w:tcPr>
                <w:p w14:paraId="6622B52A">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1EA3653F">
                  <w:pPr>
                    <w:widowControl/>
                    <w:jc w:val="center"/>
                    <w:rPr>
                      <w:rFonts w:hint="eastAsia" w:eastAsia="宋体"/>
                      <w:lang w:val="en-US" w:eastAsia="zh-CN"/>
                    </w:rPr>
                  </w:pPr>
                  <w:r>
                    <w:rPr>
                      <w:rFonts w:hint="eastAsia"/>
                      <w:lang w:val="en-US" w:eastAsia="zh-CN"/>
                    </w:rPr>
                    <w:t>2</w:t>
                  </w:r>
                </w:p>
              </w:tc>
            </w:tr>
            <w:tr w14:paraId="77931A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shd w:val="clear" w:color="auto" w:fill="auto"/>
                  <w:vAlign w:val="center"/>
                </w:tcPr>
                <w:p w14:paraId="27109352">
                  <w:pPr>
                    <w:widowControl/>
                    <w:jc w:val="center"/>
                    <w:rPr>
                      <w:rFonts w:hint="default" w:ascii="Times New Roman" w:hAnsi="Times New Roman" w:eastAsia="宋体" w:cs="Times New Roman"/>
                      <w:kern w:val="2"/>
                      <w:sz w:val="21"/>
                      <w:szCs w:val="24"/>
                      <w:lang w:val="en-US" w:eastAsia="zh-CN" w:bidi="ar-SA"/>
                    </w:rPr>
                  </w:pPr>
                  <w:r>
                    <w:rPr>
                      <w:rFonts w:hint="eastAsia" w:eastAsia="宋体"/>
                      <w:lang w:val="en-US" w:eastAsia="zh-CN"/>
                    </w:rPr>
                    <w:t>19</w:t>
                  </w:r>
                </w:p>
              </w:tc>
              <w:tc>
                <w:tcPr>
                  <w:tcW w:w="1546" w:type="pct"/>
                  <w:noWrap/>
                  <w:vAlign w:val="bottom"/>
                </w:tcPr>
                <w:p w14:paraId="6FAC7744">
                  <w:pPr>
                    <w:widowControl/>
                    <w:jc w:val="center"/>
                    <w:rPr>
                      <w:rFonts w:hint="eastAsia" w:ascii="Times New Roman" w:hAnsi="Times New Roman" w:eastAsia="宋体" w:cs="Times New Roman"/>
                    </w:rPr>
                  </w:pPr>
                  <w:r>
                    <w:rPr>
                      <w:rFonts w:hint="eastAsia" w:ascii="Times New Roman" w:hAnsi="Times New Roman" w:eastAsia="宋体" w:cs="Times New Roman"/>
                      <w:lang w:val="en-US" w:eastAsia="zh-CN"/>
                    </w:rPr>
                    <w:t>监控系统</w:t>
                  </w:r>
                </w:p>
              </w:tc>
              <w:tc>
                <w:tcPr>
                  <w:tcW w:w="1779" w:type="pct"/>
                  <w:vAlign w:val="center"/>
                </w:tcPr>
                <w:p w14:paraId="4765A24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6BBC7A31">
                  <w:pPr>
                    <w:widowControl/>
                    <w:jc w:val="center"/>
                    <w:rPr>
                      <w:rFonts w:hint="eastAsia" w:eastAsia="宋体"/>
                      <w:lang w:val="en-US" w:eastAsia="zh-CN"/>
                    </w:rPr>
                  </w:pPr>
                  <w:r>
                    <w:rPr>
                      <w:rFonts w:hint="eastAsia"/>
                      <w:lang w:val="en-US" w:eastAsia="zh-CN"/>
                    </w:rPr>
                    <w:t>1</w:t>
                  </w:r>
                </w:p>
              </w:tc>
            </w:tr>
            <w:tr w14:paraId="373C8E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7" w:type="pct"/>
                  <w:shd w:val="clear" w:color="auto" w:fill="auto"/>
                  <w:vAlign w:val="center"/>
                </w:tcPr>
                <w:p w14:paraId="6D1B0AA6">
                  <w:pPr>
                    <w:widowControl/>
                    <w:jc w:val="center"/>
                    <w:rPr>
                      <w:rFonts w:hint="default" w:ascii="Times New Roman" w:hAnsi="Times New Roman" w:eastAsia="宋体" w:cs="Times New Roman"/>
                      <w:kern w:val="2"/>
                      <w:sz w:val="21"/>
                      <w:szCs w:val="24"/>
                      <w:lang w:val="en-US" w:eastAsia="zh-CN" w:bidi="ar-SA"/>
                    </w:rPr>
                  </w:pPr>
                  <w:r>
                    <w:rPr>
                      <w:rFonts w:hint="eastAsia" w:eastAsia="宋体"/>
                      <w:lang w:val="en-US" w:eastAsia="zh-CN"/>
                    </w:rPr>
                    <w:t>20</w:t>
                  </w:r>
                </w:p>
              </w:tc>
              <w:tc>
                <w:tcPr>
                  <w:tcW w:w="1546" w:type="pct"/>
                  <w:noWrap/>
                  <w:vAlign w:val="bottom"/>
                </w:tcPr>
                <w:p w14:paraId="4C9C257C">
                  <w:pPr>
                    <w:widowControl/>
                    <w:jc w:val="center"/>
                    <w:rPr>
                      <w:rFonts w:hint="eastAsia" w:ascii="Times New Roman" w:hAnsi="Times New Roman" w:eastAsia="宋体" w:cs="Times New Roman"/>
                    </w:rPr>
                  </w:pPr>
                  <w:r>
                    <w:rPr>
                      <w:rFonts w:hint="eastAsia" w:ascii="Times New Roman" w:hAnsi="Times New Roman" w:eastAsia="宋体" w:cs="Times New Roman"/>
                      <w:lang w:val="en-US" w:eastAsia="zh-CN"/>
                    </w:rPr>
                    <w:t>工作台</w:t>
                  </w:r>
                </w:p>
              </w:tc>
              <w:tc>
                <w:tcPr>
                  <w:tcW w:w="1779" w:type="pct"/>
                  <w:vAlign w:val="center"/>
                </w:tcPr>
                <w:p w14:paraId="193C2C1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096" w:type="pct"/>
                  <w:noWrap/>
                  <w:vAlign w:val="center"/>
                </w:tcPr>
                <w:p w14:paraId="5310E559">
                  <w:pPr>
                    <w:widowControl/>
                    <w:jc w:val="center"/>
                    <w:rPr>
                      <w:rFonts w:hint="default" w:eastAsia="宋体"/>
                      <w:lang w:val="en-US" w:eastAsia="zh-CN"/>
                    </w:rPr>
                  </w:pPr>
                  <w:r>
                    <w:rPr>
                      <w:rFonts w:hint="eastAsia"/>
                      <w:lang w:val="en-US" w:eastAsia="zh-CN"/>
                    </w:rPr>
                    <w:t>20</w:t>
                  </w:r>
                </w:p>
              </w:tc>
            </w:tr>
            <w:bookmarkEnd w:id="3"/>
          </w:tbl>
          <w:p w14:paraId="76FCFAD7">
            <w:pPr>
              <w:snapToGrid w:val="0"/>
              <w:ind w:firstLine="482" w:firstLineChars="200"/>
              <w:jc w:val="center"/>
              <w:rPr>
                <w:rFonts w:hint="eastAsia"/>
                <w:b/>
                <w:sz w:val="24"/>
                <w:lang w:eastAsia="zh-CN"/>
              </w:rPr>
            </w:pPr>
          </w:p>
          <w:p w14:paraId="4B179D2B">
            <w:pPr>
              <w:adjustRightInd w:val="0"/>
              <w:snapToGrid w:val="0"/>
              <w:spacing w:line="360" w:lineRule="auto"/>
              <w:ind w:firstLine="482" w:firstLineChars="200"/>
              <w:rPr>
                <w:b/>
                <w:sz w:val="24"/>
              </w:rPr>
            </w:pPr>
            <w:r>
              <w:rPr>
                <w:b/>
                <w:sz w:val="24"/>
              </w:rPr>
              <w:t>5、原辅材料及能源消耗</w:t>
            </w:r>
            <w:r>
              <w:rPr>
                <w:rFonts w:hint="eastAsia"/>
                <w:b/>
                <w:sz w:val="24"/>
              </w:rPr>
              <w:t xml:space="preserve">   </w:t>
            </w:r>
          </w:p>
          <w:p w14:paraId="42C3936A">
            <w:pPr>
              <w:adjustRightInd w:val="0"/>
              <w:snapToGrid w:val="0"/>
              <w:spacing w:line="360" w:lineRule="auto"/>
              <w:ind w:firstLine="480" w:firstLineChars="200"/>
              <w:rPr>
                <w:sz w:val="24"/>
              </w:rPr>
            </w:pPr>
            <w:r>
              <w:rPr>
                <w:sz w:val="24"/>
              </w:rPr>
              <w:t>项目主要原辅材料及能源消耗详见表2-</w:t>
            </w:r>
            <w:r>
              <w:rPr>
                <w:rFonts w:hint="eastAsia"/>
                <w:sz w:val="24"/>
                <w:lang w:val="en-US" w:eastAsia="zh-CN"/>
              </w:rPr>
              <w:t>6</w:t>
            </w:r>
            <w:r>
              <w:rPr>
                <w:sz w:val="24"/>
              </w:rPr>
              <w:t>。</w:t>
            </w:r>
          </w:p>
          <w:p w14:paraId="234D0AF5">
            <w:pPr>
              <w:adjustRightInd w:val="0"/>
              <w:snapToGrid w:val="0"/>
              <w:jc w:val="center"/>
              <w:rPr>
                <w:b/>
                <w:sz w:val="24"/>
              </w:rPr>
            </w:pPr>
            <w:r>
              <w:rPr>
                <w:b/>
                <w:sz w:val="24"/>
              </w:rPr>
              <w:t>表2-</w:t>
            </w:r>
            <w:r>
              <w:rPr>
                <w:rFonts w:hint="eastAsia"/>
                <w:b/>
                <w:sz w:val="24"/>
                <w:lang w:val="en-US" w:eastAsia="zh-CN"/>
              </w:rPr>
              <w:t>6</w:t>
            </w:r>
            <w:r>
              <w:rPr>
                <w:b/>
                <w:sz w:val="24"/>
              </w:rPr>
              <w:t xml:space="preserve">  项目主要原辅材料及能源消耗</w:t>
            </w:r>
            <w:r>
              <w:rPr>
                <w:rFonts w:hint="eastAsia"/>
                <w:b/>
                <w:sz w:val="24"/>
              </w:rPr>
              <w:t xml:space="preserve"> </w:t>
            </w:r>
          </w:p>
          <w:tbl>
            <w:tblPr>
              <w:tblStyle w:val="2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562"/>
              <w:gridCol w:w="968"/>
              <w:gridCol w:w="1002"/>
              <w:gridCol w:w="1140"/>
              <w:gridCol w:w="1064"/>
              <w:gridCol w:w="1076"/>
            </w:tblGrid>
            <w:tr w14:paraId="004F75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42" w:type="pct"/>
                  <w:vMerge w:val="restart"/>
                  <w:shd w:val="clear" w:color="000000" w:fill="FFFFFF"/>
                  <w:vAlign w:val="center"/>
                </w:tcPr>
                <w:p w14:paraId="78C050CC">
                  <w:pPr>
                    <w:widowControl/>
                    <w:jc w:val="center"/>
                    <w:rPr>
                      <w:rFonts w:ascii="宋体" w:hAnsi="宋体" w:cs="宋体"/>
                      <w:b/>
                      <w:bCs/>
                      <w:color w:val="000000"/>
                      <w:kern w:val="0"/>
                      <w:szCs w:val="21"/>
                    </w:rPr>
                  </w:pPr>
                  <w:r>
                    <w:rPr>
                      <w:rFonts w:hint="eastAsia" w:ascii="宋体" w:hAnsi="宋体" w:cs="宋体"/>
                      <w:b/>
                      <w:bCs/>
                      <w:color w:val="000000"/>
                      <w:kern w:val="0"/>
                      <w:szCs w:val="21"/>
                    </w:rPr>
                    <w:t>产品名称</w:t>
                  </w:r>
                </w:p>
              </w:tc>
              <w:tc>
                <w:tcPr>
                  <w:tcW w:w="930" w:type="pct"/>
                  <w:vMerge w:val="restart"/>
                  <w:shd w:val="clear" w:color="000000" w:fill="FFFFFF"/>
                  <w:vAlign w:val="center"/>
                </w:tcPr>
                <w:p w14:paraId="453DBB25">
                  <w:pPr>
                    <w:widowControl/>
                    <w:jc w:val="center"/>
                    <w:rPr>
                      <w:rFonts w:ascii="宋体" w:hAnsi="宋体" w:cs="宋体"/>
                      <w:b/>
                      <w:bCs/>
                      <w:color w:val="000000"/>
                      <w:kern w:val="0"/>
                      <w:szCs w:val="21"/>
                    </w:rPr>
                  </w:pPr>
                  <w:r>
                    <w:rPr>
                      <w:rFonts w:hint="eastAsia" w:ascii="宋体" w:hAnsi="宋体" w:cs="宋体"/>
                      <w:b/>
                      <w:bCs/>
                      <w:color w:val="000000"/>
                      <w:kern w:val="0"/>
                      <w:szCs w:val="21"/>
                    </w:rPr>
                    <w:t>原辅材料名称</w:t>
                  </w:r>
                </w:p>
              </w:tc>
              <w:tc>
                <w:tcPr>
                  <w:tcW w:w="1173" w:type="pct"/>
                  <w:gridSpan w:val="2"/>
                  <w:shd w:val="clear" w:color="000000" w:fill="FFFFFF"/>
                  <w:vAlign w:val="center"/>
                </w:tcPr>
                <w:p w14:paraId="09813D29">
                  <w:pPr>
                    <w:widowControl/>
                    <w:jc w:val="center"/>
                    <w:rPr>
                      <w:rFonts w:ascii="宋体" w:hAnsi="宋体" w:cs="宋体"/>
                      <w:b/>
                      <w:bCs/>
                      <w:color w:val="000000"/>
                      <w:kern w:val="0"/>
                      <w:szCs w:val="21"/>
                    </w:rPr>
                  </w:pPr>
                  <w:r>
                    <w:rPr>
                      <w:rFonts w:hint="eastAsia" w:ascii="宋体" w:hAnsi="宋体" w:cs="宋体"/>
                      <w:b/>
                      <w:bCs/>
                      <w:color w:val="000000"/>
                      <w:kern w:val="0"/>
                      <w:szCs w:val="21"/>
                    </w:rPr>
                    <w:t>年需求量</w:t>
                  </w:r>
                </w:p>
              </w:tc>
              <w:tc>
                <w:tcPr>
                  <w:tcW w:w="679" w:type="pct"/>
                  <w:vMerge w:val="restart"/>
                  <w:shd w:val="clear" w:color="000000" w:fill="FFFFFF"/>
                  <w:vAlign w:val="center"/>
                </w:tcPr>
                <w:p w14:paraId="7DB33321">
                  <w:pPr>
                    <w:widowControl/>
                    <w:ind w:left="-105" w:leftChars="-50" w:right="-105" w:rightChars="-50"/>
                    <w:jc w:val="center"/>
                    <w:rPr>
                      <w:rFonts w:ascii="宋体" w:hAnsi="宋体" w:cs="宋体"/>
                      <w:b/>
                      <w:bCs/>
                      <w:color w:val="000000"/>
                      <w:kern w:val="0"/>
                      <w:szCs w:val="21"/>
                    </w:rPr>
                  </w:pPr>
                  <w:r>
                    <w:rPr>
                      <w:b/>
                      <w:kern w:val="0"/>
                      <w:szCs w:val="21"/>
                    </w:rPr>
                    <w:t>最大储存量</w:t>
                  </w:r>
                  <w:r>
                    <w:rPr>
                      <w:rFonts w:hint="eastAsia"/>
                      <w:b/>
                      <w:kern w:val="0"/>
                      <w:szCs w:val="21"/>
                    </w:rPr>
                    <w:t>（t）</w:t>
                  </w:r>
                </w:p>
              </w:tc>
              <w:tc>
                <w:tcPr>
                  <w:tcW w:w="633" w:type="pct"/>
                  <w:vMerge w:val="restart"/>
                  <w:shd w:val="clear" w:color="000000" w:fill="FFFFFF"/>
                  <w:vAlign w:val="center"/>
                </w:tcPr>
                <w:p w14:paraId="027927CD">
                  <w:pPr>
                    <w:widowControl/>
                    <w:jc w:val="center"/>
                    <w:rPr>
                      <w:rFonts w:ascii="宋体" w:hAnsi="宋体" w:cs="宋体"/>
                      <w:b/>
                      <w:bCs/>
                      <w:color w:val="000000"/>
                      <w:kern w:val="0"/>
                      <w:szCs w:val="21"/>
                    </w:rPr>
                  </w:pPr>
                  <w:r>
                    <w:rPr>
                      <w:rFonts w:hint="eastAsia" w:ascii="宋体" w:hAnsi="宋体" w:cs="宋体"/>
                      <w:b/>
                      <w:bCs/>
                      <w:color w:val="000000"/>
                      <w:kern w:val="0"/>
                      <w:szCs w:val="21"/>
                    </w:rPr>
                    <w:t>包装储存方式</w:t>
                  </w:r>
                </w:p>
              </w:tc>
              <w:tc>
                <w:tcPr>
                  <w:tcW w:w="640" w:type="pct"/>
                  <w:vMerge w:val="restart"/>
                  <w:shd w:val="clear" w:color="000000" w:fill="FFFFFF"/>
                  <w:vAlign w:val="center"/>
                </w:tcPr>
                <w:p w14:paraId="481FD93D">
                  <w:pPr>
                    <w:widowControl/>
                    <w:jc w:val="center"/>
                    <w:rPr>
                      <w:rFonts w:ascii="宋体" w:hAnsi="宋体" w:cs="宋体"/>
                      <w:b/>
                      <w:bCs/>
                      <w:color w:val="000000"/>
                      <w:kern w:val="0"/>
                      <w:szCs w:val="21"/>
                    </w:rPr>
                  </w:pPr>
                  <w:r>
                    <w:rPr>
                      <w:rFonts w:hint="eastAsia" w:ascii="宋体" w:hAnsi="宋体" w:cs="宋体"/>
                      <w:b/>
                      <w:bCs/>
                      <w:color w:val="000000"/>
                      <w:kern w:val="0"/>
                      <w:szCs w:val="21"/>
                    </w:rPr>
                    <w:t>来源</w:t>
                  </w:r>
                </w:p>
              </w:tc>
            </w:tr>
            <w:tr w14:paraId="5E7A3C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42" w:type="pct"/>
                  <w:vMerge w:val="continue"/>
                  <w:vAlign w:val="center"/>
                </w:tcPr>
                <w:p w14:paraId="08130A95">
                  <w:pPr>
                    <w:widowControl/>
                    <w:jc w:val="center"/>
                    <w:rPr>
                      <w:rFonts w:ascii="宋体" w:hAnsi="宋体" w:cs="宋体"/>
                      <w:b/>
                      <w:bCs/>
                      <w:color w:val="000000"/>
                      <w:kern w:val="0"/>
                      <w:szCs w:val="21"/>
                    </w:rPr>
                  </w:pPr>
                </w:p>
              </w:tc>
              <w:tc>
                <w:tcPr>
                  <w:tcW w:w="930" w:type="pct"/>
                  <w:vMerge w:val="continue"/>
                  <w:vAlign w:val="center"/>
                </w:tcPr>
                <w:p w14:paraId="27265AC4">
                  <w:pPr>
                    <w:widowControl/>
                    <w:jc w:val="center"/>
                    <w:rPr>
                      <w:rFonts w:ascii="宋体" w:hAnsi="宋体" w:cs="宋体"/>
                      <w:b/>
                      <w:bCs/>
                      <w:color w:val="000000"/>
                      <w:kern w:val="0"/>
                      <w:szCs w:val="21"/>
                    </w:rPr>
                  </w:pPr>
                </w:p>
              </w:tc>
              <w:tc>
                <w:tcPr>
                  <w:tcW w:w="576" w:type="pct"/>
                  <w:shd w:val="clear" w:color="000000" w:fill="FFFFFF"/>
                  <w:vAlign w:val="center"/>
                </w:tcPr>
                <w:p w14:paraId="4A5C8B8E">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596" w:type="pct"/>
                  <w:shd w:val="clear" w:color="000000" w:fill="FFFFFF"/>
                  <w:vAlign w:val="center"/>
                </w:tcPr>
                <w:p w14:paraId="1DEE8A6A">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679" w:type="pct"/>
                  <w:vMerge w:val="continue"/>
                  <w:shd w:val="clear" w:color="000000" w:fill="FFFFFF"/>
                  <w:vAlign w:val="center"/>
                </w:tcPr>
                <w:p w14:paraId="2952AB31">
                  <w:pPr>
                    <w:widowControl/>
                    <w:jc w:val="center"/>
                    <w:rPr>
                      <w:rFonts w:ascii="宋体" w:hAnsi="宋体" w:cs="宋体"/>
                      <w:b/>
                      <w:bCs/>
                      <w:color w:val="000000"/>
                      <w:kern w:val="0"/>
                      <w:szCs w:val="21"/>
                    </w:rPr>
                  </w:pPr>
                </w:p>
              </w:tc>
              <w:tc>
                <w:tcPr>
                  <w:tcW w:w="633" w:type="pct"/>
                  <w:vMerge w:val="continue"/>
                  <w:shd w:val="clear" w:color="000000" w:fill="FFFFFF"/>
                  <w:vAlign w:val="center"/>
                </w:tcPr>
                <w:p w14:paraId="249B86B7">
                  <w:pPr>
                    <w:widowControl/>
                    <w:jc w:val="center"/>
                    <w:rPr>
                      <w:rFonts w:ascii="宋体" w:hAnsi="宋体" w:cs="宋体"/>
                      <w:b/>
                      <w:bCs/>
                      <w:color w:val="000000"/>
                      <w:kern w:val="0"/>
                      <w:szCs w:val="21"/>
                    </w:rPr>
                  </w:pPr>
                </w:p>
              </w:tc>
              <w:tc>
                <w:tcPr>
                  <w:tcW w:w="640" w:type="pct"/>
                  <w:vMerge w:val="continue"/>
                  <w:shd w:val="clear" w:color="000000" w:fill="FFFFFF"/>
                  <w:vAlign w:val="center"/>
                </w:tcPr>
                <w:p w14:paraId="673657D0">
                  <w:pPr>
                    <w:widowControl/>
                    <w:jc w:val="center"/>
                    <w:rPr>
                      <w:rFonts w:ascii="宋体" w:hAnsi="宋体" w:cs="宋体"/>
                      <w:b/>
                      <w:bCs/>
                      <w:color w:val="000000"/>
                      <w:kern w:val="0"/>
                      <w:szCs w:val="21"/>
                    </w:rPr>
                  </w:pPr>
                </w:p>
              </w:tc>
            </w:tr>
            <w:tr w14:paraId="0EA6B0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942" w:type="pct"/>
                  <w:vMerge w:val="restart"/>
                  <w:shd w:val="clear" w:color="000000" w:fill="FFFFFF"/>
                  <w:vAlign w:val="center"/>
                </w:tcPr>
                <w:p w14:paraId="00D50D73">
                  <w:pPr>
                    <w:widowControl/>
                    <w:jc w:val="center"/>
                    <w:rPr>
                      <w:rFonts w:ascii="宋体" w:hAnsi="宋体" w:cs="宋体"/>
                      <w:b/>
                      <w:bCs/>
                      <w:color w:val="000000"/>
                      <w:kern w:val="0"/>
                      <w:szCs w:val="21"/>
                    </w:rPr>
                  </w:pPr>
                  <w:r>
                    <w:rPr>
                      <w:rFonts w:hint="eastAsia" w:ascii="宋体" w:hAnsi="宋体" w:cs="宋体"/>
                      <w:b/>
                      <w:bCs/>
                      <w:color w:val="000000"/>
                      <w:kern w:val="0"/>
                      <w:szCs w:val="21"/>
                    </w:rPr>
                    <w:t>主要原辅材料</w:t>
                  </w:r>
                </w:p>
              </w:tc>
              <w:tc>
                <w:tcPr>
                  <w:tcW w:w="930" w:type="pct"/>
                  <w:shd w:val="clear" w:color="auto" w:fill="auto"/>
                  <w:vAlign w:val="center"/>
                </w:tcPr>
                <w:p w14:paraId="422CBEE9">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缝线</w:t>
                  </w:r>
                </w:p>
              </w:tc>
              <w:tc>
                <w:tcPr>
                  <w:tcW w:w="576" w:type="pct"/>
                  <w:shd w:val="clear" w:color="000000" w:fill="FFFFFF"/>
                  <w:vAlign w:val="center"/>
                </w:tcPr>
                <w:p w14:paraId="24B3602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米</w:t>
                  </w:r>
                </w:p>
              </w:tc>
              <w:tc>
                <w:tcPr>
                  <w:tcW w:w="596" w:type="pct"/>
                  <w:shd w:val="clear" w:color="auto" w:fill="auto"/>
                  <w:vAlign w:val="center"/>
                </w:tcPr>
                <w:p w14:paraId="38ABBCB0">
                  <w:pPr>
                    <w:widowControl/>
                    <w:jc w:val="center"/>
                    <w:rPr>
                      <w:rFonts w:hint="default" w:ascii="Times New Roman" w:hAnsi="Times New Roman" w:eastAsia="宋体" w:cs="Times New Roman"/>
                      <w:bCs/>
                      <w:lang w:val="en-US" w:eastAsia="zh-CN"/>
                    </w:rPr>
                  </w:pPr>
                  <w:r>
                    <w:rPr>
                      <w:rFonts w:hint="eastAsia" w:ascii="Times New Roman" w:hAnsi="Times New Roman" w:eastAsia="宋体" w:cs="Times New Roman"/>
                      <w:bCs/>
                      <w:lang w:val="en-US" w:eastAsia="zh-CN"/>
                    </w:rPr>
                    <w:t>150万</w:t>
                  </w:r>
                </w:p>
              </w:tc>
              <w:tc>
                <w:tcPr>
                  <w:tcW w:w="679" w:type="pct"/>
                  <w:shd w:val="clear" w:color="000000" w:fill="FFFFFF"/>
                  <w:vAlign w:val="center"/>
                </w:tcPr>
                <w:p w14:paraId="59E5DC4E">
                  <w:pPr>
                    <w:widowControl/>
                    <w:jc w:val="center"/>
                    <w:rPr>
                      <w:rFonts w:hint="default" w:eastAsia="宋体"/>
                      <w:lang w:val="en-US" w:eastAsia="zh-CN"/>
                    </w:rPr>
                  </w:pPr>
                  <w:r>
                    <w:rPr>
                      <w:rFonts w:hint="eastAsia"/>
                      <w:lang w:val="en-US" w:eastAsia="zh-CN"/>
                    </w:rPr>
                    <w:t>10万</w:t>
                  </w:r>
                </w:p>
              </w:tc>
              <w:tc>
                <w:tcPr>
                  <w:tcW w:w="633" w:type="pct"/>
                  <w:shd w:val="clear" w:color="000000" w:fill="FFFFFF"/>
                  <w:vAlign w:val="center"/>
                </w:tcPr>
                <w:p w14:paraId="2B2F7497">
                  <w:pPr>
                    <w:widowControl/>
                    <w:jc w:val="center"/>
                    <w:rPr>
                      <w:rFonts w:hint="eastAsia" w:eastAsia="宋体"/>
                      <w:lang w:val="en-US" w:eastAsia="zh-CN"/>
                    </w:rPr>
                  </w:pPr>
                  <w:r>
                    <w:rPr>
                      <w:rFonts w:hint="eastAsia"/>
                      <w:lang w:val="en-US" w:eastAsia="zh-CN"/>
                    </w:rPr>
                    <w:t>袋装</w:t>
                  </w:r>
                </w:p>
              </w:tc>
              <w:tc>
                <w:tcPr>
                  <w:tcW w:w="640" w:type="pct"/>
                  <w:shd w:val="clear" w:color="000000" w:fill="FFFFFF"/>
                  <w:vAlign w:val="center"/>
                </w:tcPr>
                <w:p w14:paraId="26994223">
                  <w:pPr>
                    <w:widowControl/>
                    <w:spacing w:line="240" w:lineRule="exact"/>
                    <w:ind w:left="-105" w:leftChars="-50" w:right="-105" w:rightChars="-50"/>
                    <w:jc w:val="center"/>
                    <w:rPr>
                      <w:kern w:val="0"/>
                      <w:szCs w:val="21"/>
                    </w:rPr>
                  </w:pPr>
                  <w:r>
                    <w:rPr>
                      <w:rFonts w:hint="eastAsia"/>
                      <w:kern w:val="0"/>
                      <w:szCs w:val="21"/>
                    </w:rPr>
                    <w:t>外购</w:t>
                  </w:r>
                </w:p>
              </w:tc>
            </w:tr>
            <w:tr w14:paraId="01B1D2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42" w:type="pct"/>
                  <w:vMerge w:val="continue"/>
                  <w:vAlign w:val="center"/>
                </w:tcPr>
                <w:p w14:paraId="665EF5BF">
                  <w:pPr>
                    <w:widowControl/>
                    <w:jc w:val="center"/>
                    <w:rPr>
                      <w:rFonts w:ascii="宋体" w:hAnsi="宋体" w:cs="宋体"/>
                      <w:b/>
                      <w:bCs/>
                      <w:color w:val="000000"/>
                      <w:kern w:val="0"/>
                      <w:szCs w:val="21"/>
                    </w:rPr>
                  </w:pPr>
                </w:p>
              </w:tc>
              <w:tc>
                <w:tcPr>
                  <w:tcW w:w="930" w:type="pct"/>
                  <w:shd w:val="clear" w:color="auto" w:fill="auto"/>
                  <w:vAlign w:val="center"/>
                </w:tcPr>
                <w:p w14:paraId="3E155ECF">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PVC</w:t>
                  </w:r>
                  <w:r>
                    <w:rPr>
                      <w:rFonts w:hint="eastAsia" w:cs="Times New Roman"/>
                      <w:lang w:val="en-US" w:eastAsia="zh-CN"/>
                    </w:rPr>
                    <w:t>表皮</w:t>
                  </w:r>
                </w:p>
              </w:tc>
              <w:tc>
                <w:tcPr>
                  <w:tcW w:w="576" w:type="pct"/>
                  <w:shd w:val="clear" w:color="000000" w:fill="FFFFFF"/>
                  <w:vAlign w:val="center"/>
                </w:tcPr>
                <w:p w14:paraId="729E3F64">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平方米</w:t>
                  </w:r>
                </w:p>
              </w:tc>
              <w:tc>
                <w:tcPr>
                  <w:tcW w:w="596" w:type="pct"/>
                  <w:shd w:val="clear" w:color="auto" w:fill="auto"/>
                  <w:vAlign w:val="center"/>
                </w:tcPr>
                <w:p w14:paraId="4A2F78EF">
                  <w:pPr>
                    <w:widowControl/>
                    <w:jc w:val="center"/>
                    <w:rPr>
                      <w:rFonts w:hint="default" w:ascii="Times New Roman" w:hAnsi="Times New Roman" w:eastAsia="宋体" w:cs="Times New Roman"/>
                      <w:bCs/>
                      <w:lang w:val="en-US" w:eastAsia="zh-CN"/>
                    </w:rPr>
                  </w:pPr>
                  <w:r>
                    <w:rPr>
                      <w:rFonts w:hint="eastAsia" w:cs="Times New Roman"/>
                      <w:bCs/>
                      <w:lang w:val="en-US" w:eastAsia="zh-CN"/>
                    </w:rPr>
                    <w:t>42000</w:t>
                  </w:r>
                </w:p>
              </w:tc>
              <w:tc>
                <w:tcPr>
                  <w:tcW w:w="679" w:type="pct"/>
                  <w:shd w:val="clear" w:color="000000" w:fill="FFFFFF"/>
                  <w:vAlign w:val="center"/>
                </w:tcPr>
                <w:p w14:paraId="536685C2">
                  <w:pPr>
                    <w:widowControl/>
                    <w:jc w:val="center"/>
                    <w:rPr>
                      <w:rFonts w:hint="default" w:eastAsia="宋体"/>
                      <w:lang w:val="en-US" w:eastAsia="zh-CN"/>
                    </w:rPr>
                  </w:pPr>
                  <w:r>
                    <w:rPr>
                      <w:rFonts w:hint="eastAsia"/>
                      <w:lang w:val="en-US" w:eastAsia="zh-CN"/>
                    </w:rPr>
                    <w:t>10500</w:t>
                  </w:r>
                </w:p>
              </w:tc>
              <w:tc>
                <w:tcPr>
                  <w:tcW w:w="633" w:type="pct"/>
                  <w:shd w:val="clear" w:color="000000" w:fill="FFFFFF"/>
                  <w:vAlign w:val="center"/>
                </w:tcPr>
                <w:p w14:paraId="44693B51">
                  <w:pPr>
                    <w:widowControl/>
                    <w:jc w:val="center"/>
                  </w:pPr>
                  <w:r>
                    <w:rPr>
                      <w:rFonts w:hint="eastAsia"/>
                      <w:lang w:val="en-US" w:eastAsia="zh-CN"/>
                    </w:rPr>
                    <w:t>条状捆扎</w:t>
                  </w:r>
                </w:p>
              </w:tc>
              <w:tc>
                <w:tcPr>
                  <w:tcW w:w="640" w:type="pct"/>
                  <w:shd w:val="clear" w:color="000000" w:fill="FFFFFF"/>
                  <w:vAlign w:val="center"/>
                </w:tcPr>
                <w:p w14:paraId="17415B1A">
                  <w:pPr>
                    <w:widowControl/>
                    <w:spacing w:line="240" w:lineRule="exact"/>
                    <w:ind w:left="-105" w:leftChars="-50" w:right="-105" w:rightChars="-50"/>
                    <w:jc w:val="center"/>
                    <w:rPr>
                      <w:kern w:val="0"/>
                      <w:szCs w:val="21"/>
                    </w:rPr>
                  </w:pPr>
                  <w:r>
                    <w:rPr>
                      <w:rFonts w:hint="eastAsia"/>
                      <w:kern w:val="0"/>
                      <w:szCs w:val="21"/>
                    </w:rPr>
                    <w:t>外购</w:t>
                  </w:r>
                </w:p>
              </w:tc>
            </w:tr>
            <w:tr w14:paraId="46AC83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42" w:type="pct"/>
                  <w:vMerge w:val="continue"/>
                  <w:vAlign w:val="center"/>
                </w:tcPr>
                <w:p w14:paraId="2CD49229">
                  <w:pPr>
                    <w:widowControl/>
                    <w:jc w:val="center"/>
                    <w:rPr>
                      <w:rFonts w:ascii="宋体" w:hAnsi="宋体" w:cs="宋体"/>
                      <w:b/>
                      <w:bCs/>
                      <w:color w:val="000000"/>
                      <w:kern w:val="0"/>
                      <w:szCs w:val="21"/>
                    </w:rPr>
                  </w:pPr>
                </w:p>
              </w:tc>
              <w:tc>
                <w:tcPr>
                  <w:tcW w:w="930" w:type="pct"/>
                  <w:shd w:val="clear" w:color="auto" w:fill="auto"/>
                  <w:vAlign w:val="center"/>
                </w:tcPr>
                <w:p w14:paraId="4B5E05C2">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PU</w:t>
                  </w:r>
                  <w:r>
                    <w:rPr>
                      <w:rFonts w:hint="eastAsia" w:cs="Times New Roman"/>
                      <w:lang w:val="en-US" w:eastAsia="zh-CN"/>
                    </w:rPr>
                    <w:t>表皮</w:t>
                  </w:r>
                </w:p>
              </w:tc>
              <w:tc>
                <w:tcPr>
                  <w:tcW w:w="576" w:type="pct"/>
                  <w:shd w:val="clear" w:color="000000" w:fill="FFFFFF"/>
                  <w:vAlign w:val="center"/>
                </w:tcPr>
                <w:p w14:paraId="7B280BE9">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平方米</w:t>
                  </w:r>
                </w:p>
              </w:tc>
              <w:tc>
                <w:tcPr>
                  <w:tcW w:w="596" w:type="pct"/>
                  <w:shd w:val="clear" w:color="auto" w:fill="auto"/>
                  <w:vAlign w:val="center"/>
                </w:tcPr>
                <w:p w14:paraId="390918C9">
                  <w:pPr>
                    <w:widowControl/>
                    <w:jc w:val="center"/>
                    <w:rPr>
                      <w:rFonts w:hint="eastAsia" w:ascii="Times New Roman" w:hAnsi="Times New Roman" w:eastAsia="宋体" w:cs="Times New Roman"/>
                      <w:bCs/>
                      <w:lang w:val="en-US" w:eastAsia="zh-CN"/>
                    </w:rPr>
                  </w:pPr>
                  <w:r>
                    <w:rPr>
                      <w:rFonts w:hint="eastAsia" w:cs="Times New Roman"/>
                      <w:bCs/>
                      <w:lang w:val="en-US" w:eastAsia="zh-CN"/>
                    </w:rPr>
                    <w:t>42000</w:t>
                  </w:r>
                </w:p>
              </w:tc>
              <w:tc>
                <w:tcPr>
                  <w:tcW w:w="679" w:type="pct"/>
                  <w:shd w:val="clear" w:color="000000" w:fill="FFFFFF"/>
                  <w:vAlign w:val="center"/>
                </w:tcPr>
                <w:p w14:paraId="084333CF">
                  <w:pPr>
                    <w:widowControl/>
                    <w:jc w:val="center"/>
                    <w:rPr>
                      <w:rFonts w:hint="default" w:eastAsia="宋体"/>
                      <w:lang w:val="en-US" w:eastAsia="zh-CN"/>
                    </w:rPr>
                  </w:pPr>
                  <w:r>
                    <w:rPr>
                      <w:rFonts w:hint="eastAsia"/>
                      <w:lang w:val="en-US" w:eastAsia="zh-CN"/>
                    </w:rPr>
                    <w:t>4200</w:t>
                  </w:r>
                </w:p>
              </w:tc>
              <w:tc>
                <w:tcPr>
                  <w:tcW w:w="633" w:type="pct"/>
                  <w:shd w:val="clear" w:color="000000" w:fill="FFFFFF"/>
                  <w:vAlign w:val="center"/>
                </w:tcPr>
                <w:p w14:paraId="5888AD18">
                  <w:pPr>
                    <w:widowControl/>
                    <w:jc w:val="center"/>
                  </w:pPr>
                  <w:r>
                    <w:rPr>
                      <w:rFonts w:hint="eastAsia"/>
                      <w:lang w:val="en-US" w:eastAsia="zh-CN"/>
                    </w:rPr>
                    <w:t>条状捆扎</w:t>
                  </w:r>
                </w:p>
              </w:tc>
              <w:tc>
                <w:tcPr>
                  <w:tcW w:w="640" w:type="pct"/>
                  <w:shd w:val="clear" w:color="000000" w:fill="FFFFFF"/>
                  <w:vAlign w:val="center"/>
                </w:tcPr>
                <w:p w14:paraId="08863616">
                  <w:pPr>
                    <w:widowControl/>
                    <w:spacing w:line="240" w:lineRule="exact"/>
                    <w:ind w:left="-105" w:leftChars="-50" w:right="-105" w:rightChars="-50"/>
                    <w:jc w:val="center"/>
                    <w:rPr>
                      <w:kern w:val="0"/>
                      <w:szCs w:val="21"/>
                    </w:rPr>
                  </w:pPr>
                  <w:r>
                    <w:rPr>
                      <w:rFonts w:hint="eastAsia"/>
                      <w:kern w:val="0"/>
                      <w:szCs w:val="21"/>
                    </w:rPr>
                    <w:t>外购</w:t>
                  </w:r>
                </w:p>
              </w:tc>
            </w:tr>
            <w:tr w14:paraId="01C63F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942" w:type="pct"/>
                  <w:vMerge w:val="continue"/>
                  <w:vAlign w:val="center"/>
                </w:tcPr>
                <w:p w14:paraId="50AD85A0">
                  <w:pPr>
                    <w:widowControl/>
                    <w:jc w:val="center"/>
                    <w:rPr>
                      <w:rFonts w:ascii="宋体" w:hAnsi="宋体" w:cs="宋体"/>
                      <w:b/>
                      <w:bCs/>
                      <w:color w:val="000000"/>
                      <w:kern w:val="0"/>
                      <w:szCs w:val="21"/>
                    </w:rPr>
                  </w:pPr>
                </w:p>
              </w:tc>
              <w:tc>
                <w:tcPr>
                  <w:tcW w:w="930" w:type="pct"/>
                  <w:shd w:val="clear" w:color="auto" w:fill="auto"/>
                  <w:vAlign w:val="center"/>
                </w:tcPr>
                <w:p w14:paraId="1DC15BED">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织物</w:t>
                  </w:r>
                </w:p>
              </w:tc>
              <w:tc>
                <w:tcPr>
                  <w:tcW w:w="576" w:type="pct"/>
                  <w:shd w:val="clear" w:color="000000" w:fill="FFFFFF"/>
                  <w:vAlign w:val="center"/>
                </w:tcPr>
                <w:p w14:paraId="69ED0977">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平方米</w:t>
                  </w:r>
                </w:p>
              </w:tc>
              <w:tc>
                <w:tcPr>
                  <w:tcW w:w="596" w:type="pct"/>
                  <w:shd w:val="clear" w:color="auto" w:fill="auto"/>
                  <w:vAlign w:val="center"/>
                </w:tcPr>
                <w:p w14:paraId="04DC34DF">
                  <w:pPr>
                    <w:widowControl/>
                    <w:jc w:val="center"/>
                    <w:rPr>
                      <w:rFonts w:hint="default" w:ascii="Times New Roman" w:hAnsi="Times New Roman" w:eastAsia="宋体" w:cs="Times New Roman"/>
                      <w:bCs/>
                      <w:lang w:val="en-US" w:eastAsia="zh-CN"/>
                    </w:rPr>
                  </w:pPr>
                  <w:r>
                    <w:rPr>
                      <w:rFonts w:hint="eastAsia" w:cs="Times New Roman"/>
                      <w:bCs/>
                      <w:lang w:val="en-US" w:eastAsia="zh-CN"/>
                    </w:rPr>
                    <w:t>42000</w:t>
                  </w:r>
                </w:p>
              </w:tc>
              <w:tc>
                <w:tcPr>
                  <w:tcW w:w="679" w:type="pct"/>
                  <w:shd w:val="clear" w:color="000000" w:fill="FFFFFF"/>
                  <w:vAlign w:val="center"/>
                </w:tcPr>
                <w:p w14:paraId="6AE09126">
                  <w:pPr>
                    <w:widowControl/>
                    <w:jc w:val="center"/>
                    <w:rPr>
                      <w:rFonts w:hint="default" w:eastAsia="宋体"/>
                      <w:lang w:val="en-US" w:eastAsia="zh-CN"/>
                    </w:rPr>
                  </w:pPr>
                  <w:r>
                    <w:rPr>
                      <w:rFonts w:hint="eastAsia"/>
                      <w:lang w:val="en-US" w:eastAsia="zh-CN"/>
                    </w:rPr>
                    <w:t>4200</w:t>
                  </w:r>
                </w:p>
              </w:tc>
              <w:tc>
                <w:tcPr>
                  <w:tcW w:w="633" w:type="pct"/>
                  <w:shd w:val="clear" w:color="000000" w:fill="FFFFFF"/>
                  <w:vAlign w:val="center"/>
                </w:tcPr>
                <w:p w14:paraId="7EAA295B">
                  <w:pPr>
                    <w:widowControl/>
                    <w:jc w:val="center"/>
                    <w:rPr>
                      <w:rFonts w:hint="eastAsia" w:eastAsia="宋体"/>
                      <w:lang w:val="en-US" w:eastAsia="zh-CN"/>
                    </w:rPr>
                  </w:pPr>
                  <w:r>
                    <w:rPr>
                      <w:rFonts w:hint="eastAsia" w:ascii="宋体" w:hAnsi="宋体" w:cs="宋体"/>
                      <w:szCs w:val="21"/>
                    </w:rPr>
                    <w:t>袋装</w:t>
                  </w:r>
                </w:p>
              </w:tc>
              <w:tc>
                <w:tcPr>
                  <w:tcW w:w="640" w:type="pct"/>
                  <w:shd w:val="clear" w:color="000000" w:fill="FFFFFF"/>
                  <w:vAlign w:val="center"/>
                </w:tcPr>
                <w:p w14:paraId="0D938D9D">
                  <w:pPr>
                    <w:widowControl/>
                    <w:jc w:val="center"/>
                  </w:pPr>
                  <w:r>
                    <w:rPr>
                      <w:rFonts w:hint="eastAsia"/>
                      <w:kern w:val="0"/>
                      <w:szCs w:val="21"/>
                    </w:rPr>
                    <w:t>外购</w:t>
                  </w:r>
                </w:p>
              </w:tc>
            </w:tr>
            <w:tr w14:paraId="3197D7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7C6D0E50">
                  <w:pPr>
                    <w:widowControl/>
                    <w:jc w:val="center"/>
                    <w:rPr>
                      <w:rFonts w:ascii="宋体" w:hAnsi="宋体" w:cs="宋体"/>
                      <w:b/>
                      <w:bCs/>
                      <w:color w:val="000000"/>
                      <w:kern w:val="0"/>
                      <w:szCs w:val="21"/>
                    </w:rPr>
                  </w:pPr>
                </w:p>
              </w:tc>
              <w:tc>
                <w:tcPr>
                  <w:tcW w:w="930" w:type="pct"/>
                  <w:shd w:val="clear" w:color="auto" w:fill="auto"/>
                  <w:vAlign w:val="center"/>
                </w:tcPr>
                <w:p w14:paraId="009555B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麂皮</w:t>
                  </w:r>
                </w:p>
              </w:tc>
              <w:tc>
                <w:tcPr>
                  <w:tcW w:w="576" w:type="pct"/>
                  <w:shd w:val="clear" w:color="000000" w:fill="FFFFFF"/>
                  <w:vAlign w:val="center"/>
                </w:tcPr>
                <w:p w14:paraId="650F1AA0">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平方米</w:t>
                  </w:r>
                </w:p>
              </w:tc>
              <w:tc>
                <w:tcPr>
                  <w:tcW w:w="596" w:type="pct"/>
                  <w:shd w:val="clear" w:color="auto" w:fill="auto"/>
                  <w:vAlign w:val="center"/>
                </w:tcPr>
                <w:p w14:paraId="37A443B4">
                  <w:pPr>
                    <w:widowControl/>
                    <w:jc w:val="center"/>
                    <w:rPr>
                      <w:rFonts w:hint="default" w:ascii="Times New Roman" w:hAnsi="Times New Roman" w:eastAsia="宋体" w:cs="Times New Roman"/>
                      <w:bCs/>
                      <w:lang w:val="en-US" w:eastAsia="zh-CN"/>
                    </w:rPr>
                  </w:pPr>
                  <w:r>
                    <w:rPr>
                      <w:rFonts w:hint="eastAsia" w:cs="Times New Roman"/>
                      <w:bCs/>
                      <w:lang w:val="en-US" w:eastAsia="zh-CN"/>
                    </w:rPr>
                    <w:t>20</w:t>
                  </w:r>
                  <w:r>
                    <w:rPr>
                      <w:rFonts w:hint="eastAsia" w:ascii="Times New Roman" w:hAnsi="Times New Roman" w:eastAsia="宋体" w:cs="Times New Roman"/>
                      <w:bCs/>
                      <w:lang w:val="en-US" w:eastAsia="zh-CN"/>
                    </w:rPr>
                    <w:t>00</w:t>
                  </w:r>
                </w:p>
              </w:tc>
              <w:tc>
                <w:tcPr>
                  <w:tcW w:w="679" w:type="pct"/>
                  <w:shd w:val="clear" w:color="000000" w:fill="FFFFFF"/>
                  <w:vAlign w:val="center"/>
                </w:tcPr>
                <w:p w14:paraId="429D0A31">
                  <w:pPr>
                    <w:widowControl/>
                    <w:jc w:val="center"/>
                    <w:rPr>
                      <w:rFonts w:hint="default" w:eastAsia="宋体"/>
                      <w:lang w:val="en-US" w:eastAsia="zh-CN"/>
                    </w:rPr>
                  </w:pPr>
                  <w:r>
                    <w:rPr>
                      <w:rFonts w:hint="eastAsia"/>
                      <w:lang w:val="en-US" w:eastAsia="zh-CN"/>
                    </w:rPr>
                    <w:t>200</w:t>
                  </w:r>
                </w:p>
              </w:tc>
              <w:tc>
                <w:tcPr>
                  <w:tcW w:w="633" w:type="pct"/>
                  <w:shd w:val="clear" w:color="000000" w:fill="FFFFFF"/>
                  <w:vAlign w:val="center"/>
                </w:tcPr>
                <w:p w14:paraId="5A5FD340">
                  <w:pPr>
                    <w:widowControl/>
                    <w:jc w:val="center"/>
                    <w:rPr>
                      <w:rFonts w:hint="eastAsia"/>
                    </w:rPr>
                  </w:pPr>
                  <w:r>
                    <w:rPr>
                      <w:rFonts w:hint="eastAsia" w:ascii="宋体" w:hAnsi="宋体" w:cs="宋体"/>
                      <w:szCs w:val="21"/>
                    </w:rPr>
                    <w:t>袋装</w:t>
                  </w:r>
                </w:p>
              </w:tc>
              <w:tc>
                <w:tcPr>
                  <w:tcW w:w="640" w:type="pct"/>
                  <w:shd w:val="clear" w:color="000000" w:fill="FFFFFF"/>
                  <w:vAlign w:val="center"/>
                </w:tcPr>
                <w:p w14:paraId="525E5DAC">
                  <w:pPr>
                    <w:widowControl/>
                    <w:jc w:val="center"/>
                    <w:rPr>
                      <w:rFonts w:hint="eastAsia"/>
                      <w:kern w:val="0"/>
                      <w:szCs w:val="21"/>
                    </w:rPr>
                  </w:pPr>
                  <w:r>
                    <w:rPr>
                      <w:rFonts w:hint="eastAsia"/>
                      <w:kern w:val="0"/>
                      <w:szCs w:val="21"/>
                    </w:rPr>
                    <w:t>外购</w:t>
                  </w:r>
                </w:p>
              </w:tc>
            </w:tr>
            <w:tr w14:paraId="183E8A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3E986D4C">
                  <w:pPr>
                    <w:widowControl/>
                    <w:jc w:val="center"/>
                    <w:rPr>
                      <w:rFonts w:ascii="宋体" w:hAnsi="宋体" w:cs="宋体"/>
                      <w:b/>
                      <w:bCs/>
                      <w:color w:val="000000"/>
                      <w:kern w:val="0"/>
                      <w:szCs w:val="21"/>
                    </w:rPr>
                  </w:pPr>
                </w:p>
              </w:tc>
              <w:tc>
                <w:tcPr>
                  <w:tcW w:w="930" w:type="pct"/>
                  <w:shd w:val="clear" w:color="auto" w:fill="auto"/>
                  <w:vAlign w:val="center"/>
                </w:tcPr>
                <w:p w14:paraId="1CF37404">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真皮</w:t>
                  </w:r>
                </w:p>
              </w:tc>
              <w:tc>
                <w:tcPr>
                  <w:tcW w:w="576" w:type="pct"/>
                  <w:shd w:val="clear" w:color="000000" w:fill="FFFFFF"/>
                  <w:vAlign w:val="center"/>
                </w:tcPr>
                <w:p w14:paraId="7902B7F6">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平方米</w:t>
                  </w:r>
                </w:p>
              </w:tc>
              <w:tc>
                <w:tcPr>
                  <w:tcW w:w="596" w:type="pct"/>
                  <w:shd w:val="clear" w:color="auto" w:fill="auto"/>
                  <w:vAlign w:val="center"/>
                </w:tcPr>
                <w:p w14:paraId="0E3BF164">
                  <w:pPr>
                    <w:widowControl/>
                    <w:jc w:val="center"/>
                    <w:rPr>
                      <w:rFonts w:hint="default" w:ascii="Times New Roman" w:hAnsi="Times New Roman" w:eastAsia="宋体" w:cs="Times New Roman"/>
                      <w:bCs/>
                      <w:lang w:val="en-US" w:eastAsia="zh-CN"/>
                    </w:rPr>
                  </w:pPr>
                  <w:r>
                    <w:rPr>
                      <w:rFonts w:hint="eastAsia" w:cs="Times New Roman"/>
                      <w:bCs/>
                      <w:lang w:val="en-US" w:eastAsia="zh-CN"/>
                    </w:rPr>
                    <w:t>10</w:t>
                  </w:r>
                  <w:r>
                    <w:rPr>
                      <w:rFonts w:hint="eastAsia" w:ascii="Times New Roman" w:hAnsi="Times New Roman" w:eastAsia="宋体" w:cs="Times New Roman"/>
                      <w:bCs/>
                      <w:lang w:val="en-US" w:eastAsia="zh-CN"/>
                    </w:rPr>
                    <w:t>00</w:t>
                  </w:r>
                </w:p>
              </w:tc>
              <w:tc>
                <w:tcPr>
                  <w:tcW w:w="679" w:type="pct"/>
                  <w:shd w:val="clear" w:color="000000" w:fill="FFFFFF"/>
                  <w:vAlign w:val="center"/>
                </w:tcPr>
                <w:p w14:paraId="1F169387">
                  <w:pPr>
                    <w:widowControl/>
                    <w:jc w:val="center"/>
                    <w:rPr>
                      <w:rFonts w:hint="default" w:eastAsia="宋体"/>
                      <w:lang w:val="en-US" w:eastAsia="zh-CN"/>
                    </w:rPr>
                  </w:pPr>
                  <w:r>
                    <w:rPr>
                      <w:rFonts w:hint="eastAsia"/>
                      <w:lang w:val="en-US" w:eastAsia="zh-CN"/>
                    </w:rPr>
                    <w:t>100</w:t>
                  </w:r>
                </w:p>
              </w:tc>
              <w:tc>
                <w:tcPr>
                  <w:tcW w:w="633" w:type="pct"/>
                  <w:shd w:val="clear" w:color="000000" w:fill="FFFFFF"/>
                  <w:vAlign w:val="center"/>
                </w:tcPr>
                <w:p w14:paraId="1A203DC3">
                  <w:pPr>
                    <w:widowControl/>
                    <w:jc w:val="center"/>
                    <w:rPr>
                      <w:rFonts w:hint="eastAsia"/>
                    </w:rPr>
                  </w:pPr>
                  <w:r>
                    <w:rPr>
                      <w:rFonts w:hint="eastAsia" w:ascii="宋体" w:hAnsi="宋体" w:cs="宋体"/>
                      <w:szCs w:val="21"/>
                    </w:rPr>
                    <w:t>袋装</w:t>
                  </w:r>
                </w:p>
              </w:tc>
              <w:tc>
                <w:tcPr>
                  <w:tcW w:w="640" w:type="pct"/>
                  <w:shd w:val="clear" w:color="000000" w:fill="FFFFFF"/>
                  <w:vAlign w:val="center"/>
                </w:tcPr>
                <w:p w14:paraId="75C58108">
                  <w:pPr>
                    <w:widowControl/>
                    <w:jc w:val="center"/>
                    <w:rPr>
                      <w:rFonts w:hint="eastAsia"/>
                      <w:kern w:val="0"/>
                      <w:szCs w:val="21"/>
                    </w:rPr>
                  </w:pPr>
                  <w:r>
                    <w:rPr>
                      <w:rFonts w:hint="eastAsia"/>
                      <w:kern w:val="0"/>
                      <w:szCs w:val="21"/>
                    </w:rPr>
                    <w:t>外购</w:t>
                  </w:r>
                </w:p>
              </w:tc>
            </w:tr>
            <w:tr w14:paraId="54D895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64B2E9F9">
                  <w:pPr>
                    <w:widowControl/>
                    <w:jc w:val="center"/>
                    <w:rPr>
                      <w:rFonts w:ascii="宋体" w:hAnsi="宋体" w:cs="宋体"/>
                      <w:b/>
                      <w:bCs/>
                      <w:color w:val="000000"/>
                      <w:kern w:val="0"/>
                      <w:szCs w:val="21"/>
                    </w:rPr>
                  </w:pPr>
                </w:p>
              </w:tc>
              <w:tc>
                <w:tcPr>
                  <w:tcW w:w="930" w:type="pct"/>
                  <w:shd w:val="clear" w:color="auto" w:fill="auto"/>
                  <w:vAlign w:val="center"/>
                </w:tcPr>
                <w:p w14:paraId="7993FE51">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PP</w:t>
                  </w:r>
                  <w:r>
                    <w:rPr>
                      <w:rFonts w:hint="eastAsia" w:cs="Times New Roman"/>
                      <w:lang w:val="en-US" w:eastAsia="zh-CN"/>
                    </w:rPr>
                    <w:t>板材（骨架）</w:t>
                  </w:r>
                </w:p>
              </w:tc>
              <w:tc>
                <w:tcPr>
                  <w:tcW w:w="576" w:type="pct"/>
                  <w:shd w:val="clear" w:color="000000" w:fill="FFFFFF"/>
                  <w:vAlign w:val="center"/>
                </w:tcPr>
                <w:p w14:paraId="1D59DCBB">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吨</w:t>
                  </w:r>
                </w:p>
              </w:tc>
              <w:tc>
                <w:tcPr>
                  <w:tcW w:w="596" w:type="pct"/>
                  <w:shd w:val="clear" w:color="auto" w:fill="auto"/>
                  <w:vAlign w:val="center"/>
                </w:tcPr>
                <w:p w14:paraId="1DF4B131">
                  <w:pPr>
                    <w:widowControl/>
                    <w:jc w:val="center"/>
                    <w:rPr>
                      <w:rFonts w:hint="default" w:ascii="Times New Roman" w:hAnsi="Times New Roman" w:eastAsia="宋体" w:cs="Times New Roman"/>
                      <w:bCs/>
                      <w:lang w:val="en-US" w:eastAsia="zh-CN"/>
                    </w:rPr>
                  </w:pPr>
                  <w:r>
                    <w:rPr>
                      <w:rFonts w:hint="eastAsia" w:cs="Times New Roman"/>
                      <w:bCs/>
                      <w:lang w:val="en-US" w:eastAsia="zh-CN"/>
                    </w:rPr>
                    <w:t>320</w:t>
                  </w:r>
                </w:p>
              </w:tc>
              <w:tc>
                <w:tcPr>
                  <w:tcW w:w="679" w:type="pct"/>
                  <w:shd w:val="clear" w:color="000000" w:fill="FFFFFF"/>
                  <w:vAlign w:val="center"/>
                </w:tcPr>
                <w:p w14:paraId="3642F5F1">
                  <w:pPr>
                    <w:widowControl/>
                    <w:jc w:val="center"/>
                    <w:rPr>
                      <w:rFonts w:hint="default"/>
                      <w:lang w:val="en-US" w:eastAsia="zh-CN"/>
                    </w:rPr>
                  </w:pPr>
                  <w:r>
                    <w:rPr>
                      <w:rFonts w:hint="eastAsia"/>
                      <w:lang w:val="en-US" w:eastAsia="zh-CN"/>
                    </w:rPr>
                    <w:t>10</w:t>
                  </w:r>
                </w:p>
              </w:tc>
              <w:tc>
                <w:tcPr>
                  <w:tcW w:w="633" w:type="pct"/>
                  <w:shd w:val="clear" w:color="000000" w:fill="FFFFFF"/>
                  <w:vAlign w:val="center"/>
                </w:tcPr>
                <w:p w14:paraId="4BE0E6BC">
                  <w:pPr>
                    <w:widowControl/>
                    <w:jc w:val="center"/>
                    <w:rPr>
                      <w:rFonts w:hint="eastAsia"/>
                      <w:lang w:val="en-US" w:eastAsia="zh-CN"/>
                    </w:rPr>
                  </w:pPr>
                  <w:r>
                    <w:rPr>
                      <w:rFonts w:hint="eastAsia"/>
                      <w:lang w:val="en-US" w:eastAsia="zh-CN"/>
                    </w:rPr>
                    <w:t>堆放</w:t>
                  </w:r>
                </w:p>
              </w:tc>
              <w:tc>
                <w:tcPr>
                  <w:tcW w:w="640" w:type="pct"/>
                  <w:shd w:val="clear" w:color="000000" w:fill="FFFFFF"/>
                  <w:vAlign w:val="center"/>
                </w:tcPr>
                <w:p w14:paraId="128541F3">
                  <w:pPr>
                    <w:widowControl/>
                    <w:jc w:val="center"/>
                    <w:rPr>
                      <w:rFonts w:hint="eastAsia"/>
                      <w:kern w:val="0"/>
                      <w:szCs w:val="21"/>
                    </w:rPr>
                  </w:pPr>
                  <w:r>
                    <w:rPr>
                      <w:rFonts w:hint="eastAsia"/>
                      <w:kern w:val="0"/>
                      <w:szCs w:val="21"/>
                    </w:rPr>
                    <w:t>外购</w:t>
                  </w:r>
                </w:p>
              </w:tc>
            </w:tr>
            <w:tr w14:paraId="254E27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07EAA05B">
                  <w:pPr>
                    <w:widowControl/>
                    <w:jc w:val="center"/>
                    <w:rPr>
                      <w:rFonts w:ascii="宋体" w:hAnsi="宋体" w:cs="宋体"/>
                      <w:b/>
                      <w:bCs/>
                      <w:color w:val="000000"/>
                      <w:kern w:val="0"/>
                      <w:szCs w:val="21"/>
                    </w:rPr>
                  </w:pPr>
                </w:p>
              </w:tc>
              <w:tc>
                <w:tcPr>
                  <w:tcW w:w="930" w:type="pct"/>
                  <w:shd w:val="clear" w:color="auto" w:fill="auto"/>
                  <w:vAlign w:val="center"/>
                </w:tcPr>
                <w:p w14:paraId="12E791FA">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聚醚多元醇</w:t>
                  </w:r>
                  <w:r>
                    <w:rPr>
                      <w:rFonts w:hint="eastAsia" w:cs="Times New Roman"/>
                      <w:lang w:val="en-US" w:eastAsia="zh-CN"/>
                    </w:rPr>
                    <w:t>（白料）</w:t>
                  </w:r>
                </w:p>
              </w:tc>
              <w:tc>
                <w:tcPr>
                  <w:tcW w:w="576" w:type="pct"/>
                  <w:shd w:val="clear" w:color="000000" w:fill="FFFFFF"/>
                  <w:vAlign w:val="center"/>
                </w:tcPr>
                <w:p w14:paraId="5AA27386">
                  <w:pPr>
                    <w:widowControl/>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吨</w:t>
                  </w:r>
                </w:p>
              </w:tc>
              <w:tc>
                <w:tcPr>
                  <w:tcW w:w="596" w:type="pct"/>
                  <w:shd w:val="clear" w:color="auto" w:fill="auto"/>
                  <w:vAlign w:val="center"/>
                </w:tcPr>
                <w:p w14:paraId="3C853548">
                  <w:pPr>
                    <w:widowControl/>
                    <w:jc w:val="center"/>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100</w:t>
                  </w:r>
                </w:p>
              </w:tc>
              <w:tc>
                <w:tcPr>
                  <w:tcW w:w="679" w:type="pct"/>
                  <w:shd w:val="clear" w:color="000000" w:fill="FFFFFF"/>
                  <w:vAlign w:val="center"/>
                </w:tcPr>
                <w:p w14:paraId="2FBC65F4">
                  <w:pPr>
                    <w:widowControl/>
                    <w:jc w:val="center"/>
                    <w:rPr>
                      <w:rFonts w:hint="eastAsia" w:eastAsia="宋体"/>
                      <w:lang w:val="en-US" w:eastAsia="zh-CN"/>
                    </w:rPr>
                  </w:pPr>
                  <w:r>
                    <w:rPr>
                      <w:rFonts w:hint="eastAsia" w:cs="Times New Roman"/>
                      <w:lang w:val="en-US" w:eastAsia="zh-CN"/>
                    </w:rPr>
                    <w:t>1.7</w:t>
                  </w:r>
                  <w:r>
                    <w:rPr>
                      <w:rFonts w:hint="eastAsia" w:ascii="Times New Roman" w:hAnsi="Times New Roman" w:eastAsia="宋体" w:cs="Times New Roman"/>
                      <w:lang w:val="en-US" w:eastAsia="zh-CN"/>
                    </w:rPr>
                    <w:t>吨</w:t>
                  </w:r>
                </w:p>
              </w:tc>
              <w:tc>
                <w:tcPr>
                  <w:tcW w:w="633" w:type="pct"/>
                  <w:shd w:val="clear" w:color="000000" w:fill="FFFFFF"/>
                  <w:vAlign w:val="center"/>
                </w:tcPr>
                <w:p w14:paraId="14B32FA0">
                  <w:pPr>
                    <w:widowControl/>
                    <w:jc w:val="center"/>
                    <w:rPr>
                      <w:rFonts w:hint="eastAsia"/>
                    </w:rPr>
                  </w:pPr>
                  <w:r>
                    <w:rPr>
                      <w:rFonts w:hint="eastAsia"/>
                    </w:rPr>
                    <w:t>桶装</w:t>
                  </w:r>
                </w:p>
              </w:tc>
              <w:tc>
                <w:tcPr>
                  <w:tcW w:w="640" w:type="pct"/>
                  <w:shd w:val="clear" w:color="000000" w:fill="FFFFFF"/>
                  <w:vAlign w:val="center"/>
                </w:tcPr>
                <w:p w14:paraId="60FC363A">
                  <w:pPr>
                    <w:widowControl/>
                    <w:jc w:val="center"/>
                    <w:rPr>
                      <w:rFonts w:hint="eastAsia"/>
                      <w:kern w:val="0"/>
                      <w:szCs w:val="21"/>
                    </w:rPr>
                  </w:pPr>
                  <w:r>
                    <w:rPr>
                      <w:rFonts w:hint="eastAsia"/>
                      <w:kern w:val="0"/>
                      <w:szCs w:val="21"/>
                    </w:rPr>
                    <w:t>外购</w:t>
                  </w:r>
                </w:p>
              </w:tc>
            </w:tr>
            <w:tr w14:paraId="0D7C28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183DA341">
                  <w:pPr>
                    <w:widowControl/>
                    <w:jc w:val="center"/>
                    <w:rPr>
                      <w:rFonts w:ascii="宋体" w:hAnsi="宋体" w:cs="宋体"/>
                      <w:b/>
                      <w:bCs/>
                      <w:color w:val="000000"/>
                      <w:kern w:val="0"/>
                      <w:szCs w:val="21"/>
                    </w:rPr>
                  </w:pPr>
                </w:p>
              </w:tc>
              <w:tc>
                <w:tcPr>
                  <w:tcW w:w="930" w:type="pct"/>
                  <w:shd w:val="clear" w:color="auto" w:fill="auto"/>
                  <w:vAlign w:val="center"/>
                </w:tcPr>
                <w:p w14:paraId="21B1C4E3">
                  <w:pPr>
                    <w:widowControl/>
                    <w:jc w:val="center"/>
                    <w:rPr>
                      <w:rFonts w:hint="eastAsia" w:ascii="Times New Roman" w:hAnsi="Times New Roman" w:eastAsia="宋体" w:cs="Times New Roman"/>
                      <w:lang w:val="en-US" w:eastAsia="zh-CN"/>
                    </w:rPr>
                  </w:pPr>
                  <w:r>
                    <w:rPr>
                      <w:rFonts w:hint="eastAsia" w:cs="Times New Roman"/>
                      <w:lang w:val="en-US" w:eastAsia="zh-CN"/>
                    </w:rPr>
                    <w:t>多亚甲基多苯基异氰酸酯</w:t>
                  </w:r>
                </w:p>
                <w:p w14:paraId="3B03A270">
                  <w:pPr>
                    <w:widowControl/>
                    <w:jc w:val="center"/>
                    <w:rPr>
                      <w:rFonts w:hint="eastAsia" w:ascii="Times New Roman" w:hAnsi="Times New Roman" w:eastAsia="宋体" w:cs="Times New Roman"/>
                      <w:lang w:val="en-US" w:eastAsia="zh-CN"/>
                    </w:rPr>
                  </w:pPr>
                  <w:r>
                    <w:rPr>
                      <w:rFonts w:hint="eastAsia" w:cs="Times New Roman"/>
                      <w:lang w:val="en-US" w:eastAsia="zh-CN"/>
                    </w:rPr>
                    <w:t>（黑料）</w:t>
                  </w:r>
                </w:p>
              </w:tc>
              <w:tc>
                <w:tcPr>
                  <w:tcW w:w="576" w:type="pct"/>
                  <w:shd w:val="clear" w:color="000000" w:fill="FFFFFF"/>
                  <w:vAlign w:val="center"/>
                </w:tcPr>
                <w:p w14:paraId="17051C27">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吨</w:t>
                  </w:r>
                </w:p>
              </w:tc>
              <w:tc>
                <w:tcPr>
                  <w:tcW w:w="596" w:type="pct"/>
                  <w:shd w:val="clear" w:color="auto" w:fill="auto"/>
                  <w:vAlign w:val="center"/>
                </w:tcPr>
                <w:p w14:paraId="6C89026B">
                  <w:pPr>
                    <w:widowControl/>
                    <w:jc w:val="center"/>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45</w:t>
                  </w:r>
                </w:p>
              </w:tc>
              <w:tc>
                <w:tcPr>
                  <w:tcW w:w="679" w:type="pct"/>
                  <w:shd w:val="clear" w:color="000000" w:fill="FFFFFF"/>
                  <w:vAlign w:val="center"/>
                </w:tcPr>
                <w:p w14:paraId="71E2E176">
                  <w:pPr>
                    <w:widowControl/>
                    <w:jc w:val="center"/>
                    <w:rPr>
                      <w:rFonts w:hint="default" w:eastAsia="宋体"/>
                      <w:lang w:val="en-US" w:eastAsia="zh-CN"/>
                    </w:rPr>
                  </w:pPr>
                  <w:r>
                    <w:rPr>
                      <w:rFonts w:hint="eastAsia"/>
                      <w:lang w:val="en-US" w:eastAsia="zh-CN"/>
                    </w:rPr>
                    <w:t>0.3</w:t>
                  </w:r>
                  <w:r>
                    <w:rPr>
                      <w:rFonts w:hint="eastAsia" w:ascii="Times New Roman" w:hAnsi="Times New Roman" w:eastAsia="宋体" w:cs="Times New Roman"/>
                      <w:lang w:val="en-US" w:eastAsia="zh-CN"/>
                    </w:rPr>
                    <w:t>吨</w:t>
                  </w:r>
                </w:p>
              </w:tc>
              <w:tc>
                <w:tcPr>
                  <w:tcW w:w="633" w:type="pct"/>
                  <w:shd w:val="clear" w:color="000000" w:fill="FFFFFF"/>
                  <w:vAlign w:val="center"/>
                </w:tcPr>
                <w:p w14:paraId="1FA69A1A">
                  <w:pPr>
                    <w:widowControl/>
                    <w:jc w:val="center"/>
                    <w:rPr>
                      <w:rFonts w:hint="eastAsia"/>
                    </w:rPr>
                  </w:pPr>
                  <w:r>
                    <w:rPr>
                      <w:rFonts w:hint="eastAsia"/>
                    </w:rPr>
                    <w:t>桶装</w:t>
                  </w:r>
                </w:p>
              </w:tc>
              <w:tc>
                <w:tcPr>
                  <w:tcW w:w="640" w:type="pct"/>
                  <w:shd w:val="clear" w:color="000000" w:fill="FFFFFF"/>
                  <w:vAlign w:val="center"/>
                </w:tcPr>
                <w:p w14:paraId="6C738641">
                  <w:pPr>
                    <w:widowControl/>
                    <w:jc w:val="center"/>
                    <w:rPr>
                      <w:rFonts w:hint="eastAsia"/>
                      <w:kern w:val="0"/>
                      <w:szCs w:val="21"/>
                    </w:rPr>
                  </w:pPr>
                  <w:r>
                    <w:rPr>
                      <w:rFonts w:hint="eastAsia"/>
                      <w:kern w:val="0"/>
                      <w:szCs w:val="21"/>
                    </w:rPr>
                    <w:t>外购</w:t>
                  </w:r>
                </w:p>
              </w:tc>
            </w:tr>
            <w:tr w14:paraId="4F9478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44D49E66">
                  <w:pPr>
                    <w:widowControl/>
                    <w:jc w:val="center"/>
                    <w:rPr>
                      <w:rFonts w:ascii="宋体" w:hAnsi="宋体" w:cs="宋体"/>
                      <w:b/>
                      <w:bCs/>
                      <w:color w:val="000000"/>
                      <w:kern w:val="0"/>
                      <w:szCs w:val="21"/>
                    </w:rPr>
                  </w:pPr>
                </w:p>
              </w:tc>
              <w:tc>
                <w:tcPr>
                  <w:tcW w:w="930" w:type="pct"/>
                  <w:shd w:val="clear" w:color="auto" w:fill="auto"/>
                  <w:vAlign w:val="center"/>
                </w:tcPr>
                <w:p w14:paraId="56C811E6">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水性脱模剂</w:t>
                  </w:r>
                </w:p>
              </w:tc>
              <w:tc>
                <w:tcPr>
                  <w:tcW w:w="576" w:type="pct"/>
                  <w:shd w:val="clear" w:color="000000" w:fill="FFFFFF"/>
                  <w:vAlign w:val="center"/>
                </w:tcPr>
                <w:p w14:paraId="17FB1F13">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吨</w:t>
                  </w:r>
                </w:p>
              </w:tc>
              <w:tc>
                <w:tcPr>
                  <w:tcW w:w="596" w:type="pct"/>
                  <w:shd w:val="clear" w:color="auto" w:fill="auto"/>
                  <w:vAlign w:val="center"/>
                </w:tcPr>
                <w:p w14:paraId="3777CBCE">
                  <w:pPr>
                    <w:widowControl/>
                    <w:jc w:val="center"/>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4.85</w:t>
                  </w:r>
                </w:p>
              </w:tc>
              <w:tc>
                <w:tcPr>
                  <w:tcW w:w="679" w:type="pct"/>
                  <w:shd w:val="clear" w:color="000000" w:fill="FFFFFF"/>
                  <w:vAlign w:val="center"/>
                </w:tcPr>
                <w:p w14:paraId="13C6AD96">
                  <w:pPr>
                    <w:widowControl/>
                    <w:jc w:val="center"/>
                    <w:rPr>
                      <w:rFonts w:hint="default" w:eastAsia="宋体"/>
                      <w:lang w:val="en-US" w:eastAsia="zh-CN"/>
                    </w:rPr>
                  </w:pPr>
                  <w:r>
                    <w:rPr>
                      <w:rFonts w:hint="eastAsia"/>
                      <w:lang w:val="en-US" w:eastAsia="zh-CN"/>
                    </w:rPr>
                    <w:t>1吨</w:t>
                  </w:r>
                </w:p>
              </w:tc>
              <w:tc>
                <w:tcPr>
                  <w:tcW w:w="633" w:type="pct"/>
                  <w:shd w:val="clear" w:color="000000" w:fill="FFFFFF"/>
                  <w:vAlign w:val="center"/>
                </w:tcPr>
                <w:p w14:paraId="35622819">
                  <w:pPr>
                    <w:widowControl/>
                    <w:jc w:val="center"/>
                    <w:rPr>
                      <w:rFonts w:hint="eastAsia"/>
                    </w:rPr>
                  </w:pPr>
                  <w:r>
                    <w:rPr>
                      <w:rFonts w:hint="eastAsia"/>
                    </w:rPr>
                    <w:t>桶装</w:t>
                  </w:r>
                </w:p>
              </w:tc>
              <w:tc>
                <w:tcPr>
                  <w:tcW w:w="640" w:type="pct"/>
                  <w:shd w:val="clear" w:color="000000" w:fill="FFFFFF"/>
                  <w:vAlign w:val="center"/>
                </w:tcPr>
                <w:p w14:paraId="70D28921">
                  <w:pPr>
                    <w:widowControl/>
                    <w:jc w:val="center"/>
                    <w:rPr>
                      <w:rFonts w:hint="eastAsia"/>
                      <w:kern w:val="0"/>
                      <w:szCs w:val="21"/>
                    </w:rPr>
                  </w:pPr>
                  <w:r>
                    <w:rPr>
                      <w:rFonts w:hint="eastAsia"/>
                      <w:kern w:val="0"/>
                      <w:szCs w:val="21"/>
                    </w:rPr>
                    <w:t>外购</w:t>
                  </w:r>
                </w:p>
              </w:tc>
            </w:tr>
            <w:tr w14:paraId="697BB0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7399A1BE">
                  <w:pPr>
                    <w:widowControl/>
                    <w:jc w:val="center"/>
                    <w:rPr>
                      <w:rFonts w:ascii="宋体" w:hAnsi="宋体" w:cs="宋体"/>
                      <w:b/>
                      <w:bCs/>
                      <w:color w:val="000000"/>
                      <w:kern w:val="0"/>
                      <w:szCs w:val="21"/>
                    </w:rPr>
                  </w:pPr>
                </w:p>
              </w:tc>
              <w:tc>
                <w:tcPr>
                  <w:tcW w:w="930" w:type="pct"/>
                  <w:shd w:val="clear" w:color="auto" w:fill="auto"/>
                  <w:vAlign w:val="center"/>
                </w:tcPr>
                <w:p w14:paraId="166D1661">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水性胶</w:t>
                  </w:r>
                </w:p>
              </w:tc>
              <w:tc>
                <w:tcPr>
                  <w:tcW w:w="576" w:type="pct"/>
                  <w:shd w:val="clear" w:color="000000" w:fill="FFFFFF"/>
                  <w:vAlign w:val="center"/>
                </w:tcPr>
                <w:p w14:paraId="5D25B7F7">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吨</w:t>
                  </w:r>
                </w:p>
              </w:tc>
              <w:tc>
                <w:tcPr>
                  <w:tcW w:w="596" w:type="pct"/>
                  <w:shd w:val="clear" w:color="auto" w:fill="auto"/>
                  <w:vAlign w:val="center"/>
                </w:tcPr>
                <w:p w14:paraId="4B46B47F">
                  <w:pPr>
                    <w:widowControl/>
                    <w:jc w:val="center"/>
                    <w:rPr>
                      <w:rFonts w:hint="default" w:ascii="Times New Roman" w:hAnsi="Times New Roman" w:eastAsia="宋体" w:cs="Times New Roman"/>
                      <w:bCs/>
                      <w:lang w:val="en-US" w:eastAsia="zh-CN"/>
                    </w:rPr>
                  </w:pPr>
                  <w:r>
                    <w:rPr>
                      <w:rFonts w:hint="eastAsia" w:cs="宋体"/>
                      <w:color w:val="auto"/>
                      <w:lang w:val="en-US" w:eastAsia="zh-CN"/>
                    </w:rPr>
                    <w:t>36.14</w:t>
                  </w:r>
                </w:p>
              </w:tc>
              <w:tc>
                <w:tcPr>
                  <w:tcW w:w="679" w:type="pct"/>
                  <w:shd w:val="clear" w:color="000000" w:fill="FFFFFF"/>
                  <w:vAlign w:val="center"/>
                </w:tcPr>
                <w:p w14:paraId="166FD122">
                  <w:pPr>
                    <w:widowControl/>
                    <w:jc w:val="center"/>
                    <w:rPr>
                      <w:rFonts w:hint="eastAsia" w:eastAsia="宋体"/>
                      <w:lang w:val="en-US" w:eastAsia="zh-CN"/>
                    </w:rPr>
                  </w:pPr>
                  <w:r>
                    <w:rPr>
                      <w:rFonts w:hint="eastAsia"/>
                      <w:lang w:val="en-US" w:eastAsia="zh-CN"/>
                    </w:rPr>
                    <w:t>1吨</w:t>
                  </w:r>
                </w:p>
              </w:tc>
              <w:tc>
                <w:tcPr>
                  <w:tcW w:w="633" w:type="pct"/>
                  <w:shd w:val="clear" w:color="000000" w:fill="FFFFFF"/>
                  <w:vAlign w:val="center"/>
                </w:tcPr>
                <w:p w14:paraId="0568DD17">
                  <w:pPr>
                    <w:widowControl/>
                    <w:jc w:val="center"/>
                    <w:rPr>
                      <w:rFonts w:hint="eastAsia"/>
                    </w:rPr>
                  </w:pPr>
                  <w:r>
                    <w:rPr>
                      <w:rFonts w:hint="eastAsia"/>
                    </w:rPr>
                    <w:t>桶装</w:t>
                  </w:r>
                </w:p>
              </w:tc>
              <w:tc>
                <w:tcPr>
                  <w:tcW w:w="640" w:type="pct"/>
                  <w:shd w:val="clear" w:color="000000" w:fill="FFFFFF"/>
                  <w:vAlign w:val="center"/>
                </w:tcPr>
                <w:p w14:paraId="55B51BCF">
                  <w:pPr>
                    <w:widowControl/>
                    <w:jc w:val="center"/>
                    <w:rPr>
                      <w:rFonts w:hint="eastAsia"/>
                      <w:kern w:val="0"/>
                      <w:szCs w:val="21"/>
                    </w:rPr>
                  </w:pPr>
                  <w:r>
                    <w:rPr>
                      <w:rFonts w:hint="eastAsia"/>
                      <w:kern w:val="0"/>
                      <w:szCs w:val="21"/>
                    </w:rPr>
                    <w:t>外购</w:t>
                  </w:r>
                </w:p>
              </w:tc>
            </w:tr>
            <w:tr w14:paraId="079F95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0780488D">
                  <w:pPr>
                    <w:widowControl/>
                    <w:jc w:val="center"/>
                    <w:rPr>
                      <w:rFonts w:ascii="宋体" w:hAnsi="宋体" w:cs="宋体"/>
                      <w:b/>
                      <w:bCs/>
                      <w:color w:val="000000"/>
                      <w:kern w:val="0"/>
                      <w:szCs w:val="21"/>
                    </w:rPr>
                  </w:pPr>
                </w:p>
              </w:tc>
              <w:tc>
                <w:tcPr>
                  <w:tcW w:w="930" w:type="pct"/>
                  <w:shd w:val="clear" w:color="auto" w:fill="auto"/>
                  <w:vAlign w:val="center"/>
                </w:tcPr>
                <w:p w14:paraId="068AAB9B">
                  <w:pPr>
                    <w:widowControl/>
                    <w:jc w:val="center"/>
                    <w:rPr>
                      <w:rFonts w:hint="default" w:ascii="Times New Roman" w:hAnsi="Times New Roman" w:eastAsia="宋体" w:cs="Times New Roman"/>
                      <w:lang w:val="en-US" w:eastAsia="zh-CN"/>
                    </w:rPr>
                  </w:pPr>
                  <w:r>
                    <w:rPr>
                      <w:rFonts w:hint="eastAsia" w:cs="Times New Roman"/>
                      <w:lang w:val="en-US" w:eastAsia="zh-CN"/>
                    </w:rPr>
                    <w:t>固化剂</w:t>
                  </w:r>
                </w:p>
              </w:tc>
              <w:tc>
                <w:tcPr>
                  <w:tcW w:w="576" w:type="pct"/>
                  <w:shd w:val="clear" w:color="000000" w:fill="FFFFFF"/>
                  <w:vAlign w:val="center"/>
                </w:tcPr>
                <w:p w14:paraId="4C9B5438">
                  <w:pPr>
                    <w:widowControl/>
                    <w:jc w:val="center"/>
                    <w:rPr>
                      <w:rFonts w:hint="default" w:ascii="Times New Roman" w:hAnsi="Times New Roman" w:eastAsia="宋体" w:cs="Times New Roman"/>
                      <w:lang w:val="en-US" w:eastAsia="zh-CN"/>
                    </w:rPr>
                  </w:pPr>
                  <w:r>
                    <w:rPr>
                      <w:rFonts w:hint="eastAsia" w:cs="Times New Roman"/>
                      <w:lang w:val="en-US" w:eastAsia="zh-CN"/>
                    </w:rPr>
                    <w:t>吨</w:t>
                  </w:r>
                </w:p>
              </w:tc>
              <w:tc>
                <w:tcPr>
                  <w:tcW w:w="596" w:type="pct"/>
                  <w:shd w:val="clear" w:color="auto" w:fill="auto"/>
                  <w:vAlign w:val="center"/>
                </w:tcPr>
                <w:p w14:paraId="0BBF5825">
                  <w:pPr>
                    <w:widowControl/>
                    <w:jc w:val="center"/>
                    <w:rPr>
                      <w:rFonts w:hint="default" w:cs="Times New Roman"/>
                      <w:bCs/>
                      <w:lang w:val="en-US" w:eastAsia="zh-CN"/>
                    </w:rPr>
                  </w:pPr>
                  <w:r>
                    <w:rPr>
                      <w:rFonts w:hint="eastAsia" w:cs="Times New Roman"/>
                      <w:bCs/>
                      <w:lang w:val="en-US" w:eastAsia="zh-CN"/>
                    </w:rPr>
                    <w:t>1.99</w:t>
                  </w:r>
                </w:p>
              </w:tc>
              <w:tc>
                <w:tcPr>
                  <w:tcW w:w="1140" w:type="dxa"/>
                  <w:shd w:val="clear" w:color="000000" w:fill="FFFFFF"/>
                  <w:vAlign w:val="center"/>
                </w:tcPr>
                <w:p w14:paraId="57FDCCB6">
                  <w:pPr>
                    <w:widowControl/>
                    <w:jc w:val="center"/>
                    <w:rPr>
                      <w:rFonts w:hint="eastAsia"/>
                      <w:lang w:val="en-US" w:eastAsia="zh-CN"/>
                    </w:rPr>
                  </w:pPr>
                  <w:r>
                    <w:rPr>
                      <w:rFonts w:hint="eastAsia"/>
                      <w:lang w:val="en-US" w:eastAsia="zh-CN"/>
                    </w:rPr>
                    <w:t>0.5吨</w:t>
                  </w:r>
                </w:p>
              </w:tc>
              <w:tc>
                <w:tcPr>
                  <w:tcW w:w="1064" w:type="dxa"/>
                  <w:shd w:val="clear" w:color="000000" w:fill="FFFFFF"/>
                  <w:vAlign w:val="center"/>
                </w:tcPr>
                <w:p w14:paraId="5CD62820">
                  <w:pPr>
                    <w:widowControl/>
                    <w:jc w:val="center"/>
                    <w:rPr>
                      <w:rFonts w:hint="eastAsia"/>
                    </w:rPr>
                  </w:pPr>
                  <w:r>
                    <w:rPr>
                      <w:rFonts w:hint="eastAsia"/>
                    </w:rPr>
                    <w:t>桶装</w:t>
                  </w:r>
                </w:p>
              </w:tc>
              <w:tc>
                <w:tcPr>
                  <w:tcW w:w="1076" w:type="dxa"/>
                  <w:shd w:val="clear" w:color="000000" w:fill="FFFFFF"/>
                  <w:vAlign w:val="center"/>
                </w:tcPr>
                <w:p w14:paraId="562B7822">
                  <w:pPr>
                    <w:widowControl/>
                    <w:jc w:val="center"/>
                    <w:rPr>
                      <w:rFonts w:hint="eastAsia"/>
                      <w:kern w:val="0"/>
                      <w:szCs w:val="21"/>
                    </w:rPr>
                  </w:pPr>
                  <w:r>
                    <w:rPr>
                      <w:rFonts w:hint="eastAsia"/>
                      <w:kern w:val="0"/>
                      <w:szCs w:val="21"/>
                    </w:rPr>
                    <w:t>外购</w:t>
                  </w:r>
                </w:p>
              </w:tc>
            </w:tr>
            <w:tr w14:paraId="73FC0F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04DCCD54">
                  <w:pPr>
                    <w:widowControl/>
                    <w:jc w:val="center"/>
                    <w:rPr>
                      <w:rFonts w:ascii="宋体" w:hAnsi="宋体" w:cs="宋体"/>
                      <w:b/>
                      <w:bCs/>
                      <w:color w:val="000000"/>
                      <w:kern w:val="0"/>
                      <w:szCs w:val="21"/>
                    </w:rPr>
                  </w:pPr>
                </w:p>
              </w:tc>
              <w:tc>
                <w:tcPr>
                  <w:tcW w:w="930" w:type="pct"/>
                  <w:shd w:val="clear" w:color="auto" w:fill="auto"/>
                  <w:vAlign w:val="center"/>
                </w:tcPr>
                <w:p w14:paraId="1F064830">
                  <w:pPr>
                    <w:widowControl/>
                    <w:jc w:val="center"/>
                    <w:rPr>
                      <w:rFonts w:hint="default" w:ascii="Times New Roman" w:hAnsi="Times New Roman" w:eastAsia="宋体" w:cs="Times New Roman"/>
                      <w:lang w:val="en-US" w:eastAsia="zh-CN"/>
                    </w:rPr>
                  </w:pPr>
                  <w:r>
                    <w:rPr>
                      <w:rFonts w:hint="eastAsia" w:cs="Times New Roman"/>
                      <w:lang w:val="en-US" w:eastAsia="zh-CN"/>
                    </w:rPr>
                    <w:t>干冰</w:t>
                  </w:r>
                </w:p>
              </w:tc>
              <w:tc>
                <w:tcPr>
                  <w:tcW w:w="576" w:type="pct"/>
                  <w:shd w:val="clear" w:color="000000" w:fill="FFFFFF"/>
                  <w:vAlign w:val="center"/>
                </w:tcPr>
                <w:p w14:paraId="78D5A6FA">
                  <w:pPr>
                    <w:widowControl/>
                    <w:jc w:val="center"/>
                    <w:rPr>
                      <w:rFonts w:hint="eastAsia" w:ascii="Times New Roman" w:hAnsi="Times New Roman" w:eastAsia="宋体" w:cs="Times New Roman"/>
                      <w:lang w:val="en-US" w:eastAsia="zh-CN"/>
                    </w:rPr>
                  </w:pPr>
                  <w:r>
                    <w:rPr>
                      <w:rFonts w:hint="eastAsia"/>
                      <w:lang w:val="en-US" w:eastAsia="zh-CN"/>
                    </w:rPr>
                    <w:t>吨</w:t>
                  </w:r>
                </w:p>
              </w:tc>
              <w:tc>
                <w:tcPr>
                  <w:tcW w:w="596" w:type="pct"/>
                  <w:shd w:val="clear" w:color="auto" w:fill="auto"/>
                  <w:vAlign w:val="center"/>
                </w:tcPr>
                <w:p w14:paraId="6CC976E3">
                  <w:pPr>
                    <w:widowControl/>
                    <w:jc w:val="center"/>
                    <w:rPr>
                      <w:rFonts w:hint="default" w:cs="Times New Roman"/>
                      <w:bCs/>
                      <w:lang w:val="en-US" w:eastAsia="zh-CN"/>
                    </w:rPr>
                  </w:pPr>
                  <w:r>
                    <w:rPr>
                      <w:rFonts w:hint="eastAsia" w:cs="Times New Roman"/>
                      <w:bCs/>
                      <w:lang w:val="en-US" w:eastAsia="zh-CN"/>
                    </w:rPr>
                    <w:t>1</w:t>
                  </w:r>
                </w:p>
              </w:tc>
              <w:tc>
                <w:tcPr>
                  <w:tcW w:w="679" w:type="pct"/>
                  <w:shd w:val="clear" w:color="000000" w:fill="FFFFFF"/>
                  <w:vAlign w:val="center"/>
                </w:tcPr>
                <w:p w14:paraId="18E9724B">
                  <w:pPr>
                    <w:widowControl/>
                    <w:jc w:val="center"/>
                    <w:rPr>
                      <w:rFonts w:hint="default"/>
                      <w:lang w:val="en-US" w:eastAsia="zh-CN"/>
                    </w:rPr>
                  </w:pPr>
                  <w:r>
                    <w:rPr>
                      <w:rFonts w:hint="eastAsia"/>
                      <w:lang w:val="en-US" w:eastAsia="zh-CN"/>
                    </w:rPr>
                    <w:t>0.3吨</w:t>
                  </w:r>
                </w:p>
              </w:tc>
              <w:tc>
                <w:tcPr>
                  <w:tcW w:w="633" w:type="pct"/>
                  <w:shd w:val="clear" w:color="000000" w:fill="FFFFFF"/>
                  <w:vAlign w:val="center"/>
                </w:tcPr>
                <w:p w14:paraId="35EDC9E3">
                  <w:pPr>
                    <w:widowControl/>
                    <w:jc w:val="center"/>
                    <w:rPr>
                      <w:rFonts w:hint="eastAsia" w:eastAsia="宋体"/>
                      <w:lang w:val="en-US" w:eastAsia="zh-CN"/>
                    </w:rPr>
                  </w:pPr>
                  <w:r>
                    <w:rPr>
                      <w:rFonts w:hint="eastAsia" w:ascii="宋体" w:hAnsi="宋体" w:cs="宋体"/>
                      <w:szCs w:val="21"/>
                    </w:rPr>
                    <w:t>塑料保温箱</w:t>
                  </w:r>
                  <w:r>
                    <w:rPr>
                      <w:rFonts w:hint="eastAsia" w:ascii="宋体" w:hAnsi="宋体" w:cs="宋体"/>
                      <w:szCs w:val="21"/>
                      <w:lang w:val="en-US" w:eastAsia="zh-CN"/>
                    </w:rPr>
                    <w:t>贮存</w:t>
                  </w:r>
                </w:p>
              </w:tc>
              <w:tc>
                <w:tcPr>
                  <w:tcW w:w="640" w:type="pct"/>
                  <w:shd w:val="clear" w:color="000000" w:fill="FFFFFF"/>
                  <w:vAlign w:val="center"/>
                </w:tcPr>
                <w:p w14:paraId="2BCF37A6">
                  <w:pPr>
                    <w:widowControl/>
                    <w:jc w:val="center"/>
                    <w:rPr>
                      <w:rFonts w:hint="eastAsia"/>
                      <w:kern w:val="0"/>
                      <w:szCs w:val="21"/>
                    </w:rPr>
                  </w:pPr>
                  <w:r>
                    <w:rPr>
                      <w:rFonts w:hint="eastAsia"/>
                      <w:kern w:val="0"/>
                      <w:szCs w:val="21"/>
                    </w:rPr>
                    <w:t>外购</w:t>
                  </w:r>
                </w:p>
              </w:tc>
            </w:tr>
            <w:tr w14:paraId="512BB4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42" w:type="pct"/>
                  <w:vMerge w:val="continue"/>
                  <w:vAlign w:val="center"/>
                </w:tcPr>
                <w:p w14:paraId="6E3BDAF6">
                  <w:pPr>
                    <w:widowControl/>
                    <w:jc w:val="center"/>
                    <w:rPr>
                      <w:rFonts w:ascii="宋体" w:hAnsi="宋体" w:cs="宋体"/>
                      <w:b/>
                      <w:bCs/>
                      <w:color w:val="000000"/>
                      <w:kern w:val="0"/>
                      <w:szCs w:val="21"/>
                    </w:rPr>
                  </w:pPr>
                </w:p>
              </w:tc>
              <w:tc>
                <w:tcPr>
                  <w:tcW w:w="930" w:type="pct"/>
                  <w:shd w:val="clear" w:color="000000" w:fill="FFFFFF"/>
                  <w:vAlign w:val="center"/>
                </w:tcPr>
                <w:p w14:paraId="0253B2F1">
                  <w:pPr>
                    <w:widowControl/>
                    <w:jc w:val="center"/>
                    <w:rPr>
                      <w:rFonts w:hint="eastAsia" w:ascii="Times New Roman" w:hAnsi="Times New Roman" w:eastAsia="宋体" w:cs="Times New Roman"/>
                    </w:rPr>
                  </w:pPr>
                  <w:r>
                    <w:rPr>
                      <w:rFonts w:hint="eastAsia" w:ascii="Times New Roman" w:hAnsi="Times New Roman" w:eastAsia="宋体" w:cs="Times New Roman"/>
                    </w:rPr>
                    <w:t>机油</w:t>
                  </w:r>
                </w:p>
              </w:tc>
              <w:tc>
                <w:tcPr>
                  <w:tcW w:w="576" w:type="pct"/>
                  <w:shd w:val="clear" w:color="000000" w:fill="FFFFFF"/>
                  <w:vAlign w:val="center"/>
                </w:tcPr>
                <w:p w14:paraId="0D10C334">
                  <w:pPr>
                    <w:widowControl/>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t/a</w:t>
                  </w:r>
                </w:p>
              </w:tc>
              <w:tc>
                <w:tcPr>
                  <w:tcW w:w="596" w:type="pct"/>
                  <w:shd w:val="clear" w:color="000000" w:fill="FFFFFF"/>
                  <w:vAlign w:val="center"/>
                </w:tcPr>
                <w:p w14:paraId="72FBDB6C">
                  <w:pPr>
                    <w:widowControl/>
                    <w:jc w:val="center"/>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2</w:t>
                  </w:r>
                </w:p>
              </w:tc>
              <w:tc>
                <w:tcPr>
                  <w:tcW w:w="679" w:type="pct"/>
                  <w:shd w:val="clear" w:color="000000" w:fill="FFFFFF"/>
                  <w:vAlign w:val="center"/>
                </w:tcPr>
                <w:p w14:paraId="543B4832">
                  <w:pPr>
                    <w:widowControl/>
                    <w:jc w:val="center"/>
                    <w:rPr>
                      <w:kern w:val="0"/>
                      <w:szCs w:val="21"/>
                    </w:rPr>
                  </w:pPr>
                  <w:r>
                    <w:rPr>
                      <w:rFonts w:hint="eastAsia"/>
                      <w:kern w:val="0"/>
                      <w:szCs w:val="21"/>
                    </w:rPr>
                    <w:t>0.1</w:t>
                  </w:r>
                  <w:r>
                    <w:rPr>
                      <w:rFonts w:hint="eastAsia"/>
                      <w:lang w:val="en-US" w:eastAsia="zh-CN"/>
                    </w:rPr>
                    <w:t>吨</w:t>
                  </w:r>
                </w:p>
              </w:tc>
              <w:tc>
                <w:tcPr>
                  <w:tcW w:w="633" w:type="pct"/>
                  <w:shd w:val="clear" w:color="000000" w:fill="FFFFFF"/>
                  <w:vAlign w:val="center"/>
                </w:tcPr>
                <w:p w14:paraId="6C28BEE9">
                  <w:pPr>
                    <w:widowControl/>
                    <w:jc w:val="center"/>
                  </w:pPr>
                  <w:r>
                    <w:rPr>
                      <w:rFonts w:hint="eastAsia"/>
                    </w:rPr>
                    <w:t>桶装</w:t>
                  </w:r>
                </w:p>
              </w:tc>
              <w:tc>
                <w:tcPr>
                  <w:tcW w:w="640" w:type="pct"/>
                  <w:shd w:val="clear" w:color="000000" w:fill="FFFFFF"/>
                  <w:vAlign w:val="center"/>
                </w:tcPr>
                <w:p w14:paraId="671F40DD">
                  <w:pPr>
                    <w:widowControl/>
                    <w:tabs>
                      <w:tab w:val="left" w:pos="304"/>
                    </w:tabs>
                    <w:spacing w:line="240" w:lineRule="exact"/>
                    <w:ind w:left="-105" w:leftChars="-50" w:right="-105" w:rightChars="-50"/>
                    <w:jc w:val="center"/>
                    <w:rPr>
                      <w:szCs w:val="21"/>
                    </w:rPr>
                  </w:pPr>
                  <w:r>
                    <w:rPr>
                      <w:rFonts w:hint="eastAsia"/>
                      <w:szCs w:val="21"/>
                    </w:rPr>
                    <w:t>外购</w:t>
                  </w:r>
                </w:p>
              </w:tc>
            </w:tr>
            <w:tr w14:paraId="7E128A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942" w:type="pct"/>
                  <w:vMerge w:val="restart"/>
                  <w:vAlign w:val="center"/>
                </w:tcPr>
                <w:p w14:paraId="3488A149">
                  <w:pPr>
                    <w:widowControl/>
                    <w:jc w:val="center"/>
                    <w:rPr>
                      <w:rFonts w:ascii="宋体" w:hAnsi="宋体" w:cs="宋体"/>
                      <w:b/>
                      <w:bCs/>
                      <w:color w:val="000000"/>
                      <w:kern w:val="0"/>
                      <w:szCs w:val="21"/>
                    </w:rPr>
                  </w:pPr>
                  <w:r>
                    <w:rPr>
                      <w:rFonts w:hint="eastAsia" w:ascii="宋体" w:hAnsi="宋体" w:cs="宋体"/>
                      <w:b/>
                      <w:bCs/>
                      <w:color w:val="000000"/>
                      <w:kern w:val="0"/>
                      <w:szCs w:val="21"/>
                    </w:rPr>
                    <w:t>能源消耗</w:t>
                  </w:r>
                </w:p>
              </w:tc>
              <w:tc>
                <w:tcPr>
                  <w:tcW w:w="930" w:type="pct"/>
                  <w:shd w:val="clear" w:color="000000" w:fill="FFFFFF"/>
                  <w:vAlign w:val="center"/>
                </w:tcPr>
                <w:p w14:paraId="3BB5CCE4">
                  <w:pPr>
                    <w:widowControl/>
                    <w:jc w:val="center"/>
                  </w:pPr>
                  <w:r>
                    <w:rPr>
                      <w:rFonts w:hint="eastAsia"/>
                    </w:rPr>
                    <w:t>电</w:t>
                  </w:r>
                </w:p>
              </w:tc>
              <w:tc>
                <w:tcPr>
                  <w:tcW w:w="576" w:type="pct"/>
                  <w:shd w:val="clear" w:color="000000" w:fill="FFFFFF"/>
                  <w:vAlign w:val="center"/>
                </w:tcPr>
                <w:p w14:paraId="18B83BEE">
                  <w:pPr>
                    <w:widowControl/>
                    <w:jc w:val="center"/>
                  </w:pPr>
                  <w:r>
                    <w:rPr>
                      <w:rFonts w:hint="eastAsia"/>
                    </w:rPr>
                    <w:t>万</w:t>
                  </w:r>
                  <w:r>
                    <w:t>kWh</w:t>
                  </w:r>
                </w:p>
              </w:tc>
              <w:tc>
                <w:tcPr>
                  <w:tcW w:w="596" w:type="pct"/>
                  <w:shd w:val="clear" w:color="000000" w:fill="FFFFFF"/>
                  <w:vAlign w:val="center"/>
                </w:tcPr>
                <w:p w14:paraId="7A110645">
                  <w:pPr>
                    <w:widowControl/>
                    <w:jc w:val="center"/>
                    <w:rPr>
                      <w:rFonts w:hint="default" w:eastAsia="宋体"/>
                      <w:lang w:val="en-US" w:eastAsia="zh-CN"/>
                    </w:rPr>
                  </w:pPr>
                  <w:r>
                    <w:rPr>
                      <w:rFonts w:hint="eastAsia"/>
                      <w:lang w:val="en-US" w:eastAsia="zh-CN"/>
                    </w:rPr>
                    <w:t>11.4</w:t>
                  </w:r>
                </w:p>
              </w:tc>
              <w:tc>
                <w:tcPr>
                  <w:tcW w:w="679" w:type="pct"/>
                  <w:shd w:val="clear" w:color="000000" w:fill="FFFFFF"/>
                  <w:vAlign w:val="center"/>
                </w:tcPr>
                <w:p w14:paraId="0D9F7E06">
                  <w:pPr>
                    <w:widowControl/>
                    <w:jc w:val="center"/>
                  </w:pPr>
                  <w:r>
                    <w:rPr>
                      <w:rFonts w:hint="eastAsia"/>
                    </w:rPr>
                    <w:t>/</w:t>
                  </w:r>
                </w:p>
              </w:tc>
              <w:tc>
                <w:tcPr>
                  <w:tcW w:w="633" w:type="pct"/>
                  <w:shd w:val="clear" w:color="000000" w:fill="FFFFFF"/>
                  <w:vAlign w:val="center"/>
                </w:tcPr>
                <w:p w14:paraId="21104B7A">
                  <w:pPr>
                    <w:widowControl/>
                    <w:jc w:val="center"/>
                  </w:pPr>
                  <w:r>
                    <w:rPr>
                      <w:rFonts w:hint="eastAsia"/>
                    </w:rPr>
                    <w:t>/</w:t>
                  </w:r>
                </w:p>
              </w:tc>
              <w:tc>
                <w:tcPr>
                  <w:tcW w:w="640" w:type="pct"/>
                  <w:shd w:val="clear" w:color="000000" w:fill="FFFFFF"/>
                  <w:vAlign w:val="center"/>
                </w:tcPr>
                <w:p w14:paraId="5AF521A0">
                  <w:pPr>
                    <w:widowControl/>
                    <w:jc w:val="center"/>
                  </w:pPr>
                  <w:r>
                    <w:rPr>
                      <w:rFonts w:hint="eastAsia"/>
                    </w:rPr>
                    <w:t>园区供电</w:t>
                  </w:r>
                </w:p>
              </w:tc>
            </w:tr>
            <w:tr w14:paraId="0A2409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942" w:type="pct"/>
                  <w:vMerge w:val="continue"/>
                  <w:vAlign w:val="center"/>
                </w:tcPr>
                <w:p w14:paraId="12EEDC7B">
                  <w:pPr>
                    <w:widowControl/>
                    <w:jc w:val="center"/>
                    <w:rPr>
                      <w:rFonts w:ascii="宋体" w:hAnsi="宋体" w:cs="宋体"/>
                      <w:b/>
                      <w:bCs/>
                      <w:color w:val="000000"/>
                      <w:kern w:val="0"/>
                      <w:szCs w:val="21"/>
                    </w:rPr>
                  </w:pPr>
                </w:p>
              </w:tc>
              <w:tc>
                <w:tcPr>
                  <w:tcW w:w="930" w:type="pct"/>
                  <w:shd w:val="clear" w:color="000000" w:fill="FFFFFF"/>
                  <w:vAlign w:val="center"/>
                </w:tcPr>
                <w:p w14:paraId="61120E2B">
                  <w:pPr>
                    <w:widowControl/>
                    <w:jc w:val="center"/>
                  </w:pPr>
                  <w:r>
                    <w:rPr>
                      <w:rFonts w:hint="eastAsia"/>
                    </w:rPr>
                    <w:t>水</w:t>
                  </w:r>
                </w:p>
              </w:tc>
              <w:tc>
                <w:tcPr>
                  <w:tcW w:w="576" w:type="pct"/>
                  <w:shd w:val="clear" w:color="000000" w:fill="FFFFFF"/>
                  <w:vAlign w:val="center"/>
                </w:tcPr>
                <w:p w14:paraId="1E594774">
                  <w:pPr>
                    <w:widowControl/>
                    <w:jc w:val="center"/>
                  </w:pPr>
                  <w:r>
                    <w:rPr>
                      <w:rFonts w:hint="eastAsia"/>
                      <w:bCs/>
                    </w:rPr>
                    <w:t>t/a</w:t>
                  </w:r>
                </w:p>
              </w:tc>
              <w:tc>
                <w:tcPr>
                  <w:tcW w:w="596" w:type="pct"/>
                  <w:shd w:val="clear" w:color="000000" w:fill="FFFFFF"/>
                  <w:vAlign w:val="center"/>
                </w:tcPr>
                <w:p w14:paraId="09E82710">
                  <w:pPr>
                    <w:widowControl/>
                    <w:jc w:val="center"/>
                  </w:pPr>
                  <w:r>
                    <w:rPr>
                      <w:rFonts w:hint="eastAsia"/>
                      <w:lang w:eastAsia="zh-CN"/>
                    </w:rPr>
                    <w:t>7</w:t>
                  </w:r>
                  <w:r>
                    <w:rPr>
                      <w:rFonts w:hint="eastAsia"/>
                      <w:lang w:val="en-US" w:eastAsia="zh-CN"/>
                    </w:rPr>
                    <w:t>5</w:t>
                  </w:r>
                  <w:r>
                    <w:rPr>
                      <w:rFonts w:hint="eastAsia"/>
                      <w:lang w:eastAsia="zh-CN"/>
                    </w:rPr>
                    <w:t>0</w:t>
                  </w:r>
                </w:p>
              </w:tc>
              <w:tc>
                <w:tcPr>
                  <w:tcW w:w="679" w:type="pct"/>
                  <w:shd w:val="clear" w:color="000000" w:fill="FFFFFF"/>
                  <w:vAlign w:val="center"/>
                </w:tcPr>
                <w:p w14:paraId="74901D96">
                  <w:pPr>
                    <w:widowControl/>
                    <w:jc w:val="center"/>
                  </w:pPr>
                  <w:r>
                    <w:rPr>
                      <w:rFonts w:hint="eastAsia"/>
                    </w:rPr>
                    <w:t>/</w:t>
                  </w:r>
                </w:p>
              </w:tc>
              <w:tc>
                <w:tcPr>
                  <w:tcW w:w="633" w:type="pct"/>
                  <w:shd w:val="clear" w:color="000000" w:fill="FFFFFF"/>
                  <w:vAlign w:val="center"/>
                </w:tcPr>
                <w:p w14:paraId="29DA2906">
                  <w:pPr>
                    <w:widowControl/>
                    <w:jc w:val="center"/>
                  </w:pPr>
                  <w:r>
                    <w:rPr>
                      <w:rFonts w:hint="eastAsia"/>
                    </w:rPr>
                    <w:t>/</w:t>
                  </w:r>
                </w:p>
              </w:tc>
              <w:tc>
                <w:tcPr>
                  <w:tcW w:w="640" w:type="pct"/>
                  <w:shd w:val="clear" w:color="000000" w:fill="FFFFFF"/>
                  <w:vAlign w:val="center"/>
                </w:tcPr>
                <w:p w14:paraId="18F42528">
                  <w:pPr>
                    <w:widowControl/>
                    <w:jc w:val="center"/>
                  </w:pPr>
                  <w:r>
                    <w:rPr>
                      <w:rFonts w:hint="eastAsia"/>
                    </w:rPr>
                    <w:t>园区供水</w:t>
                  </w:r>
                </w:p>
              </w:tc>
            </w:tr>
          </w:tbl>
          <w:p w14:paraId="6CAC83F5">
            <w:pPr>
              <w:spacing w:line="400" w:lineRule="exact"/>
              <w:ind w:firstLine="480" w:firstLineChars="200"/>
              <w:rPr>
                <w:kern w:val="24"/>
                <w:sz w:val="24"/>
              </w:rPr>
            </w:pPr>
            <w:r>
              <w:rPr>
                <w:rFonts w:ascii="宋体" w:hAnsi="宋体"/>
                <w:kern w:val="24"/>
                <w:sz w:val="24"/>
              </w:rPr>
              <w:t>主</w:t>
            </w:r>
            <w:r>
              <w:rPr>
                <w:kern w:val="24"/>
                <w:sz w:val="24"/>
              </w:rPr>
              <w:t>要原辅材料理化性质：</w:t>
            </w:r>
          </w:p>
          <w:p w14:paraId="1AA49BF9">
            <w:pPr>
              <w:spacing w:before="120" w:beforeLines="50"/>
              <w:jc w:val="center"/>
              <w:rPr>
                <w:rFonts w:hAnsi="宋体"/>
                <w:b/>
                <w:kern w:val="24"/>
                <w:sz w:val="24"/>
              </w:rPr>
            </w:pPr>
            <w:r>
              <w:rPr>
                <w:rFonts w:hAnsi="宋体"/>
                <w:b/>
                <w:kern w:val="24"/>
                <w:sz w:val="24"/>
              </w:rPr>
              <w:t>表</w:t>
            </w:r>
            <w:r>
              <w:rPr>
                <w:rFonts w:hint="eastAsia" w:hAnsi="宋体"/>
                <w:b/>
                <w:kern w:val="24"/>
                <w:sz w:val="24"/>
              </w:rPr>
              <w:t>2-</w:t>
            </w:r>
            <w:r>
              <w:rPr>
                <w:rFonts w:hint="eastAsia" w:hAnsi="宋体"/>
                <w:b/>
                <w:kern w:val="24"/>
                <w:sz w:val="24"/>
                <w:lang w:val="en-US" w:eastAsia="zh-CN"/>
              </w:rPr>
              <w:t>7</w:t>
            </w:r>
            <w:r>
              <w:rPr>
                <w:rFonts w:hAnsi="宋体"/>
                <w:b/>
                <w:kern w:val="24"/>
                <w:sz w:val="24"/>
              </w:rPr>
              <w:t>项目原辅材料理化性质一览表</w:t>
            </w:r>
          </w:p>
          <w:tbl>
            <w:tblPr>
              <w:tblStyle w:val="2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7090"/>
            </w:tblGrid>
            <w:tr w14:paraId="76D997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76" w:type="pct"/>
                  <w:vAlign w:val="center"/>
                </w:tcPr>
                <w:p w14:paraId="4DE0AFC1">
                  <w:pPr>
                    <w:tabs>
                      <w:tab w:val="left" w:pos="3225"/>
                    </w:tabs>
                    <w:adjustRightInd w:val="0"/>
                    <w:snapToGrid w:val="0"/>
                    <w:jc w:val="center"/>
                    <w:rPr>
                      <w:b/>
                      <w:bCs/>
                      <w:snapToGrid w:val="0"/>
                      <w:kern w:val="0"/>
                      <w:szCs w:val="21"/>
                    </w:rPr>
                  </w:pPr>
                  <w:r>
                    <w:rPr>
                      <w:rFonts w:hint="eastAsia"/>
                      <w:b/>
                      <w:bCs/>
                      <w:snapToGrid w:val="0"/>
                      <w:kern w:val="0"/>
                      <w:szCs w:val="21"/>
                    </w:rPr>
                    <w:t>原辅材料</w:t>
                  </w:r>
                </w:p>
              </w:tc>
              <w:tc>
                <w:tcPr>
                  <w:tcW w:w="4223" w:type="pct"/>
                  <w:vAlign w:val="center"/>
                </w:tcPr>
                <w:p w14:paraId="4D38CDF3">
                  <w:pPr>
                    <w:tabs>
                      <w:tab w:val="left" w:pos="3225"/>
                    </w:tabs>
                    <w:adjustRightInd w:val="0"/>
                    <w:snapToGrid w:val="0"/>
                    <w:jc w:val="center"/>
                    <w:rPr>
                      <w:b/>
                      <w:bCs/>
                      <w:snapToGrid w:val="0"/>
                      <w:kern w:val="0"/>
                      <w:szCs w:val="21"/>
                    </w:rPr>
                  </w:pPr>
                  <w:r>
                    <w:rPr>
                      <w:b/>
                      <w:bCs/>
                      <w:snapToGrid w:val="0"/>
                      <w:kern w:val="0"/>
                      <w:szCs w:val="21"/>
                    </w:rPr>
                    <w:t>理化性质</w:t>
                  </w:r>
                </w:p>
              </w:tc>
            </w:tr>
            <w:tr w14:paraId="03029E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76" w:type="pct"/>
                  <w:vAlign w:val="center"/>
                </w:tcPr>
                <w:p w14:paraId="5DF24E1F">
                  <w:pPr>
                    <w:adjustRightInd w:val="0"/>
                    <w:snapToGrid w:val="0"/>
                    <w:jc w:val="center"/>
                    <w:rPr>
                      <w:color w:val="000000"/>
                      <w:szCs w:val="21"/>
                    </w:rPr>
                  </w:pPr>
                  <w:r>
                    <w:rPr>
                      <w:rFonts w:hint="eastAsia" w:ascii="Times New Roman" w:hAnsi="Times New Roman" w:eastAsia="宋体" w:cs="Times New Roman"/>
                      <w:lang w:val="en-US" w:eastAsia="zh-CN"/>
                    </w:rPr>
                    <w:t>PVC</w:t>
                  </w:r>
                </w:p>
              </w:tc>
              <w:tc>
                <w:tcPr>
                  <w:tcW w:w="4223" w:type="pct"/>
                  <w:vAlign w:val="center"/>
                </w:tcPr>
                <w:p w14:paraId="31328337">
                  <w:pPr>
                    <w:rPr>
                      <w:rFonts w:hint="eastAsia" w:eastAsia="宋体"/>
                      <w:bCs/>
                      <w:snapToGrid w:val="0"/>
                      <w:kern w:val="0"/>
                      <w:szCs w:val="21"/>
                      <w:lang w:eastAsia="zh-CN"/>
                    </w:rPr>
                  </w:pPr>
                  <w:r>
                    <w:rPr>
                      <w:rFonts w:hint="eastAsia" w:ascii="Times New Roman" w:hAnsi="Times New Roman" w:eastAsia="宋体" w:cs="Times New Roman"/>
                      <w:lang w:val="en-US" w:eastAsia="zh-CN"/>
                    </w:rPr>
                    <w:t>中文名：聚氯乙烯，英文名：Polyvinyl chloride</w:t>
                  </w:r>
                  <w:r>
                    <w:rPr>
                      <w:rFonts w:hint="eastAsia"/>
                      <w:bCs/>
                      <w:snapToGrid w:val="0"/>
                      <w:kern w:val="0"/>
                      <w:szCs w:val="21"/>
                      <w:lang w:eastAsia="zh-CN"/>
                    </w:rPr>
                    <w:t>，</w:t>
                  </w:r>
                  <w:r>
                    <w:rPr>
                      <w:rFonts w:hint="eastAsia"/>
                      <w:bCs/>
                      <w:snapToGrid w:val="0"/>
                      <w:kern w:val="0"/>
                      <w:szCs w:val="21"/>
                    </w:rPr>
                    <w:t>是氯乙烯单体在过氧化物、偶氮化合物等引发剂;或在光、热作用下按自由基聚合反应机理聚合而成的聚合物。无固定</w:t>
                  </w:r>
                  <w:r>
                    <w:rPr>
                      <w:rFonts w:hint="eastAsia"/>
                      <w:bCs/>
                      <w:snapToGrid w:val="0"/>
                      <w:kern w:val="0"/>
                      <w:szCs w:val="21"/>
                    </w:rPr>
                    <w:fldChar w:fldCharType="begin"/>
                  </w:r>
                  <w:r>
                    <w:rPr>
                      <w:rFonts w:hint="eastAsia"/>
                      <w:bCs/>
                      <w:snapToGrid w:val="0"/>
                      <w:kern w:val="0"/>
                      <w:szCs w:val="21"/>
                    </w:rPr>
                    <w:instrText xml:space="preserve"> HYPERLINK "https://upimg.baike.so.com/doc/367780-389604.html" \t "https://upimg.baike.so.com/doc/_blank" </w:instrText>
                  </w:r>
                  <w:r>
                    <w:rPr>
                      <w:rFonts w:hint="eastAsia"/>
                      <w:bCs/>
                      <w:snapToGrid w:val="0"/>
                      <w:kern w:val="0"/>
                      <w:szCs w:val="21"/>
                    </w:rPr>
                    <w:fldChar w:fldCharType="separate"/>
                  </w:r>
                  <w:r>
                    <w:rPr>
                      <w:rFonts w:hint="eastAsia"/>
                      <w:bCs/>
                      <w:snapToGrid w:val="0"/>
                      <w:kern w:val="0"/>
                      <w:szCs w:val="21"/>
                    </w:rPr>
                    <w:t>熔点</w:t>
                  </w:r>
                  <w:r>
                    <w:rPr>
                      <w:rFonts w:hint="eastAsia"/>
                      <w:bCs/>
                      <w:snapToGrid w:val="0"/>
                      <w:kern w:val="0"/>
                      <w:szCs w:val="21"/>
                    </w:rPr>
                    <w:fldChar w:fldCharType="end"/>
                  </w:r>
                  <w:r>
                    <w:rPr>
                      <w:rFonts w:hint="eastAsia"/>
                      <w:bCs/>
                      <w:snapToGrid w:val="0"/>
                      <w:kern w:val="0"/>
                      <w:szCs w:val="21"/>
                    </w:rPr>
                    <w:t>，80～85℃开始软化，130℃变为粘弹态，160～180℃开始转变为粘流态；有较好的机械性能，抗张强度60MPa左右，冲击强度5～10kJ/m²</w:t>
                  </w:r>
                  <w:r>
                    <w:rPr>
                      <w:rFonts w:hint="eastAsia"/>
                      <w:bCs/>
                      <w:snapToGrid w:val="0"/>
                      <w:kern w:val="0"/>
                      <w:szCs w:val="21"/>
                      <w:lang w:eastAsia="zh-CN"/>
                    </w:rPr>
                    <w:t>。</w:t>
                  </w:r>
                </w:p>
              </w:tc>
            </w:tr>
            <w:tr w14:paraId="0133AE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76" w:type="pct"/>
                  <w:vAlign w:val="center"/>
                </w:tcPr>
                <w:p w14:paraId="05418B44">
                  <w:pPr>
                    <w:adjustRightInd w:val="0"/>
                    <w:snapToGrid w:val="0"/>
                    <w:jc w:val="center"/>
                    <w:rPr>
                      <w:color w:val="000000"/>
                      <w:szCs w:val="21"/>
                    </w:rPr>
                  </w:pPr>
                  <w:r>
                    <w:rPr>
                      <w:rFonts w:hint="eastAsia" w:ascii="Times New Roman" w:hAnsi="Times New Roman" w:eastAsia="宋体" w:cs="Times New Roman"/>
                      <w:lang w:val="en-US" w:eastAsia="zh-CN"/>
                    </w:rPr>
                    <w:t>PU</w:t>
                  </w:r>
                </w:p>
              </w:tc>
              <w:tc>
                <w:tcPr>
                  <w:tcW w:w="4223" w:type="pct"/>
                  <w:vAlign w:val="center"/>
                </w:tcPr>
                <w:p w14:paraId="7AA26F61">
                  <w:pPr>
                    <w:rPr>
                      <w:bCs/>
                      <w:snapToGrid w:val="0"/>
                      <w:kern w:val="0"/>
                      <w:szCs w:val="21"/>
                    </w:rPr>
                  </w:pPr>
                  <w:r>
                    <w:rPr>
                      <w:rFonts w:hint="eastAsia"/>
                      <w:bCs/>
                      <w:snapToGrid w:val="0"/>
                      <w:kern w:val="0"/>
                    </w:rPr>
                    <w:t>PU，即聚氨酯，是一种由多元醇和多异氰酸酯经缩聚反应形成的高分子材料，具有优异的力学性能和极强的可塑性。密度在1.2到1.3 g/cm³之间，具有高密度、高强度、高韧性、高耐磨性等特点。</w:t>
                  </w:r>
                </w:p>
              </w:tc>
            </w:tr>
            <w:tr w14:paraId="164E97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76" w:type="pct"/>
                  <w:vAlign w:val="center"/>
                </w:tcPr>
                <w:p w14:paraId="7896DD23">
                  <w:pPr>
                    <w:adjustRightInd w:val="0"/>
                    <w:snapToGrid w:val="0"/>
                    <w:jc w:val="center"/>
                    <w:rPr>
                      <w:color w:val="000000"/>
                      <w:szCs w:val="21"/>
                    </w:rPr>
                  </w:pPr>
                  <w:r>
                    <w:rPr>
                      <w:rFonts w:hint="eastAsia" w:ascii="Times New Roman" w:hAnsi="Times New Roman" w:eastAsia="宋体" w:cs="Times New Roman"/>
                      <w:lang w:val="en-US" w:eastAsia="zh-CN"/>
                    </w:rPr>
                    <w:t>聚醚多元醇</w:t>
                  </w:r>
                </w:p>
              </w:tc>
              <w:tc>
                <w:tcPr>
                  <w:tcW w:w="4223" w:type="pct"/>
                  <w:vAlign w:val="center"/>
                </w:tcPr>
                <w:p w14:paraId="115706F9">
                  <w:pPr>
                    <w:tabs>
                      <w:tab w:val="left" w:pos="3225"/>
                    </w:tabs>
                    <w:adjustRightInd w:val="0"/>
                    <w:snapToGrid w:val="0"/>
                    <w:jc w:val="left"/>
                    <w:rPr>
                      <w:bCs/>
                      <w:snapToGrid w:val="0"/>
                      <w:kern w:val="0"/>
                      <w:szCs w:val="21"/>
                    </w:rPr>
                  </w:pPr>
                  <w:r>
                    <w:rPr>
                      <w:bCs/>
                      <w:snapToGrid w:val="0"/>
                      <w:kern w:val="0"/>
                      <w:szCs w:val="21"/>
                    </w:rPr>
                    <w:t>聚醚多元醇（简称聚醚）是一种有机聚合物，是由起始剂（含活性氢基团的化合物）与环氧乙烷（EO）、环氧丙烷（PO）、环氧丁烷（BO）等在催化剂存在下经加聚反应制得。聚醚产量最大者为以甘油（丙三醇）作起始剂和环氧化物（一般是PO与EO并用），通过改变PO和EO的加料方式（混合加或分开加）、加量比、加料次序等条件，生产出各种通用的聚醚多元醇。</w:t>
                  </w:r>
                </w:p>
              </w:tc>
            </w:tr>
            <w:tr w14:paraId="0D2C8B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76" w:type="pct"/>
                  <w:vAlign w:val="center"/>
                </w:tcPr>
                <w:p w14:paraId="3521505C">
                  <w:pPr>
                    <w:adjustRightInd w:val="0"/>
                    <w:snapToGrid w:val="0"/>
                    <w:jc w:val="center"/>
                    <w:rPr>
                      <w:rFonts w:hint="eastAsia" w:ascii="Times New Roman" w:hAnsi="Times New Roman" w:eastAsia="宋体" w:cs="Times New Roman"/>
                      <w:lang w:val="en-US" w:eastAsia="zh-CN"/>
                    </w:rPr>
                  </w:pPr>
                  <w:r>
                    <w:rPr>
                      <w:rFonts w:hint="eastAsia" w:cs="Times New Roman"/>
                      <w:lang w:val="en-US" w:eastAsia="zh-CN"/>
                    </w:rPr>
                    <w:t>多亚甲基多苯基异氰酸酯</w:t>
                  </w:r>
                </w:p>
              </w:tc>
              <w:tc>
                <w:tcPr>
                  <w:tcW w:w="4223" w:type="pct"/>
                  <w:vAlign w:val="center"/>
                </w:tcPr>
                <w:p w14:paraId="180945D2">
                  <w:pPr>
                    <w:tabs>
                      <w:tab w:val="left" w:pos="3225"/>
                    </w:tabs>
                    <w:adjustRightInd w:val="0"/>
                    <w:snapToGrid w:val="0"/>
                    <w:jc w:val="left"/>
                    <w:rPr>
                      <w:rFonts w:hint="eastAsia"/>
                    </w:rPr>
                  </w:pPr>
                  <w:r>
                    <w:rPr>
                      <w:rFonts w:hint="default" w:ascii="Times New Roman" w:hAnsi="Times New Roman" w:eastAsia="宋体" w:cs="Times New Roman"/>
                      <w:i w:val="0"/>
                      <w:iCs w:val="0"/>
                      <w:caps w:val="0"/>
                      <w:color w:val="auto"/>
                      <w:spacing w:val="0"/>
                      <w:sz w:val="21"/>
                      <w:szCs w:val="21"/>
                      <w:shd w:val="clear" w:color="auto" w:fill="FFFFFF"/>
                      <w:lang w:eastAsia="zh-CN"/>
                    </w:rPr>
                    <w:t>成分为多亚甲基多苯基多异氰酸酯</w:t>
                  </w:r>
                  <w:r>
                    <w:rPr>
                      <w:rFonts w:hint="eastAsia" w:ascii="Times New Roman" w:hAnsi="Times New Roman" w:cs="Times New Roman"/>
                      <w:i w:val="0"/>
                      <w:iCs w:val="0"/>
                      <w:caps w:val="0"/>
                      <w:color w:val="auto"/>
                      <w:spacing w:val="0"/>
                      <w:sz w:val="21"/>
                      <w:szCs w:val="21"/>
                      <w:shd w:val="clear" w:color="auto" w:fill="FFFFFF"/>
                      <w:lang w:val="en-US" w:eastAsia="zh-CN"/>
                    </w:rPr>
                    <w:t>25-15</w:t>
                  </w:r>
                  <w:r>
                    <w:rPr>
                      <w:rFonts w:hint="eastAsia" w:ascii="Times New Roman" w:hAnsi="Times New Roman" w:eastAsia="宋体" w:cs="Times New Roman"/>
                      <w:i w:val="0"/>
                      <w:iCs w:val="0"/>
                      <w:caps w:val="0"/>
                      <w:color w:val="auto"/>
                      <w:spacing w:val="0"/>
                      <w:sz w:val="21"/>
                      <w:szCs w:val="21"/>
                      <w:shd w:val="clear" w:color="auto" w:fill="FFFFFF"/>
                      <w:lang w:val="en-US" w:eastAsia="zh-CN"/>
                    </w:rPr>
                    <w:t>%</w:t>
                  </w:r>
                  <w:r>
                    <w:rPr>
                      <w:rFonts w:hint="default" w:ascii="Times New Roman" w:hAnsi="Times New Roman" w:eastAsia="宋体" w:cs="Times New Roman"/>
                      <w:i w:val="0"/>
                      <w:iCs w:val="0"/>
                      <w:caps w:val="0"/>
                      <w:color w:val="auto"/>
                      <w:spacing w:val="0"/>
                      <w:sz w:val="21"/>
                      <w:szCs w:val="21"/>
                      <w:shd w:val="clear" w:color="auto" w:fill="FFFFFF"/>
                      <w:lang w:eastAsia="zh-CN"/>
                    </w:rPr>
                    <w:t>，二苯基甲烷二异氰酸酯</w:t>
                  </w:r>
                  <w:r>
                    <w:rPr>
                      <w:rFonts w:hint="eastAsia" w:ascii="Times New Roman" w:hAnsi="Times New Roman" w:cs="Times New Roman"/>
                      <w:i w:val="0"/>
                      <w:iCs w:val="0"/>
                      <w:caps w:val="0"/>
                      <w:color w:val="auto"/>
                      <w:spacing w:val="0"/>
                      <w:sz w:val="21"/>
                      <w:szCs w:val="21"/>
                      <w:shd w:val="clear" w:color="auto" w:fill="FFFFFF"/>
                      <w:lang w:val="en-US" w:eastAsia="zh-CN"/>
                    </w:rPr>
                    <w:t>74-82</w:t>
                  </w:r>
                  <w:r>
                    <w:rPr>
                      <w:rFonts w:hint="eastAsia" w:ascii="Times New Roman" w:hAnsi="Times New Roman" w:eastAsia="宋体" w:cs="Times New Roman"/>
                      <w:i w:val="0"/>
                      <w:iCs w:val="0"/>
                      <w:caps w:val="0"/>
                      <w:color w:val="auto"/>
                      <w:spacing w:val="0"/>
                      <w:sz w:val="21"/>
                      <w:szCs w:val="21"/>
                      <w:shd w:val="clear" w:color="auto" w:fill="FFFFFF"/>
                      <w:lang w:val="en-US" w:eastAsia="zh-CN"/>
                    </w:rPr>
                    <w:t>%</w:t>
                  </w:r>
                  <w:r>
                    <w:rPr>
                      <w:rFonts w:hint="eastAsia" w:ascii="Times New Roman" w:hAnsi="Times New Roman" w:cs="Times New Roman"/>
                      <w:i w:val="0"/>
                      <w:iCs w:val="0"/>
                      <w:caps w:val="0"/>
                      <w:color w:val="auto"/>
                      <w:spacing w:val="0"/>
                      <w:sz w:val="21"/>
                      <w:szCs w:val="21"/>
                      <w:shd w:val="clear" w:color="auto" w:fill="FFFFFF"/>
                      <w:lang w:eastAsia="zh-CN"/>
                    </w:rPr>
                    <w:t>，</w:t>
                  </w:r>
                  <w:r>
                    <w:rPr>
                      <w:rFonts w:hint="default" w:ascii="Times New Roman" w:hAnsi="Times New Roman" w:eastAsia="宋体" w:cs="Times New Roman"/>
                      <w:i w:val="0"/>
                      <w:iCs w:val="0"/>
                      <w:caps w:val="0"/>
                      <w:color w:val="auto"/>
                      <w:spacing w:val="0"/>
                      <w:sz w:val="21"/>
                      <w:szCs w:val="21"/>
                      <w:shd w:val="clear" w:color="auto" w:fill="FFFFFF"/>
                      <w:lang w:eastAsia="zh-CN"/>
                    </w:rPr>
                    <w:t>MDI均聚物</w:t>
                  </w:r>
                  <w:r>
                    <w:rPr>
                      <w:rFonts w:hint="eastAsia" w:ascii="Times New Roman" w:hAnsi="Times New Roman" w:cs="Times New Roman"/>
                      <w:i w:val="0"/>
                      <w:iCs w:val="0"/>
                      <w:caps w:val="0"/>
                      <w:color w:val="auto"/>
                      <w:spacing w:val="0"/>
                      <w:sz w:val="21"/>
                      <w:szCs w:val="21"/>
                      <w:shd w:val="clear" w:color="auto" w:fill="FFFFFF"/>
                      <w:lang w:val="en-US" w:eastAsia="zh-CN"/>
                    </w:rPr>
                    <w:t>1-3</w:t>
                  </w:r>
                  <w:r>
                    <w:rPr>
                      <w:rFonts w:hint="eastAsia" w:ascii="Times New Roman" w:hAnsi="Times New Roman" w:eastAsia="宋体" w:cs="Times New Roman"/>
                      <w:i w:val="0"/>
                      <w:iCs w:val="0"/>
                      <w:caps w:val="0"/>
                      <w:color w:val="auto"/>
                      <w:spacing w:val="0"/>
                      <w:sz w:val="21"/>
                      <w:szCs w:val="21"/>
                      <w:shd w:val="clear" w:color="auto" w:fill="FFFFFF"/>
                      <w:lang w:val="en-US" w:eastAsia="zh-CN"/>
                    </w:rPr>
                    <w:t>%</w:t>
                  </w:r>
                  <w:r>
                    <w:rPr>
                      <w:rFonts w:hint="eastAsia" w:ascii="Times New Roman" w:hAnsi="Times New Roman" w:cs="Times New Roman"/>
                      <w:i w:val="0"/>
                      <w:iCs w:val="0"/>
                      <w:caps w:val="0"/>
                      <w:color w:val="auto"/>
                      <w:spacing w:val="0"/>
                      <w:sz w:val="21"/>
                      <w:szCs w:val="21"/>
                      <w:shd w:val="clear" w:color="auto" w:fill="FFFFFF"/>
                      <w:lang w:eastAsia="zh-CN"/>
                    </w:rPr>
                    <w:t>，</w:t>
                  </w:r>
                  <w:r>
                    <w:rPr>
                      <w:rFonts w:hint="default" w:ascii="Times New Roman" w:hAnsi="Times New Roman" w:eastAsia="宋体" w:cs="Times New Roman"/>
                      <w:i w:val="0"/>
                      <w:iCs w:val="0"/>
                      <w:caps w:val="0"/>
                      <w:color w:val="auto"/>
                      <w:spacing w:val="0"/>
                      <w:sz w:val="21"/>
                      <w:szCs w:val="21"/>
                      <w:shd w:val="clear" w:color="auto" w:fill="FFFFFF"/>
                      <w:lang w:eastAsia="zh-CN"/>
                    </w:rPr>
                    <w:t>沸点 373.4±35.0 ℃(1.33kPa)，粘度(50℃)4.9mPa·s，闪点：202℃，暗棕色液体带有一种弱气味，溶于氯苯、邻二氯苯、甲苯等；</w:t>
                  </w:r>
                  <w:r>
                    <w:rPr>
                      <w:rFonts w:hint="eastAsia" w:ascii="Times New Roman" w:hAnsi="Times New Roman" w:eastAsia="宋体" w:cs="Times New Roman"/>
                      <w:i w:val="0"/>
                      <w:iCs w:val="0"/>
                      <w:caps w:val="0"/>
                      <w:color w:val="auto"/>
                      <w:spacing w:val="0"/>
                      <w:sz w:val="21"/>
                      <w:szCs w:val="21"/>
                      <w:shd w:val="clear" w:color="auto" w:fill="FFFFFF"/>
                      <w:lang w:val="en-US" w:eastAsia="zh-CN"/>
                    </w:rPr>
                    <w:t>PAPI</w:t>
                  </w:r>
                  <w:r>
                    <w:rPr>
                      <w:rFonts w:hint="default" w:ascii="Times New Roman" w:hAnsi="Times New Roman" w:eastAsia="宋体" w:cs="Times New Roman"/>
                      <w:i w:val="0"/>
                      <w:iCs w:val="0"/>
                      <w:caps w:val="0"/>
                      <w:color w:val="auto"/>
                      <w:spacing w:val="0"/>
                      <w:sz w:val="21"/>
                      <w:szCs w:val="21"/>
                      <w:shd w:val="clear" w:color="auto" w:fill="FFFFFF"/>
                      <w:lang w:eastAsia="zh-CN"/>
                    </w:rPr>
                    <w:t>的活性低，蒸气压低，与TDI（甲苯二异氰酸酯）相比，毒性较小。</w:t>
                  </w:r>
                </w:p>
              </w:tc>
            </w:tr>
          </w:tbl>
          <w:p w14:paraId="5585ACC3">
            <w:pPr>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auto"/>
              <w:rPr>
                <w:rFonts w:hint="eastAsia"/>
                <w:b/>
                <w:sz w:val="24"/>
              </w:rPr>
            </w:pPr>
          </w:p>
          <w:p w14:paraId="3D8B0E73">
            <w:pPr>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auto"/>
              <w:rPr>
                <w:rFonts w:hint="eastAsia"/>
                <w:b/>
                <w:sz w:val="24"/>
              </w:rPr>
            </w:pPr>
            <w:r>
              <w:rPr>
                <w:rFonts w:hint="eastAsia"/>
                <w:b/>
                <w:sz w:val="24"/>
              </w:rPr>
              <w:t>本项目所使用胶黏剂用量核算:</w:t>
            </w:r>
          </w:p>
          <w:p w14:paraId="651009D0">
            <w:pPr>
              <w:pStyle w:val="100"/>
              <w:keepNext w:val="0"/>
              <w:keepLines w:val="0"/>
              <w:pageBreakBefore w:val="0"/>
              <w:widowControl w:val="0"/>
              <w:kinsoku/>
              <w:wordWrap/>
              <w:overflowPunct/>
              <w:topLinePunct w:val="0"/>
              <w:bidi w:val="0"/>
              <w:snapToGrid/>
              <w:spacing w:line="360" w:lineRule="auto"/>
              <w:ind w:firstLine="480"/>
              <w:textAlignment w:val="auto"/>
              <w:rPr>
                <w:rFonts w:hint="eastAsia" w:cs="宋体"/>
                <w:color w:val="auto"/>
                <w:lang w:eastAsia="zh-CN"/>
              </w:rPr>
            </w:pPr>
            <w:r>
              <w:rPr>
                <w:rFonts w:hint="eastAsia" w:ascii="Times New Roman" w:hAnsi="Times New Roman" w:eastAsia="宋体" w:cs="宋体"/>
                <w:color w:val="auto"/>
                <w:lang w:eastAsia="zh-CN"/>
              </w:rPr>
              <w:t>拟建项目</w:t>
            </w:r>
            <w:r>
              <w:rPr>
                <w:rFonts w:ascii="Times New Roman" w:hAnsi="Times New Roman" w:eastAsia="宋体" w:cs="宋体"/>
                <w:color w:val="auto"/>
              </w:rPr>
              <w:t>产品</w:t>
            </w:r>
            <w:r>
              <w:rPr>
                <w:rFonts w:hint="eastAsia" w:ascii="Times New Roman" w:hAnsi="Times New Roman" w:eastAsia="宋体" w:cs="宋体"/>
                <w:color w:val="auto"/>
              </w:rPr>
              <w:t>中央扶手</w:t>
            </w:r>
            <w:r>
              <w:rPr>
                <w:rFonts w:hint="eastAsia" w:ascii="Times New Roman" w:hAnsi="Times New Roman" w:eastAsia="宋体" w:cs="宋体"/>
                <w:color w:val="auto"/>
                <w:lang w:eastAsia="zh-CN"/>
              </w:rPr>
              <w:t>、</w:t>
            </w:r>
            <w:r>
              <w:rPr>
                <w:rFonts w:hint="eastAsia" w:ascii="Times New Roman" w:hAnsi="Times New Roman" w:eastAsia="宋体" w:cs="宋体"/>
                <w:color w:val="auto"/>
              </w:rPr>
              <w:t>中间饰板</w:t>
            </w:r>
            <w:r>
              <w:rPr>
                <w:rFonts w:hint="eastAsia" w:ascii="Times New Roman" w:hAnsi="Times New Roman" w:eastAsia="宋体" w:cs="宋体"/>
                <w:color w:val="auto"/>
                <w:lang w:eastAsia="zh-CN"/>
              </w:rPr>
              <w:t>、</w:t>
            </w:r>
            <w:r>
              <w:rPr>
                <w:rFonts w:hint="eastAsia" w:ascii="Times New Roman" w:hAnsi="Times New Roman" w:eastAsia="宋体" w:cs="宋体"/>
                <w:color w:val="auto"/>
              </w:rPr>
              <w:t>门板扶手</w:t>
            </w:r>
            <w:r>
              <w:rPr>
                <w:rFonts w:hint="eastAsia" w:ascii="Times New Roman" w:hAnsi="Times New Roman" w:eastAsia="宋体" w:cs="宋体"/>
                <w:color w:val="auto"/>
                <w:lang w:eastAsia="zh-CN"/>
              </w:rPr>
              <w:t>、</w:t>
            </w:r>
            <w:r>
              <w:rPr>
                <w:rFonts w:hint="eastAsia" w:ascii="Times New Roman" w:hAnsi="Times New Roman" w:eastAsia="宋体" w:cs="宋体"/>
                <w:color w:val="auto"/>
              </w:rPr>
              <w:t>仪表板</w:t>
            </w:r>
            <w:r>
              <w:rPr>
                <w:rFonts w:hint="eastAsia" w:ascii="Times New Roman" w:hAnsi="Times New Roman" w:eastAsia="宋体" w:cs="宋体"/>
                <w:color w:val="auto"/>
                <w:lang w:eastAsia="zh-CN"/>
              </w:rPr>
              <w:t>、</w:t>
            </w:r>
            <w:r>
              <w:rPr>
                <w:rFonts w:hint="eastAsia" w:ascii="Times New Roman" w:hAnsi="Times New Roman" w:eastAsia="宋体" w:cs="宋体"/>
                <w:color w:val="auto"/>
              </w:rPr>
              <w:t>挂挡球头</w:t>
            </w:r>
            <w:r>
              <w:rPr>
                <w:rFonts w:hint="eastAsia" w:ascii="Times New Roman" w:hAnsi="Times New Roman" w:eastAsia="宋体" w:cs="宋体"/>
                <w:color w:val="auto"/>
                <w:lang w:eastAsia="zh-CN"/>
              </w:rPr>
              <w:t>、</w:t>
            </w:r>
            <w:r>
              <w:rPr>
                <w:rFonts w:hint="eastAsia" w:ascii="Times New Roman" w:hAnsi="Times New Roman" w:eastAsia="宋体" w:cs="宋体"/>
                <w:color w:val="auto"/>
              </w:rPr>
              <w:t>手刹皮套</w:t>
            </w:r>
            <w:r>
              <w:rPr>
                <w:rFonts w:hint="eastAsia" w:cs="宋体"/>
                <w:color w:val="auto"/>
                <w:lang w:val="en-US" w:eastAsia="zh-CN"/>
              </w:rPr>
              <w:t>涉及到喷胶工艺</w:t>
            </w:r>
            <w:r>
              <w:rPr>
                <w:rFonts w:ascii="Times New Roman" w:hAnsi="Times New Roman" w:eastAsia="宋体" w:cs="宋体"/>
                <w:color w:val="auto"/>
              </w:rPr>
              <w:t>，喷胶过程附着率</w:t>
            </w:r>
            <w:r>
              <w:rPr>
                <w:rFonts w:hint="eastAsia" w:ascii="Times New Roman" w:hAnsi="Times New Roman" w:eastAsia="宋体" w:cs="宋体"/>
                <w:color w:val="auto"/>
                <w:lang w:val="en-US" w:eastAsia="zh-CN"/>
              </w:rPr>
              <w:t>8</w:t>
            </w:r>
            <w:r>
              <w:rPr>
                <w:rFonts w:ascii="Times New Roman" w:hAnsi="Times New Roman" w:eastAsia="宋体" w:cs="宋体"/>
                <w:color w:val="auto"/>
              </w:rPr>
              <w:t>0%，其中</w:t>
            </w:r>
            <w:r>
              <w:rPr>
                <w:rFonts w:hint="eastAsia" w:ascii="Times New Roman" w:hAnsi="Times New Roman" w:eastAsia="宋体" w:cs="宋体"/>
                <w:color w:val="auto"/>
              </w:rPr>
              <w:t>中央扶手</w:t>
            </w:r>
            <w:r>
              <w:rPr>
                <w:rFonts w:hint="eastAsia" w:ascii="Times New Roman" w:hAnsi="Times New Roman" w:eastAsia="宋体" w:cs="宋体"/>
                <w:color w:val="auto"/>
                <w:lang w:eastAsia="zh-CN"/>
              </w:rPr>
              <w:t>、</w:t>
            </w:r>
            <w:r>
              <w:rPr>
                <w:rFonts w:hint="eastAsia" w:ascii="Times New Roman" w:hAnsi="Times New Roman" w:eastAsia="宋体" w:cs="宋体"/>
                <w:color w:val="auto"/>
              </w:rPr>
              <w:t>中间饰板</w:t>
            </w:r>
            <w:r>
              <w:rPr>
                <w:rFonts w:hint="eastAsia" w:ascii="Times New Roman" w:hAnsi="Times New Roman" w:eastAsia="宋体" w:cs="宋体"/>
                <w:color w:val="auto"/>
                <w:lang w:eastAsia="zh-CN"/>
              </w:rPr>
              <w:t>、</w:t>
            </w:r>
            <w:r>
              <w:rPr>
                <w:rFonts w:hint="eastAsia" w:ascii="Times New Roman" w:hAnsi="Times New Roman" w:eastAsia="宋体" w:cs="宋体"/>
                <w:color w:val="auto"/>
              </w:rPr>
              <w:t>仪表板</w:t>
            </w:r>
            <w:r>
              <w:rPr>
                <w:rFonts w:ascii="Times New Roman" w:hAnsi="Times New Roman" w:eastAsia="宋体" w:cs="宋体"/>
                <w:color w:val="auto"/>
              </w:rPr>
              <w:t>每套喷胶量为</w:t>
            </w:r>
            <w:r>
              <w:rPr>
                <w:rFonts w:hint="eastAsia" w:cs="宋体"/>
                <w:color w:val="auto"/>
                <w:lang w:val="en-US" w:eastAsia="zh-CN"/>
              </w:rPr>
              <w:t>35</w:t>
            </w:r>
            <w:r>
              <w:rPr>
                <w:rFonts w:ascii="Times New Roman" w:hAnsi="Times New Roman" w:eastAsia="宋体" w:cs="宋体"/>
                <w:color w:val="auto"/>
              </w:rPr>
              <w:t>g/套（含表皮），</w:t>
            </w:r>
            <w:r>
              <w:rPr>
                <w:rFonts w:hint="eastAsia" w:ascii="Times New Roman" w:hAnsi="Times New Roman" w:eastAsia="宋体" w:cs="宋体"/>
                <w:color w:val="auto"/>
              </w:rPr>
              <w:t>门板扶手</w:t>
            </w:r>
            <w:r>
              <w:rPr>
                <w:rFonts w:hint="eastAsia" w:ascii="Times New Roman" w:hAnsi="Times New Roman" w:cs="宋体"/>
                <w:color w:val="auto"/>
                <w:lang w:eastAsia="zh-CN"/>
              </w:rPr>
              <w:t>、挂挡球头、手刹皮套</w:t>
            </w:r>
            <w:r>
              <w:rPr>
                <w:rFonts w:ascii="Times New Roman" w:hAnsi="Times New Roman" w:eastAsia="宋体" w:cs="宋体"/>
                <w:color w:val="auto"/>
              </w:rPr>
              <w:t>每套喷胶量为</w:t>
            </w:r>
            <w:r>
              <w:rPr>
                <w:rFonts w:hint="eastAsia" w:cs="宋体"/>
                <w:color w:val="auto"/>
                <w:lang w:val="en-US" w:eastAsia="zh-CN"/>
              </w:rPr>
              <w:t>20</w:t>
            </w:r>
            <w:r>
              <w:rPr>
                <w:rFonts w:ascii="Times New Roman" w:hAnsi="Times New Roman" w:eastAsia="宋体" w:cs="宋体"/>
                <w:color w:val="auto"/>
              </w:rPr>
              <w:t>g/套（含表皮）</w:t>
            </w:r>
            <w:r>
              <w:rPr>
                <w:rFonts w:hint="eastAsia" w:ascii="Times New Roman" w:hAnsi="Times New Roman" w:cs="宋体"/>
                <w:color w:val="auto"/>
                <w:lang w:eastAsia="zh-CN"/>
              </w:rPr>
              <w:t>，</w:t>
            </w:r>
            <w:r>
              <w:rPr>
                <w:rFonts w:ascii="Times New Roman" w:hAnsi="Times New Roman" w:eastAsia="宋体" w:cs="宋体"/>
                <w:color w:val="auto"/>
              </w:rPr>
              <w:t>总用胶量为（</w:t>
            </w:r>
            <w:r>
              <w:rPr>
                <w:rFonts w:hint="eastAsia" w:cs="宋体"/>
                <w:color w:val="auto"/>
                <w:lang w:val="en-US" w:eastAsia="zh-CN"/>
              </w:rPr>
              <w:t>35</w:t>
            </w:r>
            <w:r>
              <w:rPr>
                <w:rFonts w:ascii="Times New Roman" w:hAnsi="Times New Roman" w:eastAsia="宋体" w:cs="宋体"/>
                <w:color w:val="auto"/>
              </w:rPr>
              <w:t>×10</w:t>
            </w:r>
            <w:r>
              <w:rPr>
                <w:rFonts w:ascii="Times New Roman" w:hAnsi="Times New Roman" w:eastAsia="宋体" w:cs="宋体"/>
                <w:color w:val="auto"/>
                <w:vertAlign w:val="superscript"/>
              </w:rPr>
              <w:t>4</w:t>
            </w:r>
            <w:r>
              <w:rPr>
                <w:rFonts w:ascii="Times New Roman" w:hAnsi="Times New Roman" w:eastAsia="宋体" w:cs="宋体"/>
                <w:color w:val="auto"/>
              </w:rPr>
              <w:t>×</w:t>
            </w:r>
            <w:r>
              <w:rPr>
                <w:rFonts w:hint="eastAsia" w:cs="宋体"/>
                <w:color w:val="auto"/>
                <w:lang w:val="en-US" w:eastAsia="zh-CN"/>
              </w:rPr>
              <w:t>70</w:t>
            </w:r>
            <w:r>
              <w:rPr>
                <w:rFonts w:ascii="Times New Roman" w:hAnsi="Times New Roman" w:eastAsia="宋体" w:cs="宋体"/>
                <w:color w:val="auto"/>
              </w:rPr>
              <w:t>×10</w:t>
            </w:r>
            <w:r>
              <w:rPr>
                <w:rFonts w:ascii="Times New Roman" w:hAnsi="Times New Roman" w:eastAsia="宋体" w:cs="宋体"/>
                <w:color w:val="auto"/>
                <w:vertAlign w:val="superscript"/>
              </w:rPr>
              <w:t>-6</w:t>
            </w:r>
            <w:r>
              <w:rPr>
                <w:rFonts w:ascii="Times New Roman" w:hAnsi="Times New Roman" w:eastAsia="宋体" w:cs="宋体"/>
                <w:color w:val="auto"/>
              </w:rPr>
              <w:t>＋</w:t>
            </w:r>
            <w:r>
              <w:rPr>
                <w:rFonts w:hint="eastAsia" w:cs="宋体"/>
                <w:color w:val="auto"/>
                <w:lang w:val="en-US" w:eastAsia="zh-CN"/>
              </w:rPr>
              <w:t>20</w:t>
            </w:r>
            <w:r>
              <w:rPr>
                <w:rFonts w:ascii="Times New Roman" w:hAnsi="Times New Roman" w:eastAsia="宋体" w:cs="宋体"/>
                <w:color w:val="auto"/>
              </w:rPr>
              <w:t>×10</w:t>
            </w:r>
            <w:r>
              <w:rPr>
                <w:rFonts w:ascii="Times New Roman" w:hAnsi="Times New Roman" w:eastAsia="宋体" w:cs="宋体"/>
                <w:color w:val="auto"/>
                <w:vertAlign w:val="superscript"/>
              </w:rPr>
              <w:t>4</w:t>
            </w:r>
            <w:r>
              <w:rPr>
                <w:rFonts w:ascii="Times New Roman" w:hAnsi="Times New Roman" w:eastAsia="宋体" w:cs="宋体"/>
                <w:color w:val="auto"/>
              </w:rPr>
              <w:t>×</w:t>
            </w:r>
            <w:r>
              <w:rPr>
                <w:rFonts w:hint="eastAsia" w:cs="宋体"/>
                <w:color w:val="auto"/>
                <w:lang w:val="en-US" w:eastAsia="zh-CN"/>
              </w:rPr>
              <w:t>30</w:t>
            </w:r>
            <w:r>
              <w:rPr>
                <w:rFonts w:ascii="Times New Roman" w:hAnsi="Times New Roman" w:eastAsia="宋体" w:cs="宋体"/>
                <w:color w:val="auto"/>
              </w:rPr>
              <w:t>×10</w:t>
            </w:r>
            <w:r>
              <w:rPr>
                <w:rFonts w:ascii="Times New Roman" w:hAnsi="Times New Roman" w:eastAsia="宋体" w:cs="宋体"/>
                <w:color w:val="auto"/>
                <w:vertAlign w:val="superscript"/>
              </w:rPr>
              <w:t>-6</w:t>
            </w:r>
            <w:r>
              <w:rPr>
                <w:rFonts w:ascii="Times New Roman" w:hAnsi="Times New Roman" w:eastAsia="宋体" w:cs="宋体"/>
                <w:color w:val="auto"/>
              </w:rPr>
              <w:t>）÷</w:t>
            </w:r>
            <w:r>
              <w:rPr>
                <w:rFonts w:hint="eastAsia" w:ascii="Times New Roman" w:hAnsi="Times New Roman" w:eastAsia="宋体" w:cs="宋体"/>
                <w:color w:val="auto"/>
                <w:lang w:val="en-US" w:eastAsia="zh-CN"/>
              </w:rPr>
              <w:t>8</w:t>
            </w:r>
            <w:r>
              <w:rPr>
                <w:rFonts w:ascii="Times New Roman" w:hAnsi="Times New Roman" w:eastAsia="宋体" w:cs="宋体"/>
                <w:color w:val="auto"/>
              </w:rPr>
              <w:t>0%=</w:t>
            </w:r>
            <w:r>
              <w:rPr>
                <w:rFonts w:hint="eastAsia" w:cs="宋体"/>
                <w:color w:val="auto"/>
                <w:lang w:val="en-US" w:eastAsia="zh-CN"/>
              </w:rPr>
              <w:t xml:space="preserve">38.13 </w:t>
            </w:r>
            <w:r>
              <w:rPr>
                <w:rFonts w:ascii="Times New Roman" w:hAnsi="Times New Roman" w:eastAsia="宋体" w:cs="宋体"/>
                <w:color w:val="auto"/>
              </w:rPr>
              <w:t>t/a。</w:t>
            </w:r>
            <w:r>
              <w:rPr>
                <w:rFonts w:hint="eastAsia" w:cs="宋体"/>
                <w:color w:val="auto"/>
                <w:lang w:val="en-US" w:eastAsia="zh-CN"/>
              </w:rPr>
              <w:t xml:space="preserve">根据业主提供资料，本项目使用的水性胶和固化剂配比为200：11，因此水性胶使用量为36.14 </w:t>
            </w:r>
            <w:r>
              <w:rPr>
                <w:rFonts w:ascii="Times New Roman" w:hAnsi="Times New Roman" w:eastAsia="宋体" w:cs="宋体"/>
                <w:color w:val="auto"/>
              </w:rPr>
              <w:t>t/a</w:t>
            </w:r>
            <w:r>
              <w:rPr>
                <w:rFonts w:hint="eastAsia" w:cs="宋体"/>
                <w:color w:val="auto"/>
                <w:lang w:eastAsia="zh-CN"/>
              </w:rPr>
              <w:t>，</w:t>
            </w:r>
            <w:r>
              <w:rPr>
                <w:rFonts w:hint="eastAsia" w:cs="宋体"/>
                <w:color w:val="auto"/>
                <w:lang w:val="en-US" w:eastAsia="zh-CN"/>
              </w:rPr>
              <w:t xml:space="preserve">固化剂使用量为1.99 </w:t>
            </w:r>
            <w:r>
              <w:rPr>
                <w:rFonts w:ascii="Times New Roman" w:hAnsi="Times New Roman" w:eastAsia="宋体" w:cs="宋体"/>
                <w:color w:val="auto"/>
              </w:rPr>
              <w:t>t/a</w:t>
            </w:r>
            <w:r>
              <w:rPr>
                <w:rFonts w:hint="eastAsia" w:cs="宋体"/>
                <w:color w:val="auto"/>
                <w:lang w:eastAsia="zh-CN"/>
              </w:rPr>
              <w:t>。</w:t>
            </w:r>
          </w:p>
          <w:p w14:paraId="0688AFA0">
            <w:pPr>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auto"/>
              <w:rPr>
                <w:rFonts w:hint="eastAsia"/>
                <w:b/>
                <w:sz w:val="24"/>
              </w:rPr>
            </w:pPr>
            <w:r>
              <w:rPr>
                <w:rFonts w:hint="eastAsia"/>
                <w:b/>
                <w:sz w:val="24"/>
                <w:lang w:val="en-US" w:eastAsia="zh-CN"/>
              </w:rPr>
              <w:t>胶料平衡</w:t>
            </w:r>
            <w:r>
              <w:rPr>
                <w:rFonts w:hint="eastAsia"/>
                <w:b/>
                <w:sz w:val="24"/>
              </w:rPr>
              <w:t>:</w:t>
            </w:r>
          </w:p>
          <w:p w14:paraId="0F6D2C58">
            <w:pPr>
              <w:pStyle w:val="100"/>
              <w:keepNext w:val="0"/>
              <w:keepLines w:val="0"/>
              <w:pageBreakBefore w:val="0"/>
              <w:widowControl w:val="0"/>
              <w:kinsoku/>
              <w:wordWrap/>
              <w:overflowPunct/>
              <w:topLinePunct w:val="0"/>
              <w:bidi w:val="0"/>
              <w:snapToGrid/>
              <w:spacing w:line="360" w:lineRule="auto"/>
              <w:ind w:firstLine="480"/>
              <w:textAlignment w:val="auto"/>
              <w:rPr>
                <w:rFonts w:hint="eastAsia" w:cs="宋体"/>
                <w:color w:val="auto"/>
                <w:lang w:eastAsia="zh-CN"/>
              </w:rPr>
            </w:pPr>
            <w:r>
              <w:rPr>
                <w:rFonts w:hint="eastAsia" w:ascii="Times New Roman" w:hAnsi="Times New Roman" w:eastAsia="宋体" w:cs="Times New Roman"/>
                <w:color w:val="auto"/>
                <w:lang w:val="en-US" w:eastAsia="zh-CN"/>
              </w:rPr>
              <w:t>本项目外购骨架、表皮在包覆前需喷胶、加热，喷胶位于独立密闭喷胶房内，设置</w:t>
            </w:r>
            <w:r>
              <w:rPr>
                <w:rFonts w:hint="eastAsia" w:cs="Times New Roman"/>
                <w:color w:val="auto"/>
                <w:lang w:val="en-US" w:eastAsia="zh-CN"/>
              </w:rPr>
              <w:t>4</w:t>
            </w:r>
            <w:r>
              <w:rPr>
                <w:rFonts w:hint="eastAsia" w:ascii="Times New Roman" w:hAnsi="Times New Roman" w:eastAsia="宋体" w:cs="Times New Roman"/>
                <w:color w:val="auto"/>
                <w:lang w:val="en-US" w:eastAsia="zh-CN"/>
              </w:rPr>
              <w:t>个喷胶工位。三面围挡，顶设集气罩，根据企业生产经验，喷胶过程产品附着率为70%，剩余 30%以胶雾形式逸散，喷胶位于三面封闭的喷胶工位内，收集效率按照 90%计，则27%胶雾被收集，3%</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沉降于工位内。年喷胶量为</w:t>
            </w:r>
            <w:r>
              <w:rPr>
                <w:rFonts w:hint="eastAsia" w:cs="Times New Roman"/>
                <w:color w:val="auto"/>
                <w:lang w:val="en-US" w:eastAsia="zh-CN"/>
              </w:rPr>
              <w:t>38.13</w:t>
            </w:r>
            <w:r>
              <w:rPr>
                <w:rFonts w:hint="eastAsia" w:ascii="Times New Roman" w:hAnsi="Times New Roman" w:eastAsia="宋体" w:cs="Times New Roman"/>
                <w:color w:val="auto"/>
                <w:lang w:val="en-US" w:eastAsia="zh-CN"/>
              </w:rPr>
              <w:t>t</w:t>
            </w:r>
            <w:r>
              <w:rPr>
                <w:rFonts w:hint="eastAsia" w:cs="Times New Roman"/>
                <w:color w:val="auto"/>
                <w:lang w:val="en-US" w:eastAsia="zh-CN"/>
              </w:rPr>
              <w:t>/a</w:t>
            </w:r>
            <w:r>
              <w:rPr>
                <w:rFonts w:hint="eastAsia" w:ascii="Times New Roman" w:hAnsi="Times New Roman" w:eastAsia="宋体" w:cs="Times New Roman"/>
                <w:color w:val="auto"/>
                <w:lang w:val="en-US" w:eastAsia="zh-CN"/>
              </w:rPr>
              <w:t>，</w:t>
            </w:r>
            <w:r>
              <w:rPr>
                <w:rFonts w:hint="eastAsia" w:cs="Times New Roman"/>
                <w:color w:val="auto"/>
                <w:lang w:val="en-US" w:eastAsia="zh-CN"/>
              </w:rPr>
              <w:t xml:space="preserve">26.69 </w:t>
            </w:r>
            <w:r>
              <w:rPr>
                <w:rFonts w:hint="eastAsia" w:ascii="Times New Roman" w:hAnsi="Times New Roman" w:eastAsia="宋体" w:cs="Times New Roman"/>
                <w:color w:val="auto"/>
                <w:lang w:val="en-US" w:eastAsia="zh-CN"/>
              </w:rPr>
              <w:t>t进入产品，10.3</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t被收集，</w:t>
            </w:r>
            <w:r>
              <w:rPr>
                <w:rFonts w:hint="eastAsia" w:cs="Times New Roman"/>
                <w:color w:val="auto"/>
                <w:lang w:val="en-US" w:eastAsia="zh-CN"/>
              </w:rPr>
              <w:t>1.14</w:t>
            </w:r>
            <w:r>
              <w:rPr>
                <w:rFonts w:hint="eastAsia" w:ascii="Times New Roman" w:hAnsi="Times New Roman" w:eastAsia="宋体" w:cs="Times New Roman"/>
                <w:color w:val="auto"/>
                <w:lang w:val="en-US" w:eastAsia="zh-CN"/>
              </w:rPr>
              <w:t>t沉降于工位。即用状态下胶水与固化剂质量配比为 200:11，固分含量占比为48.5~52.5%，水分含量为 47.5~51.5%，VOC 质量占比为 1~2%。本次环评固分、水分按照49%计算，VOC 按照最大值2%核算，10.3 t 被收集：胶雾固分 5.047t，水分 5.047t,VOC 0.206 t。固分和水分经过滤棉过滤吸收，VOC 经二级活性炭吸附装置处理，去除效率为 90%，VOC 有组织排放量为 0.0206t，最终经 15m排气筒(DA002)排放。沉降工位的废胶1.14t中未被收集 VOC 质量为 0.023t/a，无组织排放。</w:t>
            </w:r>
          </w:p>
          <w:p w14:paraId="7B3F1990">
            <w:pPr>
              <w:pStyle w:val="100"/>
              <w:keepNext w:val="0"/>
              <w:keepLines w:val="0"/>
              <w:pageBreakBefore w:val="0"/>
              <w:widowControl w:val="0"/>
              <w:kinsoku/>
              <w:wordWrap/>
              <w:overflowPunct/>
              <w:topLinePunct w:val="0"/>
              <w:bidi w:val="0"/>
              <w:snapToGrid/>
              <w:spacing w:line="360" w:lineRule="auto"/>
              <w:ind w:firstLine="480"/>
              <w:textAlignment w:val="auto"/>
              <w:rPr>
                <w:rFonts w:hint="eastAsia" w:cs="宋体"/>
                <w:color w:val="auto"/>
                <w:lang w:val="en-US" w:eastAsia="zh-CN"/>
              </w:rPr>
            </w:pPr>
            <w:r>
              <w:drawing>
                <wp:inline distT="0" distB="0" distL="114300" distR="114300">
                  <wp:extent cx="4625975" cy="3714115"/>
                  <wp:effectExtent l="0" t="0" r="3175" b="635"/>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7"/>
                          <a:stretch>
                            <a:fillRect/>
                          </a:stretch>
                        </pic:blipFill>
                        <pic:spPr>
                          <a:xfrm>
                            <a:off x="0" y="0"/>
                            <a:ext cx="4625975" cy="3714115"/>
                          </a:xfrm>
                          <a:prstGeom prst="rect">
                            <a:avLst/>
                          </a:prstGeom>
                          <a:noFill/>
                          <a:ln>
                            <a:noFill/>
                          </a:ln>
                        </pic:spPr>
                      </pic:pic>
                    </a:graphicData>
                  </a:graphic>
                </wp:inline>
              </w:drawing>
            </w:r>
          </w:p>
          <w:p w14:paraId="788B7D45">
            <w:pPr>
              <w:autoSpaceDE w:val="0"/>
              <w:autoSpaceDN w:val="0"/>
              <w:adjustRightInd w:val="0"/>
              <w:spacing w:line="360" w:lineRule="auto"/>
              <w:ind w:firstLine="482" w:firstLineChars="200"/>
              <w:rPr>
                <w:b/>
                <w:sz w:val="24"/>
              </w:rPr>
            </w:pPr>
            <w:r>
              <w:rPr>
                <w:rFonts w:hint="eastAsia"/>
                <w:b/>
                <w:sz w:val="24"/>
              </w:rPr>
              <w:t>6</w:t>
            </w:r>
            <w:r>
              <w:rPr>
                <w:b/>
                <w:sz w:val="24"/>
              </w:rPr>
              <w:t>、厂区平面布置</w:t>
            </w:r>
            <w:r>
              <w:rPr>
                <w:rFonts w:hint="eastAsia"/>
                <w:b/>
                <w:sz w:val="24"/>
              </w:rPr>
              <w:t>合理性</w:t>
            </w:r>
          </w:p>
          <w:p w14:paraId="0D183E7B">
            <w:pPr>
              <w:autoSpaceDE w:val="0"/>
              <w:autoSpaceDN w:val="0"/>
              <w:adjustRightInd w:val="0"/>
              <w:spacing w:line="360" w:lineRule="auto"/>
              <w:ind w:firstLine="480" w:firstLineChars="200"/>
              <w:rPr>
                <w:sz w:val="24"/>
              </w:rPr>
            </w:pPr>
            <w:r>
              <w:rPr>
                <w:rFonts w:hint="eastAsia"/>
                <w:sz w:val="24"/>
              </w:rPr>
              <w:t>本项目位于</w:t>
            </w:r>
            <w:r>
              <w:rPr>
                <w:rFonts w:hint="eastAsia"/>
                <w:sz w:val="24"/>
                <w:lang w:eastAsia="zh-CN"/>
              </w:rPr>
              <w:t>芜湖市鸠江经济开发区徽州路152号</w:t>
            </w:r>
            <w:r>
              <w:rPr>
                <w:rFonts w:hint="eastAsia"/>
                <w:sz w:val="24"/>
              </w:rPr>
              <w:t>，</w:t>
            </w:r>
            <w:r>
              <w:rPr>
                <w:rFonts w:hint="eastAsia" w:hAnsi="宋体"/>
                <w:kern w:val="24"/>
                <w:sz w:val="24"/>
              </w:rPr>
              <w:t>租赁</w:t>
            </w:r>
            <w:r>
              <w:rPr>
                <w:rFonts w:hint="eastAsia"/>
                <w:bCs/>
                <w:sz w:val="24"/>
                <w:lang w:eastAsia="zh-CN"/>
              </w:rPr>
              <w:t>芜湖市天意数码打印有限责任公司</w:t>
            </w:r>
            <w:r>
              <w:rPr>
                <w:rFonts w:hint="eastAsia" w:hAnsi="宋体"/>
                <w:color w:val="0D0D0D"/>
                <w:kern w:val="24"/>
                <w:sz w:val="24"/>
              </w:rPr>
              <w:t>厂房作生产车间，</w:t>
            </w:r>
            <w:r>
              <w:rPr>
                <w:rFonts w:hint="eastAsia"/>
                <w:sz w:val="24"/>
              </w:rPr>
              <w:t>内设</w:t>
            </w:r>
            <w:r>
              <w:rPr>
                <w:rFonts w:hint="eastAsia"/>
                <w:sz w:val="24"/>
                <w:lang w:eastAsia="zh-CN"/>
              </w:rPr>
              <w:t>吸塑</w:t>
            </w:r>
            <w:r>
              <w:rPr>
                <w:rFonts w:hint="eastAsia"/>
                <w:sz w:val="24"/>
              </w:rPr>
              <w:t>区、检测区、原料区、成品区、办公区等。</w:t>
            </w:r>
          </w:p>
          <w:p w14:paraId="3F88019C">
            <w:pPr>
              <w:autoSpaceDE w:val="0"/>
              <w:autoSpaceDN w:val="0"/>
              <w:adjustRightInd w:val="0"/>
              <w:spacing w:line="360" w:lineRule="auto"/>
              <w:ind w:firstLine="480" w:firstLineChars="200"/>
              <w:jc w:val="left"/>
              <w:rPr>
                <w:sz w:val="24"/>
              </w:rPr>
            </w:pPr>
            <w:r>
              <w:rPr>
                <w:sz w:val="24"/>
              </w:rPr>
              <w:t>从环保角度看，</w:t>
            </w:r>
            <w:r>
              <w:rPr>
                <w:rFonts w:hint="eastAsia"/>
                <w:sz w:val="24"/>
              </w:rPr>
              <w:t>将</w:t>
            </w:r>
            <w:r>
              <w:rPr>
                <w:sz w:val="24"/>
              </w:rPr>
              <w:t>噪声较大的</w:t>
            </w:r>
            <w:r>
              <w:rPr>
                <w:rFonts w:hint="eastAsia"/>
                <w:sz w:val="24"/>
                <w:lang w:eastAsia="zh-CN"/>
              </w:rPr>
              <w:t>吸塑</w:t>
            </w:r>
            <w:r>
              <w:rPr>
                <w:sz w:val="24"/>
              </w:rPr>
              <w:t>区位于厂房</w:t>
            </w:r>
            <w:r>
              <w:rPr>
                <w:rFonts w:hint="eastAsia"/>
                <w:sz w:val="24"/>
              </w:rPr>
              <w:t>东北</w:t>
            </w:r>
            <w:r>
              <w:rPr>
                <w:sz w:val="24"/>
              </w:rPr>
              <w:t>侧</w:t>
            </w:r>
            <w:r>
              <w:rPr>
                <w:rFonts w:hint="eastAsia"/>
                <w:sz w:val="24"/>
              </w:rPr>
              <w:t>，</w:t>
            </w:r>
            <w:r>
              <w:rPr>
                <w:sz w:val="24"/>
              </w:rPr>
              <w:t>减轻对厂界的噪声影响</w:t>
            </w:r>
            <w:r>
              <w:rPr>
                <w:rFonts w:hint="eastAsia"/>
                <w:sz w:val="24"/>
              </w:rPr>
              <w:t>及</w:t>
            </w:r>
            <w:r>
              <w:rPr>
                <w:sz w:val="24"/>
              </w:rPr>
              <w:t>与周边敏感点保持相对较远的距离，减轻废气对其影响</w:t>
            </w:r>
            <w:r>
              <w:rPr>
                <w:rFonts w:hint="eastAsia"/>
                <w:sz w:val="24"/>
              </w:rPr>
              <w:t>。</w:t>
            </w:r>
          </w:p>
          <w:p w14:paraId="2D93E223">
            <w:pPr>
              <w:autoSpaceDE w:val="0"/>
              <w:autoSpaceDN w:val="0"/>
              <w:adjustRightInd w:val="0"/>
              <w:spacing w:line="360" w:lineRule="auto"/>
              <w:ind w:firstLine="480" w:firstLineChars="200"/>
              <w:rPr>
                <w:color w:val="000000" w:themeColor="text1"/>
                <w:sz w:val="24"/>
                <w14:textFill>
                  <w14:solidFill>
                    <w14:schemeClr w14:val="tx1"/>
                  </w14:solidFill>
                </w14:textFill>
              </w:rPr>
            </w:pPr>
            <w:r>
              <w:rPr>
                <w:rFonts w:hint="eastAsia" w:hAnsi="宋体"/>
                <w:color w:val="0D0D0D"/>
                <w:kern w:val="24"/>
                <w:sz w:val="24"/>
              </w:rPr>
              <w:t>项目厂房东侧为</w:t>
            </w:r>
            <w:r>
              <w:rPr>
                <w:rFonts w:hint="eastAsia" w:hAnsi="宋体"/>
                <w:color w:val="0D0D0D"/>
                <w:kern w:val="24"/>
                <w:sz w:val="24"/>
                <w:lang w:eastAsia="zh-CN"/>
              </w:rPr>
              <w:t>芜湖市天意数码打印有限责任公司</w:t>
            </w:r>
            <w:r>
              <w:rPr>
                <w:rFonts w:hint="eastAsia" w:hAnsi="宋体"/>
                <w:color w:val="0D0D0D"/>
                <w:kern w:val="24"/>
                <w:sz w:val="24"/>
              </w:rPr>
              <w:t>，厂区南侧为纬二次路，路对侧为空地；厂房西侧为芜湖安鑫机动车检测服务有限公司，厂房北侧为芜湖文壹金属制品有限公司，项目地理位置优越，交通便利</w:t>
            </w:r>
            <w:r>
              <w:rPr>
                <w:rFonts w:hint="eastAsia"/>
                <w:color w:val="000000" w:themeColor="text1"/>
                <w:sz w:val="24"/>
                <w14:textFill>
                  <w14:solidFill>
                    <w14:schemeClr w14:val="tx1"/>
                  </w14:solidFill>
                </w14:textFill>
              </w:rPr>
              <w:t>。</w:t>
            </w:r>
            <w:r>
              <w:rPr>
                <w:rFonts w:hint="eastAsia"/>
                <w:color w:val="0D0D0D" w:themeColor="text1" w:themeTint="F2"/>
                <w:kern w:val="24"/>
                <w:sz w:val="24"/>
                <w14:textFill>
                  <w14:solidFill>
                    <w14:schemeClr w14:val="tx1">
                      <w14:lumMod w14:val="95000"/>
                      <w14:lumOff w14:val="5000"/>
                    </w14:schemeClr>
                  </w14:solidFill>
                </w14:textFill>
              </w:rPr>
              <w:t>项目平面布置详见附图3。</w:t>
            </w:r>
          </w:p>
          <w:p w14:paraId="28C6D3D9">
            <w:pPr>
              <w:autoSpaceDE w:val="0"/>
              <w:autoSpaceDN w:val="0"/>
              <w:adjustRightInd w:val="0"/>
              <w:spacing w:line="360" w:lineRule="auto"/>
              <w:ind w:firstLine="480" w:firstLineChars="200"/>
              <w:rPr>
                <w:sz w:val="24"/>
              </w:rPr>
            </w:pPr>
            <w:r>
              <w:rPr>
                <w:rFonts w:hint="eastAsia"/>
                <w:color w:val="000000" w:themeColor="text1"/>
                <w:sz w:val="24"/>
                <w14:textFill>
                  <w14:solidFill>
                    <w14:schemeClr w14:val="tx1"/>
                  </w14:solidFill>
                </w14:textFill>
              </w:rPr>
              <w:t>综上分析，项目总平面布局基本合理。</w:t>
            </w:r>
          </w:p>
          <w:p w14:paraId="6F2E7014">
            <w:pPr>
              <w:spacing w:line="360" w:lineRule="auto"/>
              <w:ind w:firstLine="480"/>
              <w:rPr>
                <w:sz w:val="24"/>
              </w:rPr>
            </w:pPr>
            <w:r>
              <w:rPr>
                <w:b/>
                <w:kern w:val="0"/>
                <w:sz w:val="24"/>
              </w:rPr>
              <w:t>7</w:t>
            </w:r>
            <w:r>
              <w:rPr>
                <w:rFonts w:hint="eastAsia"/>
                <w:b/>
                <w:kern w:val="0"/>
                <w:sz w:val="24"/>
              </w:rPr>
              <w:t>、公用工程</w:t>
            </w:r>
          </w:p>
          <w:p w14:paraId="31AA1563">
            <w:pPr>
              <w:autoSpaceDE w:val="0"/>
              <w:autoSpaceDN w:val="0"/>
              <w:adjustRightInd w:val="0"/>
              <w:spacing w:line="360" w:lineRule="auto"/>
              <w:ind w:firstLine="480" w:firstLineChars="200"/>
              <w:rPr>
                <w:kern w:val="0"/>
                <w:sz w:val="24"/>
              </w:rPr>
            </w:pPr>
            <w:r>
              <w:rPr>
                <w:kern w:val="0"/>
                <w:sz w:val="24"/>
              </w:rPr>
              <w:t>（1）供水</w:t>
            </w:r>
          </w:p>
          <w:p w14:paraId="49C9AE73">
            <w:pPr>
              <w:spacing w:line="360" w:lineRule="auto"/>
              <w:ind w:firstLine="480" w:firstLineChars="200"/>
              <w:rPr>
                <w:kern w:val="0"/>
                <w:sz w:val="24"/>
              </w:rPr>
            </w:pPr>
            <w:r>
              <w:rPr>
                <w:kern w:val="0"/>
                <w:sz w:val="24"/>
              </w:rPr>
              <w:t>本项目运营期用水</w:t>
            </w:r>
            <w:r>
              <w:rPr>
                <w:rFonts w:hint="eastAsia"/>
                <w:kern w:val="0"/>
                <w:sz w:val="24"/>
              </w:rPr>
              <w:t>主要为员工</w:t>
            </w:r>
            <w:r>
              <w:rPr>
                <w:kern w:val="0"/>
                <w:sz w:val="24"/>
              </w:rPr>
              <w:t>生活用水</w:t>
            </w:r>
            <w:r>
              <w:rPr>
                <w:rFonts w:hint="eastAsia"/>
                <w:kern w:val="0"/>
                <w:sz w:val="24"/>
              </w:rPr>
              <w:t>。</w:t>
            </w:r>
          </w:p>
          <w:p w14:paraId="32A657AE">
            <w:pPr>
              <w:spacing w:line="360" w:lineRule="auto"/>
              <w:ind w:firstLine="480" w:firstLineChars="200"/>
              <w:rPr>
                <w:rFonts w:hint="eastAsia" w:eastAsia="宋体"/>
                <w:sz w:val="24"/>
                <w:lang w:eastAsia="zh-CN"/>
              </w:rPr>
            </w:pPr>
            <w:r>
              <w:rPr>
                <w:rFonts w:hint="eastAsia"/>
                <w:sz w:val="24"/>
              </w:rPr>
              <w:t>生活用水</w:t>
            </w:r>
            <w:r>
              <w:rPr>
                <w:rFonts w:hint="eastAsia"/>
                <w:sz w:val="24"/>
                <w:lang w:eastAsia="zh-CN"/>
              </w:rPr>
              <w:t>：</w:t>
            </w:r>
          </w:p>
          <w:p w14:paraId="6A4F67F9">
            <w:pPr>
              <w:spacing w:line="360" w:lineRule="auto"/>
              <w:ind w:firstLine="480" w:firstLineChars="200"/>
              <w:rPr>
                <w:sz w:val="24"/>
              </w:rPr>
            </w:pPr>
            <w:r>
              <w:rPr>
                <w:rFonts w:hint="eastAsia"/>
                <w:sz w:val="24"/>
              </w:rPr>
              <w:t>本</w:t>
            </w:r>
            <w:r>
              <w:rPr>
                <w:sz w:val="24"/>
              </w:rPr>
              <w:t>项目</w:t>
            </w:r>
            <w:r>
              <w:rPr>
                <w:rFonts w:hint="eastAsia"/>
                <w:sz w:val="24"/>
              </w:rPr>
              <w:t>劳动定员</w:t>
            </w:r>
            <w:r>
              <w:rPr>
                <w:rFonts w:hint="eastAsia"/>
                <w:sz w:val="24"/>
                <w:lang w:val="en-US" w:eastAsia="zh-CN"/>
              </w:rPr>
              <w:t>50</w:t>
            </w:r>
            <w:r>
              <w:rPr>
                <w:sz w:val="24"/>
              </w:rPr>
              <w:t>人，</w:t>
            </w:r>
            <w:r>
              <w:rPr>
                <w:rFonts w:hint="eastAsia"/>
                <w:sz w:val="24"/>
              </w:rPr>
              <w:t>无</w:t>
            </w:r>
            <w:r>
              <w:rPr>
                <w:sz w:val="24"/>
              </w:rPr>
              <w:t>住宿人员，年工作时间30</w:t>
            </w:r>
            <w:r>
              <w:rPr>
                <w:rFonts w:hint="eastAsia"/>
                <w:sz w:val="24"/>
              </w:rPr>
              <w:t>0</w:t>
            </w:r>
            <w:r>
              <w:rPr>
                <w:sz w:val="24"/>
              </w:rPr>
              <w:t>天。非住宿人员用水量按照50</w:t>
            </w:r>
            <w:r>
              <w:rPr>
                <w:rFonts w:hint="eastAsia"/>
                <w:sz w:val="24"/>
              </w:rPr>
              <w:t xml:space="preserve"> </w:t>
            </w:r>
            <w:r>
              <w:rPr>
                <w:sz w:val="24"/>
              </w:rPr>
              <w:t>L/人·d</w:t>
            </w:r>
            <w:r>
              <w:rPr>
                <w:rFonts w:hint="eastAsia"/>
                <w:sz w:val="24"/>
              </w:rPr>
              <w:t>计算</w:t>
            </w:r>
            <w:r>
              <w:rPr>
                <w:sz w:val="24"/>
              </w:rPr>
              <w:t>，则</w:t>
            </w:r>
            <w:r>
              <w:rPr>
                <w:rFonts w:hint="eastAsia"/>
                <w:sz w:val="24"/>
              </w:rPr>
              <w:t>本</w:t>
            </w:r>
            <w:r>
              <w:rPr>
                <w:sz w:val="24"/>
              </w:rPr>
              <w:t>项目生活用水量为</w:t>
            </w:r>
            <w:r>
              <w:rPr>
                <w:rFonts w:hint="eastAsia"/>
                <w:sz w:val="24"/>
                <w:lang w:val="en-US" w:eastAsia="zh-CN"/>
              </w:rPr>
              <w:t>2.5</w:t>
            </w:r>
            <w:r>
              <w:rPr>
                <w:sz w:val="24"/>
              </w:rPr>
              <w:t xml:space="preserve"> m</w:t>
            </w:r>
            <w:r>
              <w:rPr>
                <w:sz w:val="24"/>
                <w:vertAlign w:val="superscript"/>
              </w:rPr>
              <w:t>3</w:t>
            </w:r>
            <w:r>
              <w:rPr>
                <w:sz w:val="24"/>
              </w:rPr>
              <w:t>/d（</w:t>
            </w:r>
            <w:r>
              <w:rPr>
                <w:rFonts w:hint="eastAsia"/>
                <w:sz w:val="24"/>
                <w:lang w:val="en-US" w:eastAsia="zh-CN"/>
              </w:rPr>
              <w:t>750</w:t>
            </w:r>
            <w:r>
              <w:rPr>
                <w:sz w:val="24"/>
              </w:rPr>
              <w:t xml:space="preserve"> m</w:t>
            </w:r>
            <w:r>
              <w:rPr>
                <w:sz w:val="24"/>
                <w:vertAlign w:val="superscript"/>
              </w:rPr>
              <w:t>3</w:t>
            </w:r>
            <w:r>
              <w:rPr>
                <w:sz w:val="24"/>
              </w:rPr>
              <w:t>/a）。生活污水产生量按照用水量的80%计算，则</w:t>
            </w:r>
            <w:r>
              <w:rPr>
                <w:rFonts w:hint="eastAsia"/>
                <w:sz w:val="24"/>
              </w:rPr>
              <w:t>本项目</w:t>
            </w:r>
            <w:r>
              <w:rPr>
                <w:sz w:val="24"/>
              </w:rPr>
              <w:t>生活污水量为</w:t>
            </w:r>
            <w:r>
              <w:rPr>
                <w:rFonts w:hint="eastAsia"/>
                <w:sz w:val="24"/>
                <w:lang w:val="en-US" w:eastAsia="zh-CN"/>
              </w:rPr>
              <w:t>2</w:t>
            </w:r>
            <w:r>
              <w:rPr>
                <w:rFonts w:hint="eastAsia"/>
                <w:sz w:val="24"/>
              </w:rPr>
              <w:t xml:space="preserve"> </w:t>
            </w:r>
            <w:r>
              <w:rPr>
                <w:sz w:val="24"/>
              </w:rPr>
              <w:t>m</w:t>
            </w:r>
            <w:r>
              <w:rPr>
                <w:sz w:val="24"/>
                <w:vertAlign w:val="superscript"/>
              </w:rPr>
              <w:t>3</w:t>
            </w:r>
            <w:r>
              <w:rPr>
                <w:sz w:val="24"/>
              </w:rPr>
              <w:t>/d（</w:t>
            </w:r>
            <w:r>
              <w:rPr>
                <w:rFonts w:hint="eastAsia"/>
                <w:sz w:val="24"/>
                <w:lang w:val="en-US" w:eastAsia="zh-CN"/>
              </w:rPr>
              <w:t>600</w:t>
            </w:r>
            <w:r>
              <w:rPr>
                <w:sz w:val="24"/>
              </w:rPr>
              <w:t>m</w:t>
            </w:r>
            <w:r>
              <w:rPr>
                <w:sz w:val="24"/>
                <w:vertAlign w:val="superscript"/>
              </w:rPr>
              <w:t>3</w:t>
            </w:r>
            <w:r>
              <w:rPr>
                <w:sz w:val="24"/>
              </w:rPr>
              <w:t>/</w:t>
            </w:r>
            <w:r>
              <w:rPr>
                <w:b/>
                <w:bCs/>
                <w:sz w:val="24"/>
              </w:rPr>
              <w:t xml:space="preserve"> </w:t>
            </w:r>
            <w:r>
              <w:rPr>
                <w:sz w:val="24"/>
              </w:rPr>
              <w:t>a）。</w:t>
            </w:r>
          </w:p>
          <w:p w14:paraId="6282185C">
            <w:pPr>
              <w:keepNext w:val="0"/>
              <w:keepLines w:val="0"/>
              <w:pageBreakBefore w:val="0"/>
              <w:widowControl w:val="0"/>
              <w:wordWrap/>
              <w:topLinePunct w:val="0"/>
              <w:bidi w:val="0"/>
              <w:snapToGrid/>
              <w:spacing w:line="360" w:lineRule="auto"/>
              <w:ind w:firstLine="480" w:firstLineChars="200"/>
              <w:textAlignment w:val="auto"/>
              <w:rPr>
                <w:rFonts w:hint="eastAsia"/>
                <w:sz w:val="24"/>
              </w:rPr>
            </w:pPr>
            <w:r>
              <w:rPr>
                <w:rFonts w:hint="eastAsia"/>
                <w:sz w:val="24"/>
              </w:rPr>
              <w:t>项目水平衡图见下图。</w:t>
            </w:r>
          </w:p>
          <w:p w14:paraId="38D067BA">
            <w:pPr>
              <w:keepNext w:val="0"/>
              <w:keepLines w:val="0"/>
              <w:pageBreakBefore w:val="0"/>
              <w:widowControl w:val="0"/>
              <w:wordWrap/>
              <w:topLinePunct w:val="0"/>
              <w:bidi w:val="0"/>
              <w:snapToGrid/>
              <w:spacing w:line="360" w:lineRule="auto"/>
              <w:ind w:firstLine="480" w:firstLineChars="200"/>
              <w:textAlignment w:val="auto"/>
              <w:rPr>
                <w:rFonts w:hint="eastAsia" w:eastAsia="宋体"/>
                <w:sz w:val="24"/>
                <w:lang w:eastAsia="zh-CN"/>
              </w:rPr>
            </w:pPr>
            <w:r>
              <w:rPr>
                <w:rFonts w:hint="eastAsia" w:eastAsia="宋体"/>
                <w:sz w:val="24"/>
                <w:lang w:eastAsia="zh-CN"/>
              </w:rPr>
              <w:object>
                <v:shape id="_x0000_i1025" o:spt="75" type="#_x0000_t75" style="height:122.65pt;width:389.65pt;" o:ole="t" filled="f" o:preferrelative="t" stroked="f" coordsize="21600,21600">
                  <v:path/>
                  <v:fill on="f" focussize="0,0"/>
                  <v:stroke on="f"/>
                  <v:imagedata r:id="rId9" o:title=""/>
                  <o:lock v:ext="edit" aspectratio="t"/>
                  <w10:wrap type="none"/>
                  <w10:anchorlock/>
                </v:shape>
                <o:OLEObject Type="Embed" ProgID="Visio.Drawing.15" ShapeID="_x0000_i1025" DrawAspect="Content" ObjectID="_1468075725" r:id="rId8">
                  <o:LockedField>false</o:LockedField>
                </o:OLEObject>
              </w:object>
            </w:r>
          </w:p>
          <w:p w14:paraId="62B9E58B">
            <w:pPr>
              <w:spacing w:line="360" w:lineRule="auto"/>
              <w:jc w:val="center"/>
              <w:rPr>
                <w:sz w:val="24"/>
              </w:rPr>
            </w:pPr>
          </w:p>
          <w:p w14:paraId="163C1D88">
            <w:pPr>
              <w:spacing w:line="360" w:lineRule="auto"/>
              <w:jc w:val="center"/>
              <w:rPr>
                <w:b/>
                <w:bCs/>
                <w:sz w:val="24"/>
              </w:rPr>
            </w:pPr>
            <w:r>
              <w:rPr>
                <w:rFonts w:hint="eastAsia"/>
                <w:b/>
                <w:bCs/>
                <w:sz w:val="24"/>
              </w:rPr>
              <w:t>图</w:t>
            </w:r>
            <w:r>
              <w:rPr>
                <w:b/>
                <w:bCs/>
                <w:sz w:val="24"/>
              </w:rPr>
              <w:t>2</w:t>
            </w:r>
            <w:r>
              <w:rPr>
                <w:rFonts w:hint="eastAsia"/>
                <w:b/>
                <w:bCs/>
                <w:sz w:val="24"/>
              </w:rPr>
              <w:t>-1</w:t>
            </w:r>
            <w:r>
              <w:rPr>
                <w:b/>
                <w:bCs/>
                <w:sz w:val="24"/>
              </w:rPr>
              <w:t xml:space="preserve"> </w:t>
            </w:r>
            <w:r>
              <w:rPr>
                <w:rFonts w:hint="eastAsia"/>
                <w:b/>
                <w:bCs/>
                <w:sz w:val="24"/>
              </w:rPr>
              <w:t>本项目水平衡图（</w:t>
            </w:r>
            <w:r>
              <w:rPr>
                <w:b/>
                <w:bCs/>
                <w:kern w:val="0"/>
                <w:sz w:val="24"/>
              </w:rPr>
              <w:t>m</w:t>
            </w:r>
            <w:r>
              <w:rPr>
                <w:b/>
                <w:bCs/>
                <w:kern w:val="0"/>
                <w:sz w:val="24"/>
                <w:vertAlign w:val="superscript"/>
              </w:rPr>
              <w:t>3</w:t>
            </w:r>
            <w:r>
              <w:rPr>
                <w:b/>
                <w:bCs/>
                <w:kern w:val="0"/>
                <w:sz w:val="24"/>
              </w:rPr>
              <w:t>/d</w:t>
            </w:r>
            <w:r>
              <w:rPr>
                <w:rFonts w:hint="eastAsia"/>
                <w:b/>
                <w:bCs/>
                <w:sz w:val="24"/>
              </w:rPr>
              <w:t>）</w:t>
            </w:r>
          </w:p>
          <w:p w14:paraId="79238CE3">
            <w:pPr>
              <w:autoSpaceDE w:val="0"/>
              <w:autoSpaceDN w:val="0"/>
              <w:adjustRightInd w:val="0"/>
              <w:spacing w:line="360" w:lineRule="auto"/>
              <w:ind w:firstLine="480" w:firstLineChars="200"/>
              <w:rPr>
                <w:kern w:val="0"/>
                <w:sz w:val="24"/>
              </w:rPr>
            </w:pPr>
            <w:r>
              <w:rPr>
                <w:kern w:val="0"/>
                <w:sz w:val="24"/>
              </w:rPr>
              <w:t>（2）排水</w:t>
            </w:r>
          </w:p>
          <w:p w14:paraId="42DF1864">
            <w:pPr>
              <w:autoSpaceDE w:val="0"/>
              <w:autoSpaceDN w:val="0"/>
              <w:adjustRightInd w:val="0"/>
              <w:spacing w:line="360" w:lineRule="auto"/>
              <w:ind w:firstLine="480" w:firstLineChars="200"/>
              <w:rPr>
                <w:kern w:val="0"/>
                <w:sz w:val="24"/>
              </w:rPr>
            </w:pPr>
            <w:r>
              <w:rPr>
                <w:rFonts w:hint="eastAsia"/>
                <w:kern w:val="0"/>
                <w:sz w:val="24"/>
              </w:rPr>
              <w:t>采用雨污分流制。厂区雨水收集后排入开发区雨水管网；生活污水经化粪池处理后排入市政污水管网，汇入芜湖市城东污水处理厂集中处理，尾水达标排入青弋江</w:t>
            </w:r>
            <w:r>
              <w:rPr>
                <w:kern w:val="0"/>
                <w:sz w:val="24"/>
              </w:rPr>
              <w:t>。</w:t>
            </w:r>
          </w:p>
          <w:p w14:paraId="21E36930">
            <w:pPr>
              <w:autoSpaceDE w:val="0"/>
              <w:autoSpaceDN w:val="0"/>
              <w:adjustRightInd w:val="0"/>
              <w:spacing w:line="360" w:lineRule="auto"/>
              <w:ind w:firstLine="480" w:firstLineChars="200"/>
              <w:rPr>
                <w:kern w:val="0"/>
                <w:sz w:val="24"/>
              </w:rPr>
            </w:pPr>
            <w:r>
              <w:rPr>
                <w:kern w:val="0"/>
                <w:sz w:val="24"/>
              </w:rPr>
              <w:t>（3）供电</w:t>
            </w:r>
          </w:p>
          <w:p w14:paraId="0C7448B7">
            <w:pPr>
              <w:autoSpaceDE w:val="0"/>
              <w:autoSpaceDN w:val="0"/>
              <w:adjustRightInd w:val="0"/>
              <w:spacing w:line="360" w:lineRule="auto"/>
              <w:ind w:firstLine="480" w:firstLineChars="200"/>
              <w:rPr>
                <w:sz w:val="24"/>
              </w:rPr>
            </w:pPr>
            <w:r>
              <w:rPr>
                <w:kern w:val="0"/>
                <w:sz w:val="24"/>
              </w:rPr>
              <w:t>引自</w:t>
            </w:r>
            <w:r>
              <w:rPr>
                <w:rFonts w:hint="eastAsia"/>
                <w:kern w:val="0"/>
                <w:sz w:val="24"/>
              </w:rPr>
              <w:t>市政</w:t>
            </w:r>
            <w:r>
              <w:rPr>
                <w:kern w:val="0"/>
                <w:sz w:val="24"/>
              </w:rPr>
              <w:t>供电网，</w:t>
            </w:r>
            <w:r>
              <w:rPr>
                <w:rFonts w:hint="eastAsia"/>
                <w:kern w:val="0"/>
                <w:sz w:val="24"/>
              </w:rPr>
              <w:t>本</w:t>
            </w:r>
            <w:r>
              <w:rPr>
                <w:kern w:val="0"/>
                <w:sz w:val="24"/>
              </w:rPr>
              <w:t>项目年用电量共</w:t>
            </w:r>
            <w:r>
              <w:rPr>
                <w:rFonts w:hint="eastAsia"/>
                <w:kern w:val="0"/>
                <w:sz w:val="24"/>
              </w:rPr>
              <w:t>11</w:t>
            </w:r>
            <w:r>
              <w:rPr>
                <w:kern w:val="0"/>
                <w:sz w:val="24"/>
              </w:rPr>
              <w:t>0万</w:t>
            </w:r>
            <w:r>
              <w:rPr>
                <w:rFonts w:hint="eastAsia"/>
                <w:kern w:val="0"/>
                <w:sz w:val="24"/>
              </w:rPr>
              <w:t>千瓦时。</w:t>
            </w:r>
          </w:p>
          <w:p w14:paraId="5D9FF5AF">
            <w:pPr>
              <w:adjustRightInd w:val="0"/>
              <w:snapToGrid w:val="0"/>
              <w:spacing w:line="360" w:lineRule="auto"/>
              <w:ind w:firstLine="482" w:firstLineChars="200"/>
              <w:rPr>
                <w:b/>
                <w:sz w:val="24"/>
              </w:rPr>
            </w:pPr>
            <w:r>
              <w:rPr>
                <w:rFonts w:hint="eastAsia"/>
                <w:b/>
                <w:sz w:val="24"/>
              </w:rPr>
              <w:t>8</w:t>
            </w:r>
            <w:r>
              <w:rPr>
                <w:b/>
                <w:sz w:val="24"/>
              </w:rPr>
              <w:t>、</w:t>
            </w:r>
            <w:r>
              <w:rPr>
                <w:rFonts w:hint="eastAsia"/>
                <w:b/>
                <w:sz w:val="24"/>
              </w:rPr>
              <w:t>生产制度和劳动定员</w:t>
            </w:r>
          </w:p>
          <w:p w14:paraId="5DF75E49">
            <w:pPr>
              <w:adjustRightInd w:val="0"/>
              <w:snapToGrid w:val="0"/>
              <w:spacing w:line="360" w:lineRule="auto"/>
              <w:ind w:firstLine="480" w:firstLineChars="200"/>
              <w:rPr>
                <w:sz w:val="24"/>
              </w:rPr>
            </w:pPr>
            <w:r>
              <w:rPr>
                <w:rFonts w:hint="eastAsia"/>
                <w:sz w:val="24"/>
              </w:rPr>
              <w:t>劳动定员</w:t>
            </w:r>
            <w:r>
              <w:rPr>
                <w:sz w:val="24"/>
              </w:rPr>
              <w:t>：本项目劳动定员</w:t>
            </w:r>
            <w:r>
              <w:rPr>
                <w:rFonts w:hint="eastAsia"/>
                <w:sz w:val="24"/>
                <w:lang w:val="en-US" w:eastAsia="zh-CN"/>
              </w:rPr>
              <w:t>50</w:t>
            </w:r>
            <w:r>
              <w:rPr>
                <w:sz w:val="24"/>
              </w:rPr>
              <w:t>人</w:t>
            </w:r>
            <w:r>
              <w:rPr>
                <w:rFonts w:hint="eastAsia"/>
              </w:rPr>
              <w:t>，</w:t>
            </w:r>
            <w:r>
              <w:rPr>
                <w:rFonts w:hint="eastAsia"/>
                <w:sz w:val="24"/>
              </w:rPr>
              <w:t>厂内无食宿</w:t>
            </w:r>
            <w:r>
              <w:rPr>
                <w:sz w:val="24"/>
              </w:rPr>
              <w:t>。</w:t>
            </w:r>
          </w:p>
          <w:p w14:paraId="31188BE1">
            <w:pPr>
              <w:adjustRightInd w:val="0"/>
              <w:snapToGrid w:val="0"/>
              <w:spacing w:line="360" w:lineRule="auto"/>
              <w:ind w:firstLine="480" w:firstLineChars="200"/>
            </w:pPr>
            <w:r>
              <w:rPr>
                <w:sz w:val="24"/>
              </w:rPr>
              <w:t>工作制度：</w:t>
            </w:r>
            <w:r>
              <w:rPr>
                <w:rFonts w:hint="eastAsia"/>
                <w:sz w:val="24"/>
              </w:rPr>
              <w:t>实行两班制生产，白班8:00-16:00，晚班16:00-24:00</w:t>
            </w:r>
            <w:r>
              <w:rPr>
                <w:sz w:val="24"/>
              </w:rPr>
              <w:t>，年工作</w:t>
            </w:r>
            <w:r>
              <w:rPr>
                <w:rFonts w:hint="eastAsia"/>
                <w:sz w:val="24"/>
              </w:rPr>
              <w:t>300</w:t>
            </w:r>
            <w:r>
              <w:rPr>
                <w:sz w:val="24"/>
              </w:rPr>
              <w:t>天，</w:t>
            </w:r>
            <w:r>
              <w:rPr>
                <w:rFonts w:hint="eastAsia"/>
                <w:sz w:val="24"/>
              </w:rPr>
              <w:t>即4800</w:t>
            </w:r>
            <w:r>
              <w:rPr>
                <w:sz w:val="24"/>
              </w:rPr>
              <w:t>h。</w:t>
            </w:r>
          </w:p>
        </w:tc>
      </w:tr>
      <w:tr w14:paraId="16C149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0" w:hRule="atLeast"/>
          <w:jc w:val="center"/>
        </w:trPr>
        <w:tc>
          <w:tcPr>
            <w:tcW w:w="447" w:type="dxa"/>
            <w:tcBorders>
              <w:tl2br w:val="nil"/>
              <w:tr2bl w:val="nil"/>
            </w:tcBorders>
            <w:vAlign w:val="center"/>
          </w:tcPr>
          <w:p w14:paraId="652B368B">
            <w:pPr>
              <w:pStyle w:val="27"/>
              <w:adjustRightInd w:val="0"/>
              <w:snapToGrid w:val="0"/>
              <w:spacing w:before="0" w:beforeAutospacing="0" w:after="0" w:afterAutospacing="0"/>
              <w:jc w:val="center"/>
              <w:rPr>
                <w:rFonts w:ascii="Times New Roman" w:hAnsi="Times New Roman"/>
                <w:sz w:val="21"/>
                <w:szCs w:val="21"/>
              </w:rPr>
            </w:pPr>
            <w:r>
              <w:rPr>
                <w:rFonts w:ascii="Times New Roman" w:hAnsi="Times New Roman"/>
                <w:szCs w:val="24"/>
              </w:rPr>
              <w:t>工艺流程和产排污环节</w:t>
            </w:r>
          </w:p>
        </w:tc>
        <w:tc>
          <w:tcPr>
            <w:tcW w:w="8613" w:type="dxa"/>
            <w:tcBorders>
              <w:tl2br w:val="nil"/>
              <w:tr2bl w:val="nil"/>
            </w:tcBorders>
          </w:tcPr>
          <w:p w14:paraId="5F94A077">
            <w:pPr>
              <w:numPr>
                <w:ilvl w:val="0"/>
                <w:numId w:val="6"/>
              </w:numPr>
              <w:spacing w:before="120" w:beforeLines="50" w:line="360" w:lineRule="auto"/>
              <w:ind w:firstLine="482" w:firstLineChars="200"/>
              <w:rPr>
                <w:b/>
                <w:bCs/>
                <w:sz w:val="24"/>
              </w:rPr>
            </w:pPr>
            <w:r>
              <w:rPr>
                <w:rFonts w:hint="eastAsia"/>
                <w:b/>
                <w:bCs/>
                <w:sz w:val="24"/>
              </w:rPr>
              <w:t>施工期</w:t>
            </w:r>
          </w:p>
          <w:p w14:paraId="6CBBE47F">
            <w:pPr>
              <w:spacing w:before="120" w:beforeLines="50" w:line="360" w:lineRule="auto"/>
              <w:ind w:firstLine="480" w:firstLineChars="200"/>
              <w:rPr>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本项目位于安徽省</w:t>
            </w:r>
            <w:r>
              <w:rPr>
                <w:rFonts w:hint="eastAsia" w:cs="宋体"/>
                <w:color w:val="000000" w:themeColor="text1"/>
                <w:sz w:val="24"/>
                <w:lang w:eastAsia="zh-CN"/>
                <w14:textFill>
                  <w14:solidFill>
                    <w14:schemeClr w14:val="tx1"/>
                  </w14:solidFill>
                </w14:textFill>
              </w:rPr>
              <w:t>芜湖市鸠江经济开发区徽州路152号</w:t>
            </w:r>
            <w:r>
              <w:rPr>
                <w:rFonts w:hint="eastAsia"/>
                <w:color w:val="000000" w:themeColor="text1"/>
                <w:sz w:val="24"/>
                <w14:textFill>
                  <w14:solidFill>
                    <w14:schemeClr w14:val="tx1"/>
                  </w14:solidFill>
                </w14:textFill>
              </w:rPr>
              <w:t>。项目无土方开挖、结构、装饰等施工期作业，施工期污染物主要为设备安装时期施工人员产生的少量生活污水和生活垃圾等，故本次评价对施工期环境影响不做分析。</w:t>
            </w:r>
          </w:p>
          <w:p w14:paraId="78251049">
            <w:pPr>
              <w:spacing w:before="120" w:beforeLines="50" w:line="360" w:lineRule="auto"/>
              <w:ind w:firstLine="482" w:firstLineChars="200"/>
              <w:rPr>
                <w:b/>
                <w:bCs/>
                <w:sz w:val="24"/>
              </w:rPr>
            </w:pPr>
            <w:r>
              <w:rPr>
                <w:rFonts w:hint="eastAsia"/>
                <w:b/>
                <w:bCs/>
                <w:sz w:val="24"/>
              </w:rPr>
              <w:t>二、运营期</w:t>
            </w:r>
          </w:p>
          <w:p w14:paraId="7E46C299">
            <w:pPr>
              <w:spacing w:before="120" w:beforeLines="50" w:line="360" w:lineRule="auto"/>
              <w:ind w:firstLine="480" w:firstLineChars="200"/>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具体</w:t>
            </w:r>
            <w:r>
              <w:rPr>
                <w:rFonts w:hint="eastAsia" w:ascii="Times New Roman" w:hAnsi="Times New Roman" w:eastAsia="宋体" w:cs="Times New Roman"/>
                <w:color w:val="000000" w:themeColor="text1"/>
                <w:sz w:val="24"/>
                <w:lang w:val="zh-CN"/>
                <w14:textFill>
                  <w14:solidFill>
                    <w14:schemeClr w14:val="tx1"/>
                  </w14:solidFill>
                </w14:textFill>
              </w:rPr>
              <w:t>生产工艺流程及产污环节</w:t>
            </w:r>
            <w:r>
              <w:rPr>
                <w:rFonts w:hint="eastAsia" w:ascii="Times New Roman" w:hAnsi="Times New Roman" w:eastAsia="宋体" w:cs="Times New Roman"/>
                <w:color w:val="000000" w:themeColor="text1"/>
                <w:sz w:val="24"/>
                <w14:textFill>
                  <w14:solidFill>
                    <w14:schemeClr w14:val="tx1"/>
                  </w14:solidFill>
                </w14:textFill>
              </w:rPr>
              <w:t>如下图所示：</w:t>
            </w:r>
          </w:p>
          <w:p w14:paraId="7F15B5E1">
            <w:pPr>
              <w:spacing w:before="120" w:beforeLines="50" w:line="360" w:lineRule="auto"/>
              <w:ind w:firstLine="482" w:firstLineChars="200"/>
              <w:rPr>
                <w:rFonts w:hint="default"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1.中央扶手、中间饰板、门板扶手生产工艺</w:t>
            </w:r>
          </w:p>
          <w:p w14:paraId="574E4367">
            <w:pPr>
              <w:pStyle w:val="9"/>
              <w:ind w:firstLine="0" w:firstLineChars="0"/>
              <w:jc w:val="center"/>
              <w:rPr>
                <w:snapToGrid w:val="0"/>
                <w:kern w:val="0"/>
                <w:sz w:val="24"/>
              </w:rPr>
            </w:pPr>
            <w:r>
              <w:drawing>
                <wp:inline distT="0" distB="0" distL="114300" distR="114300">
                  <wp:extent cx="5326380" cy="4539615"/>
                  <wp:effectExtent l="0" t="0" r="7620" b="13335"/>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10"/>
                          <a:stretch>
                            <a:fillRect/>
                          </a:stretch>
                        </pic:blipFill>
                        <pic:spPr>
                          <a:xfrm>
                            <a:off x="0" y="0"/>
                            <a:ext cx="5326380" cy="4539615"/>
                          </a:xfrm>
                          <a:prstGeom prst="rect">
                            <a:avLst/>
                          </a:prstGeom>
                          <a:noFill/>
                          <a:ln>
                            <a:noFill/>
                          </a:ln>
                        </pic:spPr>
                      </pic:pic>
                    </a:graphicData>
                  </a:graphic>
                </wp:inline>
              </w:drawing>
            </w:r>
          </w:p>
          <w:p w14:paraId="60AB5014">
            <w:pPr>
              <w:pStyle w:val="9"/>
              <w:ind w:firstLine="482"/>
              <w:jc w:val="center"/>
              <w:rPr>
                <w:snapToGrid w:val="0"/>
                <w:kern w:val="0"/>
                <w:sz w:val="24"/>
              </w:rPr>
            </w:pPr>
            <w:r>
              <w:rPr>
                <w:b/>
                <w:bCs/>
                <w:sz w:val="24"/>
                <w:lang w:val="zh-CN"/>
              </w:rPr>
              <w:t>图</w:t>
            </w:r>
            <w:r>
              <w:rPr>
                <w:b/>
                <w:bCs/>
                <w:sz w:val="24"/>
              </w:rPr>
              <w:t>2-</w:t>
            </w:r>
            <w:r>
              <w:rPr>
                <w:rFonts w:hint="eastAsia"/>
                <w:b/>
                <w:bCs/>
                <w:sz w:val="24"/>
              </w:rPr>
              <w:t>2</w:t>
            </w:r>
            <w:r>
              <w:rPr>
                <w:b/>
                <w:bCs/>
                <w:sz w:val="24"/>
              </w:rPr>
              <w:t xml:space="preserve">  生产工艺流程</w:t>
            </w:r>
            <w:r>
              <w:rPr>
                <w:rFonts w:hint="eastAsia"/>
                <w:b/>
                <w:bCs/>
                <w:sz w:val="24"/>
              </w:rPr>
              <w:t>及产污节点图</w:t>
            </w:r>
          </w:p>
          <w:p w14:paraId="2F9D40B6">
            <w:pPr>
              <w:pStyle w:val="9"/>
              <w:ind w:firstLine="480"/>
              <w:jc w:val="center"/>
              <w:rPr>
                <w:snapToGrid w:val="0"/>
                <w:kern w:val="0"/>
                <w:sz w:val="24"/>
              </w:rPr>
            </w:pPr>
          </w:p>
          <w:p w14:paraId="6C9EE375">
            <w:pPr>
              <w:adjustRightInd w:val="0"/>
              <w:snapToGrid w:val="0"/>
              <w:spacing w:line="360" w:lineRule="auto"/>
              <w:ind w:firstLine="482" w:firstLineChars="200"/>
              <w:jc w:val="left"/>
            </w:pPr>
            <w:r>
              <w:rPr>
                <w:b/>
                <w:bCs/>
                <w:sz w:val="24"/>
                <w:lang w:val="zh-CN"/>
              </w:rPr>
              <w:t>生产工艺流程</w:t>
            </w:r>
            <w:r>
              <w:rPr>
                <w:b/>
                <w:bCs/>
                <w:sz w:val="24"/>
              </w:rPr>
              <w:t>说明</w:t>
            </w:r>
            <w:r>
              <w:rPr>
                <w:sz w:val="24"/>
              </w:rPr>
              <w:t>：</w:t>
            </w:r>
          </w:p>
          <w:p w14:paraId="63059EA5">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1</w:t>
            </w:r>
            <w:r>
              <w:rPr>
                <w:rFonts w:hint="eastAsia" w:ascii="Times New Roman" w:hAnsi="Times New Roman" w:eastAsia="宋体" w:cs="Times New Roman"/>
                <w:bCs/>
                <w:sz w:val="24"/>
              </w:rPr>
              <w:t>）称量、投料、搅拌：将</w:t>
            </w:r>
            <w:r>
              <w:rPr>
                <w:rFonts w:hint="eastAsia" w:cs="Times New Roman"/>
                <w:bCs/>
                <w:sz w:val="24"/>
                <w:lang w:val="en-US" w:eastAsia="zh-CN"/>
              </w:rPr>
              <w:t>外购的骨架</w:t>
            </w:r>
            <w:r>
              <w:rPr>
                <w:rFonts w:hint="eastAsia" w:ascii="Times New Roman" w:hAnsi="Times New Roman" w:eastAsia="宋体" w:cs="Times New Roman"/>
                <w:bCs/>
                <w:sz w:val="24"/>
              </w:rPr>
              <w:t>放入发泡模具中，本项目聚醚均为液态，人工将桶装的聚醚运至配料间人工配料称重，配料完成后聚醚在泵的的动力下，通过密闭输送管道输送至搅拌罐内，搅拌完成后的聚醚人工运送至发泡机下，本项目酸酯为桶装，抽取时直接抽取，无需配料，通过密闭管道输送。</w:t>
            </w:r>
          </w:p>
          <w:p w14:paraId="61ABAB59">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2</w:t>
            </w:r>
            <w:r>
              <w:rPr>
                <w:rFonts w:hint="eastAsia" w:ascii="Times New Roman" w:hAnsi="Times New Roman" w:eastAsia="宋体" w:cs="Times New Roman"/>
                <w:bCs/>
                <w:sz w:val="24"/>
              </w:rPr>
              <w:t>）发泡：项目所用发泡料均为外购混合料，发泡过程无需再添加其他辅料。发泡工艺是将原料罐内的原材料（黑料聚醚和白料酸酯）通过管道分别输送至恒温罐内</w:t>
            </w:r>
            <w:r>
              <w:rPr>
                <w:rFonts w:hint="eastAsia" w:cs="Times New Roman"/>
                <w:bCs/>
                <w:sz w:val="24"/>
                <w:lang w:eastAsia="zh-CN"/>
              </w:rPr>
              <w:t>，</w:t>
            </w:r>
            <w:r>
              <w:rPr>
                <w:rFonts w:hint="default" w:ascii="Times New Roman" w:hAnsi="Times New Roman" w:eastAsia="宋体" w:cs="Times New Roman"/>
                <w:color w:val="auto"/>
                <w:kern w:val="2"/>
                <w:sz w:val="24"/>
                <w:szCs w:val="24"/>
                <w:lang w:val="en-US" w:eastAsia="zh-CN" w:bidi="ar-SA"/>
              </w:rPr>
              <w:t>白料和黑料</w:t>
            </w:r>
            <w:r>
              <w:rPr>
                <w:rFonts w:hint="default" w:ascii="Times New Roman" w:hAnsi="Times New Roman" w:eastAsia="宋体" w:cs="Times New Roman"/>
                <w:color w:val="auto"/>
                <w:kern w:val="2"/>
                <w:sz w:val="24"/>
                <w:szCs w:val="24"/>
                <w:highlight w:val="none"/>
                <w:lang w:val="en-US" w:eastAsia="zh-CN" w:bidi="ar-SA"/>
              </w:rPr>
              <w:t>混合比例为</w:t>
            </w:r>
            <w:r>
              <w:rPr>
                <w:rFonts w:hint="eastAsia" w:eastAsia="宋体" w:cs="Times New Roman"/>
                <w:color w:val="auto"/>
                <w:kern w:val="2"/>
                <w:sz w:val="24"/>
                <w:szCs w:val="24"/>
                <w:highlight w:val="none"/>
                <w:lang w:val="en-US" w:eastAsia="zh-CN" w:bidi="ar-SA"/>
              </w:rPr>
              <w:t>3：2</w:t>
            </w:r>
            <w:r>
              <w:rPr>
                <w:rFonts w:hint="default" w:ascii="Times New Roman" w:hAnsi="Times New Roman" w:eastAsia="宋体" w:cs="Times New Roman"/>
                <w:color w:val="auto"/>
                <w:kern w:val="2"/>
                <w:sz w:val="24"/>
                <w:szCs w:val="24"/>
                <w:lang w:val="en-US" w:eastAsia="zh-CN" w:bidi="ar-SA"/>
              </w:rPr>
              <w:t>充注到发泡机</w:t>
            </w:r>
            <w:r>
              <w:rPr>
                <w:rFonts w:hint="eastAsia" w:ascii="Times New Roman" w:hAnsi="Times New Roman" w:eastAsia="宋体" w:cs="Times New Roman"/>
                <w:bCs/>
                <w:sz w:val="24"/>
              </w:rPr>
              <w:t>。在发泡注料前人工将脱模剂涂抹在圆盘生产线上，以方便产品脱模</w:t>
            </w:r>
            <w:r>
              <w:rPr>
                <w:rFonts w:hint="eastAsia" w:ascii="Times New Roman" w:hAnsi="Times New Roman" w:eastAsia="宋体" w:cs="Times New Roman"/>
                <w:bCs/>
                <w:sz w:val="24"/>
                <w:lang w:eastAsia="zh-CN"/>
              </w:rPr>
              <w:t>。</w:t>
            </w:r>
            <w:r>
              <w:rPr>
                <w:rFonts w:hint="eastAsia" w:ascii="Times New Roman" w:hAnsi="Times New Roman" w:eastAsia="宋体" w:cs="Times New Roman"/>
                <w:bCs/>
                <w:sz w:val="24"/>
              </w:rPr>
              <w:t>项目采用聚氨酯发泡工艺，发泡物料通过计量泵输送至发泡机，通过高速喷枪浇筑在复合材料表面，聚醚与酸酯发生化学反应而形成聚氨酯泡沫，发泡结束后打开模型过程会有挥发性有机物产生，取出发泡件成品骨架，清理模具</w:t>
            </w:r>
            <w:r>
              <w:rPr>
                <w:rFonts w:hint="eastAsia" w:cs="Times New Roman"/>
                <w:bCs/>
                <w:sz w:val="24"/>
                <w:lang w:val="en-US" w:eastAsia="zh-CN"/>
              </w:rPr>
              <w:t>时，使用</w:t>
            </w:r>
            <w:r>
              <w:rPr>
                <w:rFonts w:hint="eastAsia" w:ascii="Times New Roman" w:hAnsi="Times New Roman" w:eastAsia="宋体" w:cs="Times New Roman"/>
                <w:bCs/>
                <w:sz w:val="24"/>
              </w:rPr>
              <w:t>干冰对模具进行喷洗，对模具进行降温。在冷缩条件下，脱模剂膜收缩起皱、破裂，再用专用工具铲除。此工序会产生</w:t>
            </w:r>
            <w:r>
              <w:rPr>
                <w:rFonts w:hint="eastAsia" w:ascii="Times New Roman" w:hAnsi="Times New Roman" w:eastAsia="宋体" w:cs="Times New Roman"/>
                <w:bCs/>
                <w:sz w:val="24"/>
                <w:lang w:val="en-US" w:eastAsia="zh-CN"/>
              </w:rPr>
              <w:t>发泡</w:t>
            </w:r>
            <w:r>
              <w:rPr>
                <w:rFonts w:hint="eastAsia" w:ascii="Times New Roman" w:hAnsi="Times New Roman" w:eastAsia="宋体" w:cs="Times New Roman"/>
                <w:bCs/>
                <w:sz w:val="24"/>
              </w:rPr>
              <w:t>废气</w:t>
            </w:r>
            <w:r>
              <w:rPr>
                <w:rFonts w:hint="eastAsia" w:ascii="Times New Roman" w:hAnsi="Times New Roman" w:eastAsia="宋体" w:cs="Times New Roman"/>
                <w:bCs/>
                <w:sz w:val="24"/>
                <w:lang w:val="en-US" w:eastAsia="zh-CN"/>
              </w:rPr>
              <w:t>G</w:t>
            </w:r>
            <w:r>
              <w:rPr>
                <w:rFonts w:hint="eastAsia" w:cs="Times New Roman"/>
                <w:bCs/>
                <w:sz w:val="24"/>
                <w:lang w:val="en-US" w:eastAsia="zh-CN"/>
              </w:rPr>
              <w:t>1、脱模废气G2、</w:t>
            </w:r>
            <w:r>
              <w:rPr>
                <w:rFonts w:hint="eastAsia" w:ascii="Times New Roman" w:hAnsi="Times New Roman" w:eastAsia="宋体" w:cs="Times New Roman"/>
                <w:bCs/>
                <w:sz w:val="24"/>
              </w:rPr>
              <w:t xml:space="preserve">废脱模剂 </w:t>
            </w:r>
            <w:r>
              <w:rPr>
                <w:rFonts w:hint="eastAsia" w:ascii="Times New Roman" w:hAnsi="Times New Roman" w:eastAsia="宋体" w:cs="Times New Roman"/>
                <w:bCs/>
                <w:sz w:val="24"/>
                <w:lang w:val="en-US" w:eastAsia="zh-CN"/>
              </w:rPr>
              <w:t>S</w:t>
            </w:r>
            <w:r>
              <w:rPr>
                <w:rFonts w:hint="eastAsia" w:cs="Times New Roman"/>
                <w:bCs/>
                <w:sz w:val="24"/>
                <w:lang w:val="en-US" w:eastAsia="zh-CN"/>
              </w:rPr>
              <w:t>1、废发泡料S2</w:t>
            </w:r>
            <w:r>
              <w:rPr>
                <w:rFonts w:hint="eastAsia" w:ascii="Times New Roman" w:hAnsi="Times New Roman" w:eastAsia="宋体" w:cs="Times New Roman"/>
                <w:bCs/>
                <w:sz w:val="24"/>
              </w:rPr>
              <w:t xml:space="preserve">。 </w:t>
            </w:r>
          </w:p>
          <w:p w14:paraId="0295C44E">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3</w:t>
            </w:r>
            <w:r>
              <w:rPr>
                <w:rFonts w:hint="eastAsia" w:ascii="Times New Roman" w:hAnsi="Times New Roman" w:eastAsia="宋体" w:cs="Times New Roman"/>
                <w:bCs/>
                <w:sz w:val="24"/>
              </w:rPr>
              <w:t>）表皮裁切、缝纫：根据客户需求将pvc、pv、织物、麂皮、真皮等材料裁切成相应大小，通过缝线将其缝合成表皮，此过程会产生</w:t>
            </w:r>
            <w:r>
              <w:rPr>
                <w:rFonts w:hint="eastAsia" w:cs="Times New Roman"/>
                <w:bCs/>
                <w:sz w:val="24"/>
                <w:lang w:val="en-US" w:eastAsia="zh-CN"/>
              </w:rPr>
              <w:t>S1</w:t>
            </w:r>
            <w:r>
              <w:rPr>
                <w:rFonts w:hint="eastAsia" w:ascii="Times New Roman" w:hAnsi="Times New Roman" w:eastAsia="宋体" w:cs="Times New Roman"/>
                <w:bCs/>
                <w:sz w:val="24"/>
              </w:rPr>
              <w:t xml:space="preserve">废边角料。 </w:t>
            </w:r>
          </w:p>
          <w:p w14:paraId="4B3D32F4">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4</w:t>
            </w:r>
            <w:r>
              <w:rPr>
                <w:rFonts w:hint="eastAsia" w:ascii="Times New Roman" w:hAnsi="Times New Roman" w:eastAsia="宋体" w:cs="Times New Roman"/>
                <w:bCs/>
                <w:sz w:val="24"/>
              </w:rPr>
              <w:t xml:space="preserve">）表皮、骨架喷胶：将处理好的表皮在喷胶房内喷上胶水，然后将表皮与骨架粘连在一起。 </w:t>
            </w:r>
          </w:p>
          <w:p w14:paraId="391E5803">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5</w:t>
            </w:r>
            <w:r>
              <w:rPr>
                <w:rFonts w:hint="eastAsia" w:ascii="Times New Roman" w:hAnsi="Times New Roman" w:eastAsia="宋体" w:cs="Times New Roman"/>
                <w:bCs/>
                <w:sz w:val="24"/>
              </w:rPr>
              <w:t>）表皮、骨架烘烤：将粘连好的产品放置在烤箱内烘烤，温度为65℃，时间</w:t>
            </w:r>
            <w:r>
              <w:rPr>
                <w:rFonts w:hint="eastAsia" w:cs="Times New Roman"/>
                <w:bCs/>
                <w:sz w:val="24"/>
                <w:lang w:val="en-US" w:eastAsia="zh-CN"/>
              </w:rPr>
              <w:t>45</w:t>
            </w:r>
            <w:r>
              <w:rPr>
                <w:rFonts w:hint="eastAsia" w:ascii="Times New Roman" w:hAnsi="Times New Roman" w:eastAsia="宋体" w:cs="Times New Roman"/>
                <w:bCs/>
                <w:sz w:val="24"/>
              </w:rPr>
              <w:t>S</w:t>
            </w:r>
            <w:r>
              <w:rPr>
                <w:rFonts w:hint="eastAsia" w:cs="Times New Roman"/>
                <w:bCs/>
                <w:sz w:val="24"/>
                <w:lang w:eastAsia="zh-CN"/>
              </w:rPr>
              <w:t>，</w:t>
            </w:r>
            <w:r>
              <w:rPr>
                <w:rFonts w:hint="eastAsia" w:ascii="Times New Roman" w:hAnsi="Times New Roman" w:eastAsia="宋体" w:cs="Times New Roman"/>
                <w:bCs/>
                <w:sz w:val="24"/>
              </w:rPr>
              <w:t>此过程会有</w:t>
            </w:r>
            <w:r>
              <w:rPr>
                <w:rFonts w:hint="eastAsia" w:ascii="Times New Roman" w:hAnsi="Times New Roman" w:eastAsia="宋体" w:cs="Times New Roman"/>
                <w:bCs/>
                <w:sz w:val="24"/>
                <w:lang w:val="en-US" w:eastAsia="zh-CN"/>
              </w:rPr>
              <w:t>喷胶</w:t>
            </w:r>
            <w:r>
              <w:rPr>
                <w:rFonts w:hint="eastAsia" w:cs="Times New Roman"/>
                <w:bCs/>
                <w:sz w:val="24"/>
                <w:lang w:val="en-US" w:eastAsia="zh-CN"/>
              </w:rPr>
              <w:t>固化</w:t>
            </w:r>
            <w:r>
              <w:rPr>
                <w:rFonts w:hint="eastAsia" w:ascii="Times New Roman" w:hAnsi="Times New Roman" w:eastAsia="宋体" w:cs="Times New Roman"/>
                <w:bCs/>
                <w:sz w:val="24"/>
                <w:lang w:val="en-US" w:eastAsia="zh-CN"/>
              </w:rPr>
              <w:t>废气G</w:t>
            </w:r>
            <w:r>
              <w:rPr>
                <w:rFonts w:hint="eastAsia" w:cs="Times New Roman"/>
                <w:bCs/>
                <w:sz w:val="24"/>
                <w:lang w:val="en-US" w:eastAsia="zh-CN"/>
              </w:rPr>
              <w:t>4</w:t>
            </w:r>
            <w:r>
              <w:rPr>
                <w:rFonts w:hint="eastAsia" w:ascii="Times New Roman" w:hAnsi="Times New Roman" w:eastAsia="宋体" w:cs="Times New Roman"/>
                <w:bCs/>
                <w:sz w:val="24"/>
                <w:lang w:val="en-US" w:eastAsia="zh-CN"/>
              </w:rPr>
              <w:t>产生</w:t>
            </w:r>
            <w:r>
              <w:rPr>
                <w:rFonts w:hint="eastAsia" w:ascii="Times New Roman" w:hAnsi="Times New Roman" w:eastAsia="宋体" w:cs="Times New Roman"/>
                <w:bCs/>
                <w:sz w:val="24"/>
              </w:rPr>
              <w:t xml:space="preserve">。 </w:t>
            </w:r>
          </w:p>
          <w:p w14:paraId="7F9BE18F">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6</w:t>
            </w:r>
            <w:r>
              <w:rPr>
                <w:rFonts w:hint="eastAsia" w:ascii="Times New Roman" w:hAnsi="Times New Roman" w:eastAsia="宋体" w:cs="Times New Roman"/>
                <w:bCs/>
                <w:sz w:val="24"/>
              </w:rPr>
              <w:t>）表皮骨架定位：将烘烤好的表皮和骨架</w:t>
            </w:r>
            <w:r>
              <w:rPr>
                <w:rFonts w:hint="eastAsia" w:cs="Times New Roman"/>
                <w:bCs/>
                <w:sz w:val="24"/>
                <w:lang w:val="en-US" w:eastAsia="zh-CN"/>
              </w:rPr>
              <w:t>通过模压机进行模压成型</w:t>
            </w:r>
            <w:r>
              <w:rPr>
                <w:rFonts w:hint="eastAsia" w:cs="Times New Roman"/>
                <w:bCs/>
                <w:sz w:val="24"/>
                <w:lang w:eastAsia="zh-CN"/>
              </w:rPr>
              <w:t>，</w:t>
            </w:r>
            <w:r>
              <w:rPr>
                <w:rFonts w:hint="eastAsia" w:cs="Times New Roman"/>
                <w:bCs/>
                <w:sz w:val="24"/>
                <w:lang w:val="en-US" w:eastAsia="zh-CN"/>
              </w:rPr>
              <w:t>再</w:t>
            </w:r>
            <w:r>
              <w:rPr>
                <w:rFonts w:hint="eastAsia" w:ascii="Times New Roman" w:hAnsi="Times New Roman" w:eastAsia="宋体" w:cs="Times New Roman"/>
                <w:bCs/>
                <w:sz w:val="24"/>
              </w:rPr>
              <w:t>通过超声波焊接机进行熔接，</w:t>
            </w:r>
            <w:r>
              <w:rPr>
                <w:rFonts w:hint="eastAsia" w:cs="Times New Roman"/>
                <w:bCs/>
                <w:sz w:val="24"/>
                <w:lang w:val="en-US" w:eastAsia="zh-CN"/>
              </w:rPr>
              <w:t>最后通过吸附机吸附成型，</w:t>
            </w:r>
            <w:r>
              <w:rPr>
                <w:rFonts w:hint="eastAsia" w:ascii="Times New Roman" w:hAnsi="Times New Roman" w:eastAsia="宋体" w:cs="Times New Roman"/>
                <w:bCs/>
                <w:sz w:val="24"/>
              </w:rPr>
              <w:t xml:space="preserve">此工序不产生污染物。  </w:t>
            </w:r>
          </w:p>
          <w:p w14:paraId="7BFF27B5">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7</w:t>
            </w:r>
            <w:r>
              <w:rPr>
                <w:rFonts w:hint="eastAsia" w:ascii="Times New Roman" w:hAnsi="Times New Roman" w:eastAsia="宋体" w:cs="Times New Roman"/>
                <w:bCs/>
                <w:sz w:val="24"/>
              </w:rPr>
              <w:t>）检验：</w:t>
            </w:r>
            <w:r>
              <w:rPr>
                <w:rFonts w:hint="eastAsia" w:cs="Times New Roman"/>
                <w:bCs/>
                <w:sz w:val="24"/>
                <w:lang w:val="en-US" w:eastAsia="zh-CN"/>
              </w:rPr>
              <w:t>定位后</w:t>
            </w:r>
            <w:r>
              <w:rPr>
                <w:rFonts w:hint="eastAsia" w:ascii="Times New Roman" w:hAnsi="Times New Roman" w:eastAsia="宋体" w:cs="Times New Roman"/>
                <w:bCs/>
                <w:sz w:val="24"/>
              </w:rPr>
              <w:t>的产品通过人工检验出不合格品，不合格的产品当做废边角料处置，合格产品即可入库发货</w:t>
            </w:r>
            <w:r>
              <w:rPr>
                <w:rFonts w:hint="eastAsia" w:cs="Times New Roman"/>
                <w:bCs/>
                <w:sz w:val="24"/>
                <w:lang w:eastAsia="zh-CN"/>
              </w:rPr>
              <w:t>，</w:t>
            </w:r>
            <w:r>
              <w:rPr>
                <w:rFonts w:hint="eastAsia" w:ascii="Times New Roman" w:hAnsi="Times New Roman" w:eastAsia="宋体" w:cs="Times New Roman"/>
                <w:bCs/>
                <w:sz w:val="24"/>
              </w:rPr>
              <w:t>此过程会有</w:t>
            </w:r>
            <w:r>
              <w:rPr>
                <w:rFonts w:hint="eastAsia" w:cs="Times New Roman"/>
                <w:bCs/>
                <w:sz w:val="24"/>
                <w:lang w:val="en-US" w:eastAsia="zh-CN"/>
              </w:rPr>
              <w:t>不合格品S2</w:t>
            </w:r>
            <w:r>
              <w:rPr>
                <w:rFonts w:hint="eastAsia" w:ascii="Times New Roman" w:hAnsi="Times New Roman" w:eastAsia="宋体" w:cs="Times New Roman"/>
                <w:bCs/>
                <w:sz w:val="24"/>
              </w:rPr>
              <w:t>。</w:t>
            </w:r>
          </w:p>
          <w:p w14:paraId="7BD94E26">
            <w:pPr>
              <w:pageBreakBefore w:val="0"/>
              <w:widowControl w:val="0"/>
              <w:kinsoku/>
              <w:wordWrap/>
              <w:overflowPunct/>
              <w:topLinePunct w:val="0"/>
              <w:autoSpaceDE/>
              <w:autoSpaceDN/>
              <w:bidi w:val="0"/>
              <w:adjustRightInd/>
              <w:snapToGrid/>
              <w:spacing w:before="120" w:beforeLines="50" w:line="240" w:lineRule="auto"/>
              <w:ind w:firstLine="482" w:firstLineChars="200"/>
              <w:textAlignment w:val="auto"/>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2.仪表板、挂挡球头、手刹皮套生产工艺</w:t>
            </w:r>
          </w:p>
          <w:p w14:paraId="1372FB02">
            <w:pPr>
              <w:pStyle w:val="7"/>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drawing>
                <wp:inline distT="0" distB="0" distL="114300" distR="114300">
                  <wp:extent cx="4358640" cy="3495040"/>
                  <wp:effectExtent l="0" t="0" r="3810" b="10160"/>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11"/>
                          <a:stretch>
                            <a:fillRect/>
                          </a:stretch>
                        </pic:blipFill>
                        <pic:spPr>
                          <a:xfrm>
                            <a:off x="0" y="0"/>
                            <a:ext cx="4358640" cy="3495040"/>
                          </a:xfrm>
                          <a:prstGeom prst="rect">
                            <a:avLst/>
                          </a:prstGeom>
                          <a:noFill/>
                          <a:ln>
                            <a:noFill/>
                          </a:ln>
                        </pic:spPr>
                      </pic:pic>
                    </a:graphicData>
                  </a:graphic>
                </wp:inline>
              </w:drawing>
            </w:r>
          </w:p>
          <w:p w14:paraId="5B1648E3">
            <w:pPr>
              <w:pStyle w:val="9"/>
              <w:ind w:firstLine="482"/>
              <w:jc w:val="center"/>
              <w:rPr>
                <w:rFonts w:hint="default"/>
                <w:lang w:val="en-US" w:eastAsia="zh-CN"/>
              </w:rPr>
            </w:pPr>
            <w:r>
              <w:rPr>
                <w:b/>
                <w:bCs/>
                <w:sz w:val="24"/>
                <w:lang w:val="zh-CN"/>
              </w:rPr>
              <w:t>图</w:t>
            </w:r>
            <w:r>
              <w:rPr>
                <w:b/>
                <w:bCs/>
                <w:sz w:val="24"/>
              </w:rPr>
              <w:t>2-</w:t>
            </w:r>
            <w:r>
              <w:rPr>
                <w:rFonts w:hint="eastAsia"/>
                <w:b/>
                <w:bCs/>
                <w:sz w:val="24"/>
                <w:lang w:val="en-US" w:eastAsia="zh-CN"/>
              </w:rPr>
              <w:t>3</w:t>
            </w:r>
            <w:r>
              <w:rPr>
                <w:b/>
                <w:bCs/>
                <w:sz w:val="24"/>
              </w:rPr>
              <w:t xml:space="preserve">  生产工艺流程</w:t>
            </w:r>
            <w:r>
              <w:rPr>
                <w:rFonts w:hint="eastAsia"/>
                <w:b/>
                <w:bCs/>
                <w:sz w:val="24"/>
              </w:rPr>
              <w:t>及产污节点图</w:t>
            </w:r>
          </w:p>
          <w:p w14:paraId="7F33BA0B">
            <w:pPr>
              <w:adjustRightInd w:val="0"/>
              <w:snapToGrid w:val="0"/>
              <w:spacing w:line="360" w:lineRule="auto"/>
              <w:ind w:firstLine="482" w:firstLineChars="200"/>
              <w:jc w:val="left"/>
            </w:pPr>
            <w:r>
              <w:rPr>
                <w:b/>
                <w:bCs/>
                <w:sz w:val="24"/>
                <w:lang w:val="zh-CN"/>
              </w:rPr>
              <w:t>生产工艺流程</w:t>
            </w:r>
            <w:r>
              <w:rPr>
                <w:b/>
                <w:bCs/>
                <w:sz w:val="24"/>
              </w:rPr>
              <w:t>说明</w:t>
            </w:r>
            <w:r>
              <w:rPr>
                <w:sz w:val="24"/>
              </w:rPr>
              <w:t>：</w:t>
            </w:r>
          </w:p>
          <w:p w14:paraId="5440AD3E">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1</w:t>
            </w:r>
            <w:r>
              <w:rPr>
                <w:rFonts w:hint="eastAsia" w:ascii="Times New Roman" w:hAnsi="Times New Roman" w:eastAsia="宋体" w:cs="Times New Roman"/>
                <w:bCs/>
                <w:sz w:val="24"/>
              </w:rPr>
              <w:t>）表皮裁切、缝纫：根据客户需求将pvc、pv、织物、麂皮、真皮等材料裁切成相应大小，通过缝线将其缝合成表皮，此过程会产生</w:t>
            </w:r>
            <w:r>
              <w:rPr>
                <w:rFonts w:hint="eastAsia" w:cs="Times New Roman"/>
                <w:bCs/>
                <w:sz w:val="24"/>
                <w:lang w:val="en-US" w:eastAsia="zh-CN"/>
              </w:rPr>
              <w:t>S1</w:t>
            </w:r>
            <w:r>
              <w:rPr>
                <w:rFonts w:hint="eastAsia" w:ascii="Times New Roman" w:hAnsi="Times New Roman" w:eastAsia="宋体" w:cs="Times New Roman"/>
                <w:bCs/>
                <w:sz w:val="24"/>
              </w:rPr>
              <w:t xml:space="preserve">废边角料。 </w:t>
            </w:r>
          </w:p>
          <w:p w14:paraId="7033ECA1">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2</w:t>
            </w:r>
            <w:r>
              <w:rPr>
                <w:rFonts w:hint="eastAsia" w:ascii="Times New Roman" w:hAnsi="Times New Roman" w:eastAsia="宋体" w:cs="Times New Roman"/>
                <w:bCs/>
                <w:sz w:val="24"/>
              </w:rPr>
              <w:t xml:space="preserve">）表皮、骨架喷胶：将处理好的表皮在喷胶房内喷上胶水，然后将表皮与骨架粘连在一起。 </w:t>
            </w:r>
          </w:p>
          <w:p w14:paraId="096FD84F">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3</w:t>
            </w:r>
            <w:r>
              <w:rPr>
                <w:rFonts w:hint="eastAsia" w:ascii="Times New Roman" w:hAnsi="Times New Roman" w:eastAsia="宋体" w:cs="Times New Roman"/>
                <w:bCs/>
                <w:sz w:val="24"/>
              </w:rPr>
              <w:t>）表皮、骨架烘烤：将粘连好的产品放置在烤箱内烘烤，温度为65℃，时间</w:t>
            </w:r>
            <w:r>
              <w:rPr>
                <w:rFonts w:hint="eastAsia" w:cs="Times New Roman"/>
                <w:bCs/>
                <w:sz w:val="24"/>
                <w:lang w:val="en-US" w:eastAsia="zh-CN"/>
              </w:rPr>
              <w:t>45</w:t>
            </w:r>
            <w:r>
              <w:rPr>
                <w:rFonts w:hint="eastAsia" w:ascii="Times New Roman" w:hAnsi="Times New Roman" w:eastAsia="宋体" w:cs="Times New Roman"/>
                <w:bCs/>
                <w:sz w:val="24"/>
              </w:rPr>
              <w:t>S</w:t>
            </w:r>
            <w:r>
              <w:rPr>
                <w:rFonts w:hint="eastAsia" w:cs="Times New Roman"/>
                <w:bCs/>
                <w:sz w:val="24"/>
                <w:lang w:eastAsia="zh-CN"/>
              </w:rPr>
              <w:t>，</w:t>
            </w:r>
            <w:r>
              <w:rPr>
                <w:rFonts w:hint="eastAsia" w:ascii="Times New Roman" w:hAnsi="Times New Roman" w:eastAsia="宋体" w:cs="Times New Roman"/>
                <w:bCs/>
                <w:sz w:val="24"/>
              </w:rPr>
              <w:t>此过程会有</w:t>
            </w:r>
            <w:r>
              <w:rPr>
                <w:rFonts w:hint="eastAsia" w:ascii="Times New Roman" w:hAnsi="Times New Roman" w:eastAsia="宋体" w:cs="Times New Roman"/>
                <w:bCs/>
                <w:sz w:val="24"/>
                <w:lang w:val="en-US" w:eastAsia="zh-CN"/>
              </w:rPr>
              <w:t>喷胶</w:t>
            </w:r>
            <w:r>
              <w:rPr>
                <w:rFonts w:hint="eastAsia" w:cs="Times New Roman"/>
                <w:bCs/>
                <w:sz w:val="24"/>
                <w:lang w:val="en-US" w:eastAsia="zh-CN"/>
              </w:rPr>
              <w:t>固化</w:t>
            </w:r>
            <w:r>
              <w:rPr>
                <w:rFonts w:hint="eastAsia" w:ascii="Times New Roman" w:hAnsi="Times New Roman" w:eastAsia="宋体" w:cs="Times New Roman"/>
                <w:bCs/>
                <w:sz w:val="24"/>
                <w:lang w:val="en-US" w:eastAsia="zh-CN"/>
              </w:rPr>
              <w:t>废气G</w:t>
            </w:r>
            <w:r>
              <w:rPr>
                <w:rFonts w:hint="eastAsia" w:cs="Times New Roman"/>
                <w:bCs/>
                <w:sz w:val="24"/>
                <w:lang w:val="en-US" w:eastAsia="zh-CN"/>
              </w:rPr>
              <w:t>3</w:t>
            </w:r>
            <w:r>
              <w:rPr>
                <w:rFonts w:hint="eastAsia" w:ascii="Times New Roman" w:hAnsi="Times New Roman" w:eastAsia="宋体" w:cs="Times New Roman"/>
                <w:bCs/>
                <w:sz w:val="24"/>
                <w:lang w:val="en-US" w:eastAsia="zh-CN"/>
              </w:rPr>
              <w:t>产生</w:t>
            </w:r>
            <w:r>
              <w:rPr>
                <w:rFonts w:hint="eastAsia" w:ascii="Times New Roman" w:hAnsi="Times New Roman" w:eastAsia="宋体" w:cs="Times New Roman"/>
                <w:bCs/>
                <w:sz w:val="24"/>
              </w:rPr>
              <w:t xml:space="preserve">。 </w:t>
            </w:r>
          </w:p>
          <w:p w14:paraId="38A498AE">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4</w:t>
            </w:r>
            <w:r>
              <w:rPr>
                <w:rFonts w:hint="eastAsia" w:ascii="Times New Roman" w:hAnsi="Times New Roman" w:eastAsia="宋体" w:cs="Times New Roman"/>
                <w:bCs/>
                <w:sz w:val="24"/>
              </w:rPr>
              <w:t>）表皮骨架定位：将烘烤好的表皮和骨架</w:t>
            </w:r>
            <w:r>
              <w:rPr>
                <w:rFonts w:hint="eastAsia" w:cs="Times New Roman"/>
                <w:bCs/>
                <w:sz w:val="24"/>
                <w:lang w:val="en-US" w:eastAsia="zh-CN"/>
              </w:rPr>
              <w:t>通过模压机进行模压贴合</w:t>
            </w:r>
            <w:r>
              <w:rPr>
                <w:rFonts w:hint="eastAsia" w:cs="Times New Roman"/>
                <w:bCs/>
                <w:sz w:val="24"/>
                <w:lang w:eastAsia="zh-CN"/>
              </w:rPr>
              <w:t>，</w:t>
            </w:r>
            <w:r>
              <w:rPr>
                <w:rFonts w:hint="eastAsia" w:cs="Times New Roman"/>
                <w:bCs/>
                <w:sz w:val="24"/>
                <w:lang w:val="en-US" w:eastAsia="zh-CN"/>
              </w:rPr>
              <w:t>再人工进行包覆，再</w:t>
            </w:r>
            <w:r>
              <w:rPr>
                <w:rFonts w:hint="eastAsia" w:ascii="Times New Roman" w:hAnsi="Times New Roman" w:eastAsia="宋体" w:cs="Times New Roman"/>
                <w:bCs/>
                <w:sz w:val="24"/>
              </w:rPr>
              <w:t>通过超声波焊接机进行</w:t>
            </w:r>
            <w:r>
              <w:rPr>
                <w:rFonts w:hint="eastAsia" w:cs="Times New Roman"/>
                <w:bCs/>
                <w:sz w:val="24"/>
                <w:lang w:val="en-US" w:eastAsia="zh-CN"/>
              </w:rPr>
              <w:t>焊接</w:t>
            </w:r>
            <w:r>
              <w:rPr>
                <w:rFonts w:hint="eastAsia" w:ascii="Times New Roman" w:hAnsi="Times New Roman" w:eastAsia="宋体" w:cs="Times New Roman"/>
                <w:bCs/>
                <w:sz w:val="24"/>
              </w:rPr>
              <w:t>，</w:t>
            </w:r>
            <w:r>
              <w:rPr>
                <w:rFonts w:hint="eastAsia" w:cs="Times New Roman"/>
                <w:bCs/>
                <w:sz w:val="24"/>
                <w:lang w:val="en-US" w:eastAsia="zh-CN"/>
              </w:rPr>
              <w:t>最后通过吸附机吸附成型，</w:t>
            </w:r>
            <w:r>
              <w:rPr>
                <w:rFonts w:hint="eastAsia" w:ascii="Times New Roman" w:hAnsi="Times New Roman" w:eastAsia="宋体" w:cs="Times New Roman"/>
                <w:bCs/>
                <w:sz w:val="24"/>
              </w:rPr>
              <w:t>此工序不产生污染物。</w:t>
            </w:r>
          </w:p>
          <w:p w14:paraId="0B9EF10C">
            <w:pPr>
              <w:spacing w:before="120" w:beforeLines="50" w:line="360" w:lineRule="auto"/>
              <w:ind w:firstLine="480" w:firstLineChars="200"/>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5</w:t>
            </w:r>
            <w:r>
              <w:rPr>
                <w:rFonts w:hint="eastAsia" w:ascii="Times New Roman" w:hAnsi="Times New Roman" w:eastAsia="宋体" w:cs="Times New Roman"/>
                <w:bCs/>
                <w:sz w:val="24"/>
              </w:rPr>
              <w:t>）检验：烘烤成型的产品通过人工检验出不合格品，不合格的产品当做废边角料处置，合格产品即可入库发货</w:t>
            </w:r>
            <w:r>
              <w:rPr>
                <w:rFonts w:hint="eastAsia" w:cs="Times New Roman"/>
                <w:bCs/>
                <w:sz w:val="24"/>
                <w:lang w:eastAsia="zh-CN"/>
              </w:rPr>
              <w:t>，</w:t>
            </w:r>
            <w:r>
              <w:rPr>
                <w:rFonts w:hint="eastAsia" w:ascii="Times New Roman" w:hAnsi="Times New Roman" w:eastAsia="宋体" w:cs="Times New Roman"/>
                <w:bCs/>
                <w:sz w:val="24"/>
              </w:rPr>
              <w:t>此过程会有</w:t>
            </w:r>
            <w:r>
              <w:rPr>
                <w:rFonts w:hint="eastAsia" w:cs="Times New Roman"/>
                <w:bCs/>
                <w:sz w:val="24"/>
                <w:lang w:val="en-US" w:eastAsia="zh-CN"/>
              </w:rPr>
              <w:t>不合格品S2</w:t>
            </w:r>
            <w:r>
              <w:rPr>
                <w:rFonts w:hint="eastAsia" w:ascii="Times New Roman" w:hAnsi="Times New Roman" w:eastAsia="宋体" w:cs="Times New Roman"/>
                <w:bCs/>
                <w:sz w:val="24"/>
              </w:rPr>
              <w:t>。</w:t>
            </w:r>
          </w:p>
          <w:p w14:paraId="50FA7B64">
            <w:pPr>
              <w:spacing w:before="120" w:beforeLines="50" w:line="360" w:lineRule="auto"/>
              <w:ind w:firstLine="482" w:firstLineChars="200"/>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3.头枕皮套、座椅皮套生产工艺</w:t>
            </w:r>
          </w:p>
          <w:p w14:paraId="530E07EE">
            <w:pPr>
              <w:pStyle w:val="7"/>
              <w:jc w:val="center"/>
              <w:rPr>
                <w:rFonts w:hint="eastAsia"/>
                <w:lang w:val="en-US" w:eastAsia="zh-CN"/>
              </w:rPr>
            </w:pPr>
            <w:r>
              <w:drawing>
                <wp:inline distT="0" distB="0" distL="114300" distR="114300">
                  <wp:extent cx="3228975" cy="2552700"/>
                  <wp:effectExtent l="0" t="0" r="9525" b="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12"/>
                          <a:stretch>
                            <a:fillRect/>
                          </a:stretch>
                        </pic:blipFill>
                        <pic:spPr>
                          <a:xfrm>
                            <a:off x="0" y="0"/>
                            <a:ext cx="3228975" cy="2552700"/>
                          </a:xfrm>
                          <a:prstGeom prst="rect">
                            <a:avLst/>
                          </a:prstGeom>
                          <a:noFill/>
                          <a:ln>
                            <a:noFill/>
                          </a:ln>
                        </pic:spPr>
                      </pic:pic>
                    </a:graphicData>
                  </a:graphic>
                </wp:inline>
              </w:drawing>
            </w:r>
          </w:p>
          <w:p w14:paraId="6EA4C567">
            <w:pPr>
              <w:pStyle w:val="9"/>
              <w:ind w:firstLine="482"/>
              <w:jc w:val="center"/>
              <w:rPr>
                <w:rFonts w:hint="default"/>
                <w:lang w:val="en-US" w:eastAsia="zh-CN"/>
              </w:rPr>
            </w:pPr>
            <w:r>
              <w:rPr>
                <w:b/>
                <w:bCs/>
                <w:sz w:val="24"/>
                <w:lang w:val="zh-CN"/>
              </w:rPr>
              <w:t>图</w:t>
            </w:r>
            <w:r>
              <w:rPr>
                <w:b/>
                <w:bCs/>
                <w:sz w:val="24"/>
              </w:rPr>
              <w:t>2-</w:t>
            </w:r>
            <w:r>
              <w:rPr>
                <w:rFonts w:hint="eastAsia"/>
                <w:b/>
                <w:bCs/>
                <w:sz w:val="24"/>
                <w:lang w:val="en-US" w:eastAsia="zh-CN"/>
              </w:rPr>
              <w:t>4</w:t>
            </w:r>
            <w:r>
              <w:rPr>
                <w:b/>
                <w:bCs/>
                <w:sz w:val="24"/>
              </w:rPr>
              <w:t xml:space="preserve">  生产工艺流程</w:t>
            </w:r>
            <w:r>
              <w:rPr>
                <w:rFonts w:hint="eastAsia"/>
                <w:b/>
                <w:bCs/>
                <w:sz w:val="24"/>
              </w:rPr>
              <w:t>及产污节点图</w:t>
            </w:r>
          </w:p>
          <w:p w14:paraId="43EEC764">
            <w:pPr>
              <w:adjustRightInd w:val="0"/>
              <w:snapToGrid w:val="0"/>
              <w:spacing w:line="360" w:lineRule="auto"/>
              <w:ind w:firstLine="482" w:firstLineChars="200"/>
              <w:jc w:val="left"/>
            </w:pPr>
            <w:r>
              <w:rPr>
                <w:b/>
                <w:bCs/>
                <w:sz w:val="24"/>
                <w:lang w:val="zh-CN"/>
              </w:rPr>
              <w:t>生产工艺流程</w:t>
            </w:r>
            <w:r>
              <w:rPr>
                <w:b/>
                <w:bCs/>
                <w:sz w:val="24"/>
              </w:rPr>
              <w:t>说明</w:t>
            </w:r>
            <w:r>
              <w:rPr>
                <w:sz w:val="24"/>
              </w:rPr>
              <w:t>：</w:t>
            </w:r>
          </w:p>
          <w:p w14:paraId="1AFA5B9F">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 xml:space="preserve">（1）表皮裁切、缝纫：根据客户需求将pvc、pv、织物、麂皮、真皮等材料裁切成相应大小，通过缝线将其缝合成表皮，此过程会产生废边角料。 </w:t>
            </w:r>
          </w:p>
          <w:p w14:paraId="7255EE5D">
            <w:pPr>
              <w:spacing w:line="360" w:lineRule="auto"/>
              <w:ind w:firstLine="480" w:firstLineChars="200"/>
              <w:jc w:val="left"/>
              <w:rPr>
                <w:rFonts w:hint="eastAsia" w:ascii="Times New Roman" w:hAnsi="Times New Roman" w:eastAsia="宋体" w:cs="Times New Roman"/>
                <w:bCs/>
                <w:sz w:val="24"/>
              </w:rPr>
            </w:pPr>
            <w:r>
              <w:rPr>
                <w:rFonts w:hint="eastAsia" w:ascii="Times New Roman" w:hAnsi="Times New Roman" w:eastAsia="宋体" w:cs="Times New Roman"/>
                <w:bCs/>
                <w:sz w:val="24"/>
              </w:rPr>
              <w:t>（</w:t>
            </w:r>
            <w:r>
              <w:rPr>
                <w:rFonts w:hint="eastAsia" w:cs="Times New Roman"/>
                <w:bCs/>
                <w:sz w:val="24"/>
                <w:lang w:val="en-US" w:eastAsia="zh-CN"/>
              </w:rPr>
              <w:t>2</w:t>
            </w:r>
            <w:r>
              <w:rPr>
                <w:rFonts w:hint="eastAsia" w:ascii="Times New Roman" w:hAnsi="Times New Roman" w:eastAsia="宋体" w:cs="Times New Roman"/>
                <w:bCs/>
                <w:sz w:val="24"/>
              </w:rPr>
              <w:t>）检验：烘烤成型的产品通过人工检验出不合格品，不合格的产品当做废边角料处置，合格产品即可入库发货</w:t>
            </w:r>
            <w:r>
              <w:rPr>
                <w:rFonts w:hint="eastAsia" w:cs="Times New Roman"/>
                <w:bCs/>
                <w:sz w:val="24"/>
                <w:lang w:eastAsia="zh-CN"/>
              </w:rPr>
              <w:t>，</w:t>
            </w:r>
            <w:r>
              <w:rPr>
                <w:rFonts w:hint="eastAsia" w:ascii="Times New Roman" w:hAnsi="Times New Roman" w:eastAsia="宋体" w:cs="Times New Roman"/>
                <w:bCs/>
                <w:sz w:val="24"/>
              </w:rPr>
              <w:t>此过程会有</w:t>
            </w:r>
            <w:r>
              <w:rPr>
                <w:rFonts w:hint="eastAsia" w:cs="Times New Roman"/>
                <w:bCs/>
                <w:sz w:val="24"/>
                <w:lang w:val="en-US" w:eastAsia="zh-CN"/>
              </w:rPr>
              <w:t>不合格品S2</w:t>
            </w:r>
            <w:r>
              <w:rPr>
                <w:rFonts w:hint="eastAsia" w:ascii="Times New Roman" w:hAnsi="Times New Roman" w:eastAsia="宋体" w:cs="Times New Roman"/>
                <w:bCs/>
                <w:sz w:val="24"/>
              </w:rPr>
              <w:t>。</w:t>
            </w:r>
          </w:p>
          <w:p w14:paraId="7C8785F4">
            <w:pPr>
              <w:spacing w:line="360" w:lineRule="auto"/>
              <w:ind w:firstLine="482" w:firstLineChars="200"/>
              <w:rPr>
                <w:bCs/>
                <w:sz w:val="24"/>
              </w:rPr>
            </w:pPr>
            <w:r>
              <w:rPr>
                <w:rFonts w:hint="eastAsia"/>
                <w:b/>
                <w:sz w:val="24"/>
                <w:lang w:val="en-US" w:eastAsia="zh-CN"/>
              </w:rPr>
              <w:t>三</w:t>
            </w:r>
            <w:r>
              <w:rPr>
                <w:b/>
                <w:sz w:val="24"/>
              </w:rPr>
              <w:t>、产排污环节</w:t>
            </w:r>
          </w:p>
          <w:p w14:paraId="22687C17">
            <w:pPr>
              <w:spacing w:line="360" w:lineRule="auto"/>
              <w:ind w:firstLine="480" w:firstLineChars="200"/>
              <w:jc w:val="left"/>
              <w:rPr>
                <w:bCs/>
                <w:sz w:val="24"/>
              </w:rPr>
            </w:pPr>
            <w:r>
              <w:rPr>
                <w:bCs/>
                <w:sz w:val="24"/>
              </w:rPr>
              <w:t>根据工程分析，本项目主要产排污环节见表2-</w:t>
            </w:r>
            <w:r>
              <w:rPr>
                <w:rFonts w:hint="eastAsia"/>
                <w:bCs/>
                <w:sz w:val="24"/>
                <w:lang w:val="en-US" w:eastAsia="zh-CN"/>
              </w:rPr>
              <w:t>8</w:t>
            </w:r>
            <w:r>
              <w:rPr>
                <w:bCs/>
                <w:sz w:val="24"/>
              </w:rPr>
              <w:t>。</w:t>
            </w:r>
          </w:p>
          <w:p w14:paraId="1D627268">
            <w:pPr>
              <w:ind w:firstLine="482" w:firstLineChars="200"/>
              <w:jc w:val="center"/>
              <w:rPr>
                <w:b/>
                <w:sz w:val="24"/>
              </w:rPr>
            </w:pPr>
            <w:r>
              <w:rPr>
                <w:b/>
                <w:sz w:val="24"/>
              </w:rPr>
              <w:t>表2-</w:t>
            </w:r>
            <w:r>
              <w:rPr>
                <w:rFonts w:hint="eastAsia"/>
                <w:b/>
                <w:sz w:val="24"/>
                <w:lang w:val="en-US" w:eastAsia="zh-CN"/>
              </w:rPr>
              <w:t>8</w:t>
            </w:r>
            <w:r>
              <w:rPr>
                <w:b/>
                <w:sz w:val="24"/>
              </w:rPr>
              <w:t xml:space="preserve">  </w:t>
            </w:r>
            <w:r>
              <w:rPr>
                <w:rFonts w:hint="eastAsia"/>
                <w:b/>
                <w:sz w:val="24"/>
              </w:rPr>
              <w:t>本</w:t>
            </w:r>
            <w:r>
              <w:rPr>
                <w:b/>
                <w:sz w:val="24"/>
              </w:rPr>
              <w:t>项目主要产排污环节汇总表</w:t>
            </w:r>
          </w:p>
          <w:tbl>
            <w:tblPr>
              <w:tblStyle w:val="29"/>
              <w:tblW w:w="838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780"/>
              <w:gridCol w:w="1536"/>
              <w:gridCol w:w="2278"/>
              <w:gridCol w:w="2351"/>
              <w:gridCol w:w="761"/>
            </w:tblGrid>
            <w:tr w14:paraId="77A75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1" w:type="dxa"/>
                  <w:gridSpan w:val="2"/>
                  <w:vAlign w:val="center"/>
                </w:tcPr>
                <w:p w14:paraId="572E2F0F">
                  <w:pPr>
                    <w:jc w:val="center"/>
                    <w:rPr>
                      <w:b/>
                      <w:szCs w:val="21"/>
                    </w:rPr>
                  </w:pPr>
                  <w:r>
                    <w:rPr>
                      <w:b/>
                      <w:szCs w:val="21"/>
                    </w:rPr>
                    <w:t>污染源</w:t>
                  </w:r>
                </w:p>
              </w:tc>
              <w:tc>
                <w:tcPr>
                  <w:tcW w:w="1536" w:type="dxa"/>
                  <w:vAlign w:val="center"/>
                </w:tcPr>
                <w:p w14:paraId="6926B22C">
                  <w:pPr>
                    <w:jc w:val="center"/>
                    <w:rPr>
                      <w:b/>
                      <w:szCs w:val="21"/>
                    </w:rPr>
                  </w:pPr>
                  <w:r>
                    <w:rPr>
                      <w:b/>
                      <w:szCs w:val="21"/>
                    </w:rPr>
                    <w:t>产排污环节</w:t>
                  </w:r>
                </w:p>
              </w:tc>
              <w:tc>
                <w:tcPr>
                  <w:tcW w:w="2278" w:type="dxa"/>
                  <w:vAlign w:val="center"/>
                </w:tcPr>
                <w:p w14:paraId="74D216F6">
                  <w:pPr>
                    <w:jc w:val="center"/>
                    <w:rPr>
                      <w:b/>
                      <w:szCs w:val="21"/>
                    </w:rPr>
                  </w:pPr>
                  <w:r>
                    <w:rPr>
                      <w:b/>
                      <w:szCs w:val="21"/>
                    </w:rPr>
                    <w:t>主要污染物</w:t>
                  </w:r>
                </w:p>
              </w:tc>
              <w:tc>
                <w:tcPr>
                  <w:tcW w:w="2351" w:type="dxa"/>
                  <w:vAlign w:val="center"/>
                </w:tcPr>
                <w:p w14:paraId="55C0011E">
                  <w:pPr>
                    <w:jc w:val="center"/>
                    <w:rPr>
                      <w:b/>
                      <w:szCs w:val="21"/>
                    </w:rPr>
                  </w:pPr>
                  <w:r>
                    <w:rPr>
                      <w:rFonts w:hint="eastAsia"/>
                      <w:b/>
                      <w:szCs w:val="21"/>
                    </w:rPr>
                    <w:t>拟处理措施</w:t>
                  </w:r>
                </w:p>
              </w:tc>
              <w:tc>
                <w:tcPr>
                  <w:tcW w:w="761" w:type="dxa"/>
                  <w:vAlign w:val="center"/>
                </w:tcPr>
                <w:p w14:paraId="4DC8FDF0">
                  <w:pPr>
                    <w:jc w:val="center"/>
                    <w:rPr>
                      <w:b/>
                      <w:szCs w:val="21"/>
                    </w:rPr>
                  </w:pPr>
                  <w:r>
                    <w:rPr>
                      <w:rFonts w:hint="eastAsia"/>
                      <w:b/>
                      <w:szCs w:val="21"/>
                    </w:rPr>
                    <w:t>排放方式</w:t>
                  </w:r>
                </w:p>
              </w:tc>
            </w:tr>
            <w:tr w14:paraId="09828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81" w:type="dxa"/>
                  <w:vMerge w:val="restart"/>
                  <w:vAlign w:val="center"/>
                </w:tcPr>
                <w:p w14:paraId="7D59CDB8">
                  <w:pPr>
                    <w:jc w:val="center"/>
                    <w:rPr>
                      <w:szCs w:val="21"/>
                    </w:rPr>
                  </w:pPr>
                  <w:r>
                    <w:rPr>
                      <w:rFonts w:hint="eastAsia"/>
                      <w:szCs w:val="21"/>
                    </w:rPr>
                    <w:t>废气</w:t>
                  </w:r>
                </w:p>
              </w:tc>
              <w:tc>
                <w:tcPr>
                  <w:tcW w:w="780" w:type="dxa"/>
                  <w:vAlign w:val="center"/>
                </w:tcPr>
                <w:p w14:paraId="4AA9E329">
                  <w:pPr>
                    <w:jc w:val="center"/>
                    <w:rPr>
                      <w:szCs w:val="21"/>
                    </w:rPr>
                  </w:pPr>
                  <w:r>
                    <w:rPr>
                      <w:rFonts w:hint="eastAsia"/>
                      <w:szCs w:val="21"/>
                    </w:rPr>
                    <w:t>G1</w:t>
                  </w:r>
                </w:p>
              </w:tc>
              <w:tc>
                <w:tcPr>
                  <w:tcW w:w="1536" w:type="dxa"/>
                  <w:vAlign w:val="center"/>
                </w:tcPr>
                <w:p w14:paraId="4EFDFA91">
                  <w:pPr>
                    <w:jc w:val="center"/>
                    <w:rPr>
                      <w:szCs w:val="21"/>
                    </w:rPr>
                  </w:pPr>
                  <w:r>
                    <w:rPr>
                      <w:rFonts w:hint="eastAsia" w:ascii="Times New Roman" w:hAnsi="Times New Roman" w:cs="Times New Roman"/>
                      <w:szCs w:val="21"/>
                      <w:lang w:val="en-US" w:eastAsia="zh-CN"/>
                    </w:rPr>
                    <w:t>发泡废气</w:t>
                  </w:r>
                </w:p>
              </w:tc>
              <w:tc>
                <w:tcPr>
                  <w:tcW w:w="2278" w:type="dxa"/>
                  <w:vAlign w:val="center"/>
                </w:tcPr>
                <w:p w14:paraId="23D962EE">
                  <w:pPr>
                    <w:jc w:val="center"/>
                    <w:rPr>
                      <w:rFonts w:hint="default" w:eastAsia="宋体"/>
                      <w:szCs w:val="21"/>
                      <w:lang w:val="en-US" w:eastAsia="zh-CN"/>
                    </w:rPr>
                  </w:pPr>
                  <w:r>
                    <w:rPr>
                      <w:rFonts w:hint="default" w:ascii="Times New Roman" w:hAnsi="Times New Roman" w:eastAsia="宋体" w:cs="Times New Roman"/>
                      <w:color w:val="auto"/>
                      <w:sz w:val="21"/>
                      <w:szCs w:val="21"/>
                    </w:rPr>
                    <w:t>非甲烷总烃</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eastAsia="zh-CN"/>
                    </w:rPr>
                    <w:t>PAPI</w:t>
                  </w:r>
                </w:p>
              </w:tc>
              <w:tc>
                <w:tcPr>
                  <w:tcW w:w="2351" w:type="dxa"/>
                  <w:vMerge w:val="restart"/>
                  <w:vAlign w:val="center"/>
                </w:tcPr>
                <w:p w14:paraId="4C57ED25">
                  <w:pPr>
                    <w:jc w:val="center"/>
                    <w:rPr>
                      <w:rFonts w:hint="default" w:eastAsia="宋体"/>
                      <w:szCs w:val="21"/>
                      <w:lang w:val="en-US" w:eastAsia="zh-CN"/>
                    </w:rPr>
                  </w:pPr>
                  <w:r>
                    <w:rPr>
                      <w:rFonts w:hint="default" w:ascii="Times New Roman" w:hAnsi="Times New Roman" w:eastAsia="宋体" w:cs="Times New Roman"/>
                      <w:color w:val="auto"/>
                      <w:sz w:val="21"/>
                      <w:szCs w:val="21"/>
                      <w:lang w:eastAsia="zh-CN"/>
                    </w:rPr>
                    <w:t>密闭收集后进入两级活性炭吸附装置处理后由15米高排气筒（DA00</w:t>
                  </w:r>
                  <w:r>
                    <w:rPr>
                      <w:rFonts w:hint="eastAsia"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）排放</w:t>
                  </w:r>
                </w:p>
              </w:tc>
              <w:tc>
                <w:tcPr>
                  <w:tcW w:w="761" w:type="dxa"/>
                  <w:vAlign w:val="center"/>
                </w:tcPr>
                <w:p w14:paraId="3968B8EB">
                  <w:pPr>
                    <w:jc w:val="center"/>
                    <w:rPr>
                      <w:szCs w:val="21"/>
                    </w:rPr>
                  </w:pPr>
                  <w:r>
                    <w:rPr>
                      <w:rFonts w:hint="eastAsia"/>
                      <w:szCs w:val="21"/>
                    </w:rPr>
                    <w:t>间歇</w:t>
                  </w:r>
                </w:p>
              </w:tc>
            </w:tr>
            <w:tr w14:paraId="2AD7D5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29739AFA">
                  <w:pPr>
                    <w:jc w:val="center"/>
                    <w:rPr>
                      <w:rFonts w:hint="eastAsia"/>
                      <w:szCs w:val="21"/>
                    </w:rPr>
                  </w:pPr>
                </w:p>
              </w:tc>
              <w:tc>
                <w:tcPr>
                  <w:tcW w:w="780" w:type="dxa"/>
                  <w:vAlign w:val="center"/>
                </w:tcPr>
                <w:p w14:paraId="1A8377B1">
                  <w:pPr>
                    <w:jc w:val="center"/>
                    <w:rPr>
                      <w:rFonts w:hint="eastAsia" w:ascii="Times New Roman" w:hAnsi="Times New Roman" w:cs="Times New Roman"/>
                      <w:szCs w:val="21"/>
                    </w:rPr>
                  </w:pPr>
                  <w:r>
                    <w:rPr>
                      <w:rFonts w:hint="eastAsia" w:ascii="Times New Roman" w:hAnsi="Times New Roman" w:cs="Times New Roman"/>
                      <w:szCs w:val="21"/>
                      <w:lang w:val="en-US" w:eastAsia="zh-CN"/>
                    </w:rPr>
                    <w:t>G2</w:t>
                  </w:r>
                </w:p>
              </w:tc>
              <w:tc>
                <w:tcPr>
                  <w:tcW w:w="1536" w:type="dxa"/>
                  <w:vAlign w:val="center"/>
                </w:tcPr>
                <w:p w14:paraId="4F271441">
                  <w:pPr>
                    <w:jc w:val="center"/>
                    <w:rPr>
                      <w:rFonts w:hint="eastAsia" w:ascii="Times New Roman" w:hAnsi="Times New Roman" w:cs="Times New Roman"/>
                      <w:szCs w:val="21"/>
                    </w:rPr>
                  </w:pPr>
                  <w:r>
                    <w:rPr>
                      <w:rFonts w:hint="eastAsia" w:cs="Times New Roman"/>
                      <w:szCs w:val="21"/>
                      <w:lang w:val="en-US" w:eastAsia="zh-CN"/>
                    </w:rPr>
                    <w:t>脱模</w:t>
                  </w:r>
                  <w:r>
                    <w:rPr>
                      <w:rFonts w:hint="eastAsia" w:ascii="Times New Roman" w:hAnsi="Times New Roman" w:cs="Times New Roman"/>
                      <w:szCs w:val="21"/>
                      <w:lang w:val="en-US" w:eastAsia="zh-CN"/>
                    </w:rPr>
                    <w:t>废气</w:t>
                  </w:r>
                </w:p>
              </w:tc>
              <w:tc>
                <w:tcPr>
                  <w:tcW w:w="2278" w:type="dxa"/>
                  <w:vAlign w:val="center"/>
                </w:tcPr>
                <w:p w14:paraId="7C4C4459">
                  <w:pPr>
                    <w:jc w:val="center"/>
                    <w:rPr>
                      <w:rFonts w:hint="eastAsia"/>
                      <w:szCs w:val="21"/>
                    </w:rPr>
                  </w:pPr>
                  <w:r>
                    <w:rPr>
                      <w:rFonts w:hint="default" w:ascii="Times New Roman" w:hAnsi="Times New Roman" w:eastAsia="宋体" w:cs="Times New Roman"/>
                      <w:color w:val="auto"/>
                      <w:sz w:val="21"/>
                      <w:szCs w:val="21"/>
                    </w:rPr>
                    <w:t>非甲烷总烃</w:t>
                  </w:r>
                </w:p>
              </w:tc>
              <w:tc>
                <w:tcPr>
                  <w:tcW w:w="2351" w:type="dxa"/>
                  <w:vMerge w:val="continue"/>
                  <w:vAlign w:val="center"/>
                </w:tcPr>
                <w:p w14:paraId="6CEAD0AC">
                  <w:pPr>
                    <w:jc w:val="center"/>
                    <w:rPr>
                      <w:rFonts w:hint="eastAsia"/>
                      <w:szCs w:val="21"/>
                    </w:rPr>
                  </w:pPr>
                </w:p>
              </w:tc>
              <w:tc>
                <w:tcPr>
                  <w:tcW w:w="761" w:type="dxa"/>
                  <w:vAlign w:val="center"/>
                </w:tcPr>
                <w:p w14:paraId="5B5DA788">
                  <w:pPr>
                    <w:jc w:val="center"/>
                    <w:rPr>
                      <w:rFonts w:hint="eastAsia"/>
                      <w:szCs w:val="21"/>
                    </w:rPr>
                  </w:pPr>
                  <w:r>
                    <w:rPr>
                      <w:rFonts w:hint="eastAsia"/>
                      <w:szCs w:val="21"/>
                    </w:rPr>
                    <w:t>间歇</w:t>
                  </w:r>
                </w:p>
              </w:tc>
            </w:tr>
            <w:tr w14:paraId="755DFF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353EFF87">
                  <w:pPr>
                    <w:jc w:val="center"/>
                    <w:rPr>
                      <w:rFonts w:hint="eastAsia"/>
                      <w:szCs w:val="21"/>
                    </w:rPr>
                  </w:pPr>
                </w:p>
              </w:tc>
              <w:tc>
                <w:tcPr>
                  <w:tcW w:w="780" w:type="dxa"/>
                  <w:vAlign w:val="center"/>
                </w:tcPr>
                <w:p w14:paraId="3AD5B7A8">
                  <w:pPr>
                    <w:jc w:val="center"/>
                    <w:rPr>
                      <w:rFonts w:hint="default"/>
                      <w:szCs w:val="21"/>
                      <w:lang w:val="en-US"/>
                    </w:rPr>
                  </w:pPr>
                  <w:r>
                    <w:rPr>
                      <w:rFonts w:hint="eastAsia" w:ascii="Times New Roman" w:hAnsi="Times New Roman" w:cs="Times New Roman"/>
                      <w:szCs w:val="21"/>
                      <w:lang w:val="en-US" w:eastAsia="zh-CN"/>
                    </w:rPr>
                    <w:t>G3</w:t>
                  </w:r>
                </w:p>
              </w:tc>
              <w:tc>
                <w:tcPr>
                  <w:tcW w:w="1536" w:type="dxa"/>
                  <w:vAlign w:val="center"/>
                </w:tcPr>
                <w:p w14:paraId="2BDCD4E6">
                  <w:pPr>
                    <w:jc w:val="center"/>
                    <w:rPr>
                      <w:rFonts w:hint="eastAsia"/>
                      <w:szCs w:val="21"/>
                    </w:rPr>
                  </w:pPr>
                  <w:r>
                    <w:rPr>
                      <w:rFonts w:hint="eastAsia"/>
                      <w:szCs w:val="21"/>
                      <w:lang w:val="en-US" w:eastAsia="zh-CN"/>
                    </w:rPr>
                    <w:t>喷胶固化废气</w:t>
                  </w:r>
                </w:p>
              </w:tc>
              <w:tc>
                <w:tcPr>
                  <w:tcW w:w="2278" w:type="dxa"/>
                  <w:vAlign w:val="center"/>
                </w:tcPr>
                <w:p w14:paraId="5FCE800A">
                  <w:pPr>
                    <w:jc w:val="center"/>
                    <w:rPr>
                      <w:rFonts w:hint="eastAsia"/>
                      <w:szCs w:val="21"/>
                    </w:rPr>
                  </w:pPr>
                  <w:r>
                    <w:rPr>
                      <w:rFonts w:hint="eastAsia" w:ascii="Times New Roman" w:hAnsi="Times New Roman" w:eastAsia="宋体" w:cs="Times New Roman"/>
                      <w:color w:val="auto"/>
                      <w:sz w:val="21"/>
                      <w:szCs w:val="21"/>
                      <w:lang w:val="en-US" w:eastAsia="zh-CN"/>
                    </w:rPr>
                    <w:t>非甲烷总烃、颗粒物</w:t>
                  </w:r>
                </w:p>
              </w:tc>
              <w:tc>
                <w:tcPr>
                  <w:tcW w:w="2351" w:type="dxa"/>
                  <w:vAlign w:val="center"/>
                </w:tcPr>
                <w:p w14:paraId="30E6AC04">
                  <w:pPr>
                    <w:jc w:val="center"/>
                    <w:rPr>
                      <w:rFonts w:hint="eastAsia"/>
                      <w:szCs w:val="21"/>
                    </w:rPr>
                  </w:pPr>
                  <w:r>
                    <w:rPr>
                      <w:rFonts w:hint="default" w:ascii="Times New Roman" w:hAnsi="Times New Roman" w:cs="Times New Roman"/>
                      <w:bCs/>
                      <w:color w:val="auto"/>
                      <w:sz w:val="21"/>
                      <w:szCs w:val="21"/>
                      <w:lang w:val="en-US" w:eastAsia="zh-CN"/>
                    </w:rPr>
                    <w:t>集气罩收集后经</w:t>
                  </w:r>
                  <w:r>
                    <w:rPr>
                      <w:rFonts w:hint="eastAsia" w:ascii="Times New Roman" w:hAnsi="Times New Roman" w:cs="Times New Roman"/>
                      <w:bCs/>
                      <w:color w:val="auto"/>
                      <w:sz w:val="21"/>
                      <w:szCs w:val="21"/>
                      <w:lang w:val="en-US" w:eastAsia="zh-CN"/>
                    </w:rPr>
                    <w:t>“过滤棉+二级活性炭吸附装置”</w:t>
                  </w:r>
                  <w:r>
                    <w:rPr>
                      <w:rFonts w:hint="default" w:ascii="Times New Roman" w:hAnsi="Times New Roman" w:cs="Times New Roman"/>
                      <w:bCs/>
                      <w:color w:val="auto"/>
                      <w:sz w:val="21"/>
                      <w:szCs w:val="21"/>
                      <w:lang w:val="en-US" w:eastAsia="zh-CN"/>
                    </w:rPr>
                    <w:t>处理</w:t>
                  </w:r>
                  <w:r>
                    <w:rPr>
                      <w:rFonts w:hint="eastAsia" w:ascii="Times New Roman" w:hAnsi="Times New Roman" w:cs="Times New Roman"/>
                      <w:bCs/>
                      <w:color w:val="auto"/>
                      <w:sz w:val="21"/>
                      <w:szCs w:val="21"/>
                      <w:lang w:val="en-US" w:eastAsia="zh-CN"/>
                    </w:rPr>
                    <w:t>+15m高排气筒（DA002）</w:t>
                  </w:r>
                </w:p>
              </w:tc>
              <w:tc>
                <w:tcPr>
                  <w:tcW w:w="761" w:type="dxa"/>
                  <w:vAlign w:val="center"/>
                </w:tcPr>
                <w:p w14:paraId="0CB016B8">
                  <w:pPr>
                    <w:jc w:val="center"/>
                    <w:rPr>
                      <w:rFonts w:hint="eastAsia"/>
                      <w:szCs w:val="21"/>
                    </w:rPr>
                  </w:pPr>
                  <w:r>
                    <w:rPr>
                      <w:rFonts w:hint="eastAsia"/>
                      <w:szCs w:val="21"/>
                    </w:rPr>
                    <w:t>间歇</w:t>
                  </w:r>
                </w:p>
              </w:tc>
            </w:tr>
            <w:tr w14:paraId="6D34D0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Align w:val="center"/>
                </w:tcPr>
                <w:p w14:paraId="33660629">
                  <w:pPr>
                    <w:jc w:val="center"/>
                    <w:rPr>
                      <w:szCs w:val="21"/>
                    </w:rPr>
                  </w:pPr>
                  <w:r>
                    <w:rPr>
                      <w:rFonts w:hint="eastAsia"/>
                      <w:szCs w:val="21"/>
                    </w:rPr>
                    <w:t>废水</w:t>
                  </w:r>
                </w:p>
              </w:tc>
              <w:tc>
                <w:tcPr>
                  <w:tcW w:w="780" w:type="dxa"/>
                  <w:vAlign w:val="center"/>
                </w:tcPr>
                <w:p w14:paraId="648AEE10">
                  <w:pPr>
                    <w:jc w:val="center"/>
                    <w:rPr>
                      <w:szCs w:val="21"/>
                    </w:rPr>
                  </w:pPr>
                  <w:r>
                    <w:rPr>
                      <w:rFonts w:hint="eastAsia"/>
                      <w:szCs w:val="21"/>
                    </w:rPr>
                    <w:t>生活污水</w:t>
                  </w:r>
                </w:p>
              </w:tc>
              <w:tc>
                <w:tcPr>
                  <w:tcW w:w="1536" w:type="dxa"/>
                  <w:vAlign w:val="center"/>
                </w:tcPr>
                <w:p w14:paraId="758D4E31">
                  <w:pPr>
                    <w:jc w:val="center"/>
                    <w:rPr>
                      <w:szCs w:val="21"/>
                    </w:rPr>
                  </w:pPr>
                  <w:r>
                    <w:rPr>
                      <w:rFonts w:hint="eastAsia"/>
                      <w:szCs w:val="21"/>
                    </w:rPr>
                    <w:t>员工生活</w:t>
                  </w:r>
                </w:p>
              </w:tc>
              <w:tc>
                <w:tcPr>
                  <w:tcW w:w="2278" w:type="dxa"/>
                  <w:vAlign w:val="center"/>
                </w:tcPr>
                <w:p w14:paraId="717BBC7F">
                  <w:pPr>
                    <w:jc w:val="center"/>
                    <w:rPr>
                      <w:szCs w:val="21"/>
                    </w:rPr>
                  </w:pPr>
                  <w:r>
                    <w:rPr>
                      <w:rFonts w:hint="eastAsia"/>
                      <w:bCs/>
                      <w:szCs w:val="21"/>
                    </w:rPr>
                    <w:t>pH、</w:t>
                  </w:r>
                  <w:r>
                    <w:rPr>
                      <w:bCs/>
                      <w:szCs w:val="21"/>
                    </w:rPr>
                    <w:t>COD</w:t>
                  </w:r>
                  <w:r>
                    <w:rPr>
                      <w:rFonts w:hAnsi="宋体"/>
                      <w:bCs/>
                      <w:szCs w:val="21"/>
                    </w:rPr>
                    <w:t>、</w:t>
                  </w:r>
                  <w:r>
                    <w:rPr>
                      <w:bCs/>
                      <w:szCs w:val="21"/>
                    </w:rPr>
                    <w:t>BOD</w:t>
                  </w:r>
                  <w:r>
                    <w:rPr>
                      <w:bCs/>
                      <w:szCs w:val="21"/>
                      <w:vertAlign w:val="subscript"/>
                    </w:rPr>
                    <w:t>5</w:t>
                  </w:r>
                  <w:r>
                    <w:rPr>
                      <w:rFonts w:hAnsi="宋体"/>
                      <w:bCs/>
                      <w:szCs w:val="21"/>
                    </w:rPr>
                    <w:t>、</w:t>
                  </w:r>
                  <w:r>
                    <w:rPr>
                      <w:bCs/>
                      <w:szCs w:val="21"/>
                    </w:rPr>
                    <w:t>SS</w:t>
                  </w:r>
                  <w:r>
                    <w:rPr>
                      <w:rFonts w:hAnsi="宋体"/>
                      <w:bCs/>
                      <w:szCs w:val="21"/>
                    </w:rPr>
                    <w:t>、</w:t>
                  </w:r>
                  <w:r>
                    <w:rPr>
                      <w:bCs/>
                      <w:szCs w:val="21"/>
                    </w:rPr>
                    <w:t>NH</w:t>
                  </w:r>
                  <w:r>
                    <w:rPr>
                      <w:bCs/>
                      <w:szCs w:val="21"/>
                      <w:vertAlign w:val="subscript"/>
                    </w:rPr>
                    <w:t>3</w:t>
                  </w:r>
                  <w:r>
                    <w:rPr>
                      <w:bCs/>
                      <w:szCs w:val="21"/>
                    </w:rPr>
                    <w:t>-N</w:t>
                  </w:r>
                </w:p>
              </w:tc>
              <w:tc>
                <w:tcPr>
                  <w:tcW w:w="2351" w:type="dxa"/>
                  <w:vAlign w:val="center"/>
                </w:tcPr>
                <w:p w14:paraId="6D5AB3DE">
                  <w:pPr>
                    <w:jc w:val="center"/>
                    <w:rPr>
                      <w:bCs/>
                      <w:szCs w:val="21"/>
                    </w:rPr>
                  </w:pPr>
                  <w:r>
                    <w:rPr>
                      <w:rFonts w:hint="eastAsia"/>
                      <w:bCs/>
                      <w:szCs w:val="21"/>
                    </w:rPr>
                    <w:t>化粪池+市政管网</w:t>
                  </w:r>
                </w:p>
              </w:tc>
              <w:tc>
                <w:tcPr>
                  <w:tcW w:w="761" w:type="dxa"/>
                  <w:vAlign w:val="center"/>
                </w:tcPr>
                <w:p w14:paraId="5CE96C96">
                  <w:pPr>
                    <w:jc w:val="center"/>
                    <w:rPr>
                      <w:bCs/>
                      <w:szCs w:val="21"/>
                    </w:rPr>
                  </w:pPr>
                  <w:r>
                    <w:rPr>
                      <w:rFonts w:hint="eastAsia"/>
                      <w:szCs w:val="21"/>
                    </w:rPr>
                    <w:t>间歇</w:t>
                  </w:r>
                </w:p>
              </w:tc>
            </w:tr>
            <w:tr w14:paraId="79A66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restart"/>
                  <w:vAlign w:val="center"/>
                </w:tcPr>
                <w:p w14:paraId="5FD77150">
                  <w:pPr>
                    <w:jc w:val="center"/>
                    <w:rPr>
                      <w:szCs w:val="21"/>
                    </w:rPr>
                  </w:pPr>
                </w:p>
              </w:tc>
              <w:tc>
                <w:tcPr>
                  <w:tcW w:w="780" w:type="dxa"/>
                  <w:vAlign w:val="center"/>
                </w:tcPr>
                <w:p w14:paraId="3A1C0CBB">
                  <w:pPr>
                    <w:jc w:val="center"/>
                    <w:rPr>
                      <w:szCs w:val="21"/>
                    </w:rPr>
                  </w:pPr>
                  <w:r>
                    <w:rPr>
                      <w:rFonts w:hint="eastAsia"/>
                      <w:szCs w:val="21"/>
                    </w:rPr>
                    <w:t>S1</w:t>
                  </w:r>
                </w:p>
              </w:tc>
              <w:tc>
                <w:tcPr>
                  <w:tcW w:w="1536" w:type="dxa"/>
                  <w:shd w:val="clear" w:color="auto" w:fill="auto"/>
                  <w:vAlign w:val="center"/>
                </w:tcPr>
                <w:p w14:paraId="1A702BC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设备维护</w:t>
                  </w:r>
                </w:p>
              </w:tc>
              <w:tc>
                <w:tcPr>
                  <w:tcW w:w="2278" w:type="dxa"/>
                  <w:shd w:val="clear" w:color="auto" w:fill="auto"/>
                  <w:vAlign w:val="center"/>
                </w:tcPr>
                <w:p w14:paraId="18CD43E4">
                  <w:pPr>
                    <w:jc w:val="center"/>
                    <w:rPr>
                      <w:rFonts w:hint="eastAsia" w:ascii="Times New Roman" w:hAnsi="Times New Roman" w:eastAsia="宋体" w:cs="Times New Roman"/>
                      <w:kern w:val="2"/>
                      <w:sz w:val="21"/>
                      <w:szCs w:val="21"/>
                      <w:lang w:val="en-US" w:eastAsia="zh-CN" w:bidi="ar-SA"/>
                    </w:rPr>
                  </w:pPr>
                  <w:r>
                    <w:rPr>
                      <w:rFonts w:hint="eastAsia"/>
                      <w:szCs w:val="21"/>
                    </w:rPr>
                    <w:t>废</w:t>
                  </w:r>
                  <w:r>
                    <w:rPr>
                      <w:rFonts w:hint="eastAsia"/>
                      <w:szCs w:val="21"/>
                      <w:lang w:val="en-US" w:eastAsia="zh-CN"/>
                    </w:rPr>
                    <w:t>脱模剂</w:t>
                  </w:r>
                </w:p>
              </w:tc>
              <w:tc>
                <w:tcPr>
                  <w:tcW w:w="2351" w:type="dxa"/>
                  <w:vAlign w:val="center"/>
                </w:tcPr>
                <w:p w14:paraId="51F79859">
                  <w:pPr>
                    <w:jc w:val="center"/>
                    <w:rPr>
                      <w:rFonts w:hint="default" w:eastAsia="宋体"/>
                      <w:szCs w:val="21"/>
                      <w:lang w:val="en-US" w:eastAsia="zh-CN"/>
                    </w:rPr>
                  </w:pPr>
                  <w:r>
                    <w:rPr>
                      <w:rFonts w:hint="eastAsia"/>
                      <w:szCs w:val="21"/>
                    </w:rPr>
                    <w:t>交由有资质的单位定期处置</w:t>
                  </w:r>
                </w:p>
              </w:tc>
              <w:tc>
                <w:tcPr>
                  <w:tcW w:w="761" w:type="dxa"/>
                  <w:vAlign w:val="center"/>
                </w:tcPr>
                <w:p w14:paraId="1A384959">
                  <w:pPr>
                    <w:jc w:val="center"/>
                    <w:rPr>
                      <w:szCs w:val="21"/>
                    </w:rPr>
                  </w:pPr>
                  <w:r>
                    <w:rPr>
                      <w:rFonts w:hint="eastAsia"/>
                      <w:szCs w:val="21"/>
                    </w:rPr>
                    <w:t>间歇</w:t>
                  </w:r>
                </w:p>
              </w:tc>
            </w:tr>
            <w:tr w14:paraId="737A71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0D827004">
                  <w:pPr>
                    <w:jc w:val="center"/>
                    <w:rPr>
                      <w:szCs w:val="21"/>
                    </w:rPr>
                  </w:pPr>
                </w:p>
              </w:tc>
              <w:tc>
                <w:tcPr>
                  <w:tcW w:w="780" w:type="dxa"/>
                  <w:vAlign w:val="center"/>
                </w:tcPr>
                <w:p w14:paraId="3C812E1A">
                  <w:pPr>
                    <w:jc w:val="center"/>
                    <w:rPr>
                      <w:rFonts w:hint="eastAsia" w:eastAsia="宋体"/>
                      <w:szCs w:val="21"/>
                      <w:lang w:val="en-US" w:eastAsia="zh-CN"/>
                    </w:rPr>
                  </w:pPr>
                  <w:r>
                    <w:rPr>
                      <w:rFonts w:hint="eastAsia"/>
                      <w:szCs w:val="21"/>
                    </w:rPr>
                    <w:t>S</w:t>
                  </w:r>
                  <w:r>
                    <w:rPr>
                      <w:rFonts w:hint="eastAsia"/>
                      <w:szCs w:val="21"/>
                      <w:lang w:val="en-US" w:eastAsia="zh-CN"/>
                    </w:rPr>
                    <w:t>2</w:t>
                  </w:r>
                </w:p>
              </w:tc>
              <w:tc>
                <w:tcPr>
                  <w:tcW w:w="1536" w:type="dxa"/>
                  <w:shd w:val="clear" w:color="auto" w:fill="auto"/>
                  <w:vAlign w:val="center"/>
                </w:tcPr>
                <w:p w14:paraId="76B039E2">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发泡</w:t>
                  </w:r>
                </w:p>
              </w:tc>
              <w:tc>
                <w:tcPr>
                  <w:tcW w:w="2278" w:type="dxa"/>
                  <w:shd w:val="clear" w:color="auto" w:fill="auto"/>
                  <w:vAlign w:val="center"/>
                </w:tcPr>
                <w:p w14:paraId="05813DE2">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废发泡料</w:t>
                  </w:r>
                </w:p>
              </w:tc>
              <w:tc>
                <w:tcPr>
                  <w:tcW w:w="2351" w:type="dxa"/>
                  <w:vAlign w:val="center"/>
                </w:tcPr>
                <w:p w14:paraId="158572BA">
                  <w:pPr>
                    <w:jc w:val="center"/>
                    <w:rPr>
                      <w:szCs w:val="21"/>
                    </w:rPr>
                  </w:pPr>
                  <w:r>
                    <w:rPr>
                      <w:rFonts w:hint="eastAsia"/>
                      <w:szCs w:val="21"/>
                    </w:rPr>
                    <w:t>交由有资质的单位定期处置</w:t>
                  </w:r>
                </w:p>
              </w:tc>
              <w:tc>
                <w:tcPr>
                  <w:tcW w:w="761" w:type="dxa"/>
                  <w:vAlign w:val="center"/>
                </w:tcPr>
                <w:p w14:paraId="61161F01">
                  <w:pPr>
                    <w:jc w:val="center"/>
                    <w:rPr>
                      <w:szCs w:val="21"/>
                    </w:rPr>
                  </w:pPr>
                  <w:r>
                    <w:rPr>
                      <w:rFonts w:hint="eastAsia"/>
                      <w:szCs w:val="21"/>
                    </w:rPr>
                    <w:t>间歇</w:t>
                  </w:r>
                </w:p>
              </w:tc>
            </w:tr>
            <w:tr w14:paraId="31F13E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7A57F6C1">
                  <w:pPr>
                    <w:jc w:val="center"/>
                    <w:rPr>
                      <w:szCs w:val="21"/>
                    </w:rPr>
                  </w:pPr>
                </w:p>
              </w:tc>
              <w:tc>
                <w:tcPr>
                  <w:tcW w:w="780" w:type="dxa"/>
                  <w:shd w:val="clear" w:color="auto" w:fill="auto"/>
                  <w:vAlign w:val="center"/>
                </w:tcPr>
                <w:p w14:paraId="1A1C9ECE">
                  <w:pPr>
                    <w:jc w:val="center"/>
                    <w:rPr>
                      <w:rFonts w:hint="eastAsia" w:ascii="Times New Roman" w:hAnsi="Times New Roman" w:eastAsia="宋体" w:cs="Times New Roman"/>
                      <w:kern w:val="2"/>
                      <w:sz w:val="21"/>
                      <w:szCs w:val="21"/>
                      <w:lang w:val="en-US" w:eastAsia="zh-CN" w:bidi="ar-SA"/>
                    </w:rPr>
                  </w:pPr>
                  <w:r>
                    <w:rPr>
                      <w:rFonts w:hint="eastAsia"/>
                      <w:szCs w:val="21"/>
                    </w:rPr>
                    <w:t>S</w:t>
                  </w:r>
                  <w:r>
                    <w:rPr>
                      <w:rFonts w:hint="eastAsia"/>
                      <w:szCs w:val="21"/>
                      <w:lang w:val="en-US" w:eastAsia="zh-CN"/>
                    </w:rPr>
                    <w:t>3</w:t>
                  </w:r>
                </w:p>
              </w:tc>
              <w:tc>
                <w:tcPr>
                  <w:tcW w:w="1536" w:type="dxa"/>
                  <w:shd w:val="clear" w:color="auto" w:fill="auto"/>
                  <w:vAlign w:val="center"/>
                </w:tcPr>
                <w:p w14:paraId="7181F6C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废料收集</w:t>
                  </w:r>
                </w:p>
              </w:tc>
              <w:tc>
                <w:tcPr>
                  <w:tcW w:w="2278" w:type="dxa"/>
                  <w:shd w:val="clear" w:color="auto" w:fill="auto"/>
                  <w:vAlign w:val="center"/>
                </w:tcPr>
                <w:p w14:paraId="370FFBEE">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废</w:t>
                  </w:r>
                  <w:r>
                    <w:rPr>
                      <w:rFonts w:hint="eastAsia" w:cs="Times New Roman"/>
                      <w:kern w:val="2"/>
                      <w:sz w:val="21"/>
                      <w:szCs w:val="21"/>
                      <w:lang w:val="en-US" w:eastAsia="zh-CN" w:bidi="ar-SA"/>
                    </w:rPr>
                    <w:t>边角料</w:t>
                  </w:r>
                </w:p>
              </w:tc>
              <w:tc>
                <w:tcPr>
                  <w:tcW w:w="2351" w:type="dxa"/>
                  <w:vMerge w:val="restart"/>
                  <w:vAlign w:val="center"/>
                </w:tcPr>
                <w:p w14:paraId="3B29113B">
                  <w:pPr>
                    <w:jc w:val="center"/>
                    <w:rPr>
                      <w:szCs w:val="21"/>
                    </w:rPr>
                  </w:pPr>
                  <w:r>
                    <w:rPr>
                      <w:rFonts w:hint="eastAsia"/>
                      <w:szCs w:val="21"/>
                    </w:rPr>
                    <w:t>收集后</w:t>
                  </w:r>
                  <w:r>
                    <w:rPr>
                      <w:rFonts w:hint="eastAsia"/>
                      <w:szCs w:val="21"/>
                      <w:lang w:val="en-US" w:eastAsia="zh-CN"/>
                    </w:rPr>
                    <w:t>交由物资回收单位处置</w:t>
                  </w:r>
                </w:p>
              </w:tc>
              <w:tc>
                <w:tcPr>
                  <w:tcW w:w="761" w:type="dxa"/>
                  <w:vAlign w:val="center"/>
                </w:tcPr>
                <w:p w14:paraId="03A09816">
                  <w:pPr>
                    <w:jc w:val="center"/>
                    <w:rPr>
                      <w:rFonts w:hint="eastAsia"/>
                      <w:szCs w:val="21"/>
                    </w:rPr>
                  </w:pPr>
                  <w:r>
                    <w:rPr>
                      <w:rFonts w:hint="eastAsia"/>
                      <w:szCs w:val="21"/>
                    </w:rPr>
                    <w:t>间歇</w:t>
                  </w:r>
                </w:p>
              </w:tc>
            </w:tr>
            <w:tr w14:paraId="749E47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0408FAC2">
                  <w:pPr>
                    <w:jc w:val="center"/>
                    <w:rPr>
                      <w:szCs w:val="21"/>
                    </w:rPr>
                  </w:pPr>
                </w:p>
              </w:tc>
              <w:tc>
                <w:tcPr>
                  <w:tcW w:w="780" w:type="dxa"/>
                  <w:shd w:val="clear" w:color="auto" w:fill="auto"/>
                  <w:vAlign w:val="center"/>
                </w:tcPr>
                <w:p w14:paraId="7177B32A">
                  <w:pPr>
                    <w:jc w:val="center"/>
                    <w:rPr>
                      <w:rFonts w:ascii="Times New Roman" w:hAnsi="Times New Roman" w:eastAsia="宋体" w:cs="Times New Roman"/>
                      <w:kern w:val="2"/>
                      <w:sz w:val="21"/>
                      <w:szCs w:val="21"/>
                      <w:lang w:val="en-US" w:eastAsia="zh-CN" w:bidi="ar-SA"/>
                    </w:rPr>
                  </w:pPr>
                  <w:r>
                    <w:rPr>
                      <w:rFonts w:hint="eastAsia"/>
                      <w:szCs w:val="21"/>
                    </w:rPr>
                    <w:t>S4</w:t>
                  </w:r>
                </w:p>
              </w:tc>
              <w:tc>
                <w:tcPr>
                  <w:tcW w:w="1536" w:type="dxa"/>
                  <w:shd w:val="clear" w:color="auto" w:fill="auto"/>
                  <w:vAlign w:val="center"/>
                </w:tcPr>
                <w:p w14:paraId="2DCE481F">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检验</w:t>
                  </w:r>
                </w:p>
              </w:tc>
              <w:tc>
                <w:tcPr>
                  <w:tcW w:w="2278" w:type="dxa"/>
                  <w:shd w:val="clear" w:color="auto" w:fill="auto"/>
                  <w:vAlign w:val="center"/>
                </w:tcPr>
                <w:p w14:paraId="4E3B79A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不合格品</w:t>
                  </w:r>
                </w:p>
              </w:tc>
              <w:tc>
                <w:tcPr>
                  <w:tcW w:w="2351" w:type="dxa"/>
                  <w:vMerge w:val="continue"/>
                  <w:tcBorders/>
                  <w:vAlign w:val="center"/>
                </w:tcPr>
                <w:p w14:paraId="044AD5D2">
                  <w:pPr>
                    <w:jc w:val="center"/>
                    <w:rPr>
                      <w:szCs w:val="21"/>
                    </w:rPr>
                  </w:pPr>
                </w:p>
              </w:tc>
              <w:tc>
                <w:tcPr>
                  <w:tcW w:w="761" w:type="dxa"/>
                  <w:vAlign w:val="center"/>
                </w:tcPr>
                <w:p w14:paraId="3F4760C4">
                  <w:pPr>
                    <w:jc w:val="center"/>
                    <w:rPr>
                      <w:szCs w:val="21"/>
                    </w:rPr>
                  </w:pPr>
                  <w:r>
                    <w:rPr>
                      <w:rFonts w:hint="eastAsia"/>
                      <w:szCs w:val="21"/>
                    </w:rPr>
                    <w:t>间歇</w:t>
                  </w:r>
                </w:p>
              </w:tc>
            </w:tr>
            <w:tr w14:paraId="56EC5D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5F697FE9">
                  <w:pPr>
                    <w:jc w:val="center"/>
                    <w:rPr>
                      <w:szCs w:val="21"/>
                    </w:rPr>
                  </w:pPr>
                </w:p>
              </w:tc>
              <w:tc>
                <w:tcPr>
                  <w:tcW w:w="780" w:type="dxa"/>
                  <w:shd w:val="clear" w:color="auto" w:fill="auto"/>
                  <w:vAlign w:val="center"/>
                </w:tcPr>
                <w:p w14:paraId="531E1211">
                  <w:pPr>
                    <w:jc w:val="center"/>
                    <w:rPr>
                      <w:rFonts w:ascii="Times New Roman" w:hAnsi="Times New Roman" w:eastAsia="宋体" w:cs="Times New Roman"/>
                      <w:kern w:val="2"/>
                      <w:sz w:val="21"/>
                      <w:szCs w:val="21"/>
                      <w:lang w:val="en-US" w:eastAsia="zh-CN" w:bidi="ar-SA"/>
                    </w:rPr>
                  </w:pPr>
                  <w:r>
                    <w:rPr>
                      <w:rFonts w:hint="eastAsia"/>
                      <w:szCs w:val="21"/>
                    </w:rPr>
                    <w:t>S5</w:t>
                  </w:r>
                </w:p>
              </w:tc>
              <w:tc>
                <w:tcPr>
                  <w:tcW w:w="1536" w:type="dxa"/>
                  <w:vAlign w:val="center"/>
                </w:tcPr>
                <w:p w14:paraId="421BAB09">
                  <w:pPr>
                    <w:jc w:val="center"/>
                    <w:rPr>
                      <w:szCs w:val="21"/>
                    </w:rPr>
                  </w:pPr>
                  <w:r>
                    <w:rPr>
                      <w:rFonts w:hint="eastAsia"/>
                      <w:szCs w:val="21"/>
                    </w:rPr>
                    <w:t>废气处理</w:t>
                  </w:r>
                </w:p>
              </w:tc>
              <w:tc>
                <w:tcPr>
                  <w:tcW w:w="2278" w:type="dxa"/>
                  <w:vAlign w:val="center"/>
                </w:tcPr>
                <w:p w14:paraId="3F7751AA">
                  <w:pPr>
                    <w:jc w:val="center"/>
                    <w:rPr>
                      <w:szCs w:val="21"/>
                    </w:rPr>
                  </w:pPr>
                  <w:r>
                    <w:rPr>
                      <w:rFonts w:hint="eastAsia"/>
                      <w:szCs w:val="21"/>
                    </w:rPr>
                    <w:t>废活性炭</w:t>
                  </w:r>
                </w:p>
              </w:tc>
              <w:tc>
                <w:tcPr>
                  <w:tcW w:w="2351" w:type="dxa"/>
                  <w:vMerge w:val="restart"/>
                  <w:vAlign w:val="center"/>
                </w:tcPr>
                <w:p w14:paraId="48EB3582">
                  <w:pPr>
                    <w:jc w:val="center"/>
                    <w:rPr>
                      <w:szCs w:val="21"/>
                    </w:rPr>
                  </w:pPr>
                  <w:r>
                    <w:rPr>
                      <w:rFonts w:hint="eastAsia"/>
                      <w:szCs w:val="21"/>
                    </w:rPr>
                    <w:t>交由有资质的单位定期处置</w:t>
                  </w:r>
                </w:p>
              </w:tc>
              <w:tc>
                <w:tcPr>
                  <w:tcW w:w="761" w:type="dxa"/>
                  <w:vAlign w:val="center"/>
                </w:tcPr>
                <w:p w14:paraId="2FEC4659">
                  <w:pPr>
                    <w:jc w:val="center"/>
                    <w:rPr>
                      <w:szCs w:val="21"/>
                    </w:rPr>
                  </w:pPr>
                  <w:r>
                    <w:rPr>
                      <w:rFonts w:hint="eastAsia"/>
                      <w:szCs w:val="21"/>
                    </w:rPr>
                    <w:t>间歇</w:t>
                  </w:r>
                </w:p>
              </w:tc>
            </w:tr>
            <w:tr w14:paraId="097A5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68692321">
                  <w:pPr>
                    <w:jc w:val="center"/>
                    <w:rPr>
                      <w:szCs w:val="21"/>
                    </w:rPr>
                  </w:pPr>
                </w:p>
              </w:tc>
              <w:tc>
                <w:tcPr>
                  <w:tcW w:w="780" w:type="dxa"/>
                  <w:shd w:val="clear" w:color="auto" w:fill="auto"/>
                  <w:vAlign w:val="center"/>
                </w:tcPr>
                <w:p w14:paraId="7EC3964F">
                  <w:pPr>
                    <w:jc w:val="center"/>
                    <w:rPr>
                      <w:rFonts w:hint="eastAsia" w:ascii="Times New Roman" w:hAnsi="Times New Roman" w:eastAsia="宋体" w:cs="Times New Roman"/>
                      <w:kern w:val="2"/>
                      <w:sz w:val="21"/>
                      <w:szCs w:val="21"/>
                      <w:lang w:val="en-US" w:eastAsia="zh-CN" w:bidi="ar-SA"/>
                    </w:rPr>
                  </w:pPr>
                  <w:r>
                    <w:rPr>
                      <w:rFonts w:hint="eastAsia"/>
                      <w:szCs w:val="21"/>
                    </w:rPr>
                    <w:t>S6</w:t>
                  </w:r>
                </w:p>
              </w:tc>
              <w:tc>
                <w:tcPr>
                  <w:tcW w:w="1536" w:type="dxa"/>
                  <w:vAlign w:val="center"/>
                </w:tcPr>
                <w:p w14:paraId="1498360A">
                  <w:pPr>
                    <w:jc w:val="center"/>
                    <w:rPr>
                      <w:rFonts w:hint="default" w:eastAsia="宋体"/>
                      <w:szCs w:val="21"/>
                      <w:lang w:val="en-US" w:eastAsia="zh-CN"/>
                    </w:rPr>
                  </w:pPr>
                  <w:r>
                    <w:rPr>
                      <w:rFonts w:hint="eastAsia"/>
                      <w:szCs w:val="21"/>
                    </w:rPr>
                    <w:t>废气处理</w:t>
                  </w:r>
                </w:p>
              </w:tc>
              <w:tc>
                <w:tcPr>
                  <w:tcW w:w="2278" w:type="dxa"/>
                  <w:vAlign w:val="center"/>
                </w:tcPr>
                <w:p w14:paraId="423B0301">
                  <w:pPr>
                    <w:jc w:val="center"/>
                    <w:rPr>
                      <w:rFonts w:hint="default" w:eastAsia="宋体"/>
                      <w:szCs w:val="21"/>
                      <w:lang w:val="en-US" w:eastAsia="zh-CN"/>
                    </w:rPr>
                  </w:pPr>
                  <w:r>
                    <w:rPr>
                      <w:rFonts w:hint="eastAsia"/>
                      <w:szCs w:val="21"/>
                      <w:lang w:val="en-US" w:eastAsia="zh-CN"/>
                    </w:rPr>
                    <w:t>废过滤棉</w:t>
                  </w:r>
                </w:p>
              </w:tc>
              <w:tc>
                <w:tcPr>
                  <w:tcW w:w="2351" w:type="dxa"/>
                  <w:vMerge w:val="continue"/>
                  <w:vAlign w:val="center"/>
                </w:tcPr>
                <w:p w14:paraId="79087ACC">
                  <w:pPr>
                    <w:jc w:val="center"/>
                    <w:rPr>
                      <w:rFonts w:hint="eastAsia"/>
                      <w:szCs w:val="21"/>
                    </w:rPr>
                  </w:pPr>
                </w:p>
              </w:tc>
              <w:tc>
                <w:tcPr>
                  <w:tcW w:w="761" w:type="dxa"/>
                  <w:vAlign w:val="center"/>
                </w:tcPr>
                <w:p w14:paraId="7C3B96A1">
                  <w:pPr>
                    <w:jc w:val="center"/>
                    <w:rPr>
                      <w:rFonts w:hint="eastAsia"/>
                      <w:szCs w:val="21"/>
                    </w:rPr>
                  </w:pPr>
                  <w:r>
                    <w:rPr>
                      <w:rFonts w:hint="eastAsia"/>
                      <w:szCs w:val="21"/>
                    </w:rPr>
                    <w:t>间歇</w:t>
                  </w:r>
                </w:p>
              </w:tc>
            </w:tr>
            <w:tr w14:paraId="46D3E3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61BBE242">
                  <w:pPr>
                    <w:jc w:val="center"/>
                    <w:rPr>
                      <w:szCs w:val="21"/>
                    </w:rPr>
                  </w:pPr>
                </w:p>
              </w:tc>
              <w:tc>
                <w:tcPr>
                  <w:tcW w:w="780" w:type="dxa"/>
                  <w:shd w:val="clear" w:color="auto" w:fill="auto"/>
                  <w:vAlign w:val="center"/>
                </w:tcPr>
                <w:p w14:paraId="5D0CC012">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S7</w:t>
                  </w:r>
                </w:p>
              </w:tc>
              <w:tc>
                <w:tcPr>
                  <w:tcW w:w="1536" w:type="dxa"/>
                  <w:vAlign w:val="center"/>
                </w:tcPr>
                <w:p w14:paraId="25FF98D3">
                  <w:pPr>
                    <w:jc w:val="center"/>
                    <w:rPr>
                      <w:rFonts w:hint="default" w:eastAsia="宋体"/>
                      <w:szCs w:val="21"/>
                      <w:lang w:val="en-US" w:eastAsia="zh-CN"/>
                    </w:rPr>
                  </w:pPr>
                  <w:r>
                    <w:rPr>
                      <w:rFonts w:hint="eastAsia"/>
                      <w:szCs w:val="21"/>
                      <w:lang w:val="en-US" w:eastAsia="zh-CN"/>
                    </w:rPr>
                    <w:t>工位清理</w:t>
                  </w:r>
                </w:p>
              </w:tc>
              <w:tc>
                <w:tcPr>
                  <w:tcW w:w="2278" w:type="dxa"/>
                  <w:vAlign w:val="center"/>
                </w:tcPr>
                <w:p w14:paraId="5C3228AC">
                  <w:pPr>
                    <w:jc w:val="center"/>
                    <w:rPr>
                      <w:rFonts w:hint="default"/>
                      <w:szCs w:val="21"/>
                      <w:lang w:val="en-US" w:eastAsia="zh-CN"/>
                    </w:rPr>
                  </w:pPr>
                  <w:r>
                    <w:rPr>
                      <w:rFonts w:hint="eastAsia"/>
                      <w:szCs w:val="21"/>
                      <w:lang w:val="en-US" w:eastAsia="zh-CN"/>
                    </w:rPr>
                    <w:t>废渣废液</w:t>
                  </w:r>
                </w:p>
              </w:tc>
              <w:tc>
                <w:tcPr>
                  <w:tcW w:w="2351" w:type="dxa"/>
                  <w:vMerge w:val="continue"/>
                  <w:vAlign w:val="center"/>
                </w:tcPr>
                <w:p w14:paraId="42028DD3">
                  <w:pPr>
                    <w:jc w:val="center"/>
                    <w:rPr>
                      <w:rFonts w:hint="eastAsia"/>
                      <w:szCs w:val="21"/>
                    </w:rPr>
                  </w:pPr>
                </w:p>
              </w:tc>
              <w:tc>
                <w:tcPr>
                  <w:tcW w:w="761" w:type="dxa"/>
                  <w:vAlign w:val="center"/>
                </w:tcPr>
                <w:p w14:paraId="42D28742">
                  <w:pPr>
                    <w:jc w:val="center"/>
                    <w:rPr>
                      <w:rFonts w:hint="eastAsia"/>
                      <w:szCs w:val="21"/>
                    </w:rPr>
                  </w:pPr>
                  <w:r>
                    <w:rPr>
                      <w:rFonts w:hint="eastAsia"/>
                      <w:szCs w:val="21"/>
                    </w:rPr>
                    <w:t>间歇</w:t>
                  </w:r>
                </w:p>
              </w:tc>
            </w:tr>
            <w:tr w14:paraId="0E1F4F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Merge w:val="continue"/>
                  <w:vAlign w:val="center"/>
                </w:tcPr>
                <w:p w14:paraId="1FDD5951">
                  <w:pPr>
                    <w:jc w:val="center"/>
                    <w:rPr>
                      <w:szCs w:val="21"/>
                    </w:rPr>
                  </w:pPr>
                </w:p>
              </w:tc>
              <w:tc>
                <w:tcPr>
                  <w:tcW w:w="780" w:type="dxa"/>
                  <w:shd w:val="clear"/>
                  <w:vAlign w:val="center"/>
                </w:tcPr>
                <w:p w14:paraId="36502C8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S8</w:t>
                  </w:r>
                </w:p>
              </w:tc>
              <w:tc>
                <w:tcPr>
                  <w:tcW w:w="1536" w:type="dxa"/>
                  <w:vAlign w:val="center"/>
                </w:tcPr>
                <w:p w14:paraId="46167CF4">
                  <w:pPr>
                    <w:jc w:val="center"/>
                    <w:rPr>
                      <w:szCs w:val="21"/>
                    </w:rPr>
                  </w:pPr>
                  <w:r>
                    <w:rPr>
                      <w:rFonts w:hint="eastAsia"/>
                      <w:szCs w:val="21"/>
                    </w:rPr>
                    <w:t>设备维修</w:t>
                  </w:r>
                </w:p>
              </w:tc>
              <w:tc>
                <w:tcPr>
                  <w:tcW w:w="2278" w:type="dxa"/>
                  <w:vAlign w:val="center"/>
                </w:tcPr>
                <w:p w14:paraId="024914AB">
                  <w:pPr>
                    <w:jc w:val="center"/>
                    <w:rPr>
                      <w:szCs w:val="21"/>
                    </w:rPr>
                  </w:pPr>
                  <w:r>
                    <w:rPr>
                      <w:rFonts w:hint="eastAsia"/>
                      <w:szCs w:val="21"/>
                    </w:rPr>
                    <w:t>废机油</w:t>
                  </w:r>
                </w:p>
              </w:tc>
              <w:tc>
                <w:tcPr>
                  <w:tcW w:w="2351" w:type="dxa"/>
                  <w:vMerge w:val="continue"/>
                  <w:vAlign w:val="center"/>
                </w:tcPr>
                <w:p w14:paraId="1F197917">
                  <w:pPr>
                    <w:jc w:val="center"/>
                    <w:rPr>
                      <w:szCs w:val="21"/>
                    </w:rPr>
                  </w:pPr>
                </w:p>
              </w:tc>
              <w:tc>
                <w:tcPr>
                  <w:tcW w:w="761" w:type="dxa"/>
                  <w:vAlign w:val="center"/>
                </w:tcPr>
                <w:p w14:paraId="0776744E">
                  <w:pPr>
                    <w:jc w:val="center"/>
                    <w:rPr>
                      <w:szCs w:val="21"/>
                    </w:rPr>
                  </w:pPr>
                  <w:r>
                    <w:rPr>
                      <w:rFonts w:hint="eastAsia"/>
                      <w:szCs w:val="21"/>
                    </w:rPr>
                    <w:t>间歇</w:t>
                  </w:r>
                </w:p>
              </w:tc>
            </w:tr>
            <w:tr w14:paraId="630BC1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681" w:type="dxa"/>
                  <w:vMerge w:val="continue"/>
                  <w:vAlign w:val="center"/>
                </w:tcPr>
                <w:p w14:paraId="277302D9">
                  <w:pPr>
                    <w:jc w:val="center"/>
                    <w:rPr>
                      <w:szCs w:val="21"/>
                    </w:rPr>
                  </w:pPr>
                </w:p>
              </w:tc>
              <w:tc>
                <w:tcPr>
                  <w:tcW w:w="780" w:type="dxa"/>
                  <w:vAlign w:val="center"/>
                </w:tcPr>
                <w:p w14:paraId="232300B7">
                  <w:pPr>
                    <w:jc w:val="center"/>
                    <w:rPr>
                      <w:rFonts w:hint="default" w:eastAsia="宋体"/>
                      <w:szCs w:val="21"/>
                      <w:lang w:val="en-US" w:eastAsia="zh-CN"/>
                    </w:rPr>
                  </w:pPr>
                  <w:r>
                    <w:rPr>
                      <w:rFonts w:hint="eastAsia"/>
                      <w:szCs w:val="21"/>
                      <w:lang w:val="en-US" w:eastAsia="zh-CN"/>
                    </w:rPr>
                    <w:t>S9</w:t>
                  </w:r>
                </w:p>
              </w:tc>
              <w:tc>
                <w:tcPr>
                  <w:tcW w:w="1536" w:type="dxa"/>
                  <w:vAlign w:val="center"/>
                </w:tcPr>
                <w:p w14:paraId="6F5A9BCF">
                  <w:pPr>
                    <w:jc w:val="center"/>
                    <w:rPr>
                      <w:szCs w:val="21"/>
                    </w:rPr>
                  </w:pPr>
                  <w:r>
                    <w:rPr>
                      <w:rFonts w:hint="eastAsia"/>
                      <w:szCs w:val="21"/>
                    </w:rPr>
                    <w:t>包装桶</w:t>
                  </w:r>
                </w:p>
              </w:tc>
              <w:tc>
                <w:tcPr>
                  <w:tcW w:w="2278" w:type="dxa"/>
                  <w:vAlign w:val="center"/>
                </w:tcPr>
                <w:p w14:paraId="574A2159">
                  <w:pPr>
                    <w:jc w:val="center"/>
                    <w:rPr>
                      <w:szCs w:val="21"/>
                    </w:rPr>
                  </w:pPr>
                  <w:r>
                    <w:rPr>
                      <w:rFonts w:hint="eastAsia"/>
                      <w:szCs w:val="21"/>
                    </w:rPr>
                    <w:t>废</w:t>
                  </w:r>
                  <w:r>
                    <w:rPr>
                      <w:rFonts w:hint="eastAsia"/>
                      <w:szCs w:val="21"/>
                      <w:lang w:val="en-US" w:eastAsia="zh-CN"/>
                    </w:rPr>
                    <w:t>胶</w:t>
                  </w:r>
                  <w:r>
                    <w:rPr>
                      <w:rFonts w:hint="eastAsia"/>
                      <w:szCs w:val="21"/>
                    </w:rPr>
                    <w:t>桶</w:t>
                  </w:r>
                </w:p>
              </w:tc>
              <w:tc>
                <w:tcPr>
                  <w:tcW w:w="2351" w:type="dxa"/>
                  <w:vMerge w:val="continue"/>
                  <w:vAlign w:val="center"/>
                </w:tcPr>
                <w:p w14:paraId="752511EC">
                  <w:pPr>
                    <w:jc w:val="center"/>
                    <w:rPr>
                      <w:szCs w:val="21"/>
                    </w:rPr>
                  </w:pPr>
                </w:p>
              </w:tc>
              <w:tc>
                <w:tcPr>
                  <w:tcW w:w="761" w:type="dxa"/>
                  <w:vAlign w:val="center"/>
                </w:tcPr>
                <w:p w14:paraId="50CF9A14">
                  <w:pPr>
                    <w:jc w:val="center"/>
                    <w:rPr>
                      <w:szCs w:val="21"/>
                    </w:rPr>
                  </w:pPr>
                  <w:r>
                    <w:rPr>
                      <w:rFonts w:hint="eastAsia"/>
                      <w:szCs w:val="21"/>
                    </w:rPr>
                    <w:t>间歇</w:t>
                  </w:r>
                </w:p>
              </w:tc>
            </w:tr>
            <w:tr w14:paraId="1F76F6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1" w:type="dxa"/>
                  <w:vAlign w:val="center"/>
                </w:tcPr>
                <w:p w14:paraId="7347EF71">
                  <w:pPr>
                    <w:jc w:val="center"/>
                    <w:rPr>
                      <w:szCs w:val="21"/>
                    </w:rPr>
                  </w:pPr>
                  <w:r>
                    <w:rPr>
                      <w:szCs w:val="21"/>
                    </w:rPr>
                    <w:t>噪声</w:t>
                  </w:r>
                </w:p>
              </w:tc>
              <w:tc>
                <w:tcPr>
                  <w:tcW w:w="780" w:type="dxa"/>
                  <w:vAlign w:val="center"/>
                </w:tcPr>
                <w:p w14:paraId="00E44C97">
                  <w:pPr>
                    <w:jc w:val="center"/>
                    <w:rPr>
                      <w:szCs w:val="21"/>
                    </w:rPr>
                  </w:pPr>
                  <w:r>
                    <w:rPr>
                      <w:szCs w:val="21"/>
                    </w:rPr>
                    <w:t>N</w:t>
                  </w:r>
                </w:p>
              </w:tc>
              <w:tc>
                <w:tcPr>
                  <w:tcW w:w="1536" w:type="dxa"/>
                  <w:vAlign w:val="center"/>
                </w:tcPr>
                <w:p w14:paraId="0AB8DCDA">
                  <w:pPr>
                    <w:jc w:val="center"/>
                    <w:rPr>
                      <w:szCs w:val="21"/>
                    </w:rPr>
                  </w:pPr>
                  <w:r>
                    <w:rPr>
                      <w:szCs w:val="21"/>
                    </w:rPr>
                    <w:t>生产设备等</w:t>
                  </w:r>
                </w:p>
              </w:tc>
              <w:tc>
                <w:tcPr>
                  <w:tcW w:w="2278" w:type="dxa"/>
                  <w:vAlign w:val="center"/>
                </w:tcPr>
                <w:p w14:paraId="00D3D8B2">
                  <w:pPr>
                    <w:jc w:val="center"/>
                    <w:rPr>
                      <w:szCs w:val="21"/>
                    </w:rPr>
                  </w:pPr>
                  <w:r>
                    <w:rPr>
                      <w:szCs w:val="21"/>
                    </w:rPr>
                    <w:t>噪声</w:t>
                  </w:r>
                </w:p>
              </w:tc>
              <w:tc>
                <w:tcPr>
                  <w:tcW w:w="2351" w:type="dxa"/>
                  <w:vAlign w:val="center"/>
                </w:tcPr>
                <w:p w14:paraId="71AF4287">
                  <w:pPr>
                    <w:jc w:val="center"/>
                    <w:rPr>
                      <w:szCs w:val="21"/>
                    </w:rPr>
                  </w:pPr>
                  <w:r>
                    <w:rPr>
                      <w:rFonts w:hint="eastAsia"/>
                      <w:szCs w:val="21"/>
                    </w:rPr>
                    <w:t>厂房隔声、基础减振</w:t>
                  </w:r>
                </w:p>
              </w:tc>
              <w:tc>
                <w:tcPr>
                  <w:tcW w:w="761" w:type="dxa"/>
                  <w:vAlign w:val="center"/>
                </w:tcPr>
                <w:p w14:paraId="3EC63F37">
                  <w:pPr>
                    <w:jc w:val="center"/>
                    <w:rPr>
                      <w:szCs w:val="21"/>
                    </w:rPr>
                  </w:pPr>
                  <w:r>
                    <w:rPr>
                      <w:rFonts w:hint="eastAsia"/>
                      <w:szCs w:val="21"/>
                    </w:rPr>
                    <w:t>连续</w:t>
                  </w:r>
                </w:p>
              </w:tc>
            </w:tr>
          </w:tbl>
          <w:p w14:paraId="1F94E8C4">
            <w:pPr>
              <w:pStyle w:val="3"/>
            </w:pPr>
          </w:p>
        </w:tc>
      </w:tr>
      <w:tr w14:paraId="079900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7" w:type="dxa"/>
            <w:tcBorders>
              <w:tl2br w:val="nil"/>
              <w:tr2bl w:val="nil"/>
            </w:tcBorders>
            <w:vAlign w:val="center"/>
          </w:tcPr>
          <w:p w14:paraId="6C162D1E">
            <w:pPr>
              <w:pStyle w:val="27"/>
              <w:adjustRightInd w:val="0"/>
              <w:snapToGrid w:val="0"/>
              <w:spacing w:before="0" w:beforeAutospacing="0" w:after="0" w:afterAutospacing="0"/>
              <w:jc w:val="center"/>
              <w:rPr>
                <w:rFonts w:ascii="Times New Roman" w:hAnsi="Times New Roman"/>
                <w:szCs w:val="24"/>
              </w:rPr>
            </w:pPr>
            <w:r>
              <w:rPr>
                <w:rFonts w:ascii="Times New Roman" w:hAnsi="Times New Roman"/>
                <w:bCs/>
                <w:kern w:val="2"/>
                <w:szCs w:val="24"/>
              </w:rPr>
              <w:t>与项目有关的原有环境污染问题</w:t>
            </w:r>
          </w:p>
        </w:tc>
        <w:tc>
          <w:tcPr>
            <w:tcW w:w="8613" w:type="dxa"/>
            <w:tcBorders>
              <w:tl2br w:val="nil"/>
              <w:tr2bl w:val="nil"/>
            </w:tcBorders>
          </w:tcPr>
          <w:p w14:paraId="41EC2E1E">
            <w:pPr>
              <w:pStyle w:val="38"/>
              <w:ind w:firstLine="0" w:firstLineChars="0"/>
              <w:jc w:val="both"/>
            </w:pPr>
          </w:p>
          <w:p w14:paraId="30A45DE2">
            <w:pPr>
              <w:pStyle w:val="38"/>
              <w:jc w:val="both"/>
            </w:pPr>
            <w:r>
              <w:t>项目选址于</w:t>
            </w:r>
            <w:r>
              <w:rPr>
                <w:rFonts w:hint="eastAsia"/>
                <w:lang w:eastAsia="zh-CN"/>
              </w:rPr>
              <w:t>芜湖市鸠江经济开发区徽州路152号</w:t>
            </w:r>
            <w:r>
              <w:rPr>
                <w:rFonts w:hint="eastAsia"/>
              </w:rPr>
              <w:t>，</w:t>
            </w:r>
            <w:r>
              <w:rPr>
                <w:rFonts w:hint="eastAsia"/>
                <w:bCs/>
              </w:rPr>
              <w:t>租赁</w:t>
            </w:r>
            <w:r>
              <w:rPr>
                <w:rFonts w:hint="eastAsia"/>
                <w:bCs/>
                <w:lang w:eastAsia="zh-CN"/>
              </w:rPr>
              <w:t>芜湖市天意数码打印有限责任公司</w:t>
            </w:r>
            <w:r>
              <w:rPr>
                <w:rFonts w:hint="eastAsia"/>
                <w:bCs/>
              </w:rPr>
              <w:t>厂房用于本项目生产建设，</w:t>
            </w:r>
            <w:r>
              <w:rPr>
                <w:rFonts w:hint="eastAsia"/>
                <w:bCs/>
                <w:lang w:eastAsia="zh-CN"/>
              </w:rPr>
              <w:t>芜湖市天意数码打印有限责任公司</w:t>
            </w:r>
            <w:r>
              <w:rPr>
                <w:rFonts w:hint="eastAsia"/>
                <w:bCs/>
              </w:rPr>
              <w:t>厂房一直空置，无环境污染问题。</w:t>
            </w:r>
            <w:r>
              <w:rPr>
                <w:rFonts w:hint="eastAsia"/>
                <w:kern w:val="24"/>
                <w:szCs w:val="20"/>
              </w:rPr>
              <w:t>本</w:t>
            </w:r>
            <w:r>
              <w:rPr>
                <w:rFonts w:hint="eastAsia" w:hAnsi="宋体"/>
                <w:kern w:val="24"/>
                <w:sz w:val="24"/>
              </w:rPr>
              <w:t>项目东侧为</w:t>
            </w:r>
            <w:r>
              <w:rPr>
                <w:rFonts w:hint="eastAsia" w:hAnsi="宋体"/>
                <w:kern w:val="24"/>
                <w:sz w:val="24"/>
                <w:lang w:val="en-US" w:eastAsia="zh-CN"/>
              </w:rPr>
              <w:t>芜湖市天意数码打印有限责任公司</w:t>
            </w:r>
            <w:r>
              <w:rPr>
                <w:rFonts w:hint="eastAsia" w:hAnsi="宋体"/>
                <w:kern w:val="24"/>
                <w:sz w:val="24"/>
              </w:rPr>
              <w:t>，厂区南侧为</w:t>
            </w:r>
            <w:r>
              <w:rPr>
                <w:rFonts w:hint="eastAsia" w:hAnsi="宋体"/>
                <w:kern w:val="24"/>
                <w:sz w:val="24"/>
                <w:lang w:val="en-US" w:eastAsia="zh-CN"/>
              </w:rPr>
              <w:t>芜湖大洋电机新动力科技有限公司</w:t>
            </w:r>
            <w:r>
              <w:rPr>
                <w:rFonts w:hint="eastAsia" w:hAnsi="宋体"/>
                <w:kern w:val="24"/>
                <w:sz w:val="24"/>
              </w:rPr>
              <w:t>；厂房西侧为</w:t>
            </w:r>
            <w:r>
              <w:rPr>
                <w:rFonts w:hint="eastAsia" w:hAnsi="宋体"/>
                <w:kern w:val="24"/>
                <w:sz w:val="24"/>
                <w:lang w:val="en-US" w:eastAsia="zh-CN"/>
              </w:rPr>
              <w:t>联合汽车电子有限公司芜湖分公司</w:t>
            </w:r>
            <w:r>
              <w:rPr>
                <w:rFonts w:hint="eastAsia" w:hAnsi="宋体"/>
                <w:kern w:val="24"/>
                <w:sz w:val="24"/>
              </w:rPr>
              <w:t>，厂房北侧为</w:t>
            </w:r>
            <w:r>
              <w:rPr>
                <w:rFonts w:hint="eastAsia" w:hAnsi="宋体"/>
                <w:kern w:val="24"/>
                <w:sz w:val="24"/>
                <w:lang w:val="en-US" w:eastAsia="zh-CN"/>
              </w:rPr>
              <w:t>安徽省傻子经济发展有限公司</w:t>
            </w:r>
            <w:r>
              <w:rPr>
                <w:rFonts w:hint="eastAsia"/>
                <w:sz w:val="24"/>
              </w:rPr>
              <w:t>。</w:t>
            </w:r>
            <w:r>
              <w:rPr>
                <w:rFonts w:hint="eastAsia"/>
              </w:rPr>
              <w:t>根据现场实地勘查，</w:t>
            </w:r>
            <w:r>
              <w:t>周围均为工业用地</w:t>
            </w:r>
            <w:r>
              <w:rPr>
                <w:rFonts w:hint="eastAsia"/>
              </w:rPr>
              <w:t>，</w:t>
            </w:r>
            <w:r>
              <w:t>环境状况良好</w:t>
            </w:r>
            <w:r>
              <w:rPr>
                <w:rFonts w:hint="eastAsia"/>
              </w:rPr>
              <w:t>，无与项目有关的原有污染及环境问题。</w:t>
            </w:r>
          </w:p>
          <w:p w14:paraId="5A46A90E">
            <w:pPr>
              <w:pStyle w:val="38"/>
              <w:ind w:firstLine="0" w:firstLineChars="0"/>
              <w:jc w:val="both"/>
            </w:pPr>
          </w:p>
        </w:tc>
      </w:tr>
    </w:tbl>
    <w:p w14:paraId="1DC9D765">
      <w:pPr>
        <w:pStyle w:val="27"/>
        <w:jc w:val="center"/>
        <w:rPr>
          <w:rFonts w:ascii="Times New Roman" w:hAnsi="Times New Roman"/>
          <w:snapToGrid w:val="0"/>
          <w:sz w:val="36"/>
          <w:szCs w:val="36"/>
        </w:rPr>
        <w:sectPr>
          <w:pgSz w:w="11906" w:h="16838"/>
          <w:pgMar w:top="1701" w:right="1531" w:bottom="1701" w:left="1531" w:header="851" w:footer="851" w:gutter="0"/>
          <w:cols w:space="720" w:num="1"/>
          <w:docGrid w:linePitch="312" w:charSpace="0"/>
        </w:sectPr>
      </w:pPr>
    </w:p>
    <w:p w14:paraId="599A6142">
      <w:pPr>
        <w:pStyle w:val="27"/>
        <w:adjustRightInd w:val="0"/>
        <w:snapToGrid w:val="0"/>
        <w:spacing w:before="0" w:beforeAutospacing="0" w:after="0" w:afterAutospacing="0"/>
        <w:jc w:val="center"/>
        <w:outlineLvl w:val="0"/>
        <w:rPr>
          <w:rFonts w:ascii="Times New Roman" w:hAnsi="Times New Roman"/>
          <w:b/>
          <w:bCs/>
          <w:snapToGrid w:val="0"/>
          <w:sz w:val="30"/>
          <w:szCs w:val="30"/>
        </w:rPr>
      </w:pPr>
      <w:bookmarkStart w:id="4" w:name="_Toc2804"/>
      <w:r>
        <w:rPr>
          <w:rFonts w:ascii="Times New Roman" w:hAnsi="Times New Roman"/>
          <w:b/>
          <w:bCs/>
          <w:snapToGrid w:val="0"/>
          <w:sz w:val="30"/>
          <w:szCs w:val="30"/>
        </w:rPr>
        <w:t>三、区域环境质量现状、环境保护目标及评价标准</w:t>
      </w:r>
      <w:bookmarkEnd w:id="4"/>
    </w:p>
    <w:tbl>
      <w:tblPr>
        <w:tblStyle w:val="29"/>
        <w:tblW w:w="90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027677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dxa"/>
            <w:tcBorders>
              <w:tl2br w:val="nil"/>
              <w:tr2bl w:val="nil"/>
            </w:tcBorders>
            <w:vAlign w:val="center"/>
          </w:tcPr>
          <w:p w14:paraId="5F2C62AE">
            <w:pPr>
              <w:adjustRightInd w:val="0"/>
              <w:snapToGrid w:val="0"/>
              <w:jc w:val="center"/>
              <w:rPr>
                <w:kern w:val="0"/>
                <w:sz w:val="24"/>
              </w:rPr>
            </w:pPr>
            <w:r>
              <w:rPr>
                <w:kern w:val="0"/>
                <w:sz w:val="24"/>
              </w:rPr>
              <w:t>区域环境质量现状</w:t>
            </w:r>
          </w:p>
        </w:tc>
        <w:tc>
          <w:tcPr>
            <w:tcW w:w="8605" w:type="dxa"/>
            <w:tcBorders>
              <w:tl2br w:val="nil"/>
              <w:tr2bl w:val="nil"/>
            </w:tcBorders>
            <w:vAlign w:val="center"/>
          </w:tcPr>
          <w:p w14:paraId="1C9BE937">
            <w:pPr>
              <w:autoSpaceDE w:val="0"/>
              <w:autoSpaceDN w:val="0"/>
              <w:adjustRightInd w:val="0"/>
              <w:snapToGrid w:val="0"/>
              <w:spacing w:line="360" w:lineRule="auto"/>
              <w:ind w:firstLine="482" w:firstLineChars="200"/>
              <w:rPr>
                <w:rFonts w:hint="default"/>
                <w:b/>
                <w:bCs/>
                <w:color w:val="auto"/>
                <w:sz w:val="24"/>
                <w:szCs w:val="24"/>
              </w:rPr>
            </w:pPr>
            <w:r>
              <w:rPr>
                <w:rFonts w:hint="default"/>
                <w:b/>
                <w:bCs/>
                <w:color w:val="auto"/>
                <w:sz w:val="24"/>
                <w:szCs w:val="24"/>
              </w:rPr>
              <w:t>1、环境空气质量现状</w:t>
            </w:r>
          </w:p>
          <w:p w14:paraId="6D604489">
            <w:pPr>
              <w:widowControl/>
              <w:tabs>
                <w:tab w:val="left" w:pos="1418"/>
              </w:tabs>
              <w:spacing w:line="360" w:lineRule="auto"/>
              <w:ind w:firstLine="662" w:firstLineChars="276"/>
              <w:jc w:val="left"/>
              <w:rPr>
                <w:rFonts w:hint="eastAsia"/>
                <w:b w:val="0"/>
                <w:bCs w:val="0"/>
                <w:color w:val="auto"/>
                <w:sz w:val="24"/>
                <w:szCs w:val="24"/>
              </w:rPr>
            </w:pPr>
            <w:r>
              <w:rPr>
                <w:rFonts w:hint="eastAsia"/>
                <w:b w:val="0"/>
                <w:bCs w:val="0"/>
                <w:color w:val="auto"/>
                <w:sz w:val="24"/>
                <w:szCs w:val="24"/>
                <w:lang w:eastAsia="zh-CN"/>
              </w:rPr>
              <w:t>（</w:t>
            </w:r>
            <w:r>
              <w:rPr>
                <w:rFonts w:hint="eastAsia"/>
                <w:b w:val="0"/>
                <w:bCs w:val="0"/>
                <w:color w:val="auto"/>
                <w:sz w:val="24"/>
                <w:szCs w:val="24"/>
                <w:lang w:val="en-US" w:eastAsia="zh-CN"/>
              </w:rPr>
              <w:t>1</w:t>
            </w:r>
            <w:r>
              <w:rPr>
                <w:rFonts w:hint="eastAsia"/>
                <w:b w:val="0"/>
                <w:bCs w:val="0"/>
                <w:color w:val="auto"/>
                <w:sz w:val="24"/>
                <w:szCs w:val="24"/>
                <w:lang w:eastAsia="zh-CN"/>
              </w:rPr>
              <w:t>）</w:t>
            </w:r>
            <w:r>
              <w:rPr>
                <w:b w:val="0"/>
                <w:bCs w:val="0"/>
                <w:color w:val="auto"/>
                <w:sz w:val="24"/>
                <w:szCs w:val="24"/>
              </w:rPr>
              <w:t>区域环境</w:t>
            </w:r>
            <w:r>
              <w:rPr>
                <w:rFonts w:hint="eastAsia"/>
                <w:b w:val="0"/>
                <w:bCs w:val="0"/>
                <w:color w:val="auto"/>
                <w:sz w:val="24"/>
                <w:szCs w:val="24"/>
              </w:rPr>
              <w:t>空气达标情况</w:t>
            </w:r>
          </w:p>
          <w:p w14:paraId="004C9071">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t>根据《建设项目环境影响报告表编制技术指南（污染影响类）（试行）》要求，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 点位补充不少于3天的监测数据。</w:t>
            </w:r>
          </w:p>
          <w:p w14:paraId="144DF60D">
            <w:pPr>
              <w:keepNext w:val="0"/>
              <w:keepLines w:val="0"/>
              <w:pageBreakBefore w:val="0"/>
              <w:widowControl/>
              <w:shd w:val="clear" w:color="auto" w:fill="FFFFFF"/>
              <w:kinsoku/>
              <w:wordWrap/>
              <w:overflowPunct/>
              <w:topLinePunct w:val="0"/>
              <w:autoSpaceDE/>
              <w:autoSpaceDN/>
              <w:bidi w:val="0"/>
              <w:adjustRightInd/>
              <w:spacing w:line="360" w:lineRule="auto"/>
              <w:ind w:firstLine="480" w:firstLineChars="200"/>
              <w:jc w:val="left"/>
              <w:textAlignment w:val="auto"/>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t>本次评价资料来源于《2023年芜湖市生态环境状况公报》。根据《环境空气质量标准》（GB3095-2012）进行评价，芜湖市环境空气优良天数为304天（其中，优84天，良220天），同比2022年增加11天，优良天数比例为83.3%，同比2022年上涨3个百分点，污染天数为61天（其中，轻度污染55天，中度污染2天，重度污染3天，严重污染1天）。</w:t>
            </w:r>
          </w:p>
          <w:p w14:paraId="588FADAC">
            <w:pPr>
              <w:keepNext w:val="0"/>
              <w:keepLines w:val="0"/>
              <w:pageBreakBefore w:val="0"/>
              <w:widowControl/>
              <w:shd w:val="clear" w:color="auto" w:fill="FFFFFF"/>
              <w:kinsoku/>
              <w:wordWrap/>
              <w:overflowPunct/>
              <w:topLinePunct w:val="0"/>
              <w:autoSpaceDE/>
              <w:autoSpaceDN/>
              <w:bidi w:val="0"/>
              <w:adjustRightInd/>
              <w:spacing w:line="360" w:lineRule="auto"/>
              <w:ind w:firstLine="480" w:firstLineChars="200"/>
              <w:jc w:val="left"/>
              <w:textAlignment w:val="auto"/>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t>2023年，芜湖市以NO2为首要污染物的天数为21天，占比5.8%；以O3（日最大8小时滑动平均）为首要污染物的天数为139天，占比38.1%；以PM10为首要污染物的天数为55天，占比15.1%；以PM2.5为首要污染物的天数为70天，占比19.2%（部分天数同时存在多个首要污染物）。</w:t>
            </w:r>
          </w:p>
          <w:p w14:paraId="27BC231A">
            <w:pPr>
              <w:pStyle w:val="3"/>
              <w:keepNext w:val="0"/>
              <w:keepLines w:val="0"/>
              <w:pageBreakBefore w:val="0"/>
              <w:kinsoku/>
              <w:wordWrap/>
              <w:overflowPunct/>
              <w:topLinePunct w:val="0"/>
              <w:autoSpaceDE/>
              <w:autoSpaceDN/>
              <w:bidi w:val="0"/>
              <w:adjustRightInd/>
              <w:spacing w:before="0" w:after="0" w:line="360" w:lineRule="auto"/>
              <w:ind w:right="0" w:firstLine="480" w:firstLineChars="200"/>
              <w:textAlignment w:val="auto"/>
              <w:rPr>
                <w:color w:val="000000" w:themeColor="text1"/>
                <w:sz w:val="24"/>
                <w:szCs w:val="24"/>
                <w:shd w:val="clear" w:color="auto" w:fill="FFFFFF"/>
                <w:lang w:bidi="ar"/>
                <w14:textFill>
                  <w14:solidFill>
                    <w14:schemeClr w14:val="tx1"/>
                  </w14:solidFill>
                </w14:textFill>
              </w:rPr>
            </w:pPr>
            <w:r>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t>各项污染物指标监测结果：PM2.5年均值为34μg/m3，同比持平；PM10年均值为57μg/m3，同比上升3.64%；NO2年均值为33μg/m3，同比上升10%；SO2年均值为8μg/m3，同比</w:t>
            </w:r>
            <w:r>
              <w:rPr>
                <w:rFonts w:hint="eastAsia"/>
                <w:color w:val="000000" w:themeColor="text1"/>
                <w:sz w:val="24"/>
                <w:szCs w:val="24"/>
                <w:shd w:val="clear" w:color="auto" w:fill="FFFFFF"/>
                <w:lang w:bidi="ar"/>
                <w14:textFill>
                  <w14:solidFill>
                    <w14:schemeClr w14:val="tx1"/>
                  </w14:solidFill>
                </w14:textFill>
              </w:rPr>
              <w:t>下降11.11%；CO日均值第95百分位数为1.1mg/m3，同比上升10%；O3日最大8小时第90百分位数为159μg/m3，同比下降1.85%。全市空气质量持续改善。</w:t>
            </w:r>
          </w:p>
          <w:p w14:paraId="779B58F7">
            <w:pPr>
              <w:adjustRightInd w:val="0"/>
              <w:snapToGrid w:val="0"/>
              <w:ind w:firstLine="482"/>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表3-1  区域空气质量现状评价表</w:t>
            </w:r>
          </w:p>
          <w:tbl>
            <w:tblPr>
              <w:tblStyle w:val="29"/>
              <w:tblW w:w="4998" w:type="pct"/>
              <w:jc w:val="center"/>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Layout w:type="autofit"/>
              <w:tblCellMar>
                <w:top w:w="0" w:type="dxa"/>
                <w:left w:w="108" w:type="dxa"/>
                <w:bottom w:w="0" w:type="dxa"/>
                <w:right w:w="108" w:type="dxa"/>
              </w:tblCellMar>
            </w:tblPr>
            <w:tblGrid>
              <w:gridCol w:w="719"/>
              <w:gridCol w:w="1011"/>
              <w:gridCol w:w="2865"/>
              <w:gridCol w:w="979"/>
              <w:gridCol w:w="1118"/>
              <w:gridCol w:w="828"/>
              <w:gridCol w:w="856"/>
            </w:tblGrid>
            <w:tr w14:paraId="0F3149AD">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365" w:hRule="atLeast"/>
                <w:tblHeader/>
                <w:jc w:val="center"/>
              </w:trPr>
              <w:tc>
                <w:tcPr>
                  <w:tcW w:w="707" w:type="dxa"/>
                  <w:tcBorders>
                    <w:tl2br w:val="nil"/>
                    <w:tr2bl w:val="nil"/>
                  </w:tcBorders>
                  <w:vAlign w:val="center"/>
                </w:tcPr>
                <w:p w14:paraId="1DB0FAD0">
                  <w:pPr>
                    <w:autoSpaceDE w:val="0"/>
                    <w:autoSpaceDN w:val="0"/>
                    <w:adjustRightInd w:val="0"/>
                    <w:spacing w:line="240" w:lineRule="auto"/>
                    <w:ind w:firstLine="0" w:firstLineChars="0"/>
                    <w:jc w:val="center"/>
                    <w:rPr>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994" w:type="dxa"/>
                  <w:tcBorders>
                    <w:tl2br w:val="nil"/>
                    <w:tr2bl w:val="nil"/>
                  </w:tcBorders>
                  <w:vAlign w:val="center"/>
                </w:tcPr>
                <w:p w14:paraId="2992B370">
                  <w:pPr>
                    <w:autoSpaceDE w:val="0"/>
                    <w:autoSpaceDN w:val="0"/>
                    <w:adjustRightInd w:val="0"/>
                    <w:spacing w:line="240" w:lineRule="auto"/>
                    <w:ind w:firstLine="0" w:firstLineChars="0"/>
                    <w:jc w:val="center"/>
                    <w:rPr>
                      <w:color w:val="000000" w:themeColor="text1"/>
                      <w14:textFill>
                        <w14:solidFill>
                          <w14:schemeClr w14:val="tx1"/>
                        </w14:solidFill>
                      </w14:textFill>
                    </w:rPr>
                  </w:pPr>
                  <w:r>
                    <w:rPr>
                      <w:b/>
                      <w:bCs/>
                      <w:color w:val="000000" w:themeColor="text1"/>
                      <w14:textFill>
                        <w14:solidFill>
                          <w14:schemeClr w14:val="tx1"/>
                        </w14:solidFill>
                      </w14:textFill>
                    </w:rPr>
                    <w:t>污染物</w:t>
                  </w:r>
                </w:p>
              </w:tc>
              <w:tc>
                <w:tcPr>
                  <w:tcW w:w="2816" w:type="dxa"/>
                  <w:tcBorders>
                    <w:tl2br w:val="nil"/>
                    <w:tr2bl w:val="nil"/>
                  </w:tcBorders>
                  <w:vAlign w:val="center"/>
                </w:tcPr>
                <w:p w14:paraId="7BFA9A2A">
                  <w:pPr>
                    <w:autoSpaceDE w:val="0"/>
                    <w:autoSpaceDN w:val="0"/>
                    <w:adjustRightInd w:val="0"/>
                    <w:spacing w:line="240" w:lineRule="auto"/>
                    <w:ind w:firstLine="0" w:firstLineChars="0"/>
                    <w:jc w:val="center"/>
                    <w:rPr>
                      <w:color w:val="000000" w:themeColor="text1"/>
                      <w14:textFill>
                        <w14:solidFill>
                          <w14:schemeClr w14:val="tx1"/>
                        </w14:solidFill>
                      </w14:textFill>
                    </w:rPr>
                  </w:pPr>
                  <w:r>
                    <w:rPr>
                      <w:b/>
                      <w:bCs/>
                      <w:color w:val="000000" w:themeColor="text1"/>
                      <w14:textFill>
                        <w14:solidFill>
                          <w14:schemeClr w14:val="tx1"/>
                        </w14:solidFill>
                      </w14:textFill>
                    </w:rPr>
                    <w:t>评价指标</w:t>
                  </w:r>
                </w:p>
              </w:tc>
              <w:tc>
                <w:tcPr>
                  <w:tcW w:w="962" w:type="dxa"/>
                  <w:tcBorders>
                    <w:tl2br w:val="nil"/>
                    <w:tr2bl w:val="nil"/>
                  </w:tcBorders>
                  <w:vAlign w:val="center"/>
                </w:tcPr>
                <w:p w14:paraId="57F92C3A">
                  <w:pPr>
                    <w:autoSpaceDE w:val="0"/>
                    <w:autoSpaceDN w:val="0"/>
                    <w:adjustRightInd w:val="0"/>
                    <w:spacing w:line="240" w:lineRule="auto"/>
                    <w:ind w:firstLine="0" w:firstLineChars="0"/>
                    <w:jc w:val="center"/>
                    <w:rPr>
                      <w:color w:val="000000" w:themeColor="text1"/>
                      <w14:textFill>
                        <w14:solidFill>
                          <w14:schemeClr w14:val="tx1"/>
                        </w14:solidFill>
                      </w14:textFill>
                    </w:rPr>
                  </w:pPr>
                  <w:r>
                    <w:rPr>
                      <w:b/>
                      <w:bCs/>
                      <w:color w:val="000000" w:themeColor="text1"/>
                      <w14:textFill>
                        <w14:solidFill>
                          <w14:schemeClr w14:val="tx1"/>
                        </w14:solidFill>
                      </w14:textFill>
                    </w:rPr>
                    <w:t>单位</w:t>
                  </w:r>
                </w:p>
              </w:tc>
              <w:tc>
                <w:tcPr>
                  <w:tcW w:w="1099" w:type="dxa"/>
                  <w:tcBorders>
                    <w:tl2br w:val="nil"/>
                    <w:tr2bl w:val="nil"/>
                  </w:tcBorders>
                  <w:vAlign w:val="center"/>
                </w:tcPr>
                <w:p w14:paraId="0D22875D">
                  <w:pPr>
                    <w:autoSpaceDE w:val="0"/>
                    <w:autoSpaceDN w:val="0"/>
                    <w:adjustRightInd w:val="0"/>
                    <w:spacing w:line="240" w:lineRule="auto"/>
                    <w:ind w:firstLine="0" w:firstLineChars="0"/>
                    <w:jc w:val="center"/>
                    <w:rPr>
                      <w:color w:val="000000" w:themeColor="text1"/>
                      <w14:textFill>
                        <w14:solidFill>
                          <w14:schemeClr w14:val="tx1"/>
                        </w14:solidFill>
                      </w14:textFill>
                    </w:rPr>
                  </w:pPr>
                  <w:r>
                    <w:rPr>
                      <w:b/>
                      <w:bCs/>
                      <w:color w:val="000000" w:themeColor="text1"/>
                      <w14:textFill>
                        <w14:solidFill>
                          <w14:schemeClr w14:val="tx1"/>
                        </w14:solidFill>
                      </w14:textFill>
                    </w:rPr>
                    <w:t>环境公报浓度数据</w:t>
                  </w:r>
                </w:p>
              </w:tc>
              <w:tc>
                <w:tcPr>
                  <w:tcW w:w="814" w:type="dxa"/>
                  <w:tcBorders>
                    <w:tl2br w:val="nil"/>
                    <w:tr2bl w:val="nil"/>
                  </w:tcBorders>
                  <w:vAlign w:val="center"/>
                </w:tcPr>
                <w:p w14:paraId="00AFA98B">
                  <w:pPr>
                    <w:autoSpaceDE w:val="0"/>
                    <w:autoSpaceDN w:val="0"/>
                    <w:adjustRightInd w:val="0"/>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标准</w:t>
                  </w:r>
                </w:p>
                <w:p w14:paraId="6E07FA28">
                  <w:pPr>
                    <w:autoSpaceDE w:val="0"/>
                    <w:autoSpaceDN w:val="0"/>
                    <w:adjustRightInd w:val="0"/>
                    <w:spacing w:line="240" w:lineRule="auto"/>
                    <w:ind w:firstLine="0" w:firstLineChars="0"/>
                    <w:jc w:val="center"/>
                    <w:rPr>
                      <w:color w:val="000000" w:themeColor="text1"/>
                      <w14:textFill>
                        <w14:solidFill>
                          <w14:schemeClr w14:val="tx1"/>
                        </w14:solidFill>
                      </w14:textFill>
                    </w:rPr>
                  </w:pPr>
                  <w:r>
                    <w:rPr>
                      <w:b/>
                      <w:bCs/>
                      <w:color w:val="000000" w:themeColor="text1"/>
                      <w14:textFill>
                        <w14:solidFill>
                          <w14:schemeClr w14:val="tx1"/>
                        </w14:solidFill>
                      </w14:textFill>
                    </w:rPr>
                    <w:t>限值</w:t>
                  </w:r>
                </w:p>
              </w:tc>
              <w:tc>
                <w:tcPr>
                  <w:tcW w:w="840" w:type="dxa"/>
                  <w:tcBorders>
                    <w:tl2br w:val="nil"/>
                    <w:tr2bl w:val="nil"/>
                  </w:tcBorders>
                  <w:vAlign w:val="center"/>
                </w:tcPr>
                <w:p w14:paraId="4314C75E">
                  <w:pPr>
                    <w:autoSpaceDE w:val="0"/>
                    <w:autoSpaceDN w:val="0"/>
                    <w:adjustRightInd w:val="0"/>
                    <w:spacing w:line="240" w:lineRule="auto"/>
                    <w:ind w:firstLine="0" w:firstLineChars="0"/>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达标情况</w:t>
                  </w:r>
                </w:p>
              </w:tc>
            </w:tr>
            <w:tr w14:paraId="20E26031">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365" w:hRule="atLeast"/>
                <w:tblHeader/>
                <w:jc w:val="center"/>
              </w:trPr>
              <w:tc>
                <w:tcPr>
                  <w:tcW w:w="707" w:type="dxa"/>
                  <w:tcBorders>
                    <w:tl2br w:val="nil"/>
                    <w:tr2bl w:val="nil"/>
                  </w:tcBorders>
                  <w:vAlign w:val="center"/>
                </w:tcPr>
                <w:p w14:paraId="70E4343B">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994" w:type="dxa"/>
                  <w:tcBorders>
                    <w:tl2br w:val="nil"/>
                    <w:tr2bl w:val="nil"/>
                  </w:tcBorders>
                  <w:vAlign w:val="center"/>
                </w:tcPr>
                <w:p w14:paraId="7DB4B916">
                  <w:pPr>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SO</w:t>
                  </w:r>
                  <w:r>
                    <w:rPr>
                      <w:color w:val="000000" w:themeColor="text1"/>
                      <w:vertAlign w:val="subscript"/>
                      <w14:textFill>
                        <w14:solidFill>
                          <w14:schemeClr w14:val="tx1"/>
                        </w14:solidFill>
                      </w14:textFill>
                    </w:rPr>
                    <w:t>2</w:t>
                  </w:r>
                </w:p>
              </w:tc>
              <w:tc>
                <w:tcPr>
                  <w:tcW w:w="2816" w:type="dxa"/>
                  <w:tcBorders>
                    <w:tl2br w:val="nil"/>
                    <w:tr2bl w:val="nil"/>
                  </w:tcBorders>
                  <w:vAlign w:val="center"/>
                </w:tcPr>
                <w:p w14:paraId="192D725D">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年平均</w:t>
                  </w:r>
                  <w:r>
                    <w:rPr>
                      <w:rFonts w:hint="eastAsia"/>
                      <w:color w:val="000000" w:themeColor="text1"/>
                      <w14:textFill>
                        <w14:solidFill>
                          <w14:schemeClr w14:val="tx1"/>
                        </w14:solidFill>
                      </w14:textFill>
                    </w:rPr>
                    <w:t>质量</w:t>
                  </w:r>
                  <w:r>
                    <w:rPr>
                      <w:color w:val="000000" w:themeColor="text1"/>
                      <w14:textFill>
                        <w14:solidFill>
                          <w14:schemeClr w14:val="tx1"/>
                        </w14:solidFill>
                      </w14:textFill>
                    </w:rPr>
                    <w:t>浓度</w:t>
                  </w:r>
                </w:p>
              </w:tc>
              <w:tc>
                <w:tcPr>
                  <w:tcW w:w="962" w:type="dxa"/>
                  <w:tcBorders>
                    <w:tl2br w:val="nil"/>
                    <w:tr2bl w:val="nil"/>
                  </w:tcBorders>
                  <w:vAlign w:val="center"/>
                </w:tcPr>
                <w:p w14:paraId="7F890684">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1099" w:type="dxa"/>
                  <w:tcBorders>
                    <w:tl2br w:val="nil"/>
                    <w:tr2bl w:val="nil"/>
                  </w:tcBorders>
                  <w:vAlign w:val="center"/>
                </w:tcPr>
                <w:p w14:paraId="46CBE0A7">
                  <w:pPr>
                    <w:pStyle w:val="87"/>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814" w:type="dxa"/>
                  <w:tcBorders>
                    <w:tl2br w:val="nil"/>
                    <w:tr2bl w:val="nil"/>
                  </w:tcBorders>
                  <w:vAlign w:val="center"/>
                </w:tcPr>
                <w:p w14:paraId="16763353">
                  <w:pPr>
                    <w:pStyle w:val="87"/>
                    <w:rPr>
                      <w:color w:val="000000" w:themeColor="text1"/>
                      <w14:textFill>
                        <w14:solidFill>
                          <w14:schemeClr w14:val="tx1"/>
                        </w14:solidFill>
                      </w14:textFill>
                    </w:rPr>
                  </w:pPr>
                  <w:r>
                    <w:rPr>
                      <w:color w:val="000000" w:themeColor="text1"/>
                      <w14:textFill>
                        <w14:solidFill>
                          <w14:schemeClr w14:val="tx1"/>
                        </w14:solidFill>
                      </w14:textFill>
                    </w:rPr>
                    <w:t>60</w:t>
                  </w:r>
                </w:p>
              </w:tc>
              <w:tc>
                <w:tcPr>
                  <w:tcW w:w="840" w:type="dxa"/>
                  <w:tcBorders>
                    <w:tl2br w:val="nil"/>
                    <w:tr2bl w:val="nil"/>
                  </w:tcBorders>
                  <w:vAlign w:val="center"/>
                </w:tcPr>
                <w:p w14:paraId="4F9BA3A9">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04107799">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90" w:hRule="atLeast"/>
                <w:tblHeader/>
                <w:jc w:val="center"/>
              </w:trPr>
              <w:tc>
                <w:tcPr>
                  <w:tcW w:w="707" w:type="dxa"/>
                  <w:tcBorders>
                    <w:tl2br w:val="nil"/>
                    <w:tr2bl w:val="nil"/>
                  </w:tcBorders>
                  <w:vAlign w:val="center"/>
                </w:tcPr>
                <w:p w14:paraId="2790EA74">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994" w:type="dxa"/>
                  <w:tcBorders>
                    <w:tl2br w:val="nil"/>
                    <w:tr2bl w:val="nil"/>
                  </w:tcBorders>
                  <w:vAlign w:val="center"/>
                </w:tcPr>
                <w:p w14:paraId="7D7F35E2">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NO</w:t>
                  </w:r>
                  <w:r>
                    <w:rPr>
                      <w:color w:val="000000" w:themeColor="text1"/>
                      <w:vertAlign w:val="subscript"/>
                      <w14:textFill>
                        <w14:solidFill>
                          <w14:schemeClr w14:val="tx1"/>
                        </w14:solidFill>
                      </w14:textFill>
                    </w:rPr>
                    <w:t>2</w:t>
                  </w:r>
                </w:p>
              </w:tc>
              <w:tc>
                <w:tcPr>
                  <w:tcW w:w="2816" w:type="dxa"/>
                  <w:tcBorders>
                    <w:tl2br w:val="nil"/>
                    <w:tr2bl w:val="nil"/>
                  </w:tcBorders>
                  <w:vAlign w:val="center"/>
                </w:tcPr>
                <w:p w14:paraId="144325D3">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年平均</w:t>
                  </w:r>
                  <w:r>
                    <w:rPr>
                      <w:rFonts w:hint="eastAsia"/>
                      <w:color w:val="000000" w:themeColor="text1"/>
                      <w14:textFill>
                        <w14:solidFill>
                          <w14:schemeClr w14:val="tx1"/>
                        </w14:solidFill>
                      </w14:textFill>
                    </w:rPr>
                    <w:t>质量</w:t>
                  </w:r>
                  <w:r>
                    <w:rPr>
                      <w:color w:val="000000" w:themeColor="text1"/>
                      <w14:textFill>
                        <w14:solidFill>
                          <w14:schemeClr w14:val="tx1"/>
                        </w14:solidFill>
                      </w14:textFill>
                    </w:rPr>
                    <w:t>浓度</w:t>
                  </w:r>
                </w:p>
              </w:tc>
              <w:tc>
                <w:tcPr>
                  <w:tcW w:w="962" w:type="dxa"/>
                  <w:tcBorders>
                    <w:tl2br w:val="nil"/>
                    <w:tr2bl w:val="nil"/>
                  </w:tcBorders>
                  <w:vAlign w:val="center"/>
                </w:tcPr>
                <w:p w14:paraId="6F0ED9E7">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1099" w:type="dxa"/>
                  <w:tcBorders>
                    <w:tl2br w:val="nil"/>
                    <w:tr2bl w:val="nil"/>
                  </w:tcBorders>
                  <w:vAlign w:val="center"/>
                </w:tcPr>
                <w:p w14:paraId="27CA7359">
                  <w:pPr>
                    <w:pStyle w:val="8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3</w:t>
                  </w:r>
                </w:p>
              </w:tc>
              <w:tc>
                <w:tcPr>
                  <w:tcW w:w="814" w:type="dxa"/>
                  <w:tcBorders>
                    <w:tl2br w:val="nil"/>
                    <w:tr2bl w:val="nil"/>
                  </w:tcBorders>
                  <w:vAlign w:val="center"/>
                </w:tcPr>
                <w:p w14:paraId="1CB7DDB3">
                  <w:pPr>
                    <w:pStyle w:val="87"/>
                    <w:rPr>
                      <w:color w:val="000000" w:themeColor="text1"/>
                      <w14:textFill>
                        <w14:solidFill>
                          <w14:schemeClr w14:val="tx1"/>
                        </w14:solidFill>
                      </w14:textFill>
                    </w:rPr>
                  </w:pPr>
                  <w:r>
                    <w:rPr>
                      <w:color w:val="000000" w:themeColor="text1"/>
                      <w14:textFill>
                        <w14:solidFill>
                          <w14:schemeClr w14:val="tx1"/>
                        </w14:solidFill>
                      </w14:textFill>
                    </w:rPr>
                    <w:t>40</w:t>
                  </w:r>
                </w:p>
              </w:tc>
              <w:tc>
                <w:tcPr>
                  <w:tcW w:w="840" w:type="dxa"/>
                  <w:tcBorders>
                    <w:tl2br w:val="nil"/>
                    <w:tr2bl w:val="nil"/>
                  </w:tcBorders>
                  <w:vAlign w:val="center"/>
                </w:tcPr>
                <w:p w14:paraId="54C0D0A0">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69A719AA">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365" w:hRule="atLeast"/>
                <w:tblHeader/>
                <w:jc w:val="center"/>
              </w:trPr>
              <w:tc>
                <w:tcPr>
                  <w:tcW w:w="707" w:type="dxa"/>
                  <w:tcBorders>
                    <w:tl2br w:val="nil"/>
                    <w:tr2bl w:val="nil"/>
                  </w:tcBorders>
                  <w:vAlign w:val="center"/>
                </w:tcPr>
                <w:p w14:paraId="06C8EA86">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994" w:type="dxa"/>
                  <w:tcBorders>
                    <w:tl2br w:val="nil"/>
                    <w:tr2bl w:val="nil"/>
                  </w:tcBorders>
                  <w:vAlign w:val="center"/>
                </w:tcPr>
                <w:p w14:paraId="64D9C429">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10</w:t>
                  </w:r>
                </w:p>
              </w:tc>
              <w:tc>
                <w:tcPr>
                  <w:tcW w:w="2816" w:type="dxa"/>
                  <w:tcBorders>
                    <w:tl2br w:val="nil"/>
                    <w:tr2bl w:val="nil"/>
                  </w:tcBorders>
                  <w:vAlign w:val="center"/>
                </w:tcPr>
                <w:p w14:paraId="11473C8D">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年平均</w:t>
                  </w:r>
                  <w:r>
                    <w:rPr>
                      <w:rFonts w:hint="eastAsia"/>
                      <w:color w:val="000000" w:themeColor="text1"/>
                      <w14:textFill>
                        <w14:solidFill>
                          <w14:schemeClr w14:val="tx1"/>
                        </w14:solidFill>
                      </w14:textFill>
                    </w:rPr>
                    <w:t>质量</w:t>
                  </w:r>
                  <w:r>
                    <w:rPr>
                      <w:color w:val="000000" w:themeColor="text1"/>
                      <w14:textFill>
                        <w14:solidFill>
                          <w14:schemeClr w14:val="tx1"/>
                        </w14:solidFill>
                      </w14:textFill>
                    </w:rPr>
                    <w:t>浓度</w:t>
                  </w:r>
                </w:p>
              </w:tc>
              <w:tc>
                <w:tcPr>
                  <w:tcW w:w="962" w:type="dxa"/>
                  <w:tcBorders>
                    <w:tl2br w:val="nil"/>
                    <w:tr2bl w:val="nil"/>
                  </w:tcBorders>
                  <w:vAlign w:val="center"/>
                </w:tcPr>
                <w:p w14:paraId="74EAB706">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1099" w:type="dxa"/>
                  <w:tcBorders>
                    <w:tl2br w:val="nil"/>
                    <w:tr2bl w:val="nil"/>
                  </w:tcBorders>
                  <w:vAlign w:val="center"/>
                </w:tcPr>
                <w:p w14:paraId="6B7C5E28">
                  <w:pPr>
                    <w:pStyle w:val="87"/>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7</w:t>
                  </w:r>
                </w:p>
              </w:tc>
              <w:tc>
                <w:tcPr>
                  <w:tcW w:w="814" w:type="dxa"/>
                  <w:tcBorders>
                    <w:tl2br w:val="nil"/>
                    <w:tr2bl w:val="nil"/>
                  </w:tcBorders>
                  <w:vAlign w:val="center"/>
                </w:tcPr>
                <w:p w14:paraId="1D3523D6">
                  <w:pPr>
                    <w:pStyle w:val="87"/>
                    <w:rPr>
                      <w:color w:val="000000" w:themeColor="text1"/>
                      <w14:textFill>
                        <w14:solidFill>
                          <w14:schemeClr w14:val="tx1"/>
                        </w14:solidFill>
                      </w14:textFill>
                    </w:rPr>
                  </w:pPr>
                  <w:r>
                    <w:rPr>
                      <w:color w:val="000000" w:themeColor="text1"/>
                      <w14:textFill>
                        <w14:solidFill>
                          <w14:schemeClr w14:val="tx1"/>
                        </w14:solidFill>
                      </w14:textFill>
                    </w:rPr>
                    <w:t>70</w:t>
                  </w:r>
                </w:p>
              </w:tc>
              <w:tc>
                <w:tcPr>
                  <w:tcW w:w="840" w:type="dxa"/>
                  <w:tcBorders>
                    <w:tl2br w:val="nil"/>
                    <w:tr2bl w:val="nil"/>
                  </w:tcBorders>
                  <w:vAlign w:val="center"/>
                </w:tcPr>
                <w:p w14:paraId="1AAC9399">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4A617059">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365" w:hRule="atLeast"/>
                <w:tblHeader/>
                <w:jc w:val="center"/>
              </w:trPr>
              <w:tc>
                <w:tcPr>
                  <w:tcW w:w="707" w:type="dxa"/>
                  <w:tcBorders>
                    <w:tl2br w:val="nil"/>
                    <w:tr2bl w:val="nil"/>
                  </w:tcBorders>
                  <w:vAlign w:val="center"/>
                </w:tcPr>
                <w:p w14:paraId="4A907ABB">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994" w:type="dxa"/>
                  <w:tcBorders>
                    <w:tl2br w:val="nil"/>
                    <w:tr2bl w:val="nil"/>
                  </w:tcBorders>
                  <w:vAlign w:val="center"/>
                </w:tcPr>
                <w:p w14:paraId="23C127F6">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2.5</w:t>
                  </w:r>
                </w:p>
              </w:tc>
              <w:tc>
                <w:tcPr>
                  <w:tcW w:w="2816" w:type="dxa"/>
                  <w:tcBorders>
                    <w:tl2br w:val="nil"/>
                    <w:tr2bl w:val="nil"/>
                  </w:tcBorders>
                  <w:vAlign w:val="center"/>
                </w:tcPr>
                <w:p w14:paraId="4426BB8B">
                  <w:pPr>
                    <w:autoSpaceDE w:val="0"/>
                    <w:autoSpaceDN w:val="0"/>
                    <w:adjustRightInd w:val="0"/>
                    <w:spacing w:line="240" w:lineRule="auto"/>
                    <w:ind w:firstLine="0" w:firstLineChars="0"/>
                    <w:jc w:val="center"/>
                    <w:rPr>
                      <w:color w:val="000000" w:themeColor="text1"/>
                      <w14:textFill>
                        <w14:solidFill>
                          <w14:schemeClr w14:val="tx1"/>
                        </w14:solidFill>
                      </w14:textFill>
                    </w:rPr>
                  </w:pPr>
                  <w:r>
                    <w:rPr>
                      <w:rFonts w:hint="eastAsia"/>
                      <w:color w:val="000000" w:themeColor="text1"/>
                      <w:szCs w:val="20"/>
                      <w14:textFill>
                        <w14:solidFill>
                          <w14:schemeClr w14:val="tx1"/>
                        </w14:solidFill>
                      </w14:textFill>
                    </w:rPr>
                    <w:t>年平均质量浓度</w:t>
                  </w:r>
                </w:p>
              </w:tc>
              <w:tc>
                <w:tcPr>
                  <w:tcW w:w="962" w:type="dxa"/>
                  <w:tcBorders>
                    <w:tl2br w:val="nil"/>
                    <w:tr2bl w:val="nil"/>
                  </w:tcBorders>
                  <w:vAlign w:val="center"/>
                </w:tcPr>
                <w:p w14:paraId="1CF59FA9">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1099" w:type="dxa"/>
                  <w:tcBorders>
                    <w:tl2br w:val="nil"/>
                    <w:tr2bl w:val="nil"/>
                  </w:tcBorders>
                  <w:vAlign w:val="center"/>
                </w:tcPr>
                <w:p w14:paraId="15FAD9E8">
                  <w:pPr>
                    <w:pStyle w:val="8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4</w:t>
                  </w:r>
                </w:p>
              </w:tc>
              <w:tc>
                <w:tcPr>
                  <w:tcW w:w="814" w:type="dxa"/>
                  <w:tcBorders>
                    <w:tl2br w:val="nil"/>
                    <w:tr2bl w:val="nil"/>
                  </w:tcBorders>
                  <w:vAlign w:val="center"/>
                </w:tcPr>
                <w:p w14:paraId="53866602">
                  <w:pPr>
                    <w:pStyle w:val="87"/>
                    <w:rPr>
                      <w:color w:val="000000" w:themeColor="text1"/>
                      <w14:textFill>
                        <w14:solidFill>
                          <w14:schemeClr w14:val="tx1"/>
                        </w14:solidFill>
                      </w14:textFill>
                    </w:rPr>
                  </w:pPr>
                  <w:r>
                    <w:rPr>
                      <w:color w:val="000000" w:themeColor="text1"/>
                      <w14:textFill>
                        <w14:solidFill>
                          <w14:schemeClr w14:val="tx1"/>
                        </w14:solidFill>
                      </w14:textFill>
                    </w:rPr>
                    <w:t>35</w:t>
                  </w:r>
                </w:p>
              </w:tc>
              <w:tc>
                <w:tcPr>
                  <w:tcW w:w="840" w:type="dxa"/>
                  <w:tcBorders>
                    <w:tl2br w:val="nil"/>
                    <w:tr2bl w:val="nil"/>
                  </w:tcBorders>
                  <w:vAlign w:val="center"/>
                </w:tcPr>
                <w:p w14:paraId="66043490">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63A3815E">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365" w:hRule="atLeast"/>
                <w:tblHeader/>
                <w:jc w:val="center"/>
              </w:trPr>
              <w:tc>
                <w:tcPr>
                  <w:tcW w:w="707" w:type="dxa"/>
                  <w:tcBorders>
                    <w:tl2br w:val="nil"/>
                    <w:tr2bl w:val="nil"/>
                  </w:tcBorders>
                  <w:vAlign w:val="center"/>
                </w:tcPr>
                <w:p w14:paraId="171FDFB9">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994" w:type="dxa"/>
                  <w:tcBorders>
                    <w:tl2br w:val="nil"/>
                    <w:tr2bl w:val="nil"/>
                  </w:tcBorders>
                  <w:vAlign w:val="center"/>
                </w:tcPr>
                <w:p w14:paraId="3CD68A6F">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CO</w:t>
                  </w:r>
                </w:p>
              </w:tc>
              <w:tc>
                <w:tcPr>
                  <w:tcW w:w="2816" w:type="dxa"/>
                  <w:tcBorders>
                    <w:tl2br w:val="nil"/>
                    <w:tr2bl w:val="nil"/>
                  </w:tcBorders>
                  <w:vAlign w:val="center"/>
                </w:tcPr>
                <w:p w14:paraId="0D899015">
                  <w:pPr>
                    <w:autoSpaceDE w:val="0"/>
                    <w:autoSpaceDN w:val="0"/>
                    <w:adjustRightInd w:val="0"/>
                    <w:spacing w:line="240" w:lineRule="auto"/>
                    <w:ind w:firstLine="0" w:firstLineChars="0"/>
                    <w:jc w:val="center"/>
                    <w:rPr>
                      <w:color w:val="000000" w:themeColor="text1"/>
                      <w14:textFill>
                        <w14:solidFill>
                          <w14:schemeClr w14:val="tx1"/>
                        </w14:solidFill>
                      </w14:textFill>
                    </w:rPr>
                  </w:pPr>
                  <w:r>
                    <w:rPr>
                      <w:rFonts w:hint="eastAsia"/>
                      <w:color w:val="000000" w:themeColor="text1"/>
                      <w:szCs w:val="20"/>
                      <w14:textFill>
                        <w14:solidFill>
                          <w14:schemeClr w14:val="tx1"/>
                        </w14:solidFill>
                      </w14:textFill>
                    </w:rPr>
                    <w:t>第95百分位数年均值</w:t>
                  </w:r>
                </w:p>
              </w:tc>
              <w:tc>
                <w:tcPr>
                  <w:tcW w:w="962" w:type="dxa"/>
                  <w:tcBorders>
                    <w:tl2br w:val="nil"/>
                    <w:tr2bl w:val="nil"/>
                  </w:tcBorders>
                  <w:vAlign w:val="center"/>
                </w:tcPr>
                <w:p w14:paraId="71691B3D">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c>
                <w:tcPr>
                  <w:tcW w:w="1099" w:type="dxa"/>
                  <w:tcBorders>
                    <w:tl2br w:val="nil"/>
                    <w:tr2bl w:val="nil"/>
                  </w:tcBorders>
                  <w:vAlign w:val="center"/>
                </w:tcPr>
                <w:p w14:paraId="6846FA67">
                  <w:pPr>
                    <w:pStyle w:val="87"/>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.1</w:t>
                  </w:r>
                </w:p>
              </w:tc>
              <w:tc>
                <w:tcPr>
                  <w:tcW w:w="814" w:type="dxa"/>
                  <w:tcBorders>
                    <w:tl2br w:val="nil"/>
                    <w:tr2bl w:val="nil"/>
                  </w:tcBorders>
                  <w:vAlign w:val="center"/>
                </w:tcPr>
                <w:p w14:paraId="06013C61">
                  <w:pPr>
                    <w:pStyle w:val="87"/>
                    <w:rPr>
                      <w:color w:val="000000" w:themeColor="text1"/>
                      <w14:textFill>
                        <w14:solidFill>
                          <w14:schemeClr w14:val="tx1"/>
                        </w14:solidFill>
                      </w14:textFill>
                    </w:rPr>
                  </w:pPr>
                  <w:r>
                    <w:rPr>
                      <w:color w:val="000000" w:themeColor="text1"/>
                      <w14:textFill>
                        <w14:solidFill>
                          <w14:schemeClr w14:val="tx1"/>
                        </w14:solidFill>
                      </w14:textFill>
                    </w:rPr>
                    <w:t>4</w:t>
                  </w:r>
                </w:p>
              </w:tc>
              <w:tc>
                <w:tcPr>
                  <w:tcW w:w="840" w:type="dxa"/>
                  <w:tcBorders>
                    <w:tl2br w:val="nil"/>
                    <w:tr2bl w:val="nil"/>
                  </w:tcBorders>
                  <w:vAlign w:val="center"/>
                </w:tcPr>
                <w:p w14:paraId="78760B7C">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2524F984">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365" w:hRule="atLeast"/>
                <w:tblHeader/>
                <w:jc w:val="center"/>
              </w:trPr>
              <w:tc>
                <w:tcPr>
                  <w:tcW w:w="707" w:type="dxa"/>
                  <w:tcBorders>
                    <w:tl2br w:val="nil"/>
                    <w:tr2bl w:val="nil"/>
                  </w:tcBorders>
                  <w:vAlign w:val="center"/>
                </w:tcPr>
                <w:p w14:paraId="12A6CD97">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6</w:t>
                  </w:r>
                </w:p>
              </w:tc>
              <w:tc>
                <w:tcPr>
                  <w:tcW w:w="994" w:type="dxa"/>
                  <w:tcBorders>
                    <w:tl2br w:val="nil"/>
                    <w:tr2bl w:val="nil"/>
                  </w:tcBorders>
                  <w:vAlign w:val="center"/>
                </w:tcPr>
                <w:p w14:paraId="2429D68D">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O</w:t>
                  </w:r>
                  <w:r>
                    <w:rPr>
                      <w:color w:val="000000" w:themeColor="text1"/>
                      <w:vertAlign w:val="subscript"/>
                      <w14:textFill>
                        <w14:solidFill>
                          <w14:schemeClr w14:val="tx1"/>
                        </w14:solidFill>
                      </w14:textFill>
                    </w:rPr>
                    <w:t>3</w:t>
                  </w:r>
                </w:p>
              </w:tc>
              <w:tc>
                <w:tcPr>
                  <w:tcW w:w="2816" w:type="dxa"/>
                  <w:tcBorders>
                    <w:tl2br w:val="nil"/>
                    <w:tr2bl w:val="nil"/>
                  </w:tcBorders>
                  <w:vAlign w:val="center"/>
                </w:tcPr>
                <w:p w14:paraId="741897A4">
                  <w:pPr>
                    <w:autoSpaceDE w:val="0"/>
                    <w:autoSpaceDN w:val="0"/>
                    <w:adjustRightInd w:val="0"/>
                    <w:spacing w:line="240" w:lineRule="auto"/>
                    <w:ind w:firstLine="0" w:firstLineChars="0"/>
                    <w:jc w:val="center"/>
                    <w:rPr>
                      <w:color w:val="000000" w:themeColor="text1"/>
                      <w14:textFill>
                        <w14:solidFill>
                          <w14:schemeClr w14:val="tx1"/>
                        </w14:solidFill>
                      </w14:textFill>
                    </w:rPr>
                  </w:pPr>
                  <w:r>
                    <w:rPr>
                      <w:rFonts w:hint="eastAsia"/>
                      <w:color w:val="000000" w:themeColor="text1"/>
                      <w:szCs w:val="20"/>
                      <w14:textFill>
                        <w14:solidFill>
                          <w14:schemeClr w14:val="tx1"/>
                        </w14:solidFill>
                      </w14:textFill>
                    </w:rPr>
                    <w:t>最大8小时第90百分位年均值</w:t>
                  </w:r>
                </w:p>
              </w:tc>
              <w:tc>
                <w:tcPr>
                  <w:tcW w:w="962" w:type="dxa"/>
                  <w:tcBorders>
                    <w:tl2br w:val="nil"/>
                    <w:tr2bl w:val="nil"/>
                  </w:tcBorders>
                  <w:vAlign w:val="center"/>
                </w:tcPr>
                <w:p w14:paraId="6E7E6629">
                  <w:pPr>
                    <w:autoSpaceDE w:val="0"/>
                    <w:autoSpaceDN w:val="0"/>
                    <w:adjustRightInd w:val="0"/>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1099" w:type="dxa"/>
                  <w:tcBorders>
                    <w:tl2br w:val="nil"/>
                    <w:tr2bl w:val="nil"/>
                  </w:tcBorders>
                  <w:vAlign w:val="center"/>
                </w:tcPr>
                <w:p w14:paraId="02222F34">
                  <w:pPr>
                    <w:pStyle w:val="87"/>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59</w:t>
                  </w:r>
                </w:p>
              </w:tc>
              <w:tc>
                <w:tcPr>
                  <w:tcW w:w="814" w:type="dxa"/>
                  <w:tcBorders>
                    <w:tl2br w:val="nil"/>
                    <w:tr2bl w:val="nil"/>
                  </w:tcBorders>
                  <w:vAlign w:val="center"/>
                </w:tcPr>
                <w:p w14:paraId="74799E8D">
                  <w:pPr>
                    <w:pStyle w:val="87"/>
                    <w:rPr>
                      <w:color w:val="000000" w:themeColor="text1"/>
                      <w14:textFill>
                        <w14:solidFill>
                          <w14:schemeClr w14:val="tx1"/>
                        </w14:solidFill>
                      </w14:textFill>
                    </w:rPr>
                  </w:pPr>
                  <w:r>
                    <w:rPr>
                      <w:color w:val="000000" w:themeColor="text1"/>
                      <w14:textFill>
                        <w14:solidFill>
                          <w14:schemeClr w14:val="tx1"/>
                        </w14:solidFill>
                      </w14:textFill>
                    </w:rPr>
                    <w:t>160</w:t>
                  </w:r>
                </w:p>
              </w:tc>
              <w:tc>
                <w:tcPr>
                  <w:tcW w:w="840" w:type="dxa"/>
                  <w:tcBorders>
                    <w:tl2br w:val="nil"/>
                    <w:tr2bl w:val="nil"/>
                  </w:tcBorders>
                  <w:vAlign w:val="center"/>
                </w:tcPr>
                <w:p w14:paraId="78C47E0F">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bl>
          <w:p w14:paraId="1684FE5E">
            <w:pPr>
              <w:keepNext w:val="0"/>
              <w:keepLines w:val="0"/>
              <w:pageBreakBefore w:val="0"/>
              <w:kinsoku/>
              <w:wordWrap/>
              <w:overflowPunct/>
              <w:topLinePunct w:val="0"/>
              <w:autoSpaceDE/>
              <w:autoSpaceDN/>
              <w:bidi w:val="0"/>
              <w:adjustRightInd w:val="0"/>
              <w:snapToGrid w:val="0"/>
              <w:spacing w:line="360" w:lineRule="auto"/>
              <w:ind w:firstLine="480"/>
              <w:textAlignment w:val="auto"/>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shd w:val="clear" w:color="auto" w:fill="FFFFFF"/>
                <w:lang w:val="en-US" w:eastAsia="zh-CN" w:bidi="ar"/>
                <w14:textFill>
                  <w14:solidFill>
                    <w14:schemeClr w14:val="tx1"/>
                  </w14:solidFill>
                </w14:textFill>
              </w:rPr>
              <w:t>由上表监测数据判定，芜湖市区域环境空气执行《环境空气质量标准》（GB3095－2012）中二类区标准，芜湖市环境空气为“达标区”。</w:t>
            </w:r>
          </w:p>
          <w:p w14:paraId="5A82D3FD">
            <w:pPr>
              <w:keepNext w:val="0"/>
              <w:keepLines w:val="0"/>
              <w:pageBreakBefore w:val="0"/>
              <w:numPr>
                <w:ilvl w:val="0"/>
                <w:numId w:val="7"/>
              </w:numPr>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lang w:val="en-US" w:eastAsia="zh-CN"/>
              </w:rPr>
            </w:pPr>
            <w:r>
              <w:rPr>
                <w:rFonts w:hint="eastAsia"/>
                <w:color w:val="0D0D0D" w:themeColor="text1" w:themeTint="F2"/>
                <w:kern w:val="0"/>
                <w:sz w:val="24"/>
                <w14:textFill>
                  <w14:solidFill>
                    <w14:schemeClr w14:val="tx1">
                      <w14:lumMod w14:val="95000"/>
                      <w14:lumOff w14:val="5000"/>
                    </w14:schemeClr>
                  </w14:solidFill>
                </w14:textFill>
              </w:rPr>
              <w:t>其他污染物环境质量现状（引用数据）</w:t>
            </w:r>
          </w:p>
          <w:p w14:paraId="2C36513F">
            <w:pPr>
              <w:pStyle w:val="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根据《建设项目环境影响报告表编制技术指南（污染影响类）》（试行），排放国家、地方环境空气质量标准中有标准限值要求的特征污染物时，引用建设项目周边5km范围内近3年的现有监测数据，无相关数据的选择当季主导风向下风向1个点位补充不少于3天的监测数据。 </w:t>
            </w:r>
          </w:p>
          <w:p w14:paraId="7165D35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highlight w:val="none"/>
                <w:lang w:val="en-US" w:eastAsia="zh-CN" w:bidi="ar-SA"/>
              </w:rPr>
              <w:t>本项目特征污染因子TSP及非甲烷总烃监测数据引用《安徽芜湖鸠江经济开发区环境影响区域评估报告》中的大气环境监测数据，报</w:t>
            </w:r>
            <w:r>
              <w:rPr>
                <w:rFonts w:hint="eastAsia" w:ascii="宋体" w:hAnsi="宋体" w:eastAsia="宋体" w:cs="宋体"/>
                <w:color w:val="auto"/>
                <w:kern w:val="0"/>
                <w:sz w:val="24"/>
                <w:szCs w:val="24"/>
                <w:lang w:val="en-US" w:eastAsia="zh-CN" w:bidi="ar-SA"/>
              </w:rPr>
              <w:t>告中G7监测点中加学校位于本项目所在地东南侧，距离2.0km，属于指南要求的建设项目周边5千米范围内，根据报告监测数据，对项目所在区域特征污染物现状进行分析。监测时间为于2021年11月15日-2021年11月21日，属于指南要求近3年的现有监测数据，该数据引用合理。监测布点见下表。</w:t>
            </w:r>
          </w:p>
          <w:p w14:paraId="378B88D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2952115</wp:posOffset>
                      </wp:positionH>
                      <wp:positionV relativeFrom="paragraph">
                        <wp:posOffset>1255395</wp:posOffset>
                      </wp:positionV>
                      <wp:extent cx="689610" cy="323215"/>
                      <wp:effectExtent l="0" t="0" r="0" b="0"/>
                      <wp:wrapNone/>
                      <wp:docPr id="5" name="文本框 5"/>
                      <wp:cNvGraphicFramePr/>
                      <a:graphic xmlns:a="http://schemas.openxmlformats.org/drawingml/2006/main">
                        <a:graphicData uri="http://schemas.microsoft.com/office/word/2010/wordprocessingShape">
                          <wps:wsp>
                            <wps:cNvSpPr txBox="1"/>
                            <wps:spPr>
                              <a:xfrm>
                                <a:off x="4147185" y="6381115"/>
                                <a:ext cx="68961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B4F5FF">
                                  <w:pPr>
                                    <w:rPr>
                                      <w:rFonts w:hint="default" w:eastAsia="宋体"/>
                                      <w:color w:val="FF0000"/>
                                      <w:sz w:val="28"/>
                                      <w:szCs w:val="28"/>
                                      <w:lang w:val="en-US" w:eastAsia="zh-CN"/>
                                    </w:rPr>
                                  </w:pPr>
                                  <w:r>
                                    <w:rPr>
                                      <w:rFonts w:hint="eastAsia"/>
                                      <w:color w:val="FF0000"/>
                                      <w:sz w:val="28"/>
                                      <w:szCs w:val="28"/>
                                      <w:lang w:val="en-US" w:eastAsia="zh-CN"/>
                                    </w:rPr>
                                    <w:t>2.0km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2.45pt;margin-top:98.85pt;height:25.45pt;width:54.3pt;z-index:251661312;mso-width-relative:page;mso-height-relative:page;" filled="f" stroked="f" coordsize="21600,21600" o:gfxdata="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sCAfncAAAACwEAAA8AAAAAAAAA&#10;AQAgAAAAIgAAAGRycy9kb3ducmV2LnhtbFBLAQIUABQAAAAIAIdO4kCLLTAqRgIAAHEEAAAOAAAA&#10;AAAAAAEAIAAAACsBAABkcnMvZTJvRG9jLnhtbFBLBQYAAAAABgAGAFkBAADjBQAAAAA=&#10;">
                      <v:fill on="f" focussize="0,0"/>
                      <v:stroke on="f" weight="0.5pt"/>
                      <v:imagedata o:title=""/>
                      <o:lock v:ext="edit" aspectratio="f"/>
                      <v:textbox>
                        <w:txbxContent>
                          <w:p w14:paraId="19B4F5FF">
                            <w:pPr>
                              <w:rPr>
                                <w:rFonts w:hint="default" w:eastAsia="宋体"/>
                                <w:color w:val="FF0000"/>
                                <w:sz w:val="28"/>
                                <w:szCs w:val="28"/>
                                <w:lang w:val="en-US" w:eastAsia="zh-CN"/>
                              </w:rPr>
                            </w:pPr>
                            <w:r>
                              <w:rPr>
                                <w:rFonts w:hint="eastAsia"/>
                                <w:color w:val="FF0000"/>
                                <w:sz w:val="28"/>
                                <w:szCs w:val="28"/>
                                <w:lang w:val="en-US" w:eastAsia="zh-CN"/>
                              </w:rPr>
                              <w:t>2.0km</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1976755</wp:posOffset>
                      </wp:positionH>
                      <wp:positionV relativeFrom="paragraph">
                        <wp:posOffset>991235</wp:posOffset>
                      </wp:positionV>
                      <wp:extent cx="2066290" cy="1473200"/>
                      <wp:effectExtent l="0" t="0" r="10160" b="12700"/>
                      <wp:wrapNone/>
                      <wp:docPr id="4" name="直接箭头连接符 4"/>
                      <wp:cNvGraphicFramePr/>
                      <a:graphic xmlns:a="http://schemas.openxmlformats.org/drawingml/2006/main">
                        <a:graphicData uri="http://schemas.microsoft.com/office/word/2010/wordprocessingShape">
                          <wps:wsp>
                            <wps:cNvCnPr/>
                            <wps:spPr>
                              <a:xfrm>
                                <a:off x="3238500" y="6703060"/>
                                <a:ext cx="2066290" cy="1473200"/>
                              </a:xfrm>
                              <a:prstGeom prst="straightConnector1">
                                <a:avLst/>
                              </a:prstGeom>
                              <a:ln>
                                <a:solidFill>
                                  <a:srgbClr val="FF00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55.65pt;margin-top:78.05pt;height:116pt;width:162.7pt;z-index:251660288;mso-width-relative:page;mso-height-relative:page;" filled="f" stroked="t" coordsize="21600,21600" o:gfxdata="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5ilPdoAAAALAQAADwAA&#10;AAAAAAABACAAAAAiAAAAZHJzL2Rvd25yZXYueG1sUEsBAhQAFAAAAAgAh07iQF+iizEUAgAA8wMA&#10;AA4AAAAAAAAAAQAgAAAAKQEAAGRycy9lMm9Eb2MueG1sUEsFBgAAAAAGAAYAWQEAAK8FAAAAAA==&#10;">
                      <v:fill on="f" focussize="0,0"/>
                      <v:stroke weight="2pt" color="#FF0000 [3204]" joinstyle="round" startarrow="open" endarrow="open"/>
                      <v:imagedata o:title=""/>
                      <o:lock v:ext="edit" aspectratio="f"/>
                    </v:shape>
                  </w:pict>
                </mc:Fallback>
              </mc:AlternateContent>
            </w:r>
            <w:r>
              <w:drawing>
                <wp:inline distT="0" distB="0" distL="114300" distR="114300">
                  <wp:extent cx="4609465" cy="2880360"/>
                  <wp:effectExtent l="0" t="0" r="635" b="15240"/>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13"/>
                          <a:stretch>
                            <a:fillRect/>
                          </a:stretch>
                        </pic:blipFill>
                        <pic:spPr>
                          <a:xfrm>
                            <a:off x="0" y="0"/>
                            <a:ext cx="4609465" cy="2880360"/>
                          </a:xfrm>
                          <a:prstGeom prst="rect">
                            <a:avLst/>
                          </a:prstGeom>
                          <a:noFill/>
                          <a:ln>
                            <a:noFill/>
                          </a:ln>
                        </pic:spPr>
                      </pic:pic>
                    </a:graphicData>
                  </a:graphic>
                </wp:inline>
              </w:drawing>
            </w:r>
          </w:p>
          <w:p w14:paraId="2CA7B131">
            <w:pPr>
              <w:keepNext w:val="0"/>
              <w:keepLines w:val="0"/>
              <w:pageBreakBefore w:val="0"/>
              <w:widowControl/>
              <w:suppressLineNumbers w:val="0"/>
              <w:kinsoku/>
              <w:wordWrap/>
              <w:overflowPunct/>
              <w:topLinePunct w:val="0"/>
              <w:autoSpaceDE/>
              <w:autoSpaceDN/>
              <w:bidi w:val="0"/>
              <w:adjustRightInd/>
              <w:snapToGrid/>
              <w:spacing w:line="360" w:lineRule="auto"/>
              <w:ind w:firstLine="474" w:firstLineChars="200"/>
              <w:jc w:val="center"/>
              <w:textAlignment w:val="auto"/>
              <w:rPr>
                <w:rFonts w:hint="default" w:ascii="宋体" w:hAnsi="宋体" w:eastAsia="宋体" w:cs="宋体"/>
                <w:b/>
                <w:bCs/>
                <w:color w:val="auto"/>
                <w:spacing w:val="-2"/>
                <w:kern w:val="2"/>
                <w:sz w:val="24"/>
                <w:szCs w:val="24"/>
                <w:lang w:val="en-US" w:eastAsia="zh-CN" w:bidi="ar-SA"/>
              </w:rPr>
            </w:pPr>
            <w:r>
              <w:rPr>
                <w:rFonts w:hint="eastAsia" w:ascii="宋体" w:hAnsi="宋体" w:eastAsia="宋体" w:cs="宋体"/>
                <w:b/>
                <w:bCs/>
                <w:color w:val="auto"/>
                <w:spacing w:val="-2"/>
                <w:kern w:val="2"/>
                <w:sz w:val="24"/>
                <w:szCs w:val="24"/>
                <w:lang w:val="en-US" w:eastAsia="zh-CN" w:bidi="ar-SA"/>
              </w:rPr>
              <w:t>图3-1 中加学校监测点与本项目位置关系图</w:t>
            </w:r>
          </w:p>
          <w:p w14:paraId="4C086242">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lang w:val="en-US" w:eastAsia="zh-CN"/>
              </w:rPr>
            </w:pPr>
          </w:p>
          <w:p w14:paraId="4266492D">
            <w:pPr>
              <w:pStyle w:val="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val="en-US" w:eastAsia="zh-CN"/>
              </w:rPr>
              <w:t>①监测因子：</w:t>
            </w:r>
            <w:r>
              <w:rPr>
                <w:rFonts w:hint="eastAsia" w:ascii="宋体" w:hAnsi="宋体" w:eastAsia="宋体" w:cs="宋体"/>
                <w:color w:val="auto"/>
                <w:kern w:val="0"/>
                <w:sz w:val="24"/>
                <w:szCs w:val="24"/>
                <w:highlight w:val="none"/>
                <w:lang w:val="en-US" w:eastAsia="zh-CN" w:bidi="ar-SA"/>
              </w:rPr>
              <w:t>TSP、非甲烷总烃</w:t>
            </w:r>
            <w:r>
              <w:rPr>
                <w:rFonts w:hint="eastAsia" w:ascii="宋体" w:hAnsi="宋体" w:eastAsia="宋体" w:cs="宋体"/>
                <w:color w:val="auto"/>
                <w:sz w:val="24"/>
                <w:szCs w:val="24"/>
                <w:highlight w:val="none"/>
                <w:lang w:val="en-US" w:eastAsia="zh-CN"/>
              </w:rPr>
              <w:t xml:space="preserve">。 </w:t>
            </w:r>
          </w:p>
          <w:p w14:paraId="4A62A9FE">
            <w:pPr>
              <w:pStyle w:val="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②监测时间：</w:t>
            </w:r>
            <w:r>
              <w:rPr>
                <w:rFonts w:hint="eastAsia" w:ascii="宋体" w:hAnsi="宋体" w:eastAsia="宋体" w:cs="宋体"/>
                <w:color w:val="auto"/>
                <w:kern w:val="0"/>
                <w:sz w:val="24"/>
                <w:szCs w:val="24"/>
                <w:lang w:val="en-US" w:eastAsia="zh-CN" w:bidi="ar-SA"/>
              </w:rPr>
              <w:t>TSP</w:t>
            </w:r>
            <w:r>
              <w:rPr>
                <w:rFonts w:hint="eastAsia" w:ascii="宋体" w:hAnsi="宋体" w:eastAsia="宋体" w:cs="宋体"/>
                <w:color w:val="auto"/>
                <w:sz w:val="24"/>
                <w:szCs w:val="24"/>
                <w:lang w:val="en-US" w:eastAsia="zh-CN"/>
              </w:rPr>
              <w:t>监测时间为</w:t>
            </w:r>
            <w:r>
              <w:rPr>
                <w:rFonts w:hint="eastAsia" w:ascii="宋体" w:hAnsi="宋体" w:eastAsia="宋体" w:cs="宋体"/>
                <w:color w:val="auto"/>
                <w:kern w:val="0"/>
                <w:sz w:val="24"/>
                <w:szCs w:val="24"/>
                <w:lang w:val="en-US" w:eastAsia="zh-CN" w:bidi="ar-SA"/>
              </w:rPr>
              <w:t>2021年11月15日-2021年11月21日</w:t>
            </w:r>
            <w:r>
              <w:rPr>
                <w:rFonts w:hint="eastAsia" w:ascii="宋体" w:hAnsi="宋体" w:eastAsia="宋体" w:cs="宋体"/>
                <w:color w:val="auto"/>
                <w:sz w:val="24"/>
                <w:szCs w:val="24"/>
                <w:lang w:val="en-US" w:eastAsia="zh-CN"/>
              </w:rPr>
              <w:t>。</w:t>
            </w:r>
          </w:p>
          <w:p w14:paraId="31E680AC">
            <w:pPr>
              <w:pStyle w:val="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③测点布设</w:t>
            </w:r>
          </w:p>
          <w:p w14:paraId="3420D27D">
            <w:pPr>
              <w:pStyle w:val="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监测点分布下表。</w:t>
            </w:r>
          </w:p>
          <w:p w14:paraId="4C1713E5">
            <w:pPr>
              <w:pStyle w:val="99"/>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b/>
                <w:bCs/>
                <w:color w:val="auto"/>
                <w:spacing w:val="-2"/>
                <w:sz w:val="24"/>
                <w:szCs w:val="24"/>
              </w:rPr>
              <w:t>表 3-2</w:t>
            </w:r>
            <w:r>
              <w:rPr>
                <w:rFonts w:hint="eastAsia" w:ascii="宋体" w:hAnsi="宋体" w:eastAsia="宋体" w:cs="宋体"/>
                <w:b/>
                <w:bCs/>
                <w:color w:val="auto"/>
                <w:spacing w:val="-2"/>
                <w:sz w:val="24"/>
                <w:szCs w:val="24"/>
                <w:lang w:val="en-US" w:eastAsia="zh-CN"/>
              </w:rPr>
              <w:t xml:space="preserve"> 大气环境监测点布设表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874"/>
              <w:gridCol w:w="2534"/>
              <w:gridCol w:w="1104"/>
              <w:gridCol w:w="1096"/>
            </w:tblGrid>
            <w:tr w14:paraId="51733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5" w:type="pct"/>
                  <w:noWrap w:val="0"/>
                  <w:vAlign w:val="center"/>
                </w:tcPr>
                <w:p w14:paraId="7062D707">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监测点名称</w:t>
                  </w:r>
                </w:p>
              </w:tc>
              <w:tc>
                <w:tcPr>
                  <w:tcW w:w="1118" w:type="pct"/>
                  <w:noWrap w:val="0"/>
                  <w:vAlign w:val="center"/>
                </w:tcPr>
                <w:p w14:paraId="32741F27">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监测因子</w:t>
                  </w:r>
                </w:p>
              </w:tc>
              <w:tc>
                <w:tcPr>
                  <w:tcW w:w="1512" w:type="pct"/>
                  <w:noWrap w:val="0"/>
                  <w:vAlign w:val="center"/>
                </w:tcPr>
                <w:p w14:paraId="58222D68">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监测时段</w:t>
                  </w:r>
                </w:p>
              </w:tc>
              <w:tc>
                <w:tcPr>
                  <w:tcW w:w="659" w:type="pct"/>
                  <w:noWrap w:val="0"/>
                  <w:vAlign w:val="center"/>
                </w:tcPr>
                <w:p w14:paraId="018DB29F">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相对厂址方位</w:t>
                  </w:r>
                </w:p>
              </w:tc>
              <w:tc>
                <w:tcPr>
                  <w:tcW w:w="654" w:type="pct"/>
                  <w:noWrap w:val="0"/>
                  <w:vAlign w:val="center"/>
                </w:tcPr>
                <w:p w14:paraId="180572C2">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相对厂址距离</w:t>
                  </w:r>
                </w:p>
              </w:tc>
            </w:tr>
            <w:tr w14:paraId="1462F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5" w:type="pct"/>
                  <w:noWrap w:val="0"/>
                  <w:vAlign w:val="center"/>
                </w:tcPr>
                <w:p w14:paraId="02749593">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SA"/>
                    </w:rPr>
                    <w:t>中加学校</w:t>
                  </w:r>
                </w:p>
              </w:tc>
              <w:tc>
                <w:tcPr>
                  <w:tcW w:w="1118" w:type="pct"/>
                  <w:noWrap w:val="0"/>
                  <w:vAlign w:val="center"/>
                </w:tcPr>
                <w:p w14:paraId="6D1EFEA7">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SA"/>
                    </w:rPr>
                    <w:t>TSP、非甲烷总烃</w:t>
                  </w:r>
                </w:p>
              </w:tc>
              <w:tc>
                <w:tcPr>
                  <w:tcW w:w="1512" w:type="pct"/>
                  <w:noWrap w:val="0"/>
                  <w:vAlign w:val="center"/>
                </w:tcPr>
                <w:p w14:paraId="3909642F">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SA"/>
                    </w:rPr>
                    <w:t>2021年11月15日-2021年11月21日</w:t>
                  </w:r>
                </w:p>
              </w:tc>
              <w:tc>
                <w:tcPr>
                  <w:tcW w:w="659" w:type="pct"/>
                  <w:noWrap w:val="0"/>
                  <w:vAlign w:val="center"/>
                </w:tcPr>
                <w:p w14:paraId="7C2D7B9F">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西</w:t>
                  </w:r>
                </w:p>
              </w:tc>
              <w:tc>
                <w:tcPr>
                  <w:tcW w:w="654" w:type="pct"/>
                  <w:noWrap w:val="0"/>
                  <w:vAlign w:val="center"/>
                </w:tcPr>
                <w:p w14:paraId="24F28BA4">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4.5km</w:t>
                  </w:r>
                </w:p>
              </w:tc>
            </w:tr>
          </w:tbl>
          <w:p w14:paraId="7EB1996F">
            <w:pPr>
              <w:pStyle w:val="99"/>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lang w:val="en-US" w:eastAsia="zh-CN"/>
              </w:rPr>
            </w:pPr>
            <w:r>
              <w:rPr>
                <w:rFonts w:hint="eastAsia" w:ascii="宋体" w:hAnsi="宋体" w:eastAsia="宋体" w:cs="宋体"/>
                <w:color w:val="auto"/>
                <w:sz w:val="24"/>
                <w:szCs w:val="24"/>
                <w:lang w:val="en-US" w:eastAsia="zh-CN"/>
              </w:rPr>
              <w:t>④监测结果</w:t>
            </w:r>
          </w:p>
          <w:p w14:paraId="51CA0170">
            <w:pPr>
              <w:pStyle w:val="99"/>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表 3-3特征污染物环境质量现状监测结果统计表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386"/>
              <w:gridCol w:w="697"/>
              <w:gridCol w:w="798"/>
              <w:gridCol w:w="1552"/>
              <w:gridCol w:w="1607"/>
              <w:gridCol w:w="724"/>
              <w:gridCol w:w="948"/>
            </w:tblGrid>
            <w:tr w14:paraId="62218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noWrap w:val="0"/>
                  <w:vAlign w:val="center"/>
                </w:tcPr>
                <w:p w14:paraId="1AF7EDD2">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监测点位</w:t>
                  </w:r>
                </w:p>
              </w:tc>
              <w:tc>
                <w:tcPr>
                  <w:tcW w:w="827" w:type="pct"/>
                  <w:noWrap w:val="0"/>
                  <w:vAlign w:val="center"/>
                </w:tcPr>
                <w:p w14:paraId="6C44AF61">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污染物</w:t>
                  </w:r>
                </w:p>
              </w:tc>
              <w:tc>
                <w:tcPr>
                  <w:tcW w:w="416" w:type="pct"/>
                  <w:noWrap w:val="0"/>
                  <w:vAlign w:val="center"/>
                </w:tcPr>
                <w:p w14:paraId="59E8CD0A">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平均时间</w:t>
                  </w:r>
                </w:p>
              </w:tc>
              <w:tc>
                <w:tcPr>
                  <w:tcW w:w="476" w:type="pct"/>
                  <w:noWrap w:val="0"/>
                  <w:vAlign w:val="center"/>
                </w:tcPr>
                <w:p w14:paraId="312169C7">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评价标准</w:t>
                  </w:r>
                </w:p>
              </w:tc>
              <w:tc>
                <w:tcPr>
                  <w:tcW w:w="926" w:type="pct"/>
                  <w:noWrap w:val="0"/>
                  <w:vAlign w:val="center"/>
                </w:tcPr>
                <w:p w14:paraId="1828EBD5">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浓度范围</w:t>
                  </w:r>
                  <w:r>
                    <w:rPr>
                      <w:rFonts w:hint="eastAsia" w:ascii="宋体" w:hAnsi="宋体" w:eastAsia="宋体" w:cs="宋体"/>
                      <w:b/>
                      <w:bCs/>
                      <w:color w:val="auto"/>
                      <w:sz w:val="21"/>
                      <w:szCs w:val="21"/>
                      <w:lang w:val="en-US" w:eastAsia="zh-CN"/>
                    </w:rPr>
                    <w:t>mg/m</w:t>
                  </w:r>
                  <w:r>
                    <w:rPr>
                      <w:rFonts w:hint="eastAsia" w:ascii="宋体" w:hAnsi="宋体" w:eastAsia="宋体" w:cs="宋体"/>
                      <w:b/>
                      <w:bCs/>
                      <w:color w:val="auto"/>
                      <w:sz w:val="21"/>
                      <w:szCs w:val="21"/>
                      <w:vertAlign w:val="superscript"/>
                      <w:lang w:val="en-US" w:eastAsia="zh-CN"/>
                    </w:rPr>
                    <w:t>3</w:t>
                  </w:r>
                </w:p>
              </w:tc>
              <w:tc>
                <w:tcPr>
                  <w:tcW w:w="959" w:type="pct"/>
                  <w:noWrap w:val="0"/>
                  <w:vAlign w:val="center"/>
                </w:tcPr>
                <w:p w14:paraId="0C0C0A7F">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污染指数范围</w:t>
                  </w:r>
                </w:p>
              </w:tc>
              <w:tc>
                <w:tcPr>
                  <w:tcW w:w="432" w:type="pct"/>
                  <w:noWrap w:val="0"/>
                  <w:vAlign w:val="center"/>
                </w:tcPr>
                <w:p w14:paraId="658CFE34">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超标率</w:t>
                  </w:r>
                </w:p>
              </w:tc>
              <w:tc>
                <w:tcPr>
                  <w:tcW w:w="565" w:type="pct"/>
                  <w:noWrap w:val="0"/>
                  <w:vAlign w:val="center"/>
                </w:tcPr>
                <w:p w14:paraId="4241A0F2">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达标情况</w:t>
                  </w:r>
                </w:p>
              </w:tc>
            </w:tr>
            <w:tr w14:paraId="1EEF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vMerge w:val="restart"/>
                  <w:noWrap w:val="0"/>
                  <w:vAlign w:val="center"/>
                </w:tcPr>
                <w:p w14:paraId="1AAF4489">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SA"/>
                    </w:rPr>
                    <w:t>中加学校</w:t>
                  </w:r>
                </w:p>
              </w:tc>
              <w:tc>
                <w:tcPr>
                  <w:tcW w:w="827" w:type="pct"/>
                  <w:noWrap w:val="0"/>
                  <w:vAlign w:val="center"/>
                </w:tcPr>
                <w:p w14:paraId="28DFA15A">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SA"/>
                    </w:rPr>
                    <w:t>TSP</w:t>
                  </w:r>
                </w:p>
              </w:tc>
              <w:tc>
                <w:tcPr>
                  <w:tcW w:w="416" w:type="pct"/>
                  <w:noWrap w:val="0"/>
                  <w:vAlign w:val="center"/>
                </w:tcPr>
                <w:p w14:paraId="28D06F17">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24h</w:t>
                  </w:r>
                </w:p>
              </w:tc>
              <w:tc>
                <w:tcPr>
                  <w:tcW w:w="476" w:type="pct"/>
                  <w:noWrap w:val="0"/>
                  <w:vAlign w:val="center"/>
                </w:tcPr>
                <w:p w14:paraId="0FC9D2D3">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0.3</w:t>
                  </w:r>
                </w:p>
              </w:tc>
              <w:tc>
                <w:tcPr>
                  <w:tcW w:w="926" w:type="pct"/>
                  <w:noWrap w:val="0"/>
                  <w:vAlign w:val="center"/>
                </w:tcPr>
                <w:p w14:paraId="1CAD3989">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0.101-0.122</w:t>
                  </w:r>
                </w:p>
              </w:tc>
              <w:tc>
                <w:tcPr>
                  <w:tcW w:w="959" w:type="pct"/>
                  <w:noWrap w:val="0"/>
                  <w:vAlign w:val="center"/>
                </w:tcPr>
                <w:p w14:paraId="351EDCF2">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0.34-0.41</w:t>
                  </w:r>
                </w:p>
              </w:tc>
              <w:tc>
                <w:tcPr>
                  <w:tcW w:w="432" w:type="pct"/>
                  <w:noWrap w:val="0"/>
                  <w:vAlign w:val="center"/>
                </w:tcPr>
                <w:p w14:paraId="5F2A584F">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0</w:t>
                  </w:r>
                </w:p>
              </w:tc>
              <w:tc>
                <w:tcPr>
                  <w:tcW w:w="565" w:type="pct"/>
                  <w:noWrap w:val="0"/>
                  <w:vAlign w:val="center"/>
                </w:tcPr>
                <w:p w14:paraId="25493636">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达标</w:t>
                  </w:r>
                </w:p>
              </w:tc>
            </w:tr>
            <w:tr w14:paraId="02DF2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vMerge w:val="continue"/>
                  <w:noWrap w:val="0"/>
                  <w:vAlign w:val="center"/>
                </w:tcPr>
                <w:p w14:paraId="6BC45F23">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p>
              </w:tc>
              <w:tc>
                <w:tcPr>
                  <w:tcW w:w="827" w:type="pct"/>
                  <w:noWrap w:val="0"/>
                  <w:vAlign w:val="center"/>
                </w:tcPr>
                <w:p w14:paraId="09CDD4DE">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非甲烷总烃</w:t>
                  </w:r>
                </w:p>
              </w:tc>
              <w:tc>
                <w:tcPr>
                  <w:tcW w:w="416" w:type="pct"/>
                  <w:noWrap w:val="0"/>
                  <w:vAlign w:val="center"/>
                </w:tcPr>
                <w:p w14:paraId="3F0FDCDB">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24h</w:t>
                  </w:r>
                </w:p>
              </w:tc>
              <w:tc>
                <w:tcPr>
                  <w:tcW w:w="476" w:type="pct"/>
                  <w:noWrap w:val="0"/>
                  <w:vAlign w:val="center"/>
                </w:tcPr>
                <w:p w14:paraId="1623B23E">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2.0</w:t>
                  </w:r>
                </w:p>
              </w:tc>
              <w:tc>
                <w:tcPr>
                  <w:tcW w:w="926" w:type="pct"/>
                  <w:noWrap w:val="0"/>
                  <w:vAlign w:val="center"/>
                </w:tcPr>
                <w:p w14:paraId="2D181EF9">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0.31-0.47</w:t>
                  </w:r>
                </w:p>
              </w:tc>
              <w:tc>
                <w:tcPr>
                  <w:tcW w:w="959" w:type="pct"/>
                  <w:noWrap w:val="0"/>
                  <w:vAlign w:val="center"/>
                </w:tcPr>
                <w:p w14:paraId="78FB0122">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0.155-0.235</w:t>
                  </w:r>
                </w:p>
              </w:tc>
              <w:tc>
                <w:tcPr>
                  <w:tcW w:w="432" w:type="pct"/>
                  <w:noWrap w:val="0"/>
                  <w:vAlign w:val="center"/>
                </w:tcPr>
                <w:p w14:paraId="2EAA0424">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0</w:t>
                  </w:r>
                </w:p>
              </w:tc>
              <w:tc>
                <w:tcPr>
                  <w:tcW w:w="565" w:type="pct"/>
                  <w:noWrap w:val="0"/>
                  <w:vAlign w:val="center"/>
                </w:tcPr>
                <w:p w14:paraId="5D73CDDD">
                  <w:pPr>
                    <w:pStyle w:val="9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达标</w:t>
                  </w:r>
                </w:p>
              </w:tc>
            </w:tr>
          </w:tbl>
          <w:p w14:paraId="0B1E38BB">
            <w:pPr>
              <w:pStyle w:val="99"/>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由上表可知，项目所在区域TSP的监测浓度符合《环境空气质量标准》</w:t>
            </w:r>
          </w:p>
          <w:p w14:paraId="1CFD5BC8">
            <w:pPr>
              <w:pStyle w:val="99"/>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（GB3095-2012）及修改单中二级标准，非甲烷总烃满足《大气污染物综合排放</w:t>
            </w:r>
          </w:p>
          <w:p w14:paraId="4D7EBA31">
            <w:pPr>
              <w:pStyle w:val="99"/>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val="en-US" w:eastAsia="zh-CN"/>
              </w:rPr>
              <w:t>标</w:t>
            </w:r>
            <w:r>
              <w:rPr>
                <w:rFonts w:hint="eastAsia" w:ascii="宋体" w:hAnsi="宋体" w:eastAsia="宋体" w:cs="宋体"/>
                <w:color w:val="auto"/>
                <w:sz w:val="24"/>
                <w:szCs w:val="24"/>
                <w:highlight w:val="none"/>
                <w:lang w:val="en-US" w:eastAsia="zh-CN"/>
              </w:rPr>
              <w:t>准详解》中浓度限值要求（小时平均浓度≤2.0mg/m</w:t>
            </w:r>
            <w:r>
              <w:rPr>
                <w:rFonts w:hint="eastAsia" w:ascii="宋体" w:hAnsi="宋体" w:eastAsia="宋体" w:cs="宋体"/>
                <w:color w:val="auto"/>
                <w:sz w:val="24"/>
                <w:szCs w:val="24"/>
                <w:highlight w:val="none"/>
                <w:vertAlign w:val="superscript"/>
                <w:lang w:val="en-US" w:eastAsia="zh-CN"/>
              </w:rPr>
              <w:t>3</w:t>
            </w:r>
            <w:r>
              <w:rPr>
                <w:rFonts w:hint="eastAsia" w:ascii="宋体" w:hAnsi="宋体" w:eastAsia="宋体" w:cs="宋体"/>
                <w:color w:val="auto"/>
                <w:sz w:val="24"/>
                <w:szCs w:val="24"/>
                <w:highlight w:val="none"/>
                <w:lang w:val="en-US" w:eastAsia="zh-CN"/>
              </w:rPr>
              <w:t>）。</w:t>
            </w:r>
          </w:p>
          <w:p w14:paraId="625A6FCB">
            <w:pPr>
              <w:autoSpaceDE w:val="0"/>
              <w:autoSpaceDN w:val="0"/>
              <w:adjustRightInd w:val="0"/>
              <w:snapToGrid w:val="0"/>
              <w:spacing w:line="360" w:lineRule="auto"/>
              <w:ind w:firstLine="482" w:firstLineChars="200"/>
              <w:rPr>
                <w:rFonts w:hint="default"/>
                <w:b/>
                <w:bCs/>
                <w:color w:val="auto"/>
                <w:sz w:val="24"/>
                <w:szCs w:val="24"/>
              </w:rPr>
            </w:pPr>
            <w:r>
              <w:rPr>
                <w:rFonts w:hint="default"/>
                <w:b/>
                <w:bCs/>
                <w:color w:val="auto"/>
                <w:sz w:val="24"/>
                <w:szCs w:val="24"/>
              </w:rPr>
              <w:t>2、地表水环境质量现状</w:t>
            </w:r>
          </w:p>
          <w:p w14:paraId="62618D32">
            <w:pPr>
              <w:pStyle w:val="88"/>
              <w:numPr>
                <w:ilvl w:val="0"/>
                <w:numId w:val="0"/>
              </w:numPr>
              <w:adjustRightInd w:val="0"/>
              <w:snapToGrid w:val="0"/>
              <w:ind w:firstLine="480" w:firstLineChars="200"/>
              <w:rPr>
                <w:rFonts w:hint="eastAsia" w:eastAsia="宋体"/>
                <w:color w:val="auto"/>
                <w:lang w:val="en-US" w:eastAsia="zh-CN"/>
              </w:rPr>
            </w:pPr>
            <w:r>
              <w:rPr>
                <w:rFonts w:hint="eastAsia"/>
                <w:color w:val="auto"/>
              </w:rPr>
              <w:t>本项目纳污水体为青弋江（芜湖段），项目生活污水经化粪池处理后进入城东污水处理厂处理达标后排入青弋江</w:t>
            </w:r>
            <w:r>
              <w:rPr>
                <w:rFonts w:hint="eastAsia"/>
                <w:color w:val="auto"/>
                <w:lang w:eastAsia="zh-CN"/>
              </w:rPr>
              <w:t>。</w:t>
            </w:r>
          </w:p>
          <w:p w14:paraId="4053DB5A">
            <w:pPr>
              <w:pStyle w:val="88"/>
              <w:numPr>
                <w:ilvl w:val="0"/>
                <w:numId w:val="0"/>
              </w:numPr>
              <w:adjustRightInd w:val="0"/>
              <w:snapToGrid w:val="0"/>
              <w:ind w:firstLine="480" w:firstLineChars="200"/>
              <w:rPr>
                <w:rFonts w:hint="eastAsia"/>
                <w:color w:val="auto"/>
                <w:lang w:val="en-US" w:eastAsia="zh-CN"/>
              </w:rPr>
            </w:pPr>
            <w:r>
              <w:rPr>
                <w:color w:val="auto"/>
              </w:rPr>
              <w:t>根据202</w:t>
            </w:r>
            <w:r>
              <w:rPr>
                <w:rFonts w:hint="eastAsia"/>
                <w:color w:val="auto"/>
                <w:lang w:val="en-US" w:eastAsia="zh-CN"/>
              </w:rPr>
              <w:t>3年芜湖市生态环境状况公报，2023年，列入国家水质考核的10个地表水断面中，长江东西梁山、青弋江宝塔根、漳河澛港桥、黄浒河荻港、裕溪河裕溪口、青山河查湾、裕溪河三汊河、青山河三里埂、七星河乔木等9个断面水质年均值符合《地表水环境质量标准》（GB3838—2002）Ⅱ类标准，西河入裕溪河口断面水质年均值符合Ⅲ类标准，优良比例、达标率100%。</w:t>
            </w:r>
          </w:p>
          <w:p w14:paraId="29FDCC4F">
            <w:pPr>
              <w:pStyle w:val="88"/>
              <w:numPr>
                <w:ilvl w:val="0"/>
                <w:numId w:val="0"/>
              </w:numPr>
              <w:adjustRightInd w:val="0"/>
              <w:snapToGrid w:val="0"/>
              <w:ind w:firstLine="480" w:firstLineChars="200"/>
              <w:rPr>
                <w:rFonts w:hint="eastAsia"/>
                <w:color w:val="auto"/>
                <w:lang w:val="en-US" w:eastAsia="zh-CN"/>
              </w:rPr>
            </w:pPr>
            <w:r>
              <w:rPr>
                <w:rFonts w:hint="eastAsia"/>
                <w:color w:val="auto"/>
                <w:lang w:val="en-US" w:eastAsia="zh-CN"/>
              </w:rPr>
              <w:t>芜湖市二水厂（长江）水源地、芜湖市四水厂（长江）水源地、芜湖市漳河备用水源地、湾沚区自来水厂（青弋江）水源地、繁昌区新港自来水厂（长江）水源地、芜湖市三山水厂繁昌芦南水厂（长江）饮用水水源地、无为市西河备用水源地、无为市高沟（长江）水源地、无为市泥汊（长江）水源地、南陵县二水厂（青弋江）水源地等10个县级以上饮用水水源地水质均达到《地表水环境质量标准》（GB3838-2002）Ⅲ类标准，水质达标率100%。</w:t>
            </w:r>
          </w:p>
          <w:p w14:paraId="151BB174">
            <w:pPr>
              <w:shd w:val="clear" w:color="auto" w:fill="auto"/>
              <w:adjustRightInd w:val="0"/>
              <w:snapToGrid w:val="0"/>
              <w:spacing w:line="360" w:lineRule="auto"/>
              <w:ind w:firstLine="482" w:firstLineChars="200"/>
              <w:rPr>
                <w:rFonts w:hint="default"/>
                <w:b/>
                <w:bCs/>
                <w:color w:val="auto"/>
                <w:sz w:val="24"/>
                <w:szCs w:val="24"/>
                <w:lang w:val="en-US" w:eastAsia="zh-CN"/>
              </w:rPr>
            </w:pPr>
            <w:r>
              <w:rPr>
                <w:rFonts w:hint="eastAsia"/>
                <w:b/>
                <w:bCs/>
                <w:color w:val="auto"/>
                <w:sz w:val="24"/>
                <w:szCs w:val="24"/>
                <w:lang w:val="en-US" w:eastAsia="zh-CN"/>
              </w:rPr>
              <w:t>3、声环境质量现状</w:t>
            </w:r>
          </w:p>
          <w:p w14:paraId="51177F98">
            <w:pPr>
              <w:adjustRightInd w:val="0"/>
              <w:snapToGrid w:val="0"/>
              <w:spacing w:line="360" w:lineRule="auto"/>
              <w:ind w:firstLine="480" w:firstLineChars="200"/>
              <w:rPr>
                <w:rFonts w:hint="eastAsia" w:ascii="Times New Roman" w:hAnsi="Times New Roman" w:eastAsia="宋体" w:cs="宋体"/>
                <w:caps w:val="0"/>
                <w:color w:val="auto"/>
                <w:sz w:val="24"/>
                <w:lang w:val="en-US" w:eastAsia="zh-CN"/>
              </w:rPr>
            </w:pPr>
            <w:r>
              <w:rPr>
                <w:rFonts w:hint="eastAsia" w:ascii="Times New Roman" w:hAnsi="Times New Roman" w:eastAsia="宋体" w:cs="宋体"/>
                <w:caps w:val="0"/>
                <w:color w:val="auto"/>
                <w:sz w:val="24"/>
                <w:lang w:val="en-US" w:eastAsia="zh-CN"/>
              </w:rPr>
              <w:t>根据《2023年芜湖市生态环境状况公报》，1、道路交通噪声质量概况，2023 年全市昼间主要交通干线噪声等效声级平均值为66.9 分贝，低于国家标准3.1分贝，交通噪声等效声级平均值比 2022 年上升 0.4 分贝。根据道路交通噪声强度等级划分，芜湖市道路交通噪声强度为一级。2、区域环境噪声质量概况，2023年，芜湖市区域噪声声环境昼间平均等效声级为54.7分贝（A），比2022年降低了1.5分贝（A）。芜湖市区域环境噪声处于二级水平，对应的评价为“较好”。3、功能区环境噪声质量概况，2023年共设监测点10个，其中：1类标准适用区设监测点1个，2类标准适用区设监测点5个，3类标准适用区设监测点2个，四类标准适用区设监测点2个。芜湖市各功能区的环境噪声声级大致是随着1类标准适用区&lt;2类标准适用区&lt;3类标准适用区&lt;4类标准适用区依次递增，和功能区的区域功能划分完全一致。</w:t>
            </w:r>
          </w:p>
          <w:p w14:paraId="07F55220">
            <w:pPr>
              <w:adjustRightInd w:val="0"/>
              <w:snapToGrid w:val="0"/>
              <w:spacing w:line="360" w:lineRule="auto"/>
              <w:ind w:firstLine="480" w:firstLineChars="200"/>
              <w:rPr>
                <w:rFonts w:hint="eastAsia" w:ascii="Times New Roman" w:hAnsi="Times New Roman" w:eastAsia="宋体" w:cs="宋体"/>
                <w:b/>
                <w:bCs/>
                <w:caps w:val="0"/>
                <w:color w:val="auto"/>
                <w:sz w:val="24"/>
                <w:lang w:val="en-US" w:eastAsia="zh-CN"/>
              </w:rPr>
            </w:pPr>
            <w:r>
              <w:rPr>
                <w:rFonts w:hint="eastAsia" w:ascii="Times New Roman" w:hAnsi="Times New Roman" w:eastAsia="宋体" w:cs="宋体"/>
                <w:caps w:val="0"/>
                <w:color w:val="auto"/>
                <w:sz w:val="24"/>
                <w:lang w:val="en-US" w:eastAsia="zh-CN"/>
              </w:rPr>
              <w:t>本项目位于3类区，根据《建设项目环境影响报告表编制技术指南（污染影响类）试行》中“区域环境质量”的“3、声环境—厂界外周边50米范围内存在声环境保护目标的建设项目，应监测保护目标声环境质量现状并评价达标情况。各点位应监测昼夜间噪声，监测时间不少于1天，项目夜间不生产则仅监测昼间噪声”。本项目厂界外周边50米范围内不存在声环境保护目标，故无需进行声现状监测。</w:t>
            </w:r>
          </w:p>
          <w:p w14:paraId="3AAA8F9C">
            <w:pPr>
              <w:adjustRightInd w:val="0"/>
              <w:snapToGrid w:val="0"/>
              <w:spacing w:line="360" w:lineRule="auto"/>
              <w:ind w:firstLine="482" w:firstLineChars="200"/>
              <w:rPr>
                <w:rFonts w:hint="eastAsia" w:ascii="Times New Roman" w:hAnsi="Times New Roman" w:eastAsia="宋体" w:cs="宋体"/>
                <w:b/>
                <w:bCs/>
                <w:caps w:val="0"/>
                <w:color w:val="auto"/>
                <w:sz w:val="24"/>
              </w:rPr>
            </w:pPr>
            <w:r>
              <w:rPr>
                <w:rFonts w:hint="eastAsia" w:ascii="Times New Roman" w:hAnsi="Times New Roman" w:eastAsia="宋体" w:cs="宋体"/>
                <w:b/>
                <w:bCs/>
                <w:caps w:val="0"/>
                <w:color w:val="auto"/>
                <w:sz w:val="24"/>
                <w:lang w:val="en-US" w:eastAsia="zh-CN"/>
              </w:rPr>
              <w:t>4、</w:t>
            </w:r>
            <w:r>
              <w:rPr>
                <w:rFonts w:hint="eastAsia" w:ascii="Times New Roman" w:hAnsi="Times New Roman" w:eastAsia="宋体" w:cs="宋体"/>
                <w:b/>
                <w:bCs/>
                <w:caps w:val="0"/>
                <w:color w:val="auto"/>
                <w:sz w:val="24"/>
              </w:rPr>
              <w:t>生态环境质量</w:t>
            </w:r>
          </w:p>
          <w:p w14:paraId="59059F1B">
            <w:pPr>
              <w:adjustRightInd w:val="0"/>
              <w:snapToGrid w:val="0"/>
              <w:spacing w:line="360" w:lineRule="auto"/>
              <w:ind w:firstLine="480" w:firstLineChars="200"/>
              <w:rPr>
                <w:rFonts w:hint="eastAsia" w:ascii="Times New Roman" w:hAnsi="Times New Roman" w:eastAsia="宋体" w:cs="宋体"/>
                <w:caps w:val="0"/>
                <w:color w:val="auto"/>
                <w:sz w:val="24"/>
              </w:rPr>
            </w:pPr>
            <w:r>
              <w:rPr>
                <w:rFonts w:hint="eastAsia" w:ascii="Times New Roman" w:hAnsi="Times New Roman" w:eastAsia="宋体" w:cs="宋体"/>
                <w:caps w:val="0"/>
                <w:color w:val="auto"/>
                <w:sz w:val="24"/>
              </w:rPr>
              <w:t>本项目在</w:t>
            </w:r>
            <w:r>
              <w:rPr>
                <w:rFonts w:hint="eastAsia" w:ascii="Times New Roman" w:hAnsi="Times New Roman" w:eastAsia="宋体" w:cs="宋体"/>
                <w:caps w:val="0"/>
                <w:color w:val="auto"/>
                <w:sz w:val="24"/>
                <w:lang w:eastAsia="zh-CN"/>
              </w:rPr>
              <w:t>工业</w:t>
            </w:r>
            <w:r>
              <w:rPr>
                <w:rFonts w:hint="eastAsia" w:ascii="Times New Roman" w:hAnsi="Times New Roman" w:eastAsia="宋体" w:cs="宋体"/>
                <w:caps w:val="0"/>
                <w:color w:val="auto"/>
                <w:sz w:val="24"/>
              </w:rPr>
              <w:t>园区内建设，故不需进行生态现状调查。</w:t>
            </w:r>
          </w:p>
          <w:p w14:paraId="3DAC6F43">
            <w:pPr>
              <w:adjustRightInd w:val="0"/>
              <w:snapToGrid w:val="0"/>
              <w:spacing w:line="360" w:lineRule="auto"/>
              <w:ind w:firstLine="482" w:firstLineChars="200"/>
              <w:rPr>
                <w:rFonts w:hint="eastAsia" w:ascii="Times New Roman" w:hAnsi="Times New Roman" w:eastAsia="宋体" w:cs="宋体"/>
                <w:b/>
                <w:bCs/>
                <w:caps w:val="0"/>
                <w:color w:val="auto"/>
                <w:sz w:val="24"/>
              </w:rPr>
            </w:pPr>
            <w:r>
              <w:rPr>
                <w:rFonts w:hint="eastAsia" w:ascii="Times New Roman" w:hAnsi="Times New Roman" w:eastAsia="宋体" w:cs="宋体"/>
                <w:b/>
                <w:bCs/>
                <w:caps w:val="0"/>
                <w:color w:val="auto"/>
                <w:sz w:val="24"/>
                <w:lang w:val="en-US" w:eastAsia="zh-CN"/>
              </w:rPr>
              <w:t>5、</w:t>
            </w:r>
            <w:r>
              <w:rPr>
                <w:rFonts w:hint="eastAsia" w:ascii="Times New Roman" w:hAnsi="Times New Roman" w:eastAsia="宋体" w:cs="宋体"/>
                <w:b/>
                <w:bCs/>
                <w:caps w:val="0"/>
                <w:color w:val="auto"/>
                <w:sz w:val="24"/>
              </w:rPr>
              <w:t>电磁辐射环境质量</w:t>
            </w:r>
          </w:p>
          <w:p w14:paraId="52D92E7E">
            <w:pPr>
              <w:adjustRightInd w:val="0"/>
              <w:snapToGrid w:val="0"/>
              <w:spacing w:line="360" w:lineRule="auto"/>
              <w:ind w:firstLine="480" w:firstLineChars="200"/>
              <w:rPr>
                <w:rFonts w:hint="eastAsia" w:ascii="Times New Roman" w:hAnsi="Times New Roman" w:eastAsia="宋体" w:cs="宋体"/>
                <w:caps w:val="0"/>
                <w:color w:val="auto"/>
                <w:sz w:val="24"/>
              </w:rPr>
            </w:pPr>
            <w:r>
              <w:rPr>
                <w:rFonts w:hint="eastAsia" w:ascii="Times New Roman" w:hAnsi="Times New Roman" w:eastAsia="宋体" w:cs="宋体"/>
                <w:caps w:val="0"/>
                <w:color w:val="auto"/>
                <w:sz w:val="24"/>
              </w:rPr>
              <w:t>本项目不涉及电磁辐射，无需对项目电磁辐射现状开展监测与评价。</w:t>
            </w:r>
          </w:p>
          <w:p w14:paraId="74FB09A9">
            <w:pPr>
              <w:adjustRightInd w:val="0"/>
              <w:snapToGrid w:val="0"/>
              <w:spacing w:line="360" w:lineRule="auto"/>
              <w:ind w:firstLine="482" w:firstLineChars="200"/>
              <w:rPr>
                <w:rFonts w:hint="eastAsia" w:ascii="Times New Roman" w:hAnsi="Times New Roman" w:eastAsia="宋体" w:cs="宋体"/>
                <w:b/>
                <w:bCs/>
                <w:caps w:val="0"/>
                <w:color w:val="auto"/>
                <w:sz w:val="24"/>
                <w:lang w:val="en-US" w:eastAsia="zh-CN"/>
              </w:rPr>
            </w:pPr>
            <w:r>
              <w:rPr>
                <w:rFonts w:hint="eastAsia" w:ascii="Times New Roman" w:hAnsi="Times New Roman" w:eastAsia="宋体" w:cs="宋体"/>
                <w:b/>
                <w:bCs/>
                <w:caps w:val="0"/>
                <w:color w:val="auto"/>
                <w:sz w:val="24"/>
                <w:lang w:val="en-US" w:eastAsia="zh-CN"/>
              </w:rPr>
              <w:t xml:space="preserve">6、地下水、土壤环境质量 </w:t>
            </w:r>
          </w:p>
          <w:p w14:paraId="056A994C">
            <w:pPr>
              <w:pStyle w:val="9"/>
              <w:spacing w:line="360" w:lineRule="auto"/>
              <w:ind w:firstLine="480"/>
              <w:rPr>
                <w:sz w:val="24"/>
              </w:rPr>
            </w:pPr>
            <w:r>
              <w:rPr>
                <w:rFonts w:hint="eastAsia" w:ascii="Times New Roman" w:hAnsi="Times New Roman" w:eastAsia="宋体" w:cs="宋体"/>
                <w:b w:val="0"/>
                <w:bCs w:val="0"/>
                <w:caps w:val="0"/>
                <w:color w:val="auto"/>
                <w:sz w:val="24"/>
                <w:lang w:val="en-US" w:eastAsia="zh-CN"/>
              </w:rPr>
              <w:t>根据《建设项目环境影响报告表编制技术指南（污染影响类）（试行）》，本项目采取有效的防渗防漏措施，基本无污染地下水、土壤环境途径，故可不开展地下水、土壤环境现状调查。</w:t>
            </w:r>
          </w:p>
        </w:tc>
      </w:tr>
      <w:tr w14:paraId="1EC119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35" w:hRule="atLeast"/>
          <w:jc w:val="center"/>
        </w:trPr>
        <w:tc>
          <w:tcPr>
            <w:tcW w:w="456" w:type="dxa"/>
            <w:tcBorders>
              <w:tl2br w:val="nil"/>
              <w:tr2bl w:val="nil"/>
            </w:tcBorders>
            <w:vAlign w:val="center"/>
          </w:tcPr>
          <w:p w14:paraId="5A337D39">
            <w:pPr>
              <w:adjustRightInd w:val="0"/>
              <w:snapToGrid w:val="0"/>
              <w:jc w:val="center"/>
              <w:rPr>
                <w:kern w:val="0"/>
                <w:sz w:val="24"/>
              </w:rPr>
            </w:pPr>
            <w:r>
              <w:rPr>
                <w:kern w:val="0"/>
                <w:sz w:val="24"/>
              </w:rPr>
              <w:t>环境保护目标</w:t>
            </w:r>
          </w:p>
        </w:tc>
        <w:tc>
          <w:tcPr>
            <w:tcW w:w="8605" w:type="dxa"/>
            <w:tcBorders>
              <w:tl2br w:val="nil"/>
              <w:tr2bl w:val="nil"/>
            </w:tcBorders>
            <w:vAlign w:val="center"/>
          </w:tcPr>
          <w:p w14:paraId="754768D1">
            <w:pPr>
              <w:adjustRightInd w:val="0"/>
              <w:snapToGrid w:val="0"/>
              <w:spacing w:line="360" w:lineRule="auto"/>
              <w:ind w:firstLine="482" w:firstLineChars="200"/>
              <w:jc w:val="left"/>
              <w:rPr>
                <w:rFonts w:cs="宋体"/>
                <w:b/>
                <w:bCs/>
                <w:sz w:val="24"/>
              </w:rPr>
            </w:pPr>
            <w:r>
              <w:rPr>
                <w:rFonts w:hint="eastAsia" w:cs="宋体"/>
                <w:b/>
                <w:bCs/>
                <w:sz w:val="24"/>
              </w:rPr>
              <w:t>主要环境保护目标</w:t>
            </w:r>
          </w:p>
          <w:p w14:paraId="1D091218">
            <w:pPr>
              <w:spacing w:line="360" w:lineRule="auto"/>
              <w:ind w:firstLine="480" w:firstLineChars="200"/>
              <w:rPr>
                <w:sz w:val="24"/>
                <w:szCs w:val="22"/>
                <w:highlight w:val="yellow"/>
              </w:rPr>
            </w:pPr>
            <w:r>
              <w:rPr>
                <w:rFonts w:hint="default" w:ascii="Times New Roman" w:hAnsi="Times New Roman" w:cs="Times New Roman"/>
                <w:color w:val="auto"/>
                <w:sz w:val="24"/>
                <w:szCs w:val="22"/>
                <w:highlight w:val="none"/>
              </w:rPr>
              <w:t>根据对建设项目所在厂址周边环境现状的踏勘</w:t>
            </w:r>
            <w:r>
              <w:rPr>
                <w:rFonts w:hint="eastAsia" w:cs="Times New Roman"/>
                <w:color w:val="auto"/>
                <w:sz w:val="24"/>
                <w:szCs w:val="22"/>
                <w:highlight w:val="none"/>
                <w:lang w:val="en-US" w:eastAsia="zh-CN"/>
              </w:rPr>
              <w:t>，</w:t>
            </w:r>
            <w:r>
              <w:rPr>
                <w:rFonts w:hint="default" w:ascii="Times New Roman" w:hAnsi="Times New Roman" w:cs="Times New Roman"/>
                <w:color w:val="auto"/>
                <w:sz w:val="24"/>
                <w:szCs w:val="22"/>
                <w:highlight w:val="none"/>
              </w:rPr>
              <w:t>附近500m范围内</w:t>
            </w:r>
            <w:r>
              <w:rPr>
                <w:rFonts w:hint="eastAsia" w:cs="Times New Roman"/>
                <w:color w:val="auto"/>
                <w:sz w:val="24"/>
                <w:szCs w:val="22"/>
                <w:highlight w:val="none"/>
                <w:lang w:val="en-US" w:eastAsia="zh-CN"/>
              </w:rPr>
              <w:t>均为工业企业，</w:t>
            </w:r>
            <w:r>
              <w:rPr>
                <w:rFonts w:hint="default" w:ascii="Times New Roman" w:hAnsi="Times New Roman" w:cs="Times New Roman"/>
                <w:color w:val="auto"/>
                <w:sz w:val="24"/>
                <w:szCs w:val="22"/>
                <w:highlight w:val="none"/>
              </w:rPr>
              <w:t>无文物保护、风景名胜区、饮用水源地等敏感环境保护目标。50m范围内无声环境敏感目标。本项目主要环境保护目标见表3-</w:t>
            </w:r>
            <w:r>
              <w:rPr>
                <w:rFonts w:hint="eastAsia" w:cs="Times New Roman"/>
                <w:color w:val="auto"/>
                <w:sz w:val="24"/>
                <w:szCs w:val="22"/>
                <w:highlight w:val="none"/>
                <w:lang w:val="en-US" w:eastAsia="zh-CN"/>
              </w:rPr>
              <w:t>4。</w:t>
            </w:r>
          </w:p>
          <w:p w14:paraId="659BC56E">
            <w:pPr>
              <w:adjustRightInd w:val="0"/>
              <w:snapToGrid w:val="0"/>
              <w:jc w:val="center"/>
              <w:rPr>
                <w:b/>
                <w:sz w:val="24"/>
              </w:rPr>
            </w:pPr>
            <w:r>
              <w:rPr>
                <w:b/>
                <w:sz w:val="24"/>
              </w:rPr>
              <w:t>表3-</w:t>
            </w:r>
            <w:r>
              <w:rPr>
                <w:rFonts w:hint="eastAsia"/>
                <w:b/>
                <w:sz w:val="24"/>
              </w:rPr>
              <w:t>4</w:t>
            </w:r>
            <w:r>
              <w:rPr>
                <w:b/>
                <w:sz w:val="24"/>
              </w:rPr>
              <w:t xml:space="preserve">  主要环境保护目标</w:t>
            </w:r>
          </w:p>
          <w:tbl>
            <w:tblPr>
              <w:tblStyle w:val="29"/>
              <w:tblW w:w="8371" w:type="dxa"/>
              <w:jc w:val="center"/>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Layout w:type="autofit"/>
              <w:tblCellMar>
                <w:top w:w="0" w:type="dxa"/>
                <w:left w:w="108" w:type="dxa"/>
                <w:bottom w:w="0" w:type="dxa"/>
                <w:right w:w="108" w:type="dxa"/>
              </w:tblCellMar>
            </w:tblPr>
            <w:tblGrid>
              <w:gridCol w:w="990"/>
              <w:gridCol w:w="1286"/>
              <w:gridCol w:w="787"/>
              <w:gridCol w:w="1291"/>
              <w:gridCol w:w="1224"/>
              <w:gridCol w:w="2793"/>
            </w:tblGrid>
            <w:tr w14:paraId="61ECC601">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990" w:type="dxa"/>
                  <w:tcBorders>
                    <w:tl2br w:val="nil"/>
                    <w:tr2bl w:val="nil"/>
                  </w:tcBorders>
                  <w:vAlign w:val="center"/>
                </w:tcPr>
                <w:p w14:paraId="03C4B246">
                  <w:pPr>
                    <w:spacing w:line="340" w:lineRule="exact"/>
                    <w:jc w:val="center"/>
                    <w:rPr>
                      <w:b/>
                      <w:szCs w:val="21"/>
                    </w:rPr>
                  </w:pPr>
                  <w:r>
                    <w:rPr>
                      <w:b/>
                      <w:szCs w:val="21"/>
                    </w:rPr>
                    <w:t>环境要素</w:t>
                  </w:r>
                </w:p>
              </w:tc>
              <w:tc>
                <w:tcPr>
                  <w:tcW w:w="1286" w:type="dxa"/>
                  <w:tcBorders>
                    <w:tl2br w:val="nil"/>
                    <w:tr2bl w:val="nil"/>
                  </w:tcBorders>
                  <w:vAlign w:val="center"/>
                </w:tcPr>
                <w:p w14:paraId="196F0309">
                  <w:pPr>
                    <w:spacing w:line="340" w:lineRule="exact"/>
                    <w:jc w:val="center"/>
                    <w:rPr>
                      <w:b/>
                      <w:szCs w:val="21"/>
                    </w:rPr>
                  </w:pPr>
                  <w:r>
                    <w:rPr>
                      <w:b/>
                      <w:szCs w:val="21"/>
                    </w:rPr>
                    <w:t>环境保护对象名称</w:t>
                  </w:r>
                </w:p>
              </w:tc>
              <w:tc>
                <w:tcPr>
                  <w:tcW w:w="787" w:type="dxa"/>
                  <w:tcBorders>
                    <w:tl2br w:val="nil"/>
                    <w:tr2bl w:val="nil"/>
                  </w:tcBorders>
                  <w:vAlign w:val="center"/>
                </w:tcPr>
                <w:p w14:paraId="44F79F0B">
                  <w:pPr>
                    <w:spacing w:line="340" w:lineRule="exact"/>
                    <w:jc w:val="center"/>
                    <w:rPr>
                      <w:b/>
                      <w:szCs w:val="21"/>
                    </w:rPr>
                  </w:pPr>
                  <w:r>
                    <w:rPr>
                      <w:b/>
                      <w:szCs w:val="21"/>
                    </w:rPr>
                    <w:t>方位</w:t>
                  </w:r>
                </w:p>
              </w:tc>
              <w:tc>
                <w:tcPr>
                  <w:tcW w:w="1291" w:type="dxa"/>
                  <w:tcBorders>
                    <w:tl2br w:val="nil"/>
                    <w:tr2bl w:val="nil"/>
                  </w:tcBorders>
                  <w:vAlign w:val="center"/>
                </w:tcPr>
                <w:p w14:paraId="01C0402D">
                  <w:pPr>
                    <w:spacing w:line="340" w:lineRule="exact"/>
                    <w:ind w:left="-105" w:leftChars="-50" w:right="-105" w:rightChars="-50"/>
                    <w:jc w:val="center"/>
                    <w:rPr>
                      <w:b/>
                      <w:szCs w:val="21"/>
                    </w:rPr>
                  </w:pPr>
                  <w:r>
                    <w:rPr>
                      <w:b/>
                      <w:szCs w:val="21"/>
                    </w:rPr>
                    <w:t>距项目边界最近距离</w:t>
                  </w:r>
                  <w:r>
                    <w:rPr>
                      <w:rFonts w:hint="eastAsia"/>
                      <w:b/>
                      <w:szCs w:val="21"/>
                    </w:rPr>
                    <w:t>（m）</w:t>
                  </w:r>
                </w:p>
              </w:tc>
              <w:tc>
                <w:tcPr>
                  <w:tcW w:w="1224" w:type="dxa"/>
                  <w:tcBorders>
                    <w:tl2br w:val="nil"/>
                    <w:tr2bl w:val="nil"/>
                  </w:tcBorders>
                  <w:vAlign w:val="center"/>
                </w:tcPr>
                <w:p w14:paraId="51931C85">
                  <w:pPr>
                    <w:spacing w:line="340" w:lineRule="exact"/>
                    <w:jc w:val="center"/>
                    <w:rPr>
                      <w:b/>
                      <w:szCs w:val="21"/>
                    </w:rPr>
                  </w:pPr>
                  <w:r>
                    <w:rPr>
                      <w:b/>
                      <w:szCs w:val="21"/>
                    </w:rPr>
                    <w:t>规模</w:t>
                  </w:r>
                </w:p>
              </w:tc>
              <w:tc>
                <w:tcPr>
                  <w:tcW w:w="2793" w:type="dxa"/>
                  <w:tcBorders>
                    <w:tl2br w:val="nil"/>
                    <w:tr2bl w:val="nil"/>
                  </w:tcBorders>
                  <w:vAlign w:val="center"/>
                </w:tcPr>
                <w:p w14:paraId="5B8DD983">
                  <w:pPr>
                    <w:spacing w:line="340" w:lineRule="exact"/>
                    <w:jc w:val="center"/>
                    <w:rPr>
                      <w:b/>
                      <w:szCs w:val="21"/>
                    </w:rPr>
                  </w:pPr>
                  <w:r>
                    <w:rPr>
                      <w:b/>
                      <w:szCs w:val="21"/>
                    </w:rPr>
                    <w:t>环境功能</w:t>
                  </w:r>
                </w:p>
              </w:tc>
            </w:tr>
            <w:tr w14:paraId="50860875">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trHeight w:val="630" w:hRule="atLeast"/>
                <w:jc w:val="center"/>
              </w:trPr>
              <w:tc>
                <w:tcPr>
                  <w:tcW w:w="990" w:type="dxa"/>
                  <w:tcBorders>
                    <w:tl2br w:val="nil"/>
                    <w:tr2bl w:val="nil"/>
                  </w:tcBorders>
                  <w:vAlign w:val="center"/>
                </w:tcPr>
                <w:p w14:paraId="15147BA6">
                  <w:pPr>
                    <w:spacing w:line="340" w:lineRule="exact"/>
                    <w:jc w:val="center"/>
                    <w:rPr>
                      <w:b/>
                      <w:szCs w:val="21"/>
                    </w:rPr>
                  </w:pPr>
                  <w:r>
                    <w:rPr>
                      <w:rFonts w:hint="eastAsia"/>
                      <w:bCs/>
                      <w:szCs w:val="21"/>
                    </w:rPr>
                    <w:t>大气环境</w:t>
                  </w:r>
                </w:p>
              </w:tc>
              <w:tc>
                <w:tcPr>
                  <w:tcW w:w="1286" w:type="dxa"/>
                  <w:tcBorders>
                    <w:tl2br w:val="nil"/>
                    <w:tr2bl w:val="nil"/>
                  </w:tcBorders>
                  <w:vAlign w:val="center"/>
                </w:tcPr>
                <w:p w14:paraId="720EB60D">
                  <w:pPr>
                    <w:spacing w:line="340" w:lineRule="exact"/>
                    <w:jc w:val="center"/>
                    <w:rPr>
                      <w:rFonts w:hint="eastAsia" w:eastAsia="宋体"/>
                      <w:bCs/>
                      <w:szCs w:val="21"/>
                      <w:lang w:val="en-US" w:eastAsia="zh-CN"/>
                    </w:rPr>
                  </w:pPr>
                  <w:r>
                    <w:rPr>
                      <w:rFonts w:hint="eastAsia"/>
                      <w:bCs/>
                      <w:szCs w:val="21"/>
                      <w:lang w:val="en-US" w:eastAsia="zh-CN"/>
                    </w:rPr>
                    <w:t>/</w:t>
                  </w:r>
                </w:p>
              </w:tc>
              <w:tc>
                <w:tcPr>
                  <w:tcW w:w="787" w:type="dxa"/>
                  <w:tcBorders>
                    <w:tl2br w:val="nil"/>
                    <w:tr2bl w:val="nil"/>
                  </w:tcBorders>
                  <w:vAlign w:val="center"/>
                </w:tcPr>
                <w:p w14:paraId="13AB9601">
                  <w:pPr>
                    <w:spacing w:line="340" w:lineRule="exact"/>
                    <w:jc w:val="center"/>
                    <w:rPr>
                      <w:rFonts w:hint="eastAsia" w:eastAsia="宋体"/>
                      <w:bCs/>
                      <w:szCs w:val="21"/>
                      <w:lang w:val="en-US" w:eastAsia="zh-CN"/>
                    </w:rPr>
                  </w:pPr>
                  <w:r>
                    <w:rPr>
                      <w:rFonts w:hint="eastAsia"/>
                      <w:bCs/>
                      <w:szCs w:val="21"/>
                      <w:lang w:val="en-US" w:eastAsia="zh-CN"/>
                    </w:rPr>
                    <w:t>/</w:t>
                  </w:r>
                </w:p>
              </w:tc>
              <w:tc>
                <w:tcPr>
                  <w:tcW w:w="1291" w:type="dxa"/>
                  <w:tcBorders>
                    <w:tl2br w:val="nil"/>
                    <w:tr2bl w:val="nil"/>
                  </w:tcBorders>
                  <w:vAlign w:val="center"/>
                </w:tcPr>
                <w:p w14:paraId="2A46B4FC">
                  <w:pPr>
                    <w:spacing w:line="340" w:lineRule="exact"/>
                    <w:jc w:val="center"/>
                    <w:rPr>
                      <w:rFonts w:hint="eastAsia" w:eastAsia="宋体"/>
                      <w:bCs/>
                      <w:szCs w:val="21"/>
                      <w:lang w:val="en-US" w:eastAsia="zh-CN"/>
                    </w:rPr>
                  </w:pPr>
                  <w:r>
                    <w:rPr>
                      <w:rFonts w:hint="eastAsia"/>
                      <w:bCs/>
                      <w:szCs w:val="21"/>
                      <w:lang w:val="en-US" w:eastAsia="zh-CN"/>
                    </w:rPr>
                    <w:t>/</w:t>
                  </w:r>
                </w:p>
              </w:tc>
              <w:tc>
                <w:tcPr>
                  <w:tcW w:w="1224" w:type="dxa"/>
                  <w:tcBorders>
                    <w:tl2br w:val="nil"/>
                    <w:tr2bl w:val="nil"/>
                  </w:tcBorders>
                  <w:vAlign w:val="center"/>
                </w:tcPr>
                <w:p w14:paraId="048A2171">
                  <w:pPr>
                    <w:spacing w:line="340" w:lineRule="exact"/>
                    <w:jc w:val="center"/>
                    <w:rPr>
                      <w:rFonts w:hint="eastAsia" w:eastAsia="宋体"/>
                      <w:bCs/>
                      <w:szCs w:val="21"/>
                      <w:lang w:val="en-US" w:eastAsia="zh-CN"/>
                    </w:rPr>
                  </w:pPr>
                  <w:r>
                    <w:rPr>
                      <w:rFonts w:hint="eastAsia"/>
                      <w:bCs/>
                      <w:szCs w:val="21"/>
                      <w:lang w:val="en-US" w:eastAsia="zh-CN"/>
                    </w:rPr>
                    <w:t>/</w:t>
                  </w:r>
                </w:p>
              </w:tc>
              <w:tc>
                <w:tcPr>
                  <w:tcW w:w="2793" w:type="dxa"/>
                  <w:tcBorders>
                    <w:tl2br w:val="nil"/>
                    <w:tr2bl w:val="nil"/>
                  </w:tcBorders>
                  <w:vAlign w:val="center"/>
                </w:tcPr>
                <w:p w14:paraId="228F19F2">
                  <w:pPr>
                    <w:spacing w:line="340" w:lineRule="exact"/>
                    <w:jc w:val="center"/>
                    <w:rPr>
                      <w:rFonts w:hint="eastAsia" w:eastAsia="宋体"/>
                      <w:bCs/>
                      <w:szCs w:val="21"/>
                      <w:lang w:val="en-US" w:eastAsia="zh-CN"/>
                    </w:rPr>
                  </w:pPr>
                  <w:r>
                    <w:rPr>
                      <w:rFonts w:hint="eastAsia"/>
                      <w:bCs/>
                      <w:szCs w:val="21"/>
                      <w:lang w:val="en-US" w:eastAsia="zh-CN"/>
                    </w:rPr>
                    <w:t>/</w:t>
                  </w:r>
                </w:p>
              </w:tc>
            </w:tr>
            <w:tr w14:paraId="71EE7B85">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cantSplit/>
                <w:trHeight w:val="480" w:hRule="atLeast"/>
                <w:jc w:val="center"/>
              </w:trPr>
              <w:tc>
                <w:tcPr>
                  <w:tcW w:w="990" w:type="dxa"/>
                  <w:vMerge w:val="restart"/>
                  <w:tcBorders>
                    <w:tl2br w:val="nil"/>
                    <w:tr2bl w:val="nil"/>
                  </w:tcBorders>
                  <w:vAlign w:val="center"/>
                </w:tcPr>
                <w:p w14:paraId="60E14A9C">
                  <w:pPr>
                    <w:spacing w:line="340" w:lineRule="exact"/>
                    <w:ind w:left="174" w:hanging="174" w:hangingChars="83"/>
                    <w:jc w:val="center"/>
                    <w:rPr>
                      <w:szCs w:val="21"/>
                    </w:rPr>
                  </w:pPr>
                  <w:r>
                    <w:rPr>
                      <w:szCs w:val="21"/>
                    </w:rPr>
                    <w:t>水环境</w:t>
                  </w:r>
                </w:p>
              </w:tc>
              <w:tc>
                <w:tcPr>
                  <w:tcW w:w="1286" w:type="dxa"/>
                  <w:tcBorders>
                    <w:tl2br w:val="nil"/>
                    <w:tr2bl w:val="nil"/>
                  </w:tcBorders>
                  <w:vAlign w:val="center"/>
                </w:tcPr>
                <w:p w14:paraId="7519ECA6">
                  <w:pPr>
                    <w:adjustRightInd w:val="0"/>
                    <w:snapToGrid w:val="0"/>
                    <w:jc w:val="center"/>
                    <w:textAlignment w:val="baseline"/>
                    <w:rPr>
                      <w:szCs w:val="21"/>
                    </w:rPr>
                  </w:pPr>
                  <w:r>
                    <w:rPr>
                      <w:szCs w:val="21"/>
                    </w:rPr>
                    <w:t>长江</w:t>
                  </w:r>
                </w:p>
              </w:tc>
              <w:tc>
                <w:tcPr>
                  <w:tcW w:w="787" w:type="dxa"/>
                  <w:tcBorders>
                    <w:tl2br w:val="nil"/>
                    <w:tr2bl w:val="nil"/>
                  </w:tcBorders>
                  <w:vAlign w:val="center"/>
                </w:tcPr>
                <w:p w14:paraId="4A112192">
                  <w:pPr>
                    <w:adjustRightInd w:val="0"/>
                    <w:snapToGrid w:val="0"/>
                    <w:jc w:val="center"/>
                    <w:textAlignment w:val="baseline"/>
                    <w:rPr>
                      <w:szCs w:val="21"/>
                    </w:rPr>
                  </w:pPr>
                  <w:r>
                    <w:rPr>
                      <w:szCs w:val="21"/>
                    </w:rPr>
                    <w:t>W</w:t>
                  </w:r>
                </w:p>
              </w:tc>
              <w:tc>
                <w:tcPr>
                  <w:tcW w:w="1291" w:type="dxa"/>
                  <w:tcBorders>
                    <w:tl2br w:val="nil"/>
                    <w:tr2bl w:val="nil"/>
                  </w:tcBorders>
                  <w:vAlign w:val="center"/>
                </w:tcPr>
                <w:p w14:paraId="31E14407">
                  <w:pPr>
                    <w:adjustRightInd w:val="0"/>
                    <w:snapToGrid w:val="0"/>
                    <w:jc w:val="center"/>
                    <w:textAlignment w:val="baseline"/>
                    <w:rPr>
                      <w:szCs w:val="21"/>
                    </w:rPr>
                  </w:pPr>
                  <w:r>
                    <w:rPr>
                      <w:rFonts w:hint="eastAsia"/>
                      <w:szCs w:val="21"/>
                    </w:rPr>
                    <w:t>13485</w:t>
                  </w:r>
                </w:p>
              </w:tc>
              <w:tc>
                <w:tcPr>
                  <w:tcW w:w="1224" w:type="dxa"/>
                  <w:tcBorders>
                    <w:tl2br w:val="nil"/>
                    <w:tr2bl w:val="nil"/>
                  </w:tcBorders>
                  <w:vAlign w:val="center"/>
                </w:tcPr>
                <w:p w14:paraId="43887CCD">
                  <w:pPr>
                    <w:adjustRightInd w:val="0"/>
                    <w:snapToGrid w:val="0"/>
                    <w:jc w:val="center"/>
                    <w:textAlignment w:val="baseline"/>
                    <w:rPr>
                      <w:szCs w:val="21"/>
                    </w:rPr>
                  </w:pPr>
                  <w:r>
                    <w:rPr>
                      <w:szCs w:val="21"/>
                    </w:rPr>
                    <w:t>大型</w:t>
                  </w:r>
                </w:p>
              </w:tc>
              <w:tc>
                <w:tcPr>
                  <w:tcW w:w="2793" w:type="dxa"/>
                  <w:vMerge w:val="restart"/>
                  <w:tcBorders>
                    <w:tl2br w:val="nil"/>
                    <w:tr2bl w:val="nil"/>
                  </w:tcBorders>
                  <w:vAlign w:val="center"/>
                </w:tcPr>
                <w:p w14:paraId="323095F9">
                  <w:pPr>
                    <w:adjustRightInd w:val="0"/>
                    <w:snapToGrid w:val="0"/>
                    <w:spacing w:line="360" w:lineRule="exact"/>
                    <w:jc w:val="center"/>
                    <w:rPr>
                      <w:szCs w:val="21"/>
                    </w:rPr>
                  </w:pPr>
                  <w:r>
                    <w:rPr>
                      <w:szCs w:val="21"/>
                    </w:rPr>
                    <w:t>《地表水环境质量标准》（GB3838-2002）Ⅲ类</w:t>
                  </w:r>
                </w:p>
              </w:tc>
            </w:tr>
            <w:tr w14:paraId="4251A076">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cantSplit/>
                <w:trHeight w:val="480" w:hRule="atLeast"/>
                <w:jc w:val="center"/>
              </w:trPr>
              <w:tc>
                <w:tcPr>
                  <w:tcW w:w="990" w:type="dxa"/>
                  <w:vMerge w:val="continue"/>
                  <w:tcBorders>
                    <w:tl2br w:val="nil"/>
                    <w:tr2bl w:val="nil"/>
                  </w:tcBorders>
                  <w:vAlign w:val="center"/>
                </w:tcPr>
                <w:p w14:paraId="798888BE">
                  <w:pPr>
                    <w:spacing w:line="340" w:lineRule="exact"/>
                    <w:ind w:left="174" w:hanging="174" w:hangingChars="83"/>
                    <w:jc w:val="center"/>
                    <w:rPr>
                      <w:szCs w:val="21"/>
                    </w:rPr>
                  </w:pPr>
                </w:p>
              </w:tc>
              <w:tc>
                <w:tcPr>
                  <w:tcW w:w="1286" w:type="dxa"/>
                  <w:tcBorders>
                    <w:tl2br w:val="nil"/>
                    <w:tr2bl w:val="nil"/>
                  </w:tcBorders>
                  <w:vAlign w:val="center"/>
                </w:tcPr>
                <w:p w14:paraId="6599A8E9">
                  <w:pPr>
                    <w:adjustRightInd w:val="0"/>
                    <w:snapToGrid w:val="0"/>
                    <w:jc w:val="center"/>
                    <w:textAlignment w:val="baseline"/>
                    <w:rPr>
                      <w:szCs w:val="21"/>
                    </w:rPr>
                  </w:pPr>
                  <w:r>
                    <w:rPr>
                      <w:rFonts w:hint="eastAsia"/>
                      <w:szCs w:val="21"/>
                    </w:rPr>
                    <w:t>青弋江</w:t>
                  </w:r>
                </w:p>
              </w:tc>
              <w:tc>
                <w:tcPr>
                  <w:tcW w:w="787" w:type="dxa"/>
                  <w:tcBorders>
                    <w:tl2br w:val="nil"/>
                    <w:tr2bl w:val="nil"/>
                  </w:tcBorders>
                  <w:vAlign w:val="center"/>
                </w:tcPr>
                <w:p w14:paraId="1BD2E35B">
                  <w:pPr>
                    <w:adjustRightInd w:val="0"/>
                    <w:snapToGrid w:val="0"/>
                    <w:jc w:val="center"/>
                    <w:textAlignment w:val="baseline"/>
                    <w:rPr>
                      <w:szCs w:val="21"/>
                    </w:rPr>
                  </w:pPr>
                  <w:r>
                    <w:rPr>
                      <w:rFonts w:hint="eastAsia"/>
                      <w:szCs w:val="21"/>
                    </w:rPr>
                    <w:t>S</w:t>
                  </w:r>
                </w:p>
              </w:tc>
              <w:tc>
                <w:tcPr>
                  <w:tcW w:w="1291" w:type="dxa"/>
                  <w:tcBorders>
                    <w:tl2br w:val="nil"/>
                    <w:tr2bl w:val="nil"/>
                  </w:tcBorders>
                  <w:vAlign w:val="center"/>
                </w:tcPr>
                <w:p w14:paraId="3B3452C2">
                  <w:pPr>
                    <w:adjustRightInd w:val="0"/>
                    <w:snapToGrid w:val="0"/>
                    <w:jc w:val="center"/>
                    <w:textAlignment w:val="baseline"/>
                    <w:rPr>
                      <w:szCs w:val="21"/>
                    </w:rPr>
                  </w:pPr>
                  <w:r>
                    <w:rPr>
                      <w:rFonts w:hint="eastAsia"/>
                      <w:szCs w:val="21"/>
                    </w:rPr>
                    <w:t>6233</w:t>
                  </w:r>
                </w:p>
              </w:tc>
              <w:tc>
                <w:tcPr>
                  <w:tcW w:w="1224" w:type="dxa"/>
                  <w:tcBorders>
                    <w:tl2br w:val="nil"/>
                    <w:tr2bl w:val="nil"/>
                  </w:tcBorders>
                  <w:vAlign w:val="center"/>
                </w:tcPr>
                <w:p w14:paraId="5D90A1DE">
                  <w:pPr>
                    <w:adjustRightInd w:val="0"/>
                    <w:snapToGrid w:val="0"/>
                    <w:jc w:val="center"/>
                    <w:textAlignment w:val="baseline"/>
                    <w:rPr>
                      <w:szCs w:val="21"/>
                    </w:rPr>
                  </w:pPr>
                  <w:r>
                    <w:rPr>
                      <w:rFonts w:hint="eastAsia"/>
                      <w:szCs w:val="21"/>
                    </w:rPr>
                    <w:t>中型</w:t>
                  </w:r>
                </w:p>
              </w:tc>
              <w:tc>
                <w:tcPr>
                  <w:tcW w:w="2793" w:type="dxa"/>
                  <w:vMerge w:val="continue"/>
                  <w:tcBorders>
                    <w:tl2br w:val="nil"/>
                    <w:tr2bl w:val="nil"/>
                  </w:tcBorders>
                  <w:vAlign w:val="center"/>
                </w:tcPr>
                <w:p w14:paraId="36B46F66">
                  <w:pPr>
                    <w:adjustRightInd w:val="0"/>
                    <w:snapToGrid w:val="0"/>
                    <w:spacing w:line="360" w:lineRule="exact"/>
                    <w:jc w:val="center"/>
                    <w:rPr>
                      <w:szCs w:val="21"/>
                    </w:rPr>
                  </w:pPr>
                </w:p>
              </w:tc>
            </w:tr>
            <w:tr w14:paraId="7DE50F7C">
              <w:tblPrEx>
                <w:tblBorders>
                  <w:top w:val="single" w:color="auto" w:sz="12" w:space="0"/>
                  <w:left w:val="dotted" w:color="auto" w:sz="4" w:space="0"/>
                  <w:bottom w:val="single" w:color="auto" w:sz="12" w:space="0"/>
                  <w:right w:val="dotted" w:color="auto" w:sz="4"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990" w:type="dxa"/>
                  <w:tcBorders>
                    <w:tl2br w:val="nil"/>
                    <w:tr2bl w:val="nil"/>
                  </w:tcBorders>
                  <w:vAlign w:val="center"/>
                </w:tcPr>
                <w:p w14:paraId="1271F869">
                  <w:pPr>
                    <w:spacing w:line="340" w:lineRule="exact"/>
                    <w:ind w:left="174" w:hanging="174" w:hangingChars="83"/>
                    <w:jc w:val="center"/>
                    <w:rPr>
                      <w:szCs w:val="21"/>
                    </w:rPr>
                  </w:pPr>
                  <w:r>
                    <w:rPr>
                      <w:rFonts w:hint="eastAsia"/>
                      <w:szCs w:val="21"/>
                    </w:rPr>
                    <w:t>声环境</w:t>
                  </w:r>
                </w:p>
              </w:tc>
              <w:tc>
                <w:tcPr>
                  <w:tcW w:w="4588" w:type="dxa"/>
                  <w:gridSpan w:val="4"/>
                  <w:tcBorders>
                    <w:tl2br w:val="nil"/>
                    <w:tr2bl w:val="nil"/>
                  </w:tcBorders>
                  <w:vAlign w:val="center"/>
                </w:tcPr>
                <w:p w14:paraId="727AD4FC">
                  <w:pPr>
                    <w:adjustRightInd w:val="0"/>
                    <w:snapToGrid w:val="0"/>
                    <w:jc w:val="center"/>
                    <w:textAlignment w:val="baseline"/>
                    <w:rPr>
                      <w:szCs w:val="21"/>
                    </w:rPr>
                  </w:pPr>
                  <w:r>
                    <w:rPr>
                      <w:rFonts w:hint="eastAsia"/>
                      <w:szCs w:val="21"/>
                    </w:rPr>
                    <w:t>项目周边 50m 内无声环境敏感点</w:t>
                  </w:r>
                </w:p>
              </w:tc>
              <w:tc>
                <w:tcPr>
                  <w:tcW w:w="2793" w:type="dxa"/>
                  <w:tcBorders>
                    <w:tl2br w:val="nil"/>
                    <w:tr2bl w:val="nil"/>
                  </w:tcBorders>
                  <w:vAlign w:val="center"/>
                </w:tcPr>
                <w:p w14:paraId="3A08B39A">
                  <w:pPr>
                    <w:adjustRightInd w:val="0"/>
                    <w:snapToGrid w:val="0"/>
                    <w:spacing w:line="360" w:lineRule="exact"/>
                    <w:jc w:val="center"/>
                    <w:rPr>
                      <w:szCs w:val="21"/>
                    </w:rPr>
                  </w:pPr>
                  <w:r>
                    <w:rPr>
                      <w:szCs w:val="21"/>
                    </w:rPr>
                    <w:t>《声环境质量标准》</w:t>
                  </w:r>
                </w:p>
                <w:p w14:paraId="7DF7AB0F">
                  <w:pPr>
                    <w:adjustRightInd w:val="0"/>
                    <w:snapToGrid w:val="0"/>
                    <w:spacing w:line="360" w:lineRule="exact"/>
                    <w:jc w:val="center"/>
                    <w:rPr>
                      <w:szCs w:val="21"/>
                    </w:rPr>
                  </w:pPr>
                  <w:r>
                    <w:rPr>
                      <w:szCs w:val="21"/>
                    </w:rPr>
                    <w:t>（GB3096-2008）</w:t>
                  </w:r>
                  <w:r>
                    <w:rPr>
                      <w:rFonts w:hint="eastAsia"/>
                      <w:szCs w:val="21"/>
                    </w:rPr>
                    <w:t>3</w:t>
                  </w:r>
                  <w:r>
                    <w:rPr>
                      <w:szCs w:val="21"/>
                    </w:rPr>
                    <w:t xml:space="preserve"> 类</w:t>
                  </w:r>
                </w:p>
              </w:tc>
            </w:tr>
          </w:tbl>
          <w:p w14:paraId="708A064D">
            <w:pPr>
              <w:pStyle w:val="3"/>
              <w:adjustRightInd w:val="0"/>
              <w:spacing w:before="0" w:after="0" w:line="360" w:lineRule="auto"/>
              <w:ind w:right="0"/>
              <w:rPr>
                <w:sz w:val="24"/>
              </w:rPr>
            </w:pPr>
          </w:p>
        </w:tc>
      </w:tr>
      <w:tr w14:paraId="69FC70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61" w:hRule="atLeast"/>
          <w:jc w:val="center"/>
        </w:trPr>
        <w:tc>
          <w:tcPr>
            <w:tcW w:w="456" w:type="dxa"/>
            <w:tcBorders>
              <w:tl2br w:val="nil"/>
              <w:tr2bl w:val="nil"/>
            </w:tcBorders>
            <w:tcMar>
              <w:left w:w="28" w:type="dxa"/>
              <w:right w:w="28" w:type="dxa"/>
            </w:tcMar>
            <w:vAlign w:val="center"/>
          </w:tcPr>
          <w:p w14:paraId="532D3067">
            <w:pPr>
              <w:adjustRightInd w:val="0"/>
              <w:snapToGrid w:val="0"/>
              <w:jc w:val="center"/>
              <w:rPr>
                <w:kern w:val="0"/>
                <w:sz w:val="24"/>
              </w:rPr>
            </w:pPr>
            <w:r>
              <w:rPr>
                <w:kern w:val="0"/>
                <w:sz w:val="24"/>
              </w:rPr>
              <w:t>污染物排放控制标准</w:t>
            </w:r>
          </w:p>
        </w:tc>
        <w:tc>
          <w:tcPr>
            <w:tcW w:w="8605" w:type="dxa"/>
            <w:tcBorders>
              <w:tl2br w:val="nil"/>
              <w:tr2bl w:val="nil"/>
            </w:tcBorders>
            <w:vAlign w:val="center"/>
          </w:tcPr>
          <w:p w14:paraId="743B40AC">
            <w:pPr>
              <w:adjustRightInd w:val="0"/>
              <w:snapToGrid w:val="0"/>
              <w:spacing w:line="360" w:lineRule="auto"/>
              <w:ind w:firstLine="482" w:firstLineChars="200"/>
              <w:rPr>
                <w:bCs/>
                <w:sz w:val="24"/>
                <w:szCs w:val="22"/>
              </w:rPr>
            </w:pPr>
            <w:r>
              <w:rPr>
                <w:b/>
                <w:sz w:val="24"/>
              </w:rPr>
              <w:t>1、</w:t>
            </w:r>
            <w:r>
              <w:rPr>
                <w:rFonts w:hint="eastAsia"/>
                <w:b/>
                <w:sz w:val="24"/>
              </w:rPr>
              <w:t>废水</w:t>
            </w:r>
          </w:p>
          <w:p w14:paraId="1C76F5A6">
            <w:pPr>
              <w:adjustRightInd w:val="0"/>
              <w:spacing w:line="360" w:lineRule="auto"/>
              <w:ind w:firstLine="480" w:firstLineChars="200"/>
              <w:rPr>
                <w:rFonts w:cs="宋体"/>
                <w:kern w:val="0"/>
                <w:sz w:val="24"/>
              </w:rPr>
            </w:pPr>
            <w:r>
              <w:rPr>
                <w:rFonts w:hint="eastAsia" w:cs="宋体"/>
                <w:kern w:val="0"/>
                <w:sz w:val="24"/>
              </w:rPr>
              <w:t>项目采用雨污分流制，外排废水为生活污水，生活污水经化粪池预处理后排入污水管网，达到《污水综合排放标准》（GB8978-1996）中表4三级排放标准，接管城东污水处理厂集中处理，最终排入青弋江。城东污水处理厂尾水执行《城镇污水处理厂污染物排放标准》（GB18918-2002）一级A标准，具体标准值见下表。</w:t>
            </w:r>
          </w:p>
          <w:p w14:paraId="745B56D1">
            <w:pPr>
              <w:widowControl/>
              <w:adjustRightInd w:val="0"/>
              <w:spacing w:line="460" w:lineRule="exact"/>
              <w:ind w:firstLine="482" w:firstLineChars="200"/>
              <w:jc w:val="center"/>
              <w:rPr>
                <w:rFonts w:cs="宋体"/>
                <w:sz w:val="24"/>
              </w:rPr>
            </w:pPr>
            <w:r>
              <w:rPr>
                <w:rFonts w:hint="eastAsia" w:cs="宋体"/>
                <w:b/>
                <w:sz w:val="24"/>
              </w:rPr>
              <w:t>表3-5  污水综合排放标准  单位：mg/L，pH 为无量纲</w:t>
            </w:r>
          </w:p>
          <w:tbl>
            <w:tblPr>
              <w:tblStyle w:val="29"/>
              <w:tblW w:w="8371" w:type="dxa"/>
              <w:tblInd w:w="0" w:type="dxa"/>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129"/>
              <w:gridCol w:w="1119"/>
              <w:gridCol w:w="2401"/>
              <w:gridCol w:w="2573"/>
            </w:tblGrid>
            <w:tr w14:paraId="57D9857D">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149" w:type="dxa"/>
                  <w:tcBorders>
                    <w:tl2br w:val="nil"/>
                    <w:tr2bl w:val="nil"/>
                  </w:tcBorders>
                  <w:vAlign w:val="center"/>
                </w:tcPr>
                <w:p w14:paraId="50D4107A">
                  <w:pPr>
                    <w:adjustRightInd w:val="0"/>
                    <w:spacing w:line="340" w:lineRule="exact"/>
                    <w:jc w:val="center"/>
                    <w:rPr>
                      <w:b/>
                      <w:szCs w:val="21"/>
                    </w:rPr>
                  </w:pPr>
                  <w:r>
                    <w:rPr>
                      <w:b/>
                      <w:szCs w:val="21"/>
                    </w:rPr>
                    <w:t>项目分类</w:t>
                  </w:r>
                </w:p>
              </w:tc>
              <w:tc>
                <w:tcPr>
                  <w:tcW w:w="1129" w:type="dxa"/>
                  <w:tcBorders>
                    <w:tl2br w:val="nil"/>
                    <w:tr2bl w:val="nil"/>
                  </w:tcBorders>
                  <w:vAlign w:val="center"/>
                </w:tcPr>
                <w:p w14:paraId="1A29ABA7">
                  <w:pPr>
                    <w:adjustRightInd w:val="0"/>
                    <w:spacing w:line="340" w:lineRule="exact"/>
                    <w:jc w:val="center"/>
                    <w:rPr>
                      <w:b/>
                      <w:szCs w:val="21"/>
                    </w:rPr>
                  </w:pPr>
                  <w:r>
                    <w:rPr>
                      <w:b/>
                      <w:szCs w:val="21"/>
                    </w:rPr>
                    <w:t>接管标准</w:t>
                  </w:r>
                </w:p>
              </w:tc>
              <w:tc>
                <w:tcPr>
                  <w:tcW w:w="1119" w:type="dxa"/>
                  <w:tcBorders>
                    <w:tl2br w:val="nil"/>
                    <w:tr2bl w:val="nil"/>
                  </w:tcBorders>
                  <w:vAlign w:val="center"/>
                </w:tcPr>
                <w:p w14:paraId="14E89908">
                  <w:pPr>
                    <w:adjustRightInd w:val="0"/>
                    <w:spacing w:line="340" w:lineRule="exact"/>
                    <w:jc w:val="center"/>
                    <w:rPr>
                      <w:b/>
                      <w:szCs w:val="21"/>
                    </w:rPr>
                  </w:pPr>
                  <w:r>
                    <w:rPr>
                      <w:b/>
                      <w:szCs w:val="21"/>
                    </w:rPr>
                    <w:t>出水标准</w:t>
                  </w:r>
                </w:p>
              </w:tc>
              <w:tc>
                <w:tcPr>
                  <w:tcW w:w="2401" w:type="dxa"/>
                  <w:tcBorders>
                    <w:tl2br w:val="nil"/>
                    <w:tr2bl w:val="nil"/>
                  </w:tcBorders>
                  <w:vAlign w:val="center"/>
                </w:tcPr>
                <w:p w14:paraId="7790E1C1">
                  <w:pPr>
                    <w:adjustRightInd w:val="0"/>
                    <w:spacing w:line="340" w:lineRule="exact"/>
                    <w:jc w:val="center"/>
                    <w:rPr>
                      <w:b/>
                      <w:szCs w:val="21"/>
                    </w:rPr>
                  </w:pPr>
                  <w:r>
                    <w:rPr>
                      <w:b/>
                      <w:szCs w:val="21"/>
                    </w:rPr>
                    <w:t>接管标准来源</w:t>
                  </w:r>
                </w:p>
              </w:tc>
              <w:tc>
                <w:tcPr>
                  <w:tcW w:w="2573" w:type="dxa"/>
                  <w:tcBorders>
                    <w:tl2br w:val="nil"/>
                    <w:tr2bl w:val="nil"/>
                  </w:tcBorders>
                  <w:vAlign w:val="center"/>
                </w:tcPr>
                <w:p w14:paraId="5212AEEC">
                  <w:pPr>
                    <w:adjustRightInd w:val="0"/>
                    <w:spacing w:line="340" w:lineRule="exact"/>
                    <w:jc w:val="center"/>
                    <w:rPr>
                      <w:b/>
                      <w:szCs w:val="21"/>
                    </w:rPr>
                  </w:pPr>
                  <w:r>
                    <w:rPr>
                      <w:b/>
                      <w:szCs w:val="21"/>
                    </w:rPr>
                    <w:t>出水标准来源</w:t>
                  </w:r>
                </w:p>
              </w:tc>
            </w:tr>
            <w:tr w14:paraId="2BAF1933">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149" w:type="dxa"/>
                  <w:tcBorders>
                    <w:tl2br w:val="nil"/>
                    <w:tr2bl w:val="nil"/>
                  </w:tcBorders>
                  <w:vAlign w:val="center"/>
                </w:tcPr>
                <w:p w14:paraId="4291A4C3">
                  <w:pPr>
                    <w:adjustRightInd w:val="0"/>
                    <w:spacing w:line="340" w:lineRule="exact"/>
                    <w:jc w:val="center"/>
                    <w:rPr>
                      <w:szCs w:val="21"/>
                    </w:rPr>
                  </w:pPr>
                  <w:r>
                    <w:rPr>
                      <w:szCs w:val="21"/>
                    </w:rPr>
                    <w:t>pH</w:t>
                  </w:r>
                </w:p>
              </w:tc>
              <w:tc>
                <w:tcPr>
                  <w:tcW w:w="1129" w:type="dxa"/>
                  <w:tcBorders>
                    <w:tl2br w:val="nil"/>
                    <w:tr2bl w:val="nil"/>
                  </w:tcBorders>
                  <w:vAlign w:val="center"/>
                </w:tcPr>
                <w:p w14:paraId="60237216">
                  <w:pPr>
                    <w:adjustRightInd w:val="0"/>
                    <w:spacing w:line="340" w:lineRule="exact"/>
                    <w:jc w:val="center"/>
                    <w:rPr>
                      <w:szCs w:val="21"/>
                    </w:rPr>
                  </w:pPr>
                  <w:r>
                    <w:rPr>
                      <w:szCs w:val="21"/>
                    </w:rPr>
                    <w:t>6～9</w:t>
                  </w:r>
                </w:p>
              </w:tc>
              <w:tc>
                <w:tcPr>
                  <w:tcW w:w="1119" w:type="dxa"/>
                  <w:tcBorders>
                    <w:tl2br w:val="nil"/>
                    <w:tr2bl w:val="nil"/>
                  </w:tcBorders>
                  <w:vAlign w:val="center"/>
                </w:tcPr>
                <w:p w14:paraId="66C7E14D">
                  <w:pPr>
                    <w:adjustRightInd w:val="0"/>
                    <w:spacing w:line="340" w:lineRule="exact"/>
                    <w:jc w:val="center"/>
                    <w:rPr>
                      <w:szCs w:val="21"/>
                    </w:rPr>
                  </w:pPr>
                  <w:r>
                    <w:rPr>
                      <w:szCs w:val="21"/>
                    </w:rPr>
                    <w:t>6～9</w:t>
                  </w:r>
                </w:p>
              </w:tc>
              <w:tc>
                <w:tcPr>
                  <w:tcW w:w="2401" w:type="dxa"/>
                  <w:vMerge w:val="restart"/>
                  <w:tcBorders>
                    <w:tl2br w:val="nil"/>
                    <w:tr2bl w:val="nil"/>
                  </w:tcBorders>
                  <w:vAlign w:val="center"/>
                </w:tcPr>
                <w:p w14:paraId="1BE796B7">
                  <w:pPr>
                    <w:adjustRightInd w:val="0"/>
                    <w:spacing w:line="340" w:lineRule="exact"/>
                    <w:jc w:val="center"/>
                    <w:rPr>
                      <w:szCs w:val="21"/>
                    </w:rPr>
                  </w:pPr>
                  <w:r>
                    <w:rPr>
                      <w:szCs w:val="21"/>
                    </w:rPr>
                    <w:t>《污水综合排放标准》（GB8978-1996）表4</w:t>
                  </w:r>
                  <w:r>
                    <w:rPr>
                      <w:rFonts w:hint="eastAsia"/>
                      <w:szCs w:val="21"/>
                    </w:rPr>
                    <w:t>中</w:t>
                  </w:r>
                  <w:r>
                    <w:rPr>
                      <w:szCs w:val="21"/>
                    </w:rPr>
                    <w:t>三级标准</w:t>
                  </w:r>
                </w:p>
              </w:tc>
              <w:tc>
                <w:tcPr>
                  <w:tcW w:w="2573" w:type="dxa"/>
                  <w:vMerge w:val="restart"/>
                  <w:tcBorders>
                    <w:tl2br w:val="nil"/>
                    <w:tr2bl w:val="nil"/>
                  </w:tcBorders>
                  <w:vAlign w:val="center"/>
                </w:tcPr>
                <w:p w14:paraId="0AC7E3AA">
                  <w:pPr>
                    <w:adjustRightInd w:val="0"/>
                    <w:spacing w:line="340" w:lineRule="exact"/>
                    <w:jc w:val="center"/>
                    <w:rPr>
                      <w:szCs w:val="21"/>
                    </w:rPr>
                  </w:pPr>
                  <w:r>
                    <w:rPr>
                      <w:szCs w:val="21"/>
                    </w:rPr>
                    <w:t>执行《城镇污水处理厂污染物排放标准》（GB18918-2002）一级</w:t>
                  </w:r>
                  <w:r>
                    <w:rPr>
                      <w:rFonts w:hint="eastAsia"/>
                      <w:szCs w:val="21"/>
                    </w:rPr>
                    <w:t>A</w:t>
                  </w:r>
                  <w:r>
                    <w:rPr>
                      <w:szCs w:val="21"/>
                    </w:rPr>
                    <w:t>标准</w:t>
                  </w:r>
                </w:p>
              </w:tc>
            </w:tr>
            <w:tr w14:paraId="4C4EF050">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149" w:type="dxa"/>
                  <w:tcBorders>
                    <w:tl2br w:val="nil"/>
                    <w:tr2bl w:val="nil"/>
                  </w:tcBorders>
                  <w:vAlign w:val="center"/>
                </w:tcPr>
                <w:p w14:paraId="404897FD">
                  <w:pPr>
                    <w:adjustRightInd w:val="0"/>
                    <w:spacing w:line="340" w:lineRule="exact"/>
                    <w:jc w:val="center"/>
                    <w:rPr>
                      <w:szCs w:val="21"/>
                    </w:rPr>
                  </w:pPr>
                  <w:r>
                    <w:rPr>
                      <w:szCs w:val="21"/>
                    </w:rPr>
                    <w:t>COD</w:t>
                  </w:r>
                </w:p>
              </w:tc>
              <w:tc>
                <w:tcPr>
                  <w:tcW w:w="1129" w:type="dxa"/>
                  <w:tcBorders>
                    <w:tl2br w:val="nil"/>
                    <w:tr2bl w:val="nil"/>
                  </w:tcBorders>
                  <w:vAlign w:val="center"/>
                </w:tcPr>
                <w:p w14:paraId="3DE29109">
                  <w:pPr>
                    <w:adjustRightInd w:val="0"/>
                    <w:spacing w:line="340" w:lineRule="exact"/>
                    <w:jc w:val="center"/>
                    <w:rPr>
                      <w:szCs w:val="21"/>
                    </w:rPr>
                  </w:pPr>
                  <w:r>
                    <w:rPr>
                      <w:szCs w:val="21"/>
                    </w:rPr>
                    <w:t>500</w:t>
                  </w:r>
                </w:p>
              </w:tc>
              <w:tc>
                <w:tcPr>
                  <w:tcW w:w="1119" w:type="dxa"/>
                  <w:tcBorders>
                    <w:tl2br w:val="nil"/>
                    <w:tr2bl w:val="nil"/>
                  </w:tcBorders>
                  <w:vAlign w:val="center"/>
                </w:tcPr>
                <w:p w14:paraId="2D28F7C6">
                  <w:pPr>
                    <w:adjustRightInd w:val="0"/>
                    <w:spacing w:line="340" w:lineRule="exact"/>
                    <w:jc w:val="center"/>
                    <w:rPr>
                      <w:szCs w:val="21"/>
                    </w:rPr>
                  </w:pPr>
                  <w:r>
                    <w:rPr>
                      <w:szCs w:val="21"/>
                    </w:rPr>
                    <w:t>50</w:t>
                  </w:r>
                </w:p>
              </w:tc>
              <w:tc>
                <w:tcPr>
                  <w:tcW w:w="2401" w:type="dxa"/>
                  <w:vMerge w:val="continue"/>
                  <w:tcBorders>
                    <w:tl2br w:val="nil"/>
                    <w:tr2bl w:val="nil"/>
                  </w:tcBorders>
                  <w:vAlign w:val="center"/>
                </w:tcPr>
                <w:p w14:paraId="615CB631">
                  <w:pPr>
                    <w:adjustRightInd w:val="0"/>
                    <w:spacing w:line="340" w:lineRule="exact"/>
                    <w:jc w:val="center"/>
                    <w:rPr>
                      <w:szCs w:val="21"/>
                    </w:rPr>
                  </w:pPr>
                </w:p>
              </w:tc>
              <w:tc>
                <w:tcPr>
                  <w:tcW w:w="2573" w:type="dxa"/>
                  <w:vMerge w:val="continue"/>
                  <w:tcBorders>
                    <w:tl2br w:val="nil"/>
                    <w:tr2bl w:val="nil"/>
                  </w:tcBorders>
                  <w:vAlign w:val="center"/>
                </w:tcPr>
                <w:p w14:paraId="33C2C7C1">
                  <w:pPr>
                    <w:adjustRightInd w:val="0"/>
                    <w:spacing w:line="340" w:lineRule="exact"/>
                    <w:jc w:val="center"/>
                    <w:rPr>
                      <w:szCs w:val="21"/>
                    </w:rPr>
                  </w:pPr>
                </w:p>
              </w:tc>
            </w:tr>
            <w:tr w14:paraId="706CDA28">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c>
                <w:tcPr>
                  <w:tcW w:w="1149" w:type="dxa"/>
                  <w:tcBorders>
                    <w:tl2br w:val="nil"/>
                    <w:tr2bl w:val="nil"/>
                  </w:tcBorders>
                  <w:vAlign w:val="center"/>
                </w:tcPr>
                <w:p w14:paraId="0215B04E">
                  <w:pPr>
                    <w:adjustRightInd w:val="0"/>
                    <w:spacing w:line="340" w:lineRule="exact"/>
                    <w:jc w:val="center"/>
                    <w:rPr>
                      <w:szCs w:val="21"/>
                    </w:rPr>
                  </w:pPr>
                  <w:r>
                    <w:rPr>
                      <w:szCs w:val="21"/>
                    </w:rPr>
                    <w:t>BOD</w:t>
                  </w:r>
                  <w:r>
                    <w:rPr>
                      <w:szCs w:val="21"/>
                      <w:vertAlign w:val="subscript"/>
                    </w:rPr>
                    <w:t>5</w:t>
                  </w:r>
                </w:p>
              </w:tc>
              <w:tc>
                <w:tcPr>
                  <w:tcW w:w="1129" w:type="dxa"/>
                  <w:tcBorders>
                    <w:tl2br w:val="nil"/>
                    <w:tr2bl w:val="nil"/>
                  </w:tcBorders>
                  <w:vAlign w:val="center"/>
                </w:tcPr>
                <w:p w14:paraId="5F6C4ACA">
                  <w:pPr>
                    <w:adjustRightInd w:val="0"/>
                    <w:spacing w:line="340" w:lineRule="exact"/>
                    <w:jc w:val="center"/>
                    <w:rPr>
                      <w:szCs w:val="21"/>
                    </w:rPr>
                  </w:pPr>
                  <w:r>
                    <w:rPr>
                      <w:szCs w:val="21"/>
                    </w:rPr>
                    <w:t>300</w:t>
                  </w:r>
                </w:p>
              </w:tc>
              <w:tc>
                <w:tcPr>
                  <w:tcW w:w="1119" w:type="dxa"/>
                  <w:tcBorders>
                    <w:tl2br w:val="nil"/>
                    <w:tr2bl w:val="nil"/>
                  </w:tcBorders>
                  <w:vAlign w:val="center"/>
                </w:tcPr>
                <w:p w14:paraId="549CA3F2">
                  <w:pPr>
                    <w:adjustRightInd w:val="0"/>
                    <w:spacing w:line="340" w:lineRule="exact"/>
                    <w:jc w:val="center"/>
                    <w:rPr>
                      <w:szCs w:val="21"/>
                    </w:rPr>
                  </w:pPr>
                  <w:r>
                    <w:rPr>
                      <w:szCs w:val="21"/>
                    </w:rPr>
                    <w:t>10</w:t>
                  </w:r>
                </w:p>
              </w:tc>
              <w:tc>
                <w:tcPr>
                  <w:tcW w:w="2401" w:type="dxa"/>
                  <w:vMerge w:val="continue"/>
                  <w:tcBorders>
                    <w:tl2br w:val="nil"/>
                    <w:tr2bl w:val="nil"/>
                  </w:tcBorders>
                  <w:vAlign w:val="center"/>
                </w:tcPr>
                <w:p w14:paraId="02DC03F8">
                  <w:pPr>
                    <w:adjustRightInd w:val="0"/>
                    <w:spacing w:line="340" w:lineRule="exact"/>
                    <w:jc w:val="center"/>
                    <w:rPr>
                      <w:szCs w:val="21"/>
                    </w:rPr>
                  </w:pPr>
                </w:p>
              </w:tc>
              <w:tc>
                <w:tcPr>
                  <w:tcW w:w="2573" w:type="dxa"/>
                  <w:vMerge w:val="continue"/>
                  <w:tcBorders>
                    <w:tl2br w:val="nil"/>
                    <w:tr2bl w:val="nil"/>
                  </w:tcBorders>
                  <w:vAlign w:val="center"/>
                </w:tcPr>
                <w:p w14:paraId="1CC03976">
                  <w:pPr>
                    <w:adjustRightInd w:val="0"/>
                    <w:spacing w:line="340" w:lineRule="exact"/>
                    <w:jc w:val="center"/>
                    <w:rPr>
                      <w:szCs w:val="21"/>
                    </w:rPr>
                  </w:pPr>
                </w:p>
              </w:tc>
            </w:tr>
            <w:tr w14:paraId="10E7A05F">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149" w:type="dxa"/>
                  <w:tcBorders>
                    <w:tl2br w:val="nil"/>
                    <w:tr2bl w:val="nil"/>
                  </w:tcBorders>
                  <w:vAlign w:val="center"/>
                </w:tcPr>
                <w:p w14:paraId="4A4B061D">
                  <w:pPr>
                    <w:adjustRightInd w:val="0"/>
                    <w:spacing w:line="340" w:lineRule="exact"/>
                    <w:jc w:val="center"/>
                    <w:rPr>
                      <w:szCs w:val="21"/>
                    </w:rPr>
                  </w:pPr>
                  <w:r>
                    <w:rPr>
                      <w:szCs w:val="21"/>
                    </w:rPr>
                    <w:t>SS</w:t>
                  </w:r>
                </w:p>
              </w:tc>
              <w:tc>
                <w:tcPr>
                  <w:tcW w:w="1129" w:type="dxa"/>
                  <w:tcBorders>
                    <w:tl2br w:val="nil"/>
                    <w:tr2bl w:val="nil"/>
                  </w:tcBorders>
                  <w:vAlign w:val="center"/>
                </w:tcPr>
                <w:p w14:paraId="664422B5">
                  <w:pPr>
                    <w:adjustRightInd w:val="0"/>
                    <w:spacing w:line="340" w:lineRule="exact"/>
                    <w:jc w:val="center"/>
                    <w:rPr>
                      <w:szCs w:val="21"/>
                    </w:rPr>
                  </w:pPr>
                  <w:r>
                    <w:rPr>
                      <w:szCs w:val="21"/>
                    </w:rPr>
                    <w:t>400</w:t>
                  </w:r>
                </w:p>
              </w:tc>
              <w:tc>
                <w:tcPr>
                  <w:tcW w:w="1119" w:type="dxa"/>
                  <w:tcBorders>
                    <w:tl2br w:val="nil"/>
                    <w:tr2bl w:val="nil"/>
                  </w:tcBorders>
                  <w:vAlign w:val="center"/>
                </w:tcPr>
                <w:p w14:paraId="5D0288D6">
                  <w:pPr>
                    <w:adjustRightInd w:val="0"/>
                    <w:spacing w:line="340" w:lineRule="exact"/>
                    <w:jc w:val="center"/>
                    <w:rPr>
                      <w:szCs w:val="21"/>
                    </w:rPr>
                  </w:pPr>
                  <w:r>
                    <w:rPr>
                      <w:szCs w:val="21"/>
                    </w:rPr>
                    <w:t>10</w:t>
                  </w:r>
                </w:p>
              </w:tc>
              <w:tc>
                <w:tcPr>
                  <w:tcW w:w="2401" w:type="dxa"/>
                  <w:vMerge w:val="continue"/>
                  <w:tcBorders>
                    <w:tl2br w:val="nil"/>
                    <w:tr2bl w:val="nil"/>
                  </w:tcBorders>
                  <w:vAlign w:val="center"/>
                </w:tcPr>
                <w:p w14:paraId="5F2C0519">
                  <w:pPr>
                    <w:adjustRightInd w:val="0"/>
                    <w:spacing w:line="340" w:lineRule="exact"/>
                    <w:jc w:val="center"/>
                    <w:rPr>
                      <w:szCs w:val="21"/>
                    </w:rPr>
                  </w:pPr>
                </w:p>
              </w:tc>
              <w:tc>
                <w:tcPr>
                  <w:tcW w:w="2573" w:type="dxa"/>
                  <w:vMerge w:val="continue"/>
                  <w:tcBorders>
                    <w:tl2br w:val="nil"/>
                    <w:tr2bl w:val="nil"/>
                  </w:tcBorders>
                  <w:vAlign w:val="center"/>
                </w:tcPr>
                <w:p w14:paraId="320459DF">
                  <w:pPr>
                    <w:adjustRightInd w:val="0"/>
                    <w:spacing w:line="340" w:lineRule="exact"/>
                    <w:jc w:val="center"/>
                    <w:rPr>
                      <w:szCs w:val="21"/>
                    </w:rPr>
                  </w:pPr>
                </w:p>
              </w:tc>
            </w:tr>
            <w:tr w14:paraId="43CEED1C">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149" w:type="dxa"/>
                  <w:tcBorders>
                    <w:tl2br w:val="nil"/>
                    <w:tr2bl w:val="nil"/>
                  </w:tcBorders>
                  <w:vAlign w:val="center"/>
                </w:tcPr>
                <w:p w14:paraId="3CD8B2E8">
                  <w:pPr>
                    <w:adjustRightInd w:val="0"/>
                    <w:spacing w:line="340" w:lineRule="exact"/>
                    <w:jc w:val="center"/>
                    <w:rPr>
                      <w:szCs w:val="21"/>
                    </w:rPr>
                  </w:pPr>
                  <w:r>
                    <w:rPr>
                      <w:szCs w:val="21"/>
                    </w:rPr>
                    <w:t>氨氮</w:t>
                  </w:r>
                </w:p>
              </w:tc>
              <w:tc>
                <w:tcPr>
                  <w:tcW w:w="1129" w:type="dxa"/>
                  <w:tcBorders>
                    <w:tl2br w:val="nil"/>
                    <w:tr2bl w:val="nil"/>
                  </w:tcBorders>
                  <w:vAlign w:val="center"/>
                </w:tcPr>
                <w:p w14:paraId="63AF5ACC">
                  <w:pPr>
                    <w:adjustRightInd w:val="0"/>
                    <w:spacing w:line="340" w:lineRule="exact"/>
                    <w:jc w:val="center"/>
                    <w:rPr>
                      <w:szCs w:val="21"/>
                    </w:rPr>
                  </w:pPr>
                  <w:r>
                    <w:rPr>
                      <w:rFonts w:hint="eastAsia"/>
                      <w:szCs w:val="21"/>
                    </w:rPr>
                    <w:t>-</w:t>
                  </w:r>
                </w:p>
              </w:tc>
              <w:tc>
                <w:tcPr>
                  <w:tcW w:w="1119" w:type="dxa"/>
                  <w:tcBorders>
                    <w:tl2br w:val="nil"/>
                    <w:tr2bl w:val="nil"/>
                  </w:tcBorders>
                  <w:vAlign w:val="center"/>
                </w:tcPr>
                <w:p w14:paraId="4F4C6F2C">
                  <w:pPr>
                    <w:adjustRightInd w:val="0"/>
                    <w:spacing w:line="340" w:lineRule="exact"/>
                    <w:jc w:val="center"/>
                    <w:rPr>
                      <w:szCs w:val="21"/>
                    </w:rPr>
                  </w:pPr>
                  <w:r>
                    <w:rPr>
                      <w:szCs w:val="21"/>
                    </w:rPr>
                    <w:t>5(8)</w:t>
                  </w:r>
                  <w:r>
                    <w:rPr>
                      <w:bCs/>
                      <w:szCs w:val="21"/>
                    </w:rPr>
                    <w:t xml:space="preserve"> *</w:t>
                  </w:r>
                </w:p>
              </w:tc>
              <w:tc>
                <w:tcPr>
                  <w:tcW w:w="2401" w:type="dxa"/>
                  <w:vMerge w:val="continue"/>
                  <w:tcBorders>
                    <w:tl2br w:val="nil"/>
                    <w:tr2bl w:val="nil"/>
                  </w:tcBorders>
                  <w:vAlign w:val="center"/>
                </w:tcPr>
                <w:p w14:paraId="4D5CBC04">
                  <w:pPr>
                    <w:adjustRightInd w:val="0"/>
                    <w:spacing w:line="340" w:lineRule="exact"/>
                    <w:jc w:val="center"/>
                    <w:rPr>
                      <w:szCs w:val="21"/>
                    </w:rPr>
                  </w:pPr>
                </w:p>
              </w:tc>
              <w:tc>
                <w:tcPr>
                  <w:tcW w:w="2573" w:type="dxa"/>
                  <w:vMerge w:val="continue"/>
                  <w:tcBorders>
                    <w:tl2br w:val="nil"/>
                    <w:tr2bl w:val="nil"/>
                  </w:tcBorders>
                  <w:vAlign w:val="center"/>
                </w:tcPr>
                <w:p w14:paraId="2CC9D844">
                  <w:pPr>
                    <w:adjustRightInd w:val="0"/>
                    <w:spacing w:line="340" w:lineRule="exact"/>
                    <w:jc w:val="center"/>
                    <w:rPr>
                      <w:szCs w:val="21"/>
                    </w:rPr>
                  </w:pPr>
                </w:p>
              </w:tc>
            </w:tr>
          </w:tbl>
          <w:p w14:paraId="5D3C06D2">
            <w:pPr>
              <w:tabs>
                <w:tab w:val="left" w:pos="1350"/>
              </w:tabs>
              <w:adjustRightInd w:val="0"/>
              <w:snapToGrid w:val="0"/>
              <w:spacing w:before="120" w:beforeLines="50" w:line="360" w:lineRule="auto"/>
              <w:ind w:firstLine="482" w:firstLineChars="200"/>
              <w:rPr>
                <w:b/>
                <w:sz w:val="24"/>
              </w:rPr>
            </w:pPr>
            <w:r>
              <w:rPr>
                <w:b/>
                <w:sz w:val="24"/>
              </w:rPr>
              <w:t>2、</w:t>
            </w:r>
            <w:r>
              <w:rPr>
                <w:rFonts w:hint="eastAsia"/>
                <w:b/>
                <w:sz w:val="24"/>
              </w:rPr>
              <w:t>废气</w:t>
            </w:r>
          </w:p>
          <w:p w14:paraId="4F1C31F8">
            <w:pPr>
              <w:pStyle w:val="10"/>
              <w:spacing w:line="360" w:lineRule="auto"/>
              <w:ind w:firstLine="480" w:firstLineChars="200"/>
              <w:rPr>
                <w:rFonts w:hint="eastAsia" w:eastAsia="宋体"/>
                <w:bCs/>
                <w:color w:val="000000" w:themeColor="text1"/>
                <w:szCs w:val="24"/>
                <w:lang w:eastAsia="zh-CN"/>
                <w14:textFill>
                  <w14:solidFill>
                    <w14:schemeClr w14:val="tx1"/>
                  </w14:solidFill>
                </w14:textFill>
              </w:rPr>
            </w:pPr>
            <w:r>
              <w:rPr>
                <w:bCs/>
                <w:color w:val="000000" w:themeColor="text1"/>
                <w:szCs w:val="24"/>
                <w14:textFill>
                  <w14:solidFill>
                    <w14:schemeClr w14:val="tx1"/>
                  </w14:solidFill>
                </w14:textFill>
              </w:rPr>
              <w:t>本项目</w:t>
            </w:r>
            <w:r>
              <w:rPr>
                <w:rFonts w:hint="eastAsia"/>
                <w:bCs/>
                <w:color w:val="000000" w:themeColor="text1"/>
                <w:szCs w:val="24"/>
                <w14:textFill>
                  <w14:solidFill>
                    <w14:schemeClr w14:val="tx1"/>
                  </w14:solidFill>
                </w14:textFill>
              </w:rPr>
              <w:t>废气主要为</w:t>
            </w:r>
            <w:r>
              <w:rPr>
                <w:rFonts w:hint="eastAsia"/>
                <w:bCs/>
                <w:color w:val="000000" w:themeColor="text1"/>
                <w:szCs w:val="24"/>
                <w:lang w:val="en-US" w:eastAsia="zh-CN"/>
                <w14:textFill>
                  <w14:solidFill>
                    <w14:schemeClr w14:val="tx1"/>
                  </w14:solidFill>
                </w14:textFill>
              </w:rPr>
              <w:t>发泡</w:t>
            </w:r>
            <w:r>
              <w:rPr>
                <w:rFonts w:hint="eastAsia"/>
                <w:bCs/>
                <w:color w:val="000000" w:themeColor="text1"/>
                <w:szCs w:val="24"/>
                <w14:textFill>
                  <w14:solidFill>
                    <w14:schemeClr w14:val="tx1"/>
                  </w14:solidFill>
                </w14:textFill>
              </w:rPr>
              <w:t>废气</w:t>
            </w:r>
            <w:r>
              <w:rPr>
                <w:rFonts w:hint="eastAsia"/>
                <w:bCs/>
                <w:color w:val="000000" w:themeColor="text1"/>
                <w:szCs w:val="24"/>
                <w:lang w:eastAsia="zh-CN"/>
                <w14:textFill>
                  <w14:solidFill>
                    <w14:schemeClr w14:val="tx1"/>
                  </w14:solidFill>
                </w14:textFill>
              </w:rPr>
              <w:t>、</w:t>
            </w:r>
            <w:r>
              <w:rPr>
                <w:rFonts w:hint="eastAsia"/>
                <w:bCs/>
                <w:color w:val="000000" w:themeColor="text1"/>
                <w:szCs w:val="24"/>
                <w:lang w:val="en-US" w:eastAsia="zh-CN"/>
                <w14:textFill>
                  <w14:solidFill>
                    <w14:schemeClr w14:val="tx1"/>
                  </w14:solidFill>
                </w14:textFill>
              </w:rPr>
              <w:t>脱模废气、</w:t>
            </w:r>
            <w:r>
              <w:rPr>
                <w:rFonts w:hint="eastAsia"/>
                <w:kern w:val="0"/>
                <w:sz w:val="24"/>
                <w:lang w:val="en-US" w:eastAsia="zh-CN"/>
              </w:rPr>
              <w:t>喷胶固化废气</w:t>
            </w:r>
            <w:r>
              <w:rPr>
                <w:rFonts w:hint="eastAsia"/>
                <w:bCs/>
                <w:color w:val="000000" w:themeColor="text1"/>
                <w:szCs w:val="24"/>
                <w14:textFill>
                  <w14:solidFill>
                    <w14:schemeClr w14:val="tx1"/>
                  </w14:solidFill>
                </w14:textFill>
              </w:rPr>
              <w:t>。</w:t>
            </w:r>
            <w:r>
              <w:rPr>
                <w:rFonts w:hint="eastAsia" w:ascii="宋体" w:hAnsi="宋体" w:eastAsia="宋体" w:cs="宋体"/>
                <w:bCs/>
                <w:color w:val="auto"/>
                <w:sz w:val="24"/>
                <w:szCs w:val="24"/>
                <w:highlight w:val="none"/>
                <w:lang w:eastAsia="zh-CN"/>
              </w:rPr>
              <w:t>发泡废气</w:t>
            </w:r>
            <w:r>
              <w:rPr>
                <w:rFonts w:hint="eastAsia" w:ascii="宋体" w:hAnsi="宋体" w:eastAsia="宋体" w:cs="宋体"/>
                <w:bCs/>
                <w:color w:val="auto"/>
                <w:sz w:val="24"/>
                <w:szCs w:val="24"/>
                <w:highlight w:val="none"/>
                <w:lang w:val="en-US" w:eastAsia="zh-CN"/>
              </w:rPr>
              <w:t>和</w:t>
            </w:r>
            <w:r>
              <w:rPr>
                <w:rFonts w:hint="eastAsia"/>
                <w:bCs/>
                <w:color w:val="000000" w:themeColor="text1"/>
                <w:szCs w:val="24"/>
                <w:lang w:val="en-US" w:eastAsia="zh-CN"/>
                <w14:textFill>
                  <w14:solidFill>
                    <w14:schemeClr w14:val="tx1"/>
                  </w14:solidFill>
                </w14:textFill>
              </w:rPr>
              <w:t>脱模废气产生的</w:t>
            </w:r>
            <w:r>
              <w:rPr>
                <w:rFonts w:hint="eastAsia" w:ascii="宋体" w:hAnsi="宋体" w:eastAsia="宋体" w:cs="宋体"/>
                <w:bCs/>
                <w:color w:val="auto"/>
                <w:sz w:val="24"/>
                <w:szCs w:val="24"/>
                <w:highlight w:val="none"/>
                <w:lang w:eastAsia="zh-CN"/>
              </w:rPr>
              <w:t>非甲烷总烃</w:t>
            </w:r>
            <w:r>
              <w:rPr>
                <w:rFonts w:hint="eastAsia" w:ascii="宋体" w:hAnsi="宋体" w:eastAsia="宋体" w:cs="宋体"/>
                <w:color w:val="auto"/>
                <w:sz w:val="24"/>
                <w:szCs w:val="24"/>
                <w:highlight w:val="none"/>
              </w:rPr>
              <w:t>执行</w:t>
            </w:r>
            <w:r>
              <w:t>安徽省</w:t>
            </w:r>
            <w:r>
              <w:rPr>
                <w:rFonts w:hint="eastAsia"/>
              </w:rPr>
              <w:t>地方标准</w:t>
            </w:r>
            <w:r>
              <w:t>《固定源挥发性有机物综合排放标准</w:t>
            </w:r>
            <w:r>
              <w:rPr>
                <w:rFonts w:hint="eastAsia"/>
              </w:rPr>
              <w:t>第6部分：其他行业</w:t>
            </w:r>
            <w:r>
              <w:t>》</w:t>
            </w:r>
            <w:r>
              <w:rPr>
                <w:rFonts w:hint="eastAsia"/>
              </w:rPr>
              <w:t>（</w:t>
            </w:r>
            <w:r>
              <w:t>DB34/4812.6-2024</w:t>
            </w:r>
            <w:r>
              <w:rPr>
                <w:rFonts w:hint="eastAsia"/>
              </w:rPr>
              <w:t>）表1中的大气污染物排放限值</w:t>
            </w:r>
            <w:r>
              <w:rPr>
                <w:rFonts w:hint="eastAsia" w:ascii="Times New Roman" w:hAnsi="Times New Roman" w:eastAsia="宋体" w:cs="Times New Roman"/>
                <w:sz w:val="24"/>
                <w:lang w:eastAsia="zh-CN"/>
              </w:rPr>
              <w:t>要求</w:t>
            </w:r>
            <w:r>
              <w:rPr>
                <w:rFonts w:hint="eastAsia"/>
                <w:bCs/>
                <w:color w:val="000000" w:themeColor="text1"/>
                <w:szCs w:val="24"/>
                <w14:textFill>
                  <w14:solidFill>
                    <w14:schemeClr w14:val="tx1"/>
                  </w14:solidFill>
                </w14:textFill>
              </w:rPr>
              <w:t>；</w:t>
            </w:r>
            <w:r>
              <w:rPr>
                <w:rFonts w:hint="eastAsia" w:ascii="宋体" w:hAnsi="宋体" w:eastAsia="宋体" w:cs="宋体"/>
                <w:bCs/>
                <w:color w:val="auto"/>
                <w:sz w:val="24"/>
                <w:szCs w:val="24"/>
                <w:highlight w:val="none"/>
                <w:lang w:eastAsia="zh-CN"/>
              </w:rPr>
              <w:t>发泡废气</w:t>
            </w:r>
            <w:r>
              <w:rPr>
                <w:rFonts w:hint="eastAsia" w:ascii="宋体" w:hAnsi="宋体" w:eastAsia="宋体" w:cs="宋体"/>
                <w:bCs/>
                <w:color w:val="auto"/>
                <w:sz w:val="24"/>
                <w:szCs w:val="24"/>
                <w:highlight w:val="none"/>
                <w:lang w:val="en-US" w:eastAsia="zh-CN"/>
              </w:rPr>
              <w:t>产生的</w:t>
            </w:r>
            <w:r>
              <w:rPr>
                <w:rFonts w:hint="eastAsia" w:ascii="Times New Roman" w:hAnsi="Times New Roman" w:eastAsia="宋体" w:cs="Times New Roman"/>
                <w:color w:val="auto"/>
                <w:sz w:val="24"/>
                <w:lang w:val="en-US" w:eastAsia="zh-CN"/>
              </w:rPr>
              <w:t>PAPI执行《合成树脂工业污染物排放标准》（GB31572-2015）表5</w:t>
            </w:r>
            <w:r>
              <w:rPr>
                <w:color w:val="000000" w:themeColor="text1"/>
                <w:szCs w:val="21"/>
                <w:lang w:bidi="ar"/>
                <w14:textFill>
                  <w14:solidFill>
                    <w14:schemeClr w14:val="tx1"/>
                  </w14:solidFill>
                </w14:textFill>
              </w:rPr>
              <w:t>中限值要求</w:t>
            </w:r>
            <w:r>
              <w:rPr>
                <w:rFonts w:hint="eastAsia"/>
                <w:color w:val="000000" w:themeColor="text1"/>
                <w:szCs w:val="21"/>
                <w:lang w:eastAsia="zh-CN" w:bidi="ar"/>
                <w14:textFill>
                  <w14:solidFill>
                    <w14:schemeClr w14:val="tx1"/>
                  </w14:solidFill>
                </w14:textFill>
              </w:rPr>
              <w:t>；</w:t>
            </w:r>
            <w:r>
              <w:rPr>
                <w:rFonts w:hint="eastAsia"/>
                <w:kern w:val="0"/>
                <w:sz w:val="24"/>
                <w:lang w:val="en-US" w:eastAsia="zh-CN"/>
              </w:rPr>
              <w:t>喷胶固化废气产生的</w:t>
            </w:r>
            <w:r>
              <w:rPr>
                <w:rFonts w:hint="eastAsia" w:ascii="Times New Roman" w:hAnsi="Times New Roman" w:cs="Times New Roman"/>
                <w:color w:val="auto"/>
                <w:sz w:val="24"/>
                <w:lang w:val="en-US"/>
              </w:rPr>
              <w:t>非甲烷总烃</w:t>
            </w:r>
            <w:r>
              <w:rPr>
                <w:rFonts w:hint="eastAsia" w:ascii="Times New Roman" w:hAnsi="Times New Roman" w:cs="Times New Roman"/>
                <w:color w:val="auto"/>
                <w:sz w:val="24"/>
                <w:lang w:val="en-US" w:eastAsia="zh-CN"/>
              </w:rPr>
              <w:t>排放</w:t>
            </w:r>
            <w:r>
              <w:rPr>
                <w:rFonts w:hint="eastAsia" w:ascii="Times New Roman" w:hAnsi="Times New Roman" w:cs="Times New Roman"/>
                <w:color w:val="auto"/>
                <w:sz w:val="24"/>
                <w:lang w:val="en-US"/>
              </w:rPr>
              <w:t>执行《</w:t>
            </w:r>
            <w:r>
              <w:rPr>
                <w:rFonts w:hint="eastAsia" w:ascii="Times New Roman" w:hAnsi="Times New Roman"/>
                <w:snapToGrid w:val="0"/>
                <w:color w:val="auto"/>
                <w:kern w:val="0"/>
                <w:sz w:val="24"/>
              </w:rPr>
              <w:t>大气污染物综合排放标准》（GB16297-1996）中表2中二级标准</w:t>
            </w:r>
            <w:r>
              <w:rPr>
                <w:rFonts w:hint="eastAsia"/>
              </w:rPr>
              <w:t>限值</w:t>
            </w:r>
            <w:r>
              <w:rPr>
                <w:rFonts w:hint="eastAsia" w:ascii="Times New Roman" w:hAnsi="Times New Roman" w:eastAsia="宋体" w:cs="Times New Roman"/>
                <w:sz w:val="24"/>
                <w:lang w:eastAsia="zh-CN"/>
              </w:rPr>
              <w:t>要求</w:t>
            </w:r>
            <w:r>
              <w:rPr>
                <w:rFonts w:hint="eastAsia"/>
                <w:color w:val="000000" w:themeColor="text1"/>
                <w:szCs w:val="21"/>
                <w:lang w:eastAsia="zh-CN" w:bidi="ar"/>
                <w14:textFill>
                  <w14:solidFill>
                    <w14:schemeClr w14:val="tx1"/>
                  </w14:solidFill>
                </w14:textFill>
              </w:rPr>
              <w:t>。</w:t>
            </w:r>
          </w:p>
          <w:p w14:paraId="16EC79C7">
            <w:pPr>
              <w:tabs>
                <w:tab w:val="left" w:pos="1350"/>
              </w:tabs>
              <w:adjustRightInd w:val="0"/>
              <w:snapToGrid w:val="0"/>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无组织废气非甲烷总烃</w:t>
            </w:r>
            <w:r>
              <w:rPr>
                <w:rFonts w:hint="eastAsia"/>
                <w:bCs/>
                <w:color w:val="000000" w:themeColor="text1"/>
                <w:sz w:val="24"/>
                <w:lang w:val="en-US" w:eastAsia="zh-CN"/>
                <w14:textFill>
                  <w14:solidFill>
                    <w14:schemeClr w14:val="tx1"/>
                  </w14:solidFill>
                </w14:textFill>
              </w:rPr>
              <w:t>执行</w:t>
            </w:r>
            <w:r>
              <w:rPr>
                <w:rFonts w:hint="eastAsia" w:ascii="宋体" w:hAnsi="宋体" w:eastAsia="宋体" w:cs="宋体"/>
                <w:color w:val="auto"/>
                <w:sz w:val="24"/>
                <w:szCs w:val="24"/>
                <w:highlight w:val="none"/>
              </w:rPr>
              <w:t>安徽省地方标准《固定源挥发性有机物综合排放标准第6部分：其他行业》（DB34/4812.6-2024）表</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中的大气污染物排放限值</w:t>
            </w:r>
            <w:r>
              <w:rPr>
                <w:rFonts w:hint="eastAsia"/>
                <w:bCs/>
                <w:color w:val="000000" w:themeColor="text1"/>
                <w:sz w:val="24"/>
                <w14:textFill>
                  <w14:solidFill>
                    <w14:schemeClr w14:val="tx1"/>
                  </w14:solidFill>
                </w14:textFill>
              </w:rPr>
              <w:t>；同时厂区内非甲烷总烃无组织排放执行《安徽省地方标准《固定源挥发性有机物综合排放标准第6部分：其他行业》（DB34/4812.6-2024）表4 厂区内 VOCs 无组织排放限值。具体标准值详见下表。</w:t>
            </w:r>
          </w:p>
          <w:p w14:paraId="6D69D154">
            <w:pPr>
              <w:pStyle w:val="9"/>
              <w:ind w:firstLine="482"/>
              <w:jc w:val="center"/>
              <w:rPr>
                <w:rFonts w:hAnsi="宋体"/>
                <w:b/>
                <w:sz w:val="24"/>
              </w:rPr>
            </w:pPr>
            <w:r>
              <w:rPr>
                <w:b/>
                <w:sz w:val="24"/>
                <w:szCs w:val="28"/>
              </w:rPr>
              <w:t>表</w:t>
            </w:r>
            <w:r>
              <w:rPr>
                <w:rFonts w:hint="eastAsia"/>
                <w:b/>
                <w:sz w:val="24"/>
                <w:szCs w:val="28"/>
              </w:rPr>
              <w:t xml:space="preserve">3-6 </w:t>
            </w:r>
            <w:r>
              <w:rPr>
                <w:b/>
                <w:sz w:val="24"/>
                <w:szCs w:val="28"/>
              </w:rPr>
              <w:t xml:space="preserve"> </w:t>
            </w:r>
            <w:r>
              <w:rPr>
                <w:rFonts w:hAnsi="宋体"/>
                <w:b/>
                <w:sz w:val="24"/>
              </w:rPr>
              <w:t>污染物</w:t>
            </w:r>
            <w:r>
              <w:rPr>
                <w:rFonts w:hint="eastAsia" w:hAnsi="宋体"/>
                <w:b/>
                <w:sz w:val="24"/>
              </w:rPr>
              <w:t>有组织</w:t>
            </w:r>
            <w:r>
              <w:rPr>
                <w:rFonts w:hAnsi="宋体"/>
                <w:b/>
                <w:sz w:val="24"/>
              </w:rPr>
              <w:t>排放</w:t>
            </w:r>
            <w:r>
              <w:rPr>
                <w:rFonts w:hint="eastAsia" w:hAnsi="宋体"/>
                <w:b/>
                <w:sz w:val="24"/>
              </w:rPr>
              <w:t>标准限值一览</w:t>
            </w:r>
            <w:r>
              <w:rPr>
                <w:rFonts w:hAnsi="宋体"/>
                <w:b/>
                <w:sz w:val="24"/>
              </w:rPr>
              <w:t>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050"/>
              <w:gridCol w:w="1176"/>
              <w:gridCol w:w="1473"/>
              <w:gridCol w:w="1411"/>
              <w:gridCol w:w="1030"/>
              <w:gridCol w:w="2246"/>
            </w:tblGrid>
            <w:tr w14:paraId="59FB92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626" w:type="pct"/>
                  <w:vAlign w:val="center"/>
                </w:tcPr>
                <w:p w14:paraId="58C96C61">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产污工序</w:t>
                  </w:r>
                </w:p>
              </w:tc>
              <w:tc>
                <w:tcPr>
                  <w:tcW w:w="701" w:type="pct"/>
                  <w:vAlign w:val="center"/>
                </w:tcPr>
                <w:p w14:paraId="1B113634">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排气筒编号</w:t>
                  </w:r>
                </w:p>
              </w:tc>
              <w:tc>
                <w:tcPr>
                  <w:tcW w:w="878" w:type="pct"/>
                  <w:vAlign w:val="center"/>
                </w:tcPr>
                <w:p w14:paraId="027E4287">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污染物名称</w:t>
                  </w:r>
                </w:p>
              </w:tc>
              <w:tc>
                <w:tcPr>
                  <w:tcW w:w="841" w:type="pct"/>
                  <w:vAlign w:val="center"/>
                </w:tcPr>
                <w:p w14:paraId="4F963ED0">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最高允许排放浓度（mg/m</w:t>
                  </w:r>
                  <w:r>
                    <w:rPr>
                      <w:b/>
                      <w:bCs/>
                      <w:color w:val="000000" w:themeColor="text1"/>
                      <w:vertAlign w:val="superscript"/>
                      <w14:textFill>
                        <w14:solidFill>
                          <w14:schemeClr w14:val="tx1"/>
                        </w14:solidFill>
                      </w14:textFill>
                    </w:rPr>
                    <w:t>3</w:t>
                  </w:r>
                  <w:r>
                    <w:rPr>
                      <w:b/>
                      <w:bCs/>
                      <w:color w:val="000000" w:themeColor="text1"/>
                      <w14:textFill>
                        <w14:solidFill>
                          <w14:schemeClr w14:val="tx1"/>
                        </w14:solidFill>
                      </w14:textFill>
                    </w:rPr>
                    <w:t>）</w:t>
                  </w:r>
                </w:p>
              </w:tc>
              <w:tc>
                <w:tcPr>
                  <w:tcW w:w="614" w:type="pct"/>
                  <w:vAlign w:val="center"/>
                </w:tcPr>
                <w:p w14:paraId="3D428DF0">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最高允许排放速率（kg/h）</w:t>
                  </w:r>
                </w:p>
              </w:tc>
              <w:tc>
                <w:tcPr>
                  <w:tcW w:w="1339" w:type="pct"/>
                  <w:vAlign w:val="center"/>
                </w:tcPr>
                <w:p w14:paraId="287A8C3D">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标准来源</w:t>
                  </w:r>
                </w:p>
              </w:tc>
            </w:tr>
            <w:tr w14:paraId="1DB3AB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80" w:hRule="atLeast"/>
                <w:jc w:val="center"/>
              </w:trPr>
              <w:tc>
                <w:tcPr>
                  <w:tcW w:w="626" w:type="pct"/>
                  <w:vMerge w:val="restart"/>
                  <w:vAlign w:val="center"/>
                </w:tcPr>
                <w:p w14:paraId="43AA1A06">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发泡、脱模</w:t>
                  </w:r>
                </w:p>
              </w:tc>
              <w:tc>
                <w:tcPr>
                  <w:tcW w:w="701" w:type="pct"/>
                  <w:vMerge w:val="restart"/>
                  <w:vAlign w:val="center"/>
                </w:tcPr>
                <w:p w14:paraId="1119B16A">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DA001</w:t>
                  </w:r>
                </w:p>
              </w:tc>
              <w:tc>
                <w:tcPr>
                  <w:tcW w:w="878" w:type="pct"/>
                  <w:vAlign w:val="center"/>
                </w:tcPr>
                <w:p w14:paraId="48951FE6">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非甲烷总烃</w:t>
                  </w:r>
                </w:p>
              </w:tc>
              <w:tc>
                <w:tcPr>
                  <w:tcW w:w="841" w:type="pct"/>
                  <w:vAlign w:val="center"/>
                </w:tcPr>
                <w:p w14:paraId="6303AB16">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40</w:t>
                  </w:r>
                </w:p>
              </w:tc>
              <w:tc>
                <w:tcPr>
                  <w:tcW w:w="614" w:type="pct"/>
                  <w:vAlign w:val="center"/>
                </w:tcPr>
                <w:p w14:paraId="06B07632">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1.6</w:t>
                  </w:r>
                </w:p>
              </w:tc>
              <w:tc>
                <w:tcPr>
                  <w:tcW w:w="1339" w:type="pct"/>
                  <w:vAlign w:val="center"/>
                </w:tcPr>
                <w:p w14:paraId="45D34B5C">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安徽省地方标准《固定源挥发性有机物综合排放标准第6部分：其他行业》（DB34/4812.6-2024）</w:t>
                  </w:r>
                </w:p>
              </w:tc>
            </w:tr>
            <w:tr w14:paraId="02B40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80" w:hRule="atLeast"/>
                <w:jc w:val="center"/>
              </w:trPr>
              <w:tc>
                <w:tcPr>
                  <w:tcW w:w="626" w:type="pct"/>
                  <w:vMerge w:val="continue"/>
                  <w:vAlign w:val="center"/>
                </w:tcPr>
                <w:p w14:paraId="4A7B845A">
                  <w:pPr>
                    <w:pStyle w:val="52"/>
                    <w:rPr>
                      <w:rFonts w:hint="eastAsia" w:ascii="Times New Roman" w:hAnsi="Times New Roman" w:eastAsia="宋体" w:cs="Times New Roman"/>
                      <w:bCs/>
                      <w:kern w:val="2"/>
                      <w:sz w:val="21"/>
                      <w:szCs w:val="21"/>
                      <w:lang w:val="en-US" w:eastAsia="zh-CN" w:bidi="ar-SA"/>
                    </w:rPr>
                  </w:pPr>
                </w:p>
              </w:tc>
              <w:tc>
                <w:tcPr>
                  <w:tcW w:w="701" w:type="pct"/>
                  <w:vMerge w:val="continue"/>
                  <w:vAlign w:val="center"/>
                </w:tcPr>
                <w:p w14:paraId="749DFB73">
                  <w:pPr>
                    <w:pStyle w:val="52"/>
                    <w:rPr>
                      <w:rFonts w:hint="eastAsia" w:ascii="Times New Roman" w:hAnsi="Times New Roman" w:eastAsia="宋体" w:cs="Times New Roman"/>
                      <w:bCs/>
                      <w:kern w:val="2"/>
                      <w:sz w:val="21"/>
                      <w:szCs w:val="21"/>
                      <w:lang w:val="en-US" w:eastAsia="zh-CN" w:bidi="ar-SA"/>
                    </w:rPr>
                  </w:pPr>
                </w:p>
              </w:tc>
              <w:tc>
                <w:tcPr>
                  <w:tcW w:w="878" w:type="pct"/>
                  <w:vAlign w:val="center"/>
                </w:tcPr>
                <w:p w14:paraId="68DC6574">
                  <w:pPr>
                    <w:adjustRightInd w:val="0"/>
                    <w:snapToGrid w:val="0"/>
                    <w:spacing w:line="240" w:lineRule="auto"/>
                    <w:jc w:val="center"/>
                    <w:rPr>
                      <w:rFonts w:hint="eastAsia"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kern w:val="2"/>
                      <w:sz w:val="21"/>
                      <w:szCs w:val="21"/>
                      <w:lang w:val="en-US" w:eastAsia="zh-CN" w:bidi="ar-SA"/>
                    </w:rPr>
                    <w:t>多亚甲基多苯基异氰酸酯</w:t>
                  </w:r>
                  <w:r>
                    <w:rPr>
                      <w:rFonts w:hint="eastAsia" w:ascii="Times New Roman" w:hAnsi="Times New Roman" w:eastAsia="宋体" w:cs="Times New Roman"/>
                      <w:bCs/>
                      <w:kern w:val="2"/>
                      <w:sz w:val="21"/>
                      <w:szCs w:val="21"/>
                      <w:lang w:val="en-US" w:eastAsia="zh-CN" w:bidi="ar-SA"/>
                    </w:rPr>
                    <w:t>①（PAPI）</w:t>
                  </w:r>
                </w:p>
              </w:tc>
              <w:tc>
                <w:tcPr>
                  <w:tcW w:w="841" w:type="pct"/>
                  <w:vAlign w:val="center"/>
                </w:tcPr>
                <w:p w14:paraId="6AA5D91C">
                  <w:pPr>
                    <w:spacing w:line="240" w:lineRule="auto"/>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1</w:t>
                  </w:r>
                </w:p>
              </w:tc>
              <w:tc>
                <w:tcPr>
                  <w:tcW w:w="614" w:type="pct"/>
                  <w:vAlign w:val="center"/>
                </w:tcPr>
                <w:p w14:paraId="3C35CBE1">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w:t>
                  </w:r>
                </w:p>
              </w:tc>
              <w:tc>
                <w:tcPr>
                  <w:tcW w:w="1339" w:type="pct"/>
                  <w:tcBorders/>
                  <w:vAlign w:val="center"/>
                </w:tcPr>
                <w:p w14:paraId="41B3C615">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《合成树脂工业污染物排放标准》（GB31572-2015）表5</w:t>
                  </w:r>
                </w:p>
              </w:tc>
            </w:tr>
            <w:tr w14:paraId="3429E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611" w:hRule="atLeast"/>
                <w:jc w:val="center"/>
              </w:trPr>
              <w:tc>
                <w:tcPr>
                  <w:tcW w:w="626" w:type="pct"/>
                  <w:vAlign w:val="center"/>
                </w:tcPr>
                <w:p w14:paraId="4E70F73D">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喷胶固化</w:t>
                  </w:r>
                </w:p>
              </w:tc>
              <w:tc>
                <w:tcPr>
                  <w:tcW w:w="701" w:type="pct"/>
                  <w:vAlign w:val="center"/>
                </w:tcPr>
                <w:p w14:paraId="742B4511">
                  <w:pPr>
                    <w:pStyle w:val="52"/>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DA002</w:t>
                  </w:r>
                </w:p>
              </w:tc>
              <w:tc>
                <w:tcPr>
                  <w:tcW w:w="878" w:type="pct"/>
                  <w:vAlign w:val="center"/>
                </w:tcPr>
                <w:p w14:paraId="6BA2D9B2">
                  <w:pPr>
                    <w:pStyle w:val="52"/>
                    <w:rPr>
                      <w:rFonts w:hint="eastAsia"/>
                      <w:color w:val="000000" w:themeColor="text1"/>
                      <w14:textFill>
                        <w14:solidFill>
                          <w14:schemeClr w14:val="tx1"/>
                        </w14:solidFill>
                      </w14:textFill>
                    </w:rPr>
                  </w:pPr>
                  <w:r>
                    <w:rPr>
                      <w:rFonts w:hint="eastAsia"/>
                      <w:color w:val="000000" w:themeColor="text1"/>
                      <w:lang w:val="en-US"/>
                      <w14:textFill>
                        <w14:solidFill>
                          <w14:schemeClr w14:val="tx1"/>
                        </w14:solidFill>
                      </w14:textFill>
                    </w:rPr>
                    <w:t>非甲烷总烃</w:t>
                  </w:r>
                </w:p>
              </w:tc>
              <w:tc>
                <w:tcPr>
                  <w:tcW w:w="841" w:type="pct"/>
                  <w:vAlign w:val="center"/>
                </w:tcPr>
                <w:p w14:paraId="63F432C8">
                  <w:pPr>
                    <w:pStyle w:val="52"/>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Times New Roman"/>
                      <w:bCs/>
                      <w:kern w:val="2"/>
                      <w:sz w:val="21"/>
                      <w:szCs w:val="21"/>
                      <w:lang w:val="en-US" w:eastAsia="zh-CN" w:bidi="ar-SA"/>
                    </w:rPr>
                    <w:t>120</w:t>
                  </w:r>
                </w:p>
              </w:tc>
              <w:tc>
                <w:tcPr>
                  <w:tcW w:w="614" w:type="pct"/>
                  <w:tcBorders/>
                  <w:vAlign w:val="center"/>
                </w:tcPr>
                <w:p w14:paraId="68C89658">
                  <w:pPr>
                    <w:pStyle w:val="52"/>
                    <w:rPr>
                      <w:color w:val="000000" w:themeColor="text1"/>
                      <w14:textFill>
                        <w14:solidFill>
                          <w14:schemeClr w14:val="tx1"/>
                        </w14:solidFill>
                      </w14:textFill>
                    </w:rPr>
                  </w:pPr>
                  <w:r>
                    <w:rPr>
                      <w:rFonts w:hint="eastAsia" w:ascii="Times New Roman" w:hAnsi="Times New Roman" w:eastAsia="宋体" w:cs="Times New Roman"/>
                      <w:color w:val="auto"/>
                      <w:sz w:val="21"/>
                      <w:szCs w:val="21"/>
                      <w:lang w:val="en-US" w:eastAsia="zh-CN"/>
                    </w:rPr>
                    <w:t>10</w:t>
                  </w:r>
                </w:p>
              </w:tc>
              <w:tc>
                <w:tcPr>
                  <w:tcW w:w="1339" w:type="pct"/>
                  <w:vAlign w:val="center"/>
                </w:tcPr>
                <w:p w14:paraId="52643DB2">
                  <w:pPr>
                    <w:pStyle w:val="52"/>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《大气污染物综合排放标准》（GB16297-1996）表2</w:t>
                  </w:r>
                </w:p>
              </w:tc>
            </w:tr>
          </w:tbl>
          <w:p w14:paraId="1B73FA4E">
            <w:pPr>
              <w:widowControl/>
              <w:spacing w:before="120" w:beforeLines="50" w:line="360" w:lineRule="auto"/>
              <w:jc w:val="center"/>
              <w:rPr>
                <w:b/>
                <w:color w:val="000000"/>
                <w:kern w:val="0"/>
                <w:sz w:val="24"/>
                <w:szCs w:val="20"/>
              </w:rPr>
            </w:pPr>
            <w:r>
              <w:rPr>
                <w:b/>
                <w:sz w:val="24"/>
                <w:szCs w:val="28"/>
              </w:rPr>
              <w:t>表</w:t>
            </w:r>
            <w:r>
              <w:rPr>
                <w:rFonts w:hint="eastAsia"/>
                <w:b/>
                <w:sz w:val="24"/>
                <w:szCs w:val="28"/>
              </w:rPr>
              <w:t xml:space="preserve">3-7 </w:t>
            </w:r>
            <w:r>
              <w:rPr>
                <w:b/>
                <w:sz w:val="24"/>
                <w:szCs w:val="28"/>
              </w:rPr>
              <w:t xml:space="preserve"> </w:t>
            </w:r>
            <w:r>
              <w:rPr>
                <w:rFonts w:hAnsi="宋体"/>
                <w:b/>
                <w:sz w:val="24"/>
              </w:rPr>
              <w:t>污染物</w:t>
            </w:r>
            <w:r>
              <w:rPr>
                <w:rFonts w:hint="eastAsia" w:hAnsi="宋体"/>
                <w:b/>
                <w:sz w:val="24"/>
              </w:rPr>
              <w:t>无组织</w:t>
            </w:r>
            <w:r>
              <w:rPr>
                <w:rFonts w:hAnsi="宋体"/>
                <w:b/>
                <w:sz w:val="24"/>
              </w:rPr>
              <w:t>排放</w:t>
            </w:r>
            <w:r>
              <w:rPr>
                <w:rFonts w:hint="eastAsia" w:hAnsi="宋体"/>
                <w:b/>
                <w:sz w:val="24"/>
              </w:rPr>
              <w:t>标准限值一览</w:t>
            </w:r>
            <w:r>
              <w:rPr>
                <w:rFonts w:hAnsi="宋体"/>
                <w:b/>
                <w:sz w:val="24"/>
              </w:rPr>
              <w:t>表</w:t>
            </w:r>
          </w:p>
          <w:tbl>
            <w:tblPr>
              <w:tblStyle w:val="2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1"/>
              <w:gridCol w:w="1708"/>
              <w:gridCol w:w="2080"/>
              <w:gridCol w:w="3157"/>
            </w:tblGrid>
            <w:tr w14:paraId="04793D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9" w:type="pct"/>
                  <w:vAlign w:val="center"/>
                </w:tcPr>
                <w:p w14:paraId="29E89726">
                  <w:pPr>
                    <w:adjustRightInd w:val="0"/>
                    <w:snapToGrid w:val="0"/>
                    <w:ind w:right="-105" w:rightChars="-50"/>
                    <w:jc w:val="center"/>
                    <w:rPr>
                      <w:b/>
                      <w:bCs/>
                      <w:szCs w:val="21"/>
                    </w:rPr>
                  </w:pPr>
                  <w:r>
                    <w:rPr>
                      <w:b/>
                      <w:bCs/>
                      <w:szCs w:val="21"/>
                    </w:rPr>
                    <w:t>污染物</w:t>
                  </w:r>
                </w:p>
              </w:tc>
              <w:tc>
                <w:tcPr>
                  <w:tcW w:w="1018" w:type="pct"/>
                  <w:vAlign w:val="center"/>
                </w:tcPr>
                <w:p w14:paraId="583D6ACA">
                  <w:pPr>
                    <w:adjustRightInd w:val="0"/>
                    <w:snapToGrid w:val="0"/>
                    <w:ind w:right="-105" w:rightChars="-50"/>
                    <w:jc w:val="center"/>
                    <w:rPr>
                      <w:b/>
                      <w:bCs/>
                      <w:szCs w:val="21"/>
                    </w:rPr>
                  </w:pPr>
                  <w:r>
                    <w:rPr>
                      <w:b/>
                      <w:bCs/>
                      <w:szCs w:val="21"/>
                    </w:rPr>
                    <w:t>排放浓度限值</w:t>
                  </w:r>
                </w:p>
                <w:p w14:paraId="0187D0DC">
                  <w:pPr>
                    <w:adjustRightInd w:val="0"/>
                    <w:snapToGrid w:val="0"/>
                    <w:ind w:left="-105" w:leftChars="-50" w:right="-105" w:rightChars="-50"/>
                    <w:jc w:val="center"/>
                    <w:rPr>
                      <w:b/>
                      <w:bCs/>
                      <w:szCs w:val="21"/>
                    </w:rPr>
                  </w:pPr>
                  <w:r>
                    <w:rPr>
                      <w:b/>
                      <w:bCs/>
                      <w:szCs w:val="21"/>
                    </w:rPr>
                    <w:t>（mg/m</w:t>
                  </w:r>
                  <w:r>
                    <w:rPr>
                      <w:b/>
                      <w:bCs/>
                      <w:szCs w:val="21"/>
                      <w:vertAlign w:val="superscript"/>
                    </w:rPr>
                    <w:t>3</w:t>
                  </w:r>
                  <w:r>
                    <w:rPr>
                      <w:b/>
                      <w:bCs/>
                      <w:szCs w:val="21"/>
                    </w:rPr>
                    <w:t>）</w:t>
                  </w:r>
                </w:p>
              </w:tc>
              <w:tc>
                <w:tcPr>
                  <w:tcW w:w="1240" w:type="pct"/>
                  <w:vAlign w:val="center"/>
                </w:tcPr>
                <w:p w14:paraId="4ACA7A58">
                  <w:pPr>
                    <w:adjustRightInd w:val="0"/>
                    <w:snapToGrid w:val="0"/>
                    <w:ind w:left="-105" w:leftChars="-50" w:right="-105" w:rightChars="-50"/>
                    <w:jc w:val="center"/>
                    <w:rPr>
                      <w:b/>
                      <w:bCs/>
                      <w:szCs w:val="21"/>
                    </w:rPr>
                  </w:pPr>
                  <w:r>
                    <w:rPr>
                      <w:rFonts w:hint="eastAsia"/>
                      <w:b/>
                      <w:bCs/>
                      <w:szCs w:val="21"/>
                    </w:rPr>
                    <w:t>监控点位限值含义</w:t>
                  </w:r>
                </w:p>
              </w:tc>
              <w:tc>
                <w:tcPr>
                  <w:tcW w:w="1881" w:type="pct"/>
                  <w:vAlign w:val="center"/>
                </w:tcPr>
                <w:p w14:paraId="78F341D6">
                  <w:pPr>
                    <w:adjustRightInd w:val="0"/>
                    <w:snapToGrid w:val="0"/>
                    <w:ind w:right="-105" w:rightChars="-50"/>
                    <w:jc w:val="center"/>
                    <w:rPr>
                      <w:b/>
                      <w:bCs/>
                      <w:szCs w:val="21"/>
                    </w:rPr>
                  </w:pPr>
                  <w:r>
                    <w:rPr>
                      <w:b/>
                      <w:szCs w:val="21"/>
                    </w:rPr>
                    <w:t>标准来源</w:t>
                  </w:r>
                </w:p>
              </w:tc>
            </w:tr>
            <w:tr w14:paraId="06D236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59" w:type="pct"/>
                  <w:vAlign w:val="center"/>
                </w:tcPr>
                <w:p w14:paraId="61DC8815">
                  <w:pPr>
                    <w:spacing w:line="320" w:lineRule="exact"/>
                    <w:jc w:val="center"/>
                    <w:rPr>
                      <w:bCs/>
                      <w:szCs w:val="21"/>
                    </w:rPr>
                  </w:pPr>
                  <w:r>
                    <w:rPr>
                      <w:rFonts w:hint="eastAsia"/>
                      <w:bCs/>
                      <w:szCs w:val="21"/>
                    </w:rPr>
                    <w:t>非甲烷总烃</w:t>
                  </w:r>
                </w:p>
              </w:tc>
              <w:tc>
                <w:tcPr>
                  <w:tcW w:w="1018" w:type="pct"/>
                  <w:vAlign w:val="center"/>
                </w:tcPr>
                <w:p w14:paraId="0E54DE23">
                  <w:pPr>
                    <w:adjustRightInd w:val="0"/>
                    <w:snapToGrid w:val="0"/>
                    <w:ind w:right="-105" w:rightChars="-50"/>
                    <w:jc w:val="center"/>
                    <w:rPr>
                      <w:bCs/>
                      <w:szCs w:val="21"/>
                    </w:rPr>
                  </w:pPr>
                  <w:r>
                    <w:rPr>
                      <w:bCs/>
                      <w:szCs w:val="21"/>
                    </w:rPr>
                    <w:t>4.0</w:t>
                  </w:r>
                </w:p>
              </w:tc>
              <w:tc>
                <w:tcPr>
                  <w:tcW w:w="1240" w:type="pct"/>
                  <w:vAlign w:val="center"/>
                </w:tcPr>
                <w:p w14:paraId="579D8AAB">
                  <w:pPr>
                    <w:adjustRightInd w:val="0"/>
                    <w:snapToGrid w:val="0"/>
                    <w:ind w:right="-105" w:rightChars="-50"/>
                    <w:jc w:val="center"/>
                    <w:rPr>
                      <w:bCs/>
                      <w:szCs w:val="21"/>
                    </w:rPr>
                  </w:pPr>
                  <w:r>
                    <w:rPr>
                      <w:bCs/>
                      <w:szCs w:val="21"/>
                    </w:rPr>
                    <w:t>企业边界</w:t>
                  </w:r>
                </w:p>
              </w:tc>
              <w:tc>
                <w:tcPr>
                  <w:tcW w:w="1881" w:type="pct"/>
                  <w:vAlign w:val="center"/>
                </w:tcPr>
                <w:p w14:paraId="29F663FB">
                  <w:pPr>
                    <w:adjustRightInd w:val="0"/>
                    <w:snapToGrid w:val="0"/>
                    <w:ind w:right="-105" w:rightChars="-50"/>
                    <w:jc w:val="center"/>
                    <w:rPr>
                      <w:szCs w:val="21"/>
                    </w:rPr>
                  </w:pPr>
                  <w:r>
                    <w:rPr>
                      <w:rFonts w:hint="eastAsia"/>
                      <w:szCs w:val="21"/>
                    </w:rPr>
                    <w:t>安徽省地方标准《固定源挥发性有机物综合排放标准第6部分：其他行业》（DB34/4812.6-2024）表</w:t>
                  </w:r>
                  <w:r>
                    <w:rPr>
                      <w:rFonts w:hint="eastAsia"/>
                      <w:szCs w:val="21"/>
                      <w:lang w:val="en-US" w:eastAsia="zh-CN"/>
                    </w:rPr>
                    <w:t>5</w:t>
                  </w:r>
                </w:p>
              </w:tc>
            </w:tr>
          </w:tbl>
          <w:p w14:paraId="32BFF945">
            <w:pPr>
              <w:pStyle w:val="9"/>
              <w:ind w:firstLine="0" w:firstLineChars="0"/>
              <w:rPr>
                <w:rFonts w:hAnsi="宋体"/>
                <w:b/>
                <w:sz w:val="24"/>
              </w:rPr>
            </w:pPr>
          </w:p>
          <w:p w14:paraId="020E8E3D">
            <w:pPr>
              <w:adjustRightInd w:val="0"/>
              <w:snapToGrid w:val="0"/>
              <w:spacing w:line="360" w:lineRule="auto"/>
              <w:jc w:val="center"/>
              <w:rPr>
                <w:b/>
                <w:sz w:val="24"/>
              </w:rPr>
            </w:pPr>
            <w:r>
              <w:rPr>
                <w:b/>
                <w:sz w:val="24"/>
              </w:rPr>
              <w:t>表3-</w:t>
            </w:r>
            <w:r>
              <w:rPr>
                <w:rFonts w:hint="eastAsia"/>
                <w:b/>
                <w:sz w:val="24"/>
              </w:rPr>
              <w:t>8</w:t>
            </w:r>
            <w:r>
              <w:rPr>
                <w:b/>
                <w:sz w:val="24"/>
              </w:rPr>
              <w:t xml:space="preserve"> </w:t>
            </w:r>
            <w:r>
              <w:rPr>
                <w:rFonts w:hint="eastAsia"/>
                <w:b/>
                <w:sz w:val="24"/>
              </w:rPr>
              <w:t xml:space="preserve"> </w:t>
            </w:r>
            <w:r>
              <w:rPr>
                <w:rFonts w:hint="eastAsia" w:ascii="Times New Roman" w:hAnsi="Times New Roman" w:eastAsia="宋体" w:cs="Times New Roman"/>
                <w:b/>
                <w:sz w:val="24"/>
              </w:rPr>
              <w:t>厂区内</w:t>
            </w:r>
            <w:r>
              <w:rPr>
                <w:rFonts w:ascii="Times New Roman" w:hAnsi="Times New Roman" w:eastAsia="宋体" w:cs="Times New Roman"/>
                <w:b/>
                <w:sz w:val="24"/>
              </w:rPr>
              <w:t>挥发</w:t>
            </w:r>
            <w:r>
              <w:rPr>
                <w:b/>
                <w:sz w:val="24"/>
              </w:rPr>
              <w:t>性有机物</w:t>
            </w:r>
            <w:r>
              <w:rPr>
                <w:rFonts w:hint="eastAsia"/>
                <w:b/>
                <w:sz w:val="24"/>
              </w:rPr>
              <w:t>无组织</w:t>
            </w:r>
            <w:r>
              <w:rPr>
                <w:b/>
                <w:sz w:val="24"/>
              </w:rPr>
              <w:t>排放控制标准</w:t>
            </w:r>
            <w:r>
              <w:rPr>
                <w:rFonts w:hint="eastAsia"/>
                <w:b/>
                <w:sz w:val="24"/>
              </w:rPr>
              <w:t xml:space="preserve">  </w:t>
            </w:r>
            <w:r>
              <w:rPr>
                <w:rFonts w:hint="eastAsia"/>
                <w:b/>
                <w:bCs/>
                <w:sz w:val="24"/>
              </w:rPr>
              <w:t>单位：</w:t>
            </w:r>
            <w:r>
              <w:rPr>
                <w:b/>
                <w:bCs/>
                <w:sz w:val="24"/>
              </w:rPr>
              <w:t>mg/m</w:t>
            </w:r>
            <w:r>
              <w:rPr>
                <w:b/>
                <w:bCs/>
                <w:sz w:val="24"/>
                <w:vertAlign w:val="superscript"/>
              </w:rPr>
              <w:t>3</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02"/>
              <w:gridCol w:w="1471"/>
              <w:gridCol w:w="1560"/>
              <w:gridCol w:w="1562"/>
              <w:gridCol w:w="2994"/>
            </w:tblGrid>
            <w:tr w14:paraId="54F15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478" w:type="pct"/>
                  <w:vAlign w:val="center"/>
                </w:tcPr>
                <w:p w14:paraId="695F41AA">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污染物名称</w:t>
                  </w:r>
                </w:p>
              </w:tc>
              <w:tc>
                <w:tcPr>
                  <w:tcW w:w="877" w:type="pct"/>
                  <w:vAlign w:val="center"/>
                </w:tcPr>
                <w:p w14:paraId="118B887F">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最高允许排放浓度，mg/m</w:t>
                  </w:r>
                  <w:r>
                    <w:rPr>
                      <w:rFonts w:hint="eastAsia"/>
                      <w:b/>
                      <w:bCs/>
                      <w:color w:val="000000" w:themeColor="text1"/>
                      <w:vertAlign w:val="superscript"/>
                      <w14:textFill>
                        <w14:solidFill>
                          <w14:schemeClr w14:val="tx1"/>
                        </w14:solidFill>
                      </w14:textFill>
                    </w:rPr>
                    <w:t>3</w:t>
                  </w:r>
                </w:p>
              </w:tc>
              <w:tc>
                <w:tcPr>
                  <w:tcW w:w="930" w:type="pct"/>
                  <w:vAlign w:val="center"/>
                </w:tcPr>
                <w:p w14:paraId="561DCFC8">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排放限值含义</w:t>
                  </w:r>
                </w:p>
              </w:tc>
              <w:tc>
                <w:tcPr>
                  <w:tcW w:w="931" w:type="pct"/>
                  <w:vAlign w:val="center"/>
                </w:tcPr>
                <w:p w14:paraId="13620236">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无组织排放监控位置</w:t>
                  </w:r>
                </w:p>
              </w:tc>
              <w:tc>
                <w:tcPr>
                  <w:tcW w:w="1784" w:type="pct"/>
                  <w:vAlign w:val="center"/>
                </w:tcPr>
                <w:p w14:paraId="14C06037">
                  <w:pPr>
                    <w:pStyle w:val="52"/>
                    <w:rPr>
                      <w:b/>
                      <w:bCs/>
                      <w:color w:val="000000" w:themeColor="text1"/>
                      <w14:textFill>
                        <w14:solidFill>
                          <w14:schemeClr w14:val="tx1"/>
                        </w14:solidFill>
                      </w14:textFill>
                    </w:rPr>
                  </w:pPr>
                  <w:r>
                    <w:rPr>
                      <w:b/>
                      <w:bCs/>
                      <w:color w:val="000000" w:themeColor="text1"/>
                      <w14:textFill>
                        <w14:solidFill>
                          <w14:schemeClr w14:val="tx1"/>
                        </w14:solidFill>
                      </w14:textFill>
                    </w:rPr>
                    <w:t>标准来源</w:t>
                  </w:r>
                </w:p>
              </w:tc>
            </w:tr>
            <w:tr w14:paraId="3D78B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15" w:hRule="atLeast"/>
                <w:jc w:val="center"/>
              </w:trPr>
              <w:tc>
                <w:tcPr>
                  <w:tcW w:w="478" w:type="pct"/>
                  <w:vMerge w:val="restart"/>
                  <w:vAlign w:val="center"/>
                </w:tcPr>
                <w:p w14:paraId="0F6F5E99">
                  <w:pPr>
                    <w:pStyle w:val="52"/>
                    <w:rPr>
                      <w:color w:val="000000" w:themeColor="text1"/>
                      <w14:textFill>
                        <w14:solidFill>
                          <w14:schemeClr w14:val="tx1"/>
                        </w14:solidFill>
                      </w14:textFill>
                    </w:rPr>
                  </w:pPr>
                  <w:r>
                    <w:rPr>
                      <w:color w:val="000000" w:themeColor="text1"/>
                      <w:szCs w:val="21"/>
                      <w14:textFill>
                        <w14:solidFill>
                          <w14:schemeClr w14:val="tx1"/>
                        </w14:solidFill>
                      </w14:textFill>
                    </w:rPr>
                    <w:t>NMHC</w:t>
                  </w:r>
                </w:p>
              </w:tc>
              <w:tc>
                <w:tcPr>
                  <w:tcW w:w="877" w:type="pct"/>
                  <w:vAlign w:val="center"/>
                </w:tcPr>
                <w:p w14:paraId="65C4F484">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930" w:type="pct"/>
                  <w:vAlign w:val="center"/>
                </w:tcPr>
                <w:p w14:paraId="7C7CFEEE">
                  <w:pPr>
                    <w:pStyle w:val="52"/>
                    <w:rPr>
                      <w:color w:val="000000" w:themeColor="text1"/>
                      <w14:textFill>
                        <w14:solidFill>
                          <w14:schemeClr w14:val="tx1"/>
                        </w14:solidFill>
                      </w14:textFill>
                    </w:rPr>
                  </w:pPr>
                  <w:r>
                    <w:rPr>
                      <w:rFonts w:hint="eastAsia"/>
                      <w:bCs/>
                      <w:color w:val="000000" w:themeColor="text1"/>
                      <w:szCs w:val="21"/>
                      <w:lang w:bidi="ar"/>
                      <w14:textFill>
                        <w14:solidFill>
                          <w14:schemeClr w14:val="tx1"/>
                        </w14:solidFill>
                      </w14:textFill>
                    </w:rPr>
                    <w:t>监控点处1 h平均浓度值</w:t>
                  </w:r>
                </w:p>
              </w:tc>
              <w:tc>
                <w:tcPr>
                  <w:tcW w:w="931" w:type="pct"/>
                  <w:vMerge w:val="restart"/>
                  <w:vAlign w:val="center"/>
                </w:tcPr>
                <w:p w14:paraId="10C3A0F2">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在厂房外设置监控点</w:t>
                  </w:r>
                </w:p>
              </w:tc>
              <w:tc>
                <w:tcPr>
                  <w:tcW w:w="1784" w:type="pct"/>
                  <w:vMerge w:val="restart"/>
                  <w:vAlign w:val="center"/>
                </w:tcPr>
                <w:p w14:paraId="0519C5EF">
                  <w:pPr>
                    <w:pStyle w:val="52"/>
                    <w:rPr>
                      <w:color w:val="000000" w:themeColor="text1"/>
                      <w14:textFill>
                        <w14:solidFill>
                          <w14:schemeClr w14:val="tx1"/>
                        </w14:solidFill>
                      </w14:textFill>
                    </w:rPr>
                  </w:pPr>
                  <w:r>
                    <w:t>安徽省</w:t>
                  </w:r>
                  <w:r>
                    <w:rPr>
                      <w:rFonts w:hint="eastAsia"/>
                    </w:rPr>
                    <w:t>地方标准</w:t>
                  </w:r>
                  <w:r>
                    <w:t>《固定源挥发性有机物综合排放标准</w:t>
                  </w:r>
                  <w:r>
                    <w:rPr>
                      <w:rFonts w:hint="eastAsia"/>
                    </w:rPr>
                    <w:t>第6部分：其他行业</w:t>
                  </w:r>
                  <w:r>
                    <w:t>》</w:t>
                  </w:r>
                  <w:r>
                    <w:rPr>
                      <w:rFonts w:hint="eastAsia"/>
                    </w:rPr>
                    <w:t>（</w:t>
                  </w:r>
                  <w:r>
                    <w:t>DB34/4812.6-2024</w:t>
                  </w:r>
                  <w:r>
                    <w:rPr>
                      <w:rFonts w:hint="eastAsia"/>
                    </w:rPr>
                    <w:t>）</w:t>
                  </w:r>
                  <w:r>
                    <w:rPr>
                      <w:rFonts w:hint="eastAsia"/>
                      <w:color w:val="000000" w:themeColor="text1"/>
                      <w14:textFill>
                        <w14:solidFill>
                          <w14:schemeClr w14:val="tx1"/>
                        </w14:solidFill>
                      </w14:textFill>
                    </w:rPr>
                    <w:t>表</w:t>
                  </w:r>
                  <w:r>
                    <w:rPr>
                      <w:color w:val="000000" w:themeColor="text1"/>
                      <w14:textFill>
                        <w14:solidFill>
                          <w14:schemeClr w14:val="tx1"/>
                        </w14:solidFill>
                      </w14:textFill>
                    </w:rPr>
                    <w:t>4</w:t>
                  </w:r>
                </w:p>
              </w:tc>
            </w:tr>
            <w:tr w14:paraId="664E48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15" w:hRule="atLeast"/>
                <w:jc w:val="center"/>
              </w:trPr>
              <w:tc>
                <w:tcPr>
                  <w:tcW w:w="478" w:type="pct"/>
                  <w:vMerge w:val="continue"/>
                  <w:vAlign w:val="center"/>
                </w:tcPr>
                <w:p w14:paraId="0E239C0C">
                  <w:pPr>
                    <w:pStyle w:val="52"/>
                    <w:rPr>
                      <w:color w:val="000000" w:themeColor="text1"/>
                      <w:szCs w:val="21"/>
                      <w14:textFill>
                        <w14:solidFill>
                          <w14:schemeClr w14:val="tx1"/>
                        </w14:solidFill>
                      </w14:textFill>
                    </w:rPr>
                  </w:pPr>
                </w:p>
              </w:tc>
              <w:tc>
                <w:tcPr>
                  <w:tcW w:w="877" w:type="pct"/>
                  <w:vAlign w:val="center"/>
                </w:tcPr>
                <w:p w14:paraId="771D2674">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0</w:t>
                  </w:r>
                </w:p>
              </w:tc>
              <w:tc>
                <w:tcPr>
                  <w:tcW w:w="930" w:type="pct"/>
                  <w:vAlign w:val="center"/>
                </w:tcPr>
                <w:p w14:paraId="179A1266">
                  <w:pPr>
                    <w:pStyle w:val="52"/>
                    <w:rPr>
                      <w:bCs/>
                      <w:color w:val="000000" w:themeColor="text1"/>
                      <w:szCs w:val="21"/>
                      <w:lang w:bidi="ar"/>
                      <w14:textFill>
                        <w14:solidFill>
                          <w14:schemeClr w14:val="tx1"/>
                        </w14:solidFill>
                      </w14:textFill>
                    </w:rPr>
                  </w:pPr>
                  <w:r>
                    <w:rPr>
                      <w:rFonts w:hint="eastAsia"/>
                      <w:bCs/>
                      <w:color w:val="000000" w:themeColor="text1"/>
                      <w:szCs w:val="21"/>
                      <w:lang w:bidi="ar"/>
                      <w14:textFill>
                        <w14:solidFill>
                          <w14:schemeClr w14:val="tx1"/>
                        </w14:solidFill>
                      </w14:textFill>
                    </w:rPr>
                    <w:t>监控点处任意一次浓度值</w:t>
                  </w:r>
                </w:p>
              </w:tc>
              <w:tc>
                <w:tcPr>
                  <w:tcW w:w="931" w:type="pct"/>
                  <w:vMerge w:val="continue"/>
                  <w:vAlign w:val="center"/>
                </w:tcPr>
                <w:p w14:paraId="6C8173A3">
                  <w:pPr>
                    <w:pStyle w:val="52"/>
                    <w:rPr>
                      <w:color w:val="000000" w:themeColor="text1"/>
                      <w14:textFill>
                        <w14:solidFill>
                          <w14:schemeClr w14:val="tx1"/>
                        </w14:solidFill>
                      </w14:textFill>
                    </w:rPr>
                  </w:pPr>
                </w:p>
              </w:tc>
              <w:tc>
                <w:tcPr>
                  <w:tcW w:w="1784" w:type="pct"/>
                  <w:vMerge w:val="continue"/>
                  <w:vAlign w:val="center"/>
                </w:tcPr>
                <w:p w14:paraId="0DF8A46B">
                  <w:pPr>
                    <w:pStyle w:val="52"/>
                  </w:pPr>
                </w:p>
              </w:tc>
            </w:tr>
          </w:tbl>
          <w:p w14:paraId="54B17FCA">
            <w:pPr>
              <w:tabs>
                <w:tab w:val="left" w:pos="1350"/>
              </w:tabs>
              <w:adjustRightInd w:val="0"/>
              <w:snapToGrid w:val="0"/>
              <w:spacing w:line="360" w:lineRule="auto"/>
              <w:rPr>
                <w:b/>
                <w:sz w:val="24"/>
              </w:rPr>
            </w:pPr>
          </w:p>
          <w:p w14:paraId="1611921D">
            <w:pPr>
              <w:tabs>
                <w:tab w:val="left" w:pos="1350"/>
              </w:tabs>
              <w:adjustRightInd w:val="0"/>
              <w:snapToGrid w:val="0"/>
              <w:spacing w:line="360" w:lineRule="auto"/>
              <w:ind w:firstLine="482" w:firstLineChars="200"/>
              <w:rPr>
                <w:szCs w:val="21"/>
              </w:rPr>
            </w:pPr>
            <w:r>
              <w:rPr>
                <w:b/>
                <w:sz w:val="24"/>
              </w:rPr>
              <w:t>3、噪声</w:t>
            </w:r>
          </w:p>
          <w:p w14:paraId="24FC6C3F">
            <w:pPr>
              <w:adjustRightInd w:val="0"/>
              <w:snapToGrid w:val="0"/>
              <w:spacing w:line="360" w:lineRule="auto"/>
              <w:ind w:firstLine="480" w:firstLineChars="200"/>
              <w:contextualSpacing/>
              <w:rPr>
                <w:sz w:val="24"/>
              </w:rPr>
            </w:pPr>
            <w:r>
              <w:rPr>
                <w:rFonts w:hint="eastAsia"/>
                <w:kern w:val="0"/>
                <w:sz w:val="24"/>
              </w:rPr>
              <w:t>项目</w:t>
            </w:r>
            <w:r>
              <w:rPr>
                <w:sz w:val="24"/>
              </w:rPr>
              <w:t>运营期噪声厂界执行《工业企业厂界环境噪声排放标准》(GB12348-2008)中的3类标准，标准值见下表。</w:t>
            </w:r>
          </w:p>
          <w:p w14:paraId="78539A98">
            <w:pPr>
              <w:adjustRightInd w:val="0"/>
              <w:snapToGrid w:val="0"/>
              <w:contextualSpacing/>
              <w:jc w:val="center"/>
              <w:rPr>
                <w:b/>
                <w:sz w:val="24"/>
              </w:rPr>
            </w:pPr>
            <w:r>
              <w:rPr>
                <w:b/>
                <w:sz w:val="24"/>
              </w:rPr>
              <w:t>表3-</w:t>
            </w:r>
            <w:r>
              <w:rPr>
                <w:rFonts w:hint="eastAsia"/>
                <w:b/>
                <w:sz w:val="24"/>
              </w:rPr>
              <w:t>9</w:t>
            </w:r>
            <w:r>
              <w:rPr>
                <w:b/>
                <w:sz w:val="24"/>
              </w:rPr>
              <w:t xml:space="preserve"> </w:t>
            </w:r>
            <w:r>
              <w:rPr>
                <w:rFonts w:hint="eastAsia"/>
                <w:b/>
                <w:kern w:val="0"/>
                <w:sz w:val="24"/>
                <w:szCs w:val="20"/>
              </w:rPr>
              <w:t>项目环境噪声排放标准</w:t>
            </w:r>
            <w:r>
              <w:rPr>
                <w:rFonts w:hint="eastAsia" w:hAnsi="宋体"/>
                <w:b/>
                <w:sz w:val="24"/>
              </w:rPr>
              <w:t>限值</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1470"/>
              <w:gridCol w:w="2115"/>
              <w:gridCol w:w="3612"/>
            </w:tblGrid>
            <w:tr w14:paraId="713C54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pct"/>
                  <w:vMerge w:val="restart"/>
                  <w:vAlign w:val="center"/>
                </w:tcPr>
                <w:p w14:paraId="4CF552C5">
                  <w:pPr>
                    <w:widowControl/>
                    <w:jc w:val="center"/>
                    <w:rPr>
                      <w:b/>
                      <w:kern w:val="0"/>
                      <w:szCs w:val="21"/>
                    </w:rPr>
                  </w:pPr>
                  <w:r>
                    <w:rPr>
                      <w:rFonts w:hint="eastAsia"/>
                      <w:b/>
                      <w:kern w:val="0"/>
                      <w:szCs w:val="21"/>
                    </w:rPr>
                    <w:t>类别</w:t>
                  </w:r>
                </w:p>
              </w:tc>
              <w:tc>
                <w:tcPr>
                  <w:tcW w:w="2136" w:type="pct"/>
                  <w:gridSpan w:val="2"/>
                  <w:vAlign w:val="center"/>
                </w:tcPr>
                <w:p w14:paraId="68091916">
                  <w:pPr>
                    <w:widowControl/>
                    <w:jc w:val="center"/>
                    <w:rPr>
                      <w:b/>
                      <w:kern w:val="0"/>
                      <w:szCs w:val="21"/>
                    </w:rPr>
                  </w:pPr>
                  <w:r>
                    <w:rPr>
                      <w:rFonts w:hint="eastAsia"/>
                      <w:b/>
                      <w:kern w:val="0"/>
                      <w:szCs w:val="21"/>
                    </w:rPr>
                    <w:t>标准值</w:t>
                  </w:r>
                  <w:r>
                    <w:rPr>
                      <w:b/>
                      <w:kern w:val="0"/>
                      <w:szCs w:val="21"/>
                    </w:rPr>
                    <w:t>dB(A</w:t>
                  </w:r>
                  <w:r>
                    <w:rPr>
                      <w:rFonts w:hint="eastAsia"/>
                      <w:b/>
                      <w:kern w:val="0"/>
                      <w:szCs w:val="21"/>
                    </w:rPr>
                    <w:t>)</w:t>
                  </w:r>
                </w:p>
              </w:tc>
              <w:tc>
                <w:tcPr>
                  <w:tcW w:w="2152" w:type="pct"/>
                  <w:vMerge w:val="restart"/>
                  <w:vAlign w:val="center"/>
                </w:tcPr>
                <w:p w14:paraId="1DEA3B4B">
                  <w:pPr>
                    <w:widowControl/>
                    <w:jc w:val="center"/>
                    <w:rPr>
                      <w:b/>
                      <w:kern w:val="0"/>
                      <w:szCs w:val="21"/>
                    </w:rPr>
                  </w:pPr>
                  <w:r>
                    <w:rPr>
                      <w:rFonts w:hint="eastAsia"/>
                      <w:b/>
                      <w:kern w:val="0"/>
                      <w:szCs w:val="21"/>
                    </w:rPr>
                    <w:t>标准来源</w:t>
                  </w:r>
                </w:p>
              </w:tc>
            </w:tr>
            <w:tr w14:paraId="01A8F3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pct"/>
                  <w:vMerge w:val="continue"/>
                  <w:vAlign w:val="center"/>
                </w:tcPr>
                <w:p w14:paraId="574173FE">
                  <w:pPr>
                    <w:widowControl/>
                    <w:jc w:val="center"/>
                    <w:rPr>
                      <w:b/>
                      <w:kern w:val="0"/>
                      <w:szCs w:val="21"/>
                    </w:rPr>
                  </w:pPr>
                </w:p>
              </w:tc>
              <w:tc>
                <w:tcPr>
                  <w:tcW w:w="876" w:type="pct"/>
                  <w:vAlign w:val="center"/>
                </w:tcPr>
                <w:p w14:paraId="78376775">
                  <w:pPr>
                    <w:widowControl/>
                    <w:jc w:val="center"/>
                    <w:rPr>
                      <w:b/>
                      <w:kern w:val="0"/>
                      <w:szCs w:val="21"/>
                    </w:rPr>
                  </w:pPr>
                  <w:r>
                    <w:rPr>
                      <w:rFonts w:hint="eastAsia"/>
                      <w:b/>
                      <w:kern w:val="0"/>
                      <w:szCs w:val="21"/>
                    </w:rPr>
                    <w:t>昼间</w:t>
                  </w:r>
                </w:p>
              </w:tc>
              <w:tc>
                <w:tcPr>
                  <w:tcW w:w="1260" w:type="pct"/>
                  <w:vAlign w:val="center"/>
                </w:tcPr>
                <w:p w14:paraId="1174FB04">
                  <w:pPr>
                    <w:widowControl/>
                    <w:jc w:val="center"/>
                    <w:rPr>
                      <w:b/>
                      <w:kern w:val="0"/>
                      <w:szCs w:val="21"/>
                    </w:rPr>
                  </w:pPr>
                  <w:r>
                    <w:rPr>
                      <w:rFonts w:hint="eastAsia"/>
                      <w:b/>
                      <w:kern w:val="0"/>
                      <w:szCs w:val="21"/>
                    </w:rPr>
                    <w:t>夜间</w:t>
                  </w:r>
                </w:p>
              </w:tc>
              <w:tc>
                <w:tcPr>
                  <w:tcW w:w="2152" w:type="pct"/>
                  <w:vMerge w:val="continue"/>
                  <w:vAlign w:val="center"/>
                </w:tcPr>
                <w:p w14:paraId="5CC5C038">
                  <w:pPr>
                    <w:widowControl/>
                    <w:jc w:val="center"/>
                    <w:rPr>
                      <w:b/>
                      <w:kern w:val="0"/>
                      <w:szCs w:val="21"/>
                    </w:rPr>
                  </w:pPr>
                </w:p>
              </w:tc>
            </w:tr>
            <w:tr w14:paraId="146D61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pct"/>
                  <w:vAlign w:val="center"/>
                </w:tcPr>
                <w:p w14:paraId="6BBD73CE">
                  <w:pPr>
                    <w:widowControl/>
                    <w:jc w:val="center"/>
                    <w:rPr>
                      <w:kern w:val="0"/>
                      <w:szCs w:val="21"/>
                    </w:rPr>
                  </w:pPr>
                  <w:r>
                    <w:rPr>
                      <w:rFonts w:hint="eastAsia"/>
                      <w:kern w:val="0"/>
                      <w:szCs w:val="21"/>
                    </w:rPr>
                    <w:t>3</w:t>
                  </w:r>
                </w:p>
              </w:tc>
              <w:tc>
                <w:tcPr>
                  <w:tcW w:w="876" w:type="pct"/>
                  <w:vAlign w:val="center"/>
                </w:tcPr>
                <w:p w14:paraId="23C510B1">
                  <w:pPr>
                    <w:widowControl/>
                    <w:jc w:val="center"/>
                    <w:rPr>
                      <w:kern w:val="0"/>
                      <w:szCs w:val="21"/>
                    </w:rPr>
                  </w:pPr>
                  <w:r>
                    <w:rPr>
                      <w:kern w:val="0"/>
                      <w:szCs w:val="21"/>
                    </w:rPr>
                    <w:t>6</w:t>
                  </w:r>
                  <w:r>
                    <w:rPr>
                      <w:rFonts w:hint="eastAsia"/>
                      <w:kern w:val="0"/>
                      <w:szCs w:val="21"/>
                    </w:rPr>
                    <w:t>5</w:t>
                  </w:r>
                </w:p>
              </w:tc>
              <w:tc>
                <w:tcPr>
                  <w:tcW w:w="1260" w:type="pct"/>
                  <w:vAlign w:val="center"/>
                </w:tcPr>
                <w:p w14:paraId="74BED7DB">
                  <w:pPr>
                    <w:widowControl/>
                    <w:jc w:val="center"/>
                    <w:rPr>
                      <w:kern w:val="0"/>
                      <w:szCs w:val="21"/>
                    </w:rPr>
                  </w:pPr>
                  <w:r>
                    <w:rPr>
                      <w:kern w:val="0"/>
                      <w:szCs w:val="21"/>
                    </w:rPr>
                    <w:t>5</w:t>
                  </w:r>
                  <w:r>
                    <w:rPr>
                      <w:rFonts w:hint="eastAsia"/>
                      <w:kern w:val="0"/>
                      <w:szCs w:val="21"/>
                    </w:rPr>
                    <w:t>5</w:t>
                  </w:r>
                </w:p>
              </w:tc>
              <w:tc>
                <w:tcPr>
                  <w:tcW w:w="2152" w:type="pct"/>
                  <w:vAlign w:val="center"/>
                </w:tcPr>
                <w:p w14:paraId="1BA45340">
                  <w:pPr>
                    <w:widowControl/>
                    <w:jc w:val="center"/>
                    <w:rPr>
                      <w:kern w:val="0"/>
                      <w:szCs w:val="21"/>
                    </w:rPr>
                  </w:pPr>
                  <w:r>
                    <w:rPr>
                      <w:rFonts w:hint="eastAsia"/>
                      <w:kern w:val="0"/>
                      <w:szCs w:val="21"/>
                    </w:rPr>
                    <w:t>《工业企业厂界环境噪声排放标准》（</w:t>
                  </w:r>
                  <w:r>
                    <w:rPr>
                      <w:bCs/>
                      <w:kern w:val="0"/>
                      <w:szCs w:val="21"/>
                    </w:rPr>
                    <w:t>GB12348-2008</w:t>
                  </w:r>
                  <w:r>
                    <w:rPr>
                      <w:rFonts w:hint="eastAsia"/>
                      <w:bCs/>
                      <w:kern w:val="0"/>
                      <w:szCs w:val="21"/>
                    </w:rPr>
                    <w:t>）</w:t>
                  </w:r>
                </w:p>
              </w:tc>
            </w:tr>
          </w:tbl>
          <w:p w14:paraId="187F4D37">
            <w:pPr>
              <w:tabs>
                <w:tab w:val="left" w:pos="1350"/>
              </w:tabs>
              <w:adjustRightInd w:val="0"/>
              <w:snapToGrid w:val="0"/>
              <w:spacing w:line="360" w:lineRule="auto"/>
              <w:ind w:firstLine="482" w:firstLineChars="200"/>
              <w:rPr>
                <w:b/>
                <w:sz w:val="24"/>
              </w:rPr>
            </w:pPr>
            <w:r>
              <w:rPr>
                <w:b/>
                <w:sz w:val="24"/>
              </w:rPr>
              <w:t>4、固体</w:t>
            </w:r>
          </w:p>
          <w:p w14:paraId="360C6C72">
            <w:pPr>
              <w:tabs>
                <w:tab w:val="left" w:pos="1350"/>
              </w:tabs>
              <w:adjustRightInd w:val="0"/>
              <w:snapToGrid w:val="0"/>
              <w:spacing w:line="360" w:lineRule="auto"/>
              <w:ind w:firstLine="480" w:firstLineChars="200"/>
              <w:rPr>
                <w:sz w:val="24"/>
              </w:rPr>
            </w:pPr>
            <w:r>
              <w:rPr>
                <w:sz w:val="24"/>
              </w:rPr>
              <w:t>项目生产过程中</w:t>
            </w:r>
            <w:r>
              <w:rPr>
                <w:rFonts w:hint="eastAsia"/>
                <w:sz w:val="24"/>
              </w:rPr>
              <w:t>一般固废暂存执行《一般工业固体废物贮存和填埋污染控制标准》（GB18599-2020）；危险固废执行《危险废物贮存污染控制标准》（GB18597-20</w:t>
            </w:r>
            <w:r>
              <w:rPr>
                <w:sz w:val="24"/>
              </w:rPr>
              <w:t>23</w:t>
            </w:r>
            <w:r>
              <w:rPr>
                <w:rFonts w:hint="eastAsia"/>
                <w:sz w:val="24"/>
              </w:rPr>
              <w:t>）的有关规定</w:t>
            </w:r>
            <w:r>
              <w:rPr>
                <w:sz w:val="24"/>
              </w:rPr>
              <w:t>。</w:t>
            </w:r>
          </w:p>
        </w:tc>
      </w:tr>
      <w:tr w14:paraId="4F7A3F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456" w:type="dxa"/>
            <w:tcBorders>
              <w:tl2br w:val="nil"/>
              <w:tr2bl w:val="nil"/>
            </w:tcBorders>
            <w:tcMar>
              <w:left w:w="28" w:type="dxa"/>
              <w:right w:w="28" w:type="dxa"/>
            </w:tcMar>
            <w:vAlign w:val="center"/>
          </w:tcPr>
          <w:p w14:paraId="6A8AC94B">
            <w:pPr>
              <w:adjustRightInd w:val="0"/>
              <w:snapToGrid w:val="0"/>
              <w:jc w:val="center"/>
              <w:rPr>
                <w:kern w:val="0"/>
                <w:szCs w:val="21"/>
              </w:rPr>
            </w:pPr>
            <w:r>
              <w:rPr>
                <w:kern w:val="0"/>
                <w:sz w:val="24"/>
              </w:rPr>
              <w:t>总量控制指标</w:t>
            </w:r>
          </w:p>
        </w:tc>
        <w:tc>
          <w:tcPr>
            <w:tcW w:w="8605" w:type="dxa"/>
            <w:tcBorders>
              <w:tl2br w:val="nil"/>
              <w:tr2bl w:val="nil"/>
            </w:tcBorders>
          </w:tcPr>
          <w:p w14:paraId="497005FF">
            <w:pPr>
              <w:spacing w:line="360" w:lineRule="auto"/>
              <w:ind w:firstLine="482" w:firstLineChars="200"/>
              <w:rPr>
                <w:b/>
                <w:sz w:val="24"/>
              </w:rPr>
            </w:pPr>
            <w:r>
              <w:rPr>
                <w:b/>
                <w:sz w:val="24"/>
              </w:rPr>
              <w:t>1</w:t>
            </w:r>
            <w:r>
              <w:rPr>
                <w:rFonts w:hint="eastAsia"/>
                <w:b/>
                <w:sz w:val="24"/>
              </w:rPr>
              <w:t>、总量控制因子</w:t>
            </w:r>
          </w:p>
          <w:p w14:paraId="2C79E6B6">
            <w:pPr>
              <w:adjustRightInd w:val="0"/>
              <w:snapToGrid w:val="0"/>
              <w:spacing w:line="360" w:lineRule="auto"/>
              <w:ind w:firstLine="480" w:firstLineChars="200"/>
              <w:outlineLvl w:val="9"/>
              <w:rPr>
                <w:rFonts w:hint="default" w:ascii="Times New Roman" w:hAnsi="Times New Roman" w:eastAsia="宋体" w:cs="Times New Roman"/>
                <w:bCs/>
                <w:color w:val="auto"/>
                <w:sz w:val="24"/>
              </w:rPr>
            </w:pPr>
            <w:r>
              <w:rPr>
                <w:rFonts w:hint="eastAsia" w:ascii="Times New Roman" w:hAnsi="Times New Roman" w:eastAsia="宋体"/>
                <w:color w:val="auto"/>
                <w:sz w:val="24"/>
              </w:rPr>
              <w:t>根据</w:t>
            </w:r>
            <w:r>
              <w:rPr>
                <w:rFonts w:hint="default" w:ascii="Times New Roman" w:hAnsi="Times New Roman" w:eastAsia="宋体" w:cs="Times New Roman"/>
                <w:color w:val="auto"/>
                <w:sz w:val="24"/>
              </w:rPr>
              <w:t>《国务院关于印发</w:t>
            </w:r>
            <w:r>
              <w:rPr>
                <w:rFonts w:hint="eastAsia" w:cs="Times New Roman"/>
                <w:color w:val="auto"/>
                <w:sz w:val="24"/>
                <w:lang w:eastAsia="zh-CN"/>
              </w:rPr>
              <w:t>〈</w:t>
            </w:r>
            <w:r>
              <w:rPr>
                <w:rFonts w:hint="default" w:ascii="Times New Roman" w:hAnsi="Times New Roman" w:eastAsia="宋体" w:cs="Times New Roman"/>
                <w:color w:val="auto"/>
                <w:sz w:val="24"/>
              </w:rPr>
              <w:t>“十四五”节能减排综合工作方案</w:t>
            </w:r>
            <w:r>
              <w:rPr>
                <w:rFonts w:hint="eastAsia" w:cs="Times New Roman"/>
                <w:color w:val="auto"/>
                <w:sz w:val="24"/>
                <w:lang w:eastAsia="zh-CN"/>
              </w:rPr>
              <w:t>〉</w:t>
            </w:r>
            <w:r>
              <w:rPr>
                <w:rFonts w:hint="default" w:ascii="Times New Roman" w:hAnsi="Times New Roman" w:eastAsia="宋体" w:cs="Times New Roman"/>
                <w:color w:val="auto"/>
                <w:sz w:val="24"/>
              </w:rPr>
              <w:t>的通知》（国发[2021]33号）</w:t>
            </w:r>
            <w:r>
              <w:rPr>
                <w:rFonts w:hint="eastAsia" w:ascii="Times New Roman" w:hAnsi="Times New Roman" w:eastAsia="宋体"/>
                <w:color w:val="auto"/>
                <w:sz w:val="24"/>
              </w:rPr>
              <w:t>，</w:t>
            </w:r>
            <w:r>
              <w:rPr>
                <w:rFonts w:hint="default" w:ascii="Times New Roman" w:hAnsi="Times New Roman" w:cs="Times New Roman"/>
                <w:color w:val="auto"/>
                <w:sz w:val="24"/>
                <w:szCs w:val="24"/>
              </w:rPr>
              <w:t>目前国家对化学需氧量COD、氨氮NH</w:t>
            </w:r>
            <w:r>
              <w:rPr>
                <w:rFonts w:hint="default" w:ascii="Times New Roman" w:hAnsi="Times New Roman" w:cs="Times New Roman"/>
                <w:color w:val="auto"/>
                <w:sz w:val="24"/>
                <w:szCs w:val="24"/>
                <w:vertAlign w:val="subscript"/>
              </w:rPr>
              <w:t>3</w:t>
            </w:r>
            <w:r>
              <w:rPr>
                <w:rFonts w:hint="default" w:ascii="Times New Roman" w:hAnsi="Times New Roman" w:cs="Times New Roman"/>
                <w:color w:val="auto"/>
                <w:sz w:val="24"/>
                <w:szCs w:val="24"/>
              </w:rPr>
              <w:t>-N、氮氧化物NOx、VOCs（以非甲烷总烃计）四种主要污染物纳入排放总量控制计划管理</w:t>
            </w:r>
            <w:r>
              <w:rPr>
                <w:rFonts w:hint="default" w:ascii="Times New Roman" w:hAnsi="Times New Roman" w:eastAsia="宋体" w:cs="Times New Roman"/>
                <w:bCs/>
                <w:color w:val="auto"/>
                <w:sz w:val="24"/>
              </w:rPr>
              <w:t>。</w:t>
            </w:r>
          </w:p>
          <w:p w14:paraId="6C936ADD">
            <w:pPr>
              <w:adjustRightInd w:val="0"/>
              <w:snapToGrid w:val="0"/>
              <w:spacing w:line="360" w:lineRule="auto"/>
              <w:ind w:firstLine="480" w:firstLineChars="200"/>
              <w:outlineLvl w:val="9"/>
              <w:rPr>
                <w:rFonts w:hint="eastAsia" w:ascii="Times New Roman" w:hAnsi="Times New Roman" w:eastAsia="宋体" w:cs="宋体"/>
                <w:caps w:val="0"/>
                <w:color w:val="000000" w:themeColor="text1"/>
                <w:sz w:val="24"/>
                <w14:textFill>
                  <w14:solidFill>
                    <w14:schemeClr w14:val="tx1"/>
                  </w14:solidFill>
                </w14:textFill>
              </w:rPr>
            </w:pPr>
            <w:r>
              <w:rPr>
                <w:rFonts w:hint="eastAsia" w:ascii="Times New Roman" w:hAnsi="Times New Roman" w:eastAsia="宋体" w:cs="宋体"/>
                <w:color w:val="000000" w:themeColor="text1"/>
                <w:sz w:val="24"/>
                <w14:textFill>
                  <w14:solidFill>
                    <w14:schemeClr w14:val="tx1"/>
                  </w14:solidFill>
                </w14:textFill>
              </w:rPr>
              <w:t>本项目废水为生活污水，生</w:t>
            </w:r>
            <w:r>
              <w:rPr>
                <w:rFonts w:hint="eastAsia" w:ascii="Times New Roman" w:hAnsi="Times New Roman" w:eastAsia="宋体" w:cs="宋体"/>
                <w:color w:val="000000" w:themeColor="text1"/>
                <w:sz w:val="24"/>
                <w:shd w:val="clear" w:color="auto" w:fill="auto"/>
                <w14:textFill>
                  <w14:solidFill>
                    <w14:schemeClr w14:val="tx1"/>
                  </w14:solidFill>
                </w14:textFill>
              </w:rPr>
              <w:t>活污水产生量为</w:t>
            </w:r>
            <w:r>
              <w:rPr>
                <w:rFonts w:hint="eastAsia" w:cs="宋体"/>
                <w:color w:val="000000" w:themeColor="text1"/>
                <w:sz w:val="24"/>
                <w:highlight w:val="none"/>
                <w:shd w:val="clear" w:color="auto" w:fill="auto"/>
                <w:lang w:val="en-US" w:eastAsia="zh-CN"/>
                <w14:textFill>
                  <w14:solidFill>
                    <w14:schemeClr w14:val="tx1"/>
                  </w14:solidFill>
                </w14:textFill>
              </w:rPr>
              <w:t>180</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t/a。生活污水经化粪池处理后进入</w:t>
            </w:r>
            <w:r>
              <w:rPr>
                <w:rFonts w:hint="eastAsia" w:cs="宋体"/>
                <w:color w:val="000000" w:themeColor="text1"/>
                <w:sz w:val="24"/>
                <w:highlight w:val="none"/>
                <w:shd w:val="clear" w:color="auto" w:fill="auto"/>
                <w:lang w:eastAsia="zh-CN"/>
                <w14:textFill>
                  <w14:solidFill>
                    <w14:schemeClr w14:val="tx1"/>
                  </w14:solidFill>
                </w14:textFill>
              </w:rPr>
              <w:t>城东污水处理厂</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集中处理，废水COD纳管前排放量为0.</w:t>
            </w:r>
            <w:r>
              <w:rPr>
                <w:rFonts w:hint="eastAsia" w:cs="宋体"/>
                <w:color w:val="000000" w:themeColor="text1"/>
                <w:sz w:val="24"/>
                <w:highlight w:val="none"/>
                <w:shd w:val="clear" w:color="auto" w:fill="auto"/>
                <w:lang w:val="en-US" w:eastAsia="zh-CN"/>
                <w14:textFill>
                  <w14:solidFill>
                    <w14:schemeClr w14:val="tx1"/>
                  </w14:solidFill>
                </w14:textFill>
              </w:rPr>
              <w:t>046</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t/a，纳管后排放量为0.</w:t>
            </w:r>
            <w:r>
              <w:rPr>
                <w:rFonts w:hint="eastAsia" w:ascii="Times New Roman" w:hAnsi="Times New Roman" w:eastAsia="宋体" w:cs="宋体"/>
                <w:color w:val="000000" w:themeColor="text1"/>
                <w:sz w:val="24"/>
                <w:highlight w:val="none"/>
                <w:shd w:val="clear" w:color="auto" w:fill="auto"/>
                <w:lang w:val="en-US" w:eastAsia="zh-CN"/>
                <w14:textFill>
                  <w14:solidFill>
                    <w14:schemeClr w14:val="tx1"/>
                  </w14:solidFill>
                </w14:textFill>
              </w:rPr>
              <w:t>0</w:t>
            </w:r>
            <w:r>
              <w:rPr>
                <w:rFonts w:hint="eastAsia" w:cs="宋体"/>
                <w:color w:val="000000" w:themeColor="text1"/>
                <w:sz w:val="24"/>
                <w:highlight w:val="none"/>
                <w:shd w:val="clear" w:color="auto" w:fill="auto"/>
                <w:lang w:val="en-US" w:eastAsia="zh-CN"/>
                <w14:textFill>
                  <w14:solidFill>
                    <w14:schemeClr w14:val="tx1"/>
                  </w14:solidFill>
                </w14:textFill>
              </w:rPr>
              <w:t>09</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t/a，NH</w:t>
            </w:r>
            <w:r>
              <w:rPr>
                <w:rFonts w:hint="eastAsia" w:ascii="Times New Roman" w:hAnsi="Times New Roman" w:eastAsia="宋体" w:cs="宋体"/>
                <w:color w:val="000000" w:themeColor="text1"/>
                <w:sz w:val="24"/>
                <w:highlight w:val="none"/>
                <w:shd w:val="clear" w:color="auto" w:fill="auto"/>
                <w:vertAlign w:val="subscript"/>
                <w14:textFill>
                  <w14:solidFill>
                    <w14:schemeClr w14:val="tx1"/>
                  </w14:solidFill>
                </w14:textFill>
              </w:rPr>
              <w:t>3</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-N纳管前排放量为</w:t>
            </w:r>
            <w:r>
              <w:rPr>
                <w:rFonts w:hint="eastAsia" w:ascii="Times New Roman" w:hAnsi="Times New Roman" w:eastAsia="宋体" w:cs="宋体"/>
                <w:color w:val="000000" w:themeColor="text1"/>
                <w:sz w:val="24"/>
                <w:highlight w:val="none"/>
                <w:shd w:val="clear" w:color="auto" w:fill="auto"/>
                <w:lang w:val="en-US" w:eastAsia="zh-CN"/>
                <w14:textFill>
                  <w14:solidFill>
                    <w14:schemeClr w14:val="tx1"/>
                  </w14:solidFill>
                </w14:textFill>
              </w:rPr>
              <w:t>0.</w:t>
            </w:r>
            <w:r>
              <w:rPr>
                <w:rFonts w:hint="eastAsia" w:cs="宋体"/>
                <w:color w:val="000000" w:themeColor="text1"/>
                <w:sz w:val="24"/>
                <w:highlight w:val="none"/>
                <w:shd w:val="clear" w:color="auto" w:fill="auto"/>
                <w:lang w:val="en-US" w:eastAsia="zh-CN"/>
                <w14:textFill>
                  <w14:solidFill>
                    <w14:schemeClr w14:val="tx1"/>
                  </w14:solidFill>
                </w14:textFill>
              </w:rPr>
              <w:t>004</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t/a，纳管后排放量为0.0</w:t>
            </w:r>
            <w:r>
              <w:rPr>
                <w:rFonts w:hint="eastAsia" w:ascii="Times New Roman" w:hAnsi="Times New Roman" w:eastAsia="宋体" w:cs="宋体"/>
                <w:color w:val="000000" w:themeColor="text1"/>
                <w:sz w:val="24"/>
                <w:highlight w:val="none"/>
                <w:shd w:val="clear" w:color="auto" w:fill="auto"/>
                <w:lang w:val="en-US" w:eastAsia="zh-CN"/>
                <w14:textFill>
                  <w14:solidFill>
                    <w14:schemeClr w14:val="tx1"/>
                  </w14:solidFill>
                </w14:textFill>
              </w:rPr>
              <w:t>0</w:t>
            </w:r>
            <w:r>
              <w:rPr>
                <w:rFonts w:hint="eastAsia" w:cs="宋体"/>
                <w:color w:val="000000" w:themeColor="text1"/>
                <w:sz w:val="24"/>
                <w:highlight w:val="none"/>
                <w:shd w:val="clear" w:color="auto" w:fill="auto"/>
                <w:lang w:val="en-US" w:eastAsia="zh-CN"/>
                <w14:textFill>
                  <w14:solidFill>
                    <w14:schemeClr w14:val="tx1"/>
                  </w14:solidFill>
                </w14:textFill>
              </w:rPr>
              <w:t>1</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t/a。该部分COD、NH</w:t>
            </w:r>
            <w:r>
              <w:rPr>
                <w:rFonts w:hint="eastAsia" w:ascii="Times New Roman" w:hAnsi="Times New Roman" w:eastAsia="宋体" w:cs="宋体"/>
                <w:color w:val="000000" w:themeColor="text1"/>
                <w:sz w:val="24"/>
                <w:highlight w:val="none"/>
                <w:shd w:val="clear" w:color="auto" w:fill="auto"/>
                <w:vertAlign w:val="subscript"/>
                <w14:textFill>
                  <w14:solidFill>
                    <w14:schemeClr w14:val="tx1"/>
                  </w14:solidFill>
                </w14:textFill>
              </w:rPr>
              <w:t>3</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-N排放量拟</w:t>
            </w:r>
            <w:r>
              <w:rPr>
                <w:rFonts w:hint="eastAsia" w:cs="宋体"/>
                <w:color w:val="000000" w:themeColor="text1"/>
                <w:sz w:val="24"/>
                <w:highlight w:val="none"/>
                <w:shd w:val="clear" w:color="auto" w:fill="auto"/>
                <w:lang w:eastAsia="zh-CN"/>
                <w14:textFill>
                  <w14:solidFill>
                    <w14:schemeClr w14:val="tx1"/>
                  </w14:solidFill>
                </w14:textFill>
              </w:rPr>
              <w:t>纳入</w:t>
            </w:r>
            <w:r>
              <w:rPr>
                <w:rFonts w:hint="eastAsia" w:ascii="Times New Roman" w:hAnsi="Times New Roman" w:eastAsia="宋体" w:cs="宋体"/>
                <w:color w:val="000000" w:themeColor="text1"/>
                <w:sz w:val="24"/>
                <w:highlight w:val="none"/>
                <w:shd w:val="clear" w:color="auto" w:fill="auto"/>
                <w14:textFill>
                  <w14:solidFill>
                    <w14:schemeClr w14:val="tx1"/>
                  </w14:solidFill>
                </w14:textFill>
              </w:rPr>
              <w:t>污水处理厂总量控制指标</w:t>
            </w:r>
            <w:r>
              <w:rPr>
                <w:rFonts w:hint="eastAsia" w:ascii="Times New Roman" w:hAnsi="Times New Roman" w:eastAsia="宋体" w:cs="宋体"/>
                <w:color w:val="000000" w:themeColor="text1"/>
                <w:sz w:val="24"/>
                <w:shd w:val="clear" w:color="auto" w:fill="auto"/>
                <w14:textFill>
                  <w14:solidFill>
                    <w14:schemeClr w14:val="tx1"/>
                  </w14:solidFill>
                </w14:textFill>
              </w:rPr>
              <w:t>内，故不再申请总量控制指标。</w:t>
            </w:r>
          </w:p>
          <w:p w14:paraId="5F77DA49">
            <w:pPr>
              <w:shd w:val="clear" w:color="auto" w:fill="auto"/>
              <w:spacing w:line="480" w:lineRule="exact"/>
              <w:ind w:firstLine="480" w:firstLineChars="200"/>
              <w:rPr>
                <w:rFonts w:hint="eastAsia" w:ascii="Times New Roman" w:hAnsi="Times New Roman" w:eastAsia="宋体"/>
                <w:caps w:val="0"/>
                <w:color w:val="000000" w:themeColor="text1"/>
                <w:sz w:val="24"/>
                <w14:textFill>
                  <w14:solidFill>
                    <w14:schemeClr w14:val="tx1"/>
                  </w14:solidFill>
                </w14:textFill>
              </w:rPr>
            </w:pPr>
            <w:r>
              <w:rPr>
                <w:rFonts w:hint="eastAsia" w:ascii="Times New Roman" w:hAnsi="Times New Roman" w:eastAsia="宋体"/>
                <w:caps w:val="0"/>
                <w:color w:val="000000" w:themeColor="text1"/>
                <w:sz w:val="24"/>
                <w14:textFill>
                  <w14:solidFill>
                    <w14:schemeClr w14:val="tx1"/>
                  </w14:solidFill>
                </w14:textFill>
              </w:rPr>
              <w:t>根据工程分析核算，项目运营期大气污染物排放量见下表：</w:t>
            </w:r>
          </w:p>
          <w:p w14:paraId="3427F32A">
            <w:pPr>
              <w:shd w:val="clear" w:color="auto" w:fill="auto"/>
              <w:spacing w:line="480" w:lineRule="exact"/>
              <w:jc w:val="center"/>
              <w:rPr>
                <w:rFonts w:hint="eastAsia" w:ascii="Times New Roman" w:hAnsi="Times New Roman" w:eastAsia="宋体"/>
                <w:b/>
                <w:caps w:val="0"/>
                <w:color w:val="000000" w:themeColor="text1"/>
                <w:sz w:val="24"/>
                <w14:textFill>
                  <w14:solidFill>
                    <w14:schemeClr w14:val="tx1"/>
                  </w14:solidFill>
                </w14:textFill>
              </w:rPr>
            </w:pPr>
            <w:r>
              <w:rPr>
                <w:rFonts w:hint="eastAsia" w:ascii="Times New Roman" w:hAnsi="Times New Roman" w:eastAsia="宋体"/>
                <w:b/>
                <w:caps w:val="0"/>
                <w:color w:val="000000" w:themeColor="text1"/>
                <w:sz w:val="24"/>
                <w14:textFill>
                  <w14:solidFill>
                    <w14:schemeClr w14:val="tx1"/>
                  </w14:solidFill>
                </w14:textFill>
              </w:rPr>
              <w:t>表</w:t>
            </w:r>
            <w:r>
              <w:rPr>
                <w:rFonts w:hint="eastAsia" w:ascii="Times New Roman" w:hAnsi="Times New Roman" w:eastAsia="宋体"/>
                <w:b/>
                <w:caps w:val="0"/>
                <w:color w:val="000000" w:themeColor="text1"/>
                <w:sz w:val="24"/>
                <w:lang w:val="en-US" w:eastAsia="zh-CN"/>
                <w14:textFill>
                  <w14:solidFill>
                    <w14:schemeClr w14:val="tx1"/>
                  </w14:solidFill>
                </w14:textFill>
              </w:rPr>
              <w:t>3-</w:t>
            </w:r>
            <w:r>
              <w:rPr>
                <w:rFonts w:hint="eastAsia"/>
                <w:b/>
                <w:caps w:val="0"/>
                <w:color w:val="000000" w:themeColor="text1"/>
                <w:sz w:val="24"/>
                <w:lang w:val="en-US" w:eastAsia="zh-CN"/>
                <w14:textFill>
                  <w14:solidFill>
                    <w14:schemeClr w14:val="tx1"/>
                  </w14:solidFill>
                </w14:textFill>
              </w:rPr>
              <w:t>10</w:t>
            </w:r>
            <w:r>
              <w:rPr>
                <w:rFonts w:hint="eastAsia" w:ascii="Times New Roman" w:hAnsi="Times New Roman" w:eastAsia="宋体"/>
                <w:b/>
                <w:caps w:val="0"/>
                <w:color w:val="000000" w:themeColor="text1"/>
                <w:sz w:val="24"/>
                <w:lang w:val="en-US" w:eastAsia="zh-CN"/>
                <w14:textFill>
                  <w14:solidFill>
                    <w14:schemeClr w14:val="tx1"/>
                  </w14:solidFill>
                </w14:textFill>
              </w:rPr>
              <w:t xml:space="preserve"> </w:t>
            </w:r>
            <w:r>
              <w:rPr>
                <w:rFonts w:hint="eastAsia" w:ascii="Times New Roman" w:hAnsi="Times New Roman" w:eastAsia="宋体"/>
                <w:b/>
                <w:caps w:val="0"/>
                <w:color w:val="000000" w:themeColor="text1"/>
                <w:sz w:val="24"/>
                <w14:textFill>
                  <w14:solidFill>
                    <w14:schemeClr w14:val="tx1"/>
                  </w14:solidFill>
                </w14:textFill>
              </w:rPr>
              <w:t xml:space="preserve"> 大气污染物排放汇总表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00"/>
              <w:gridCol w:w="3689"/>
            </w:tblGrid>
            <w:tr w14:paraId="283EF9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801" w:type="pct"/>
                  <w:tcBorders>
                    <w:tl2br w:val="nil"/>
                    <w:tr2bl w:val="nil"/>
                  </w:tcBorders>
                  <w:vAlign w:val="center"/>
                </w:tcPr>
                <w:p w14:paraId="15F6E263">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污染物</w:t>
                  </w:r>
                </w:p>
              </w:tc>
              <w:tc>
                <w:tcPr>
                  <w:tcW w:w="2198" w:type="pct"/>
                  <w:tcBorders>
                    <w:tl2br w:val="nil"/>
                    <w:tr2bl w:val="nil"/>
                  </w:tcBorders>
                  <w:vAlign w:val="center"/>
                </w:tcPr>
                <w:p w14:paraId="1EC56FEE">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有组织废气排放量（t/a）</w:t>
                  </w:r>
                </w:p>
              </w:tc>
            </w:tr>
            <w:tr w14:paraId="51724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801" w:type="pct"/>
                  <w:tcBorders>
                    <w:tl2br w:val="nil"/>
                    <w:tr2bl w:val="nil"/>
                  </w:tcBorders>
                  <w:vAlign w:val="center"/>
                </w:tcPr>
                <w:p w14:paraId="287E2813">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VOCs（以非甲烷总烃计）</w:t>
                  </w:r>
                </w:p>
              </w:tc>
              <w:tc>
                <w:tcPr>
                  <w:tcW w:w="2198" w:type="pct"/>
                  <w:tcBorders>
                    <w:tl2br w:val="nil"/>
                    <w:tr2bl w:val="nil"/>
                  </w:tcBorders>
                  <w:shd w:val="clear"/>
                  <w:vAlign w:val="center"/>
                </w:tcPr>
                <w:p w14:paraId="3D39289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0.754</w:t>
                  </w:r>
                </w:p>
              </w:tc>
            </w:tr>
          </w:tbl>
          <w:p w14:paraId="1F251B30">
            <w:pPr>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aps w:val="0"/>
                <w:color w:val="000000" w:themeColor="text1"/>
                <w:sz w:val="24"/>
                <w14:textFill>
                  <w14:solidFill>
                    <w14:schemeClr w14:val="tx1"/>
                  </w14:solidFill>
                </w14:textFill>
              </w:rPr>
              <w:t>根据上表可以看出，项目</w:t>
            </w:r>
            <w:r>
              <w:rPr>
                <w:rFonts w:ascii="Times New Roman" w:hAnsi="Times New Roman" w:eastAsia="宋体"/>
                <w:caps w:val="0"/>
                <w:color w:val="000000" w:themeColor="text1"/>
                <w:sz w:val="24"/>
                <w14:textFill>
                  <w14:solidFill>
                    <w14:schemeClr w14:val="tx1"/>
                  </w14:solidFill>
                </w14:textFill>
              </w:rPr>
              <w:t>大气</w:t>
            </w:r>
            <w:r>
              <w:rPr>
                <w:rFonts w:hint="eastAsia" w:ascii="Times New Roman" w:hAnsi="Times New Roman" w:eastAsia="宋体"/>
                <w:caps w:val="0"/>
                <w:color w:val="000000" w:themeColor="text1"/>
                <w:sz w:val="24"/>
                <w14:textFill>
                  <w14:solidFill>
                    <w14:schemeClr w14:val="tx1"/>
                  </w14:solidFill>
                </w14:textFill>
              </w:rPr>
              <w:t>污染物</w:t>
            </w:r>
            <w:r>
              <w:rPr>
                <w:rFonts w:hint="eastAsia" w:ascii="Times New Roman" w:hAnsi="Times New Roman" w:eastAsia="宋体"/>
                <w:caps w:val="0"/>
                <w:color w:val="000000" w:themeColor="text1"/>
                <w:sz w:val="24"/>
                <w:lang w:eastAsia="zh-CN"/>
                <w14:textFill>
                  <w14:solidFill>
                    <w14:schemeClr w14:val="tx1"/>
                  </w14:solidFill>
                </w14:textFill>
              </w:rPr>
              <w:t>排放</w:t>
            </w:r>
            <w:r>
              <w:rPr>
                <w:rFonts w:hint="eastAsia" w:ascii="Times New Roman" w:hAnsi="Times New Roman" w:eastAsia="宋体" w:cs="Times New Roman"/>
                <w:color w:val="auto"/>
                <w:kern w:val="2"/>
                <w:sz w:val="24"/>
                <w:szCs w:val="24"/>
                <w:lang w:val="en-US" w:eastAsia="zh-CN" w:bidi="ar-SA"/>
              </w:rPr>
              <w:t>量为：VOCs：0.754 t/a。</w:t>
            </w:r>
          </w:p>
          <w:p w14:paraId="462A20E1">
            <w:pPr>
              <w:pStyle w:val="9"/>
              <w:spacing w:line="360" w:lineRule="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《安徽省排污权有偿使用和交易管理办法（试行）》提出：</w:t>
            </w:r>
          </w:p>
          <w:p w14:paraId="39D6B976">
            <w:pPr>
              <w:pStyle w:val="9"/>
              <w:spacing w:line="360" w:lineRule="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“第五条 现阶段实施排污权交易的排污单位为全省列入排污许可重点和简化管理范围内有污染物许可排放量要求的排污单位。”</w:t>
            </w:r>
          </w:p>
          <w:p w14:paraId="58E9E0DE">
            <w:pPr>
              <w:pStyle w:val="9"/>
              <w:spacing w:line="360" w:lineRule="auto"/>
              <w:ind w:firstLine="480"/>
            </w:pPr>
            <w:r>
              <w:rPr>
                <w:rFonts w:hint="eastAsia" w:ascii="Times New Roman" w:hAnsi="Times New Roman" w:eastAsia="宋体" w:cs="Times New Roman"/>
                <w:color w:val="auto"/>
                <w:sz w:val="24"/>
                <w:lang w:val="en-US" w:eastAsia="zh-CN"/>
              </w:rPr>
              <w:t>本项目的排污许可管理类别为登记管理，不属于排污权交易实施对象范围，无需核算排污权交易量。</w:t>
            </w:r>
          </w:p>
        </w:tc>
      </w:tr>
    </w:tbl>
    <w:p w14:paraId="2EF6C1BA">
      <w:pPr>
        <w:pStyle w:val="27"/>
        <w:adjustRightInd w:val="0"/>
        <w:snapToGrid w:val="0"/>
        <w:spacing w:before="0" w:beforeAutospacing="0" w:after="0" w:afterAutospacing="0"/>
        <w:jc w:val="center"/>
        <w:outlineLvl w:val="0"/>
        <w:rPr>
          <w:rFonts w:ascii="Times New Roman" w:hAnsi="Times New Roman"/>
          <w:snapToGrid w:val="0"/>
          <w:sz w:val="30"/>
          <w:szCs w:val="30"/>
        </w:rPr>
      </w:pPr>
      <w:r>
        <w:rPr>
          <w:rFonts w:ascii="Times New Roman" w:hAnsi="Times New Roman"/>
          <w:snapToGrid w:val="0"/>
          <w:sz w:val="36"/>
          <w:szCs w:val="36"/>
        </w:rPr>
        <w:br w:type="page"/>
      </w:r>
      <w:bookmarkStart w:id="5" w:name="_Toc25091"/>
      <w:r>
        <w:rPr>
          <w:rFonts w:ascii="Times New Roman" w:hAnsi="Times New Roman"/>
          <w:b/>
          <w:bCs/>
          <w:snapToGrid w:val="0"/>
          <w:sz w:val="30"/>
          <w:szCs w:val="30"/>
        </w:rPr>
        <w:t>四、主要环境影响和保护措施</w:t>
      </w:r>
      <w:bookmarkEnd w:id="5"/>
    </w:p>
    <w:tbl>
      <w:tblPr>
        <w:tblStyle w:val="29"/>
        <w:tblW w:w="942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9032"/>
      </w:tblGrid>
      <w:tr w14:paraId="10D1C0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41" w:hRule="atLeast"/>
          <w:jc w:val="center"/>
        </w:trPr>
        <w:tc>
          <w:tcPr>
            <w:tcW w:w="392" w:type="dxa"/>
            <w:tcBorders>
              <w:tl2br w:val="nil"/>
              <w:tr2bl w:val="nil"/>
            </w:tcBorders>
            <w:tcMar>
              <w:left w:w="28" w:type="dxa"/>
              <w:right w:w="28" w:type="dxa"/>
            </w:tcMar>
            <w:vAlign w:val="center"/>
          </w:tcPr>
          <w:p w14:paraId="67484E7E">
            <w:pPr>
              <w:pStyle w:val="27"/>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施工期环境保护措施</w:t>
            </w:r>
          </w:p>
        </w:tc>
        <w:tc>
          <w:tcPr>
            <w:tcW w:w="9032" w:type="dxa"/>
            <w:tcBorders>
              <w:tl2br w:val="nil"/>
              <w:tr2bl w:val="nil"/>
            </w:tcBorders>
            <w:vAlign w:val="center"/>
          </w:tcPr>
          <w:p w14:paraId="466468C6">
            <w:pPr>
              <w:pStyle w:val="9"/>
              <w:spacing w:line="360" w:lineRule="auto"/>
              <w:ind w:firstLine="482"/>
              <w:rPr>
                <w:b/>
                <w:bCs/>
                <w:kern w:val="0"/>
                <w:sz w:val="24"/>
              </w:rPr>
            </w:pPr>
            <w:r>
              <w:rPr>
                <w:rFonts w:hint="eastAsia"/>
                <w:b/>
                <w:bCs/>
                <w:kern w:val="0"/>
                <w:sz w:val="24"/>
              </w:rPr>
              <w:t>施工期环境保护措施</w:t>
            </w:r>
          </w:p>
          <w:p w14:paraId="72D8020E">
            <w:pPr>
              <w:pStyle w:val="9"/>
              <w:spacing w:line="360" w:lineRule="auto"/>
              <w:ind w:firstLine="480"/>
              <w:rPr>
                <w:kern w:val="0"/>
                <w:sz w:val="24"/>
              </w:rPr>
            </w:pPr>
            <w:r>
              <w:rPr>
                <w:rFonts w:hint="eastAsia"/>
                <w:color w:val="000000"/>
                <w:sz w:val="24"/>
              </w:rPr>
              <w:t>本项目为新建项目，租赁</w:t>
            </w:r>
            <w:r>
              <w:rPr>
                <w:rFonts w:hint="eastAsia"/>
                <w:color w:val="000000"/>
                <w:sz w:val="24"/>
                <w:lang w:eastAsia="zh-CN"/>
              </w:rPr>
              <w:t>芜湖市天意数码打印有限责任公司</w:t>
            </w:r>
            <w:r>
              <w:rPr>
                <w:rFonts w:hint="eastAsia"/>
                <w:color w:val="000000"/>
                <w:sz w:val="24"/>
              </w:rPr>
              <w:t>现有厂房，在厂房内进行布局和生产设备的安装及预埋固定钢件的处理，无大规模土建施工过程。施工期的污染主要为设备安装噪声，时间较短，且随着设备安装的结束而结束，因此本次环评不对施工期进行评价</w:t>
            </w:r>
            <w:r>
              <w:rPr>
                <w:rFonts w:hint="eastAsia"/>
                <w:kern w:val="0"/>
                <w:sz w:val="24"/>
              </w:rPr>
              <w:t>。</w:t>
            </w:r>
          </w:p>
        </w:tc>
      </w:tr>
      <w:tr w14:paraId="7722D9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96" w:hRule="atLeast"/>
          <w:jc w:val="center"/>
        </w:trPr>
        <w:tc>
          <w:tcPr>
            <w:tcW w:w="392" w:type="dxa"/>
            <w:tcBorders>
              <w:tl2br w:val="nil"/>
              <w:tr2bl w:val="nil"/>
            </w:tcBorders>
            <w:tcMar>
              <w:left w:w="28" w:type="dxa"/>
              <w:right w:w="28" w:type="dxa"/>
            </w:tcMar>
            <w:vAlign w:val="center"/>
          </w:tcPr>
          <w:p w14:paraId="6B65AAAD">
            <w:pPr>
              <w:pStyle w:val="27"/>
              <w:adjustRightInd w:val="0"/>
              <w:snapToGrid w:val="0"/>
              <w:spacing w:before="0" w:beforeAutospacing="0" w:after="0" w:afterAutospacing="0"/>
              <w:jc w:val="center"/>
              <w:rPr>
                <w:rFonts w:ascii="Times New Roman" w:hAnsi="Times New Roman"/>
                <w:kern w:val="2"/>
                <w:szCs w:val="24"/>
              </w:rPr>
            </w:pPr>
            <w:r>
              <w:rPr>
                <w:rFonts w:ascii="Times New Roman" w:hAnsi="Times New Roman"/>
                <w:bCs/>
              </w:rPr>
              <w:t>运营期环境影响和保护措施</w:t>
            </w:r>
          </w:p>
        </w:tc>
        <w:tc>
          <w:tcPr>
            <w:tcW w:w="9032" w:type="dxa"/>
            <w:tcBorders>
              <w:tl2br w:val="nil"/>
              <w:tr2bl w:val="nil"/>
            </w:tcBorders>
            <w:vAlign w:val="center"/>
          </w:tcPr>
          <w:p w14:paraId="75B4968C">
            <w:pPr>
              <w:keepNext/>
              <w:keepLines/>
              <w:spacing w:before="120" w:beforeLines="50" w:line="360" w:lineRule="auto"/>
              <w:ind w:firstLine="354" w:firstLineChars="147"/>
              <w:outlineLvl w:val="2"/>
              <w:rPr>
                <w:b/>
                <w:bCs/>
                <w:sz w:val="24"/>
                <w:szCs w:val="32"/>
              </w:rPr>
            </w:pPr>
            <w:r>
              <w:rPr>
                <w:rFonts w:hint="eastAsia"/>
                <w:b/>
                <w:bCs/>
                <w:sz w:val="24"/>
                <w:szCs w:val="32"/>
              </w:rPr>
              <w:t>一、废气环境影响和保护措施</w:t>
            </w:r>
          </w:p>
          <w:p w14:paraId="353AD0BD">
            <w:pPr>
              <w:keepNext/>
              <w:keepLines/>
              <w:spacing w:line="360" w:lineRule="auto"/>
              <w:ind w:firstLine="472" w:firstLineChars="196"/>
              <w:outlineLvl w:val="2"/>
              <w:rPr>
                <w:b/>
                <w:bCs/>
                <w:sz w:val="24"/>
                <w:szCs w:val="32"/>
              </w:rPr>
            </w:pPr>
            <w:r>
              <w:rPr>
                <w:rFonts w:hint="eastAsia"/>
                <w:b/>
                <w:bCs/>
                <w:sz w:val="24"/>
                <w:szCs w:val="32"/>
              </w:rPr>
              <w:t>1、</w:t>
            </w:r>
            <w:r>
              <w:rPr>
                <w:b/>
                <w:bCs/>
                <w:sz w:val="24"/>
                <w:szCs w:val="32"/>
              </w:rPr>
              <w:t>废气污染源</w:t>
            </w:r>
            <w:r>
              <w:rPr>
                <w:rFonts w:hint="eastAsia"/>
                <w:b/>
                <w:bCs/>
                <w:sz w:val="24"/>
                <w:szCs w:val="32"/>
              </w:rPr>
              <w:t>分析</w:t>
            </w:r>
          </w:p>
          <w:p w14:paraId="1E84DADB">
            <w:pPr>
              <w:widowControl/>
              <w:spacing w:line="360" w:lineRule="auto"/>
              <w:ind w:firstLine="480" w:firstLineChars="200"/>
              <w:jc w:val="left"/>
              <w:rPr>
                <w:kern w:val="0"/>
                <w:sz w:val="24"/>
              </w:rPr>
            </w:pPr>
            <w:r>
              <w:rPr>
                <w:kern w:val="0"/>
                <w:sz w:val="24"/>
              </w:rPr>
              <w:t>项目营运期废气污染源主要</w:t>
            </w:r>
            <w:r>
              <w:rPr>
                <w:rFonts w:hint="eastAsia"/>
                <w:kern w:val="0"/>
                <w:sz w:val="24"/>
              </w:rPr>
              <w:t>为</w:t>
            </w:r>
            <w:r>
              <w:rPr>
                <w:rFonts w:hint="eastAsia"/>
                <w:kern w:val="0"/>
                <w:sz w:val="24"/>
                <w:lang w:val="en-US" w:eastAsia="zh-CN"/>
              </w:rPr>
              <w:t>发泡</w:t>
            </w:r>
            <w:r>
              <w:rPr>
                <w:rFonts w:hint="eastAsia"/>
                <w:kern w:val="0"/>
                <w:sz w:val="24"/>
              </w:rPr>
              <w:t>废气</w:t>
            </w:r>
            <w:r>
              <w:rPr>
                <w:kern w:val="0"/>
                <w:sz w:val="24"/>
              </w:rPr>
              <w:t>（G1）</w:t>
            </w:r>
            <w:r>
              <w:rPr>
                <w:rFonts w:hint="eastAsia"/>
                <w:kern w:val="0"/>
                <w:sz w:val="24"/>
                <w:lang w:eastAsia="zh-CN"/>
              </w:rPr>
              <w:t>、</w:t>
            </w:r>
            <w:r>
              <w:rPr>
                <w:rFonts w:hint="eastAsia"/>
                <w:kern w:val="0"/>
                <w:sz w:val="24"/>
                <w:lang w:val="en-US" w:eastAsia="zh-CN"/>
              </w:rPr>
              <w:t>脱模废气（G2）、喷胶固化废气（G3）</w:t>
            </w:r>
            <w:r>
              <w:rPr>
                <w:kern w:val="0"/>
                <w:sz w:val="24"/>
              </w:rPr>
              <w:t>。</w:t>
            </w:r>
          </w:p>
          <w:p w14:paraId="0FD188CF">
            <w:pPr>
              <w:numPr>
                <w:ilvl w:val="0"/>
                <w:numId w:val="8"/>
              </w:numPr>
              <w:tabs>
                <w:tab w:val="left" w:pos="2520"/>
              </w:tabs>
              <w:adjustRightInd w:val="0"/>
              <w:spacing w:line="360" w:lineRule="auto"/>
              <w:ind w:firstLine="480" w:firstLineChars="200"/>
              <w:rPr>
                <w:kern w:val="0"/>
                <w:sz w:val="24"/>
              </w:rPr>
            </w:pPr>
            <w:r>
              <w:rPr>
                <w:rFonts w:hint="eastAsia"/>
                <w:kern w:val="0"/>
                <w:sz w:val="24"/>
                <w:lang w:val="en-US" w:eastAsia="zh-CN"/>
              </w:rPr>
              <w:t>发泡废气G1</w:t>
            </w:r>
          </w:p>
          <w:p w14:paraId="25A097C2">
            <w:pPr>
              <w:spacing w:line="360" w:lineRule="auto"/>
              <w:ind w:firstLine="481"/>
              <w:rPr>
                <w:rFonts w:hint="eastAsia"/>
                <w:color w:val="auto"/>
                <w:sz w:val="24"/>
                <w:lang w:val="en-US" w:eastAsia="zh-CN"/>
              </w:rPr>
            </w:pPr>
            <w:r>
              <w:rPr>
                <w:rFonts w:ascii="Times New Roman" w:hAnsi="Times New Roman"/>
                <w:color w:val="auto"/>
                <w:sz w:val="24"/>
                <w:szCs w:val="24"/>
                <w:highlight w:val="none"/>
              </w:rPr>
              <w:t>发泡工序</w:t>
            </w:r>
            <w:r>
              <w:rPr>
                <w:rFonts w:hint="eastAsia"/>
                <w:color w:val="auto"/>
                <w:sz w:val="24"/>
                <w:lang w:val="en-US" w:eastAsia="zh-CN"/>
              </w:rPr>
              <w:t>原料聚醚多元醇</w:t>
            </w:r>
            <w:r>
              <w:rPr>
                <w:rFonts w:hint="eastAsia"/>
                <w:color w:val="auto"/>
                <w:sz w:val="24"/>
              </w:rPr>
              <w:t>、</w:t>
            </w:r>
            <w:r>
              <w:rPr>
                <w:rFonts w:hint="eastAsia"/>
                <w:color w:val="auto"/>
                <w:sz w:val="24"/>
                <w:lang w:val="en-US" w:eastAsia="zh-CN"/>
              </w:rPr>
              <w:t>多亚甲基多苯基异氰酸酯</w:t>
            </w:r>
            <w:r>
              <w:rPr>
                <w:rFonts w:hint="eastAsia"/>
                <w:color w:val="auto"/>
                <w:sz w:val="24"/>
              </w:rPr>
              <w:t>等</w:t>
            </w:r>
            <w:r>
              <w:rPr>
                <w:rFonts w:hint="eastAsia"/>
                <w:color w:val="auto"/>
                <w:sz w:val="24"/>
                <w:lang w:eastAsia="zh-CN"/>
              </w:rPr>
              <w:t>，</w:t>
            </w:r>
            <w:r>
              <w:rPr>
                <w:rFonts w:hint="eastAsia"/>
                <w:color w:val="auto"/>
                <w:sz w:val="24"/>
              </w:rPr>
              <w:t>发泡过程</w:t>
            </w:r>
            <w:r>
              <w:rPr>
                <w:rFonts w:hint="eastAsia"/>
                <w:color w:val="auto"/>
                <w:sz w:val="24"/>
                <w:lang w:val="en-US" w:eastAsia="zh-CN"/>
              </w:rPr>
              <w:t>会</w:t>
            </w:r>
            <w:r>
              <w:rPr>
                <w:rFonts w:hint="eastAsia"/>
                <w:color w:val="auto"/>
                <w:sz w:val="24"/>
              </w:rPr>
              <w:t>产生有机废气，废气成分较为复杂，本项目以非甲烷总烃、</w:t>
            </w:r>
            <w:r>
              <w:rPr>
                <w:rFonts w:hint="default" w:ascii="Times New Roman" w:hAnsi="Times New Roman" w:eastAsia="宋体" w:cs="Times New Roman"/>
                <w:color w:val="auto"/>
                <w:sz w:val="24"/>
                <w:lang w:eastAsia="zh-CN"/>
              </w:rPr>
              <w:t>多亚甲基多苯基异氰酸酯</w:t>
            </w:r>
            <w:r>
              <w:rPr>
                <w:rFonts w:hint="eastAsia" w:ascii="Times New Roman" w:hAnsi="Times New Roman" w:eastAsia="宋体" w:cs="Times New Roman"/>
                <w:color w:val="auto"/>
                <w:sz w:val="24"/>
                <w:lang w:val="en-US" w:eastAsia="zh-CN"/>
              </w:rPr>
              <w:t>（PAPI）</w:t>
            </w:r>
            <w:r>
              <w:rPr>
                <w:rFonts w:hint="eastAsia" w:ascii="Times New Roman" w:hAnsi="Times New Roman" w:eastAsia="宋体" w:cs="Times New Roman"/>
                <w:color w:val="auto"/>
                <w:sz w:val="24"/>
                <w:lang w:eastAsia="zh-CN"/>
              </w:rPr>
              <w:t>计</w:t>
            </w:r>
            <w:r>
              <w:rPr>
                <w:rFonts w:hint="eastAsia"/>
                <w:color w:val="auto"/>
                <w:sz w:val="24"/>
              </w:rPr>
              <w:t>算</w:t>
            </w:r>
            <w:r>
              <w:rPr>
                <w:rFonts w:hint="eastAsia"/>
                <w:color w:val="auto"/>
                <w:sz w:val="24"/>
                <w:lang w:val="en-US" w:eastAsia="zh-CN"/>
              </w:rPr>
              <w:t>。</w:t>
            </w:r>
          </w:p>
          <w:p w14:paraId="44E4F7D4">
            <w:pPr>
              <w:pStyle w:val="3"/>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①非甲烷总烃</w:t>
            </w:r>
          </w:p>
          <w:p w14:paraId="547799CF">
            <w:pPr>
              <w:spacing w:line="360" w:lineRule="auto"/>
              <w:ind w:firstLine="481"/>
              <w:rPr>
                <w:rFonts w:hint="eastAsia"/>
                <w:color w:val="auto"/>
                <w:sz w:val="24"/>
                <w:highlight w:val="none"/>
                <w:lang w:val="en-US" w:eastAsia="zh-CN"/>
              </w:rPr>
            </w:pPr>
            <w:r>
              <w:rPr>
                <w:rFonts w:hint="eastAsia" w:ascii="Times New Roman" w:hAnsi="Times New Roman"/>
                <w:color w:val="auto"/>
                <w:sz w:val="24"/>
                <w:szCs w:val="24"/>
                <w:highlight w:val="none"/>
                <w:lang w:val="en-US" w:eastAsia="zh-CN"/>
              </w:rPr>
              <w:t>根据</w:t>
            </w:r>
            <w:r>
              <w:rPr>
                <w:rFonts w:hint="eastAsia"/>
                <w:color w:val="auto"/>
                <w:sz w:val="24"/>
                <w:highlight w:val="none"/>
              </w:rPr>
              <w:t>《排放源统计调查产排污核算方法和系数手册29塑料制造业行业系数手册》</w:t>
            </w:r>
            <w:r>
              <w:rPr>
                <w:rFonts w:hint="eastAsia"/>
                <w:color w:val="auto"/>
                <w:sz w:val="24"/>
                <w:highlight w:val="none"/>
                <w:lang w:eastAsia="zh-CN"/>
              </w:rPr>
              <w:t>，</w:t>
            </w:r>
            <w:r>
              <w:rPr>
                <w:rFonts w:hint="eastAsia"/>
                <w:color w:val="auto"/>
                <w:sz w:val="24"/>
                <w:highlight w:val="none"/>
                <w:lang w:val="en-US" w:eastAsia="zh-CN"/>
              </w:rPr>
              <w:t>发泡工序产生系数为30千克/吨-产品</w:t>
            </w:r>
            <w:r>
              <w:rPr>
                <w:rFonts w:hint="eastAsia"/>
                <w:color w:val="auto"/>
                <w:sz w:val="24"/>
                <w:highlight w:val="none"/>
              </w:rPr>
              <w:t>。</w:t>
            </w:r>
            <w:r>
              <w:rPr>
                <w:rFonts w:hint="eastAsia"/>
                <w:color w:val="auto"/>
                <w:sz w:val="24"/>
                <w:highlight w:val="none"/>
                <w:lang w:val="en-US" w:eastAsia="zh-CN"/>
              </w:rPr>
              <w:t>本项目年使用白料100t（聚醚多元醇），年使用黑料（多亚甲基多苯基异氰酸酯）45t，则发泡工序有机废气产生总量为4.35t/a。</w:t>
            </w:r>
          </w:p>
          <w:p w14:paraId="1D932284">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②</w:t>
            </w:r>
            <w:r>
              <w:rPr>
                <w:rFonts w:hint="default" w:ascii="Times New Roman" w:hAnsi="Times New Roman" w:eastAsia="宋体" w:cs="Times New Roman"/>
                <w:color w:val="auto"/>
                <w:sz w:val="24"/>
                <w:lang w:eastAsia="zh-CN"/>
              </w:rPr>
              <w:t>多亚甲基多苯基异氰酸酯</w:t>
            </w:r>
            <w:r>
              <w:rPr>
                <w:rFonts w:hint="eastAsia" w:ascii="Times New Roman" w:hAnsi="Times New Roman" w:eastAsia="宋体" w:cs="Times New Roman"/>
                <w:color w:val="auto"/>
                <w:sz w:val="24"/>
                <w:lang w:val="en-US" w:eastAsia="zh-CN"/>
              </w:rPr>
              <w:t>（PAPI）</w:t>
            </w:r>
            <w:r>
              <w:rPr>
                <w:rFonts w:hint="eastAsia"/>
                <w:color w:val="auto"/>
                <w:sz w:val="24"/>
                <w:szCs w:val="24"/>
                <w:lang w:val="en-US" w:eastAsia="zh-CN"/>
              </w:rPr>
              <w:t xml:space="preserve"> </w:t>
            </w:r>
          </w:p>
          <w:p w14:paraId="31A220CE">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本项目生产前其原料的配方均进行严格计算、计量，</w:t>
            </w:r>
            <w:r>
              <w:rPr>
                <w:rFonts w:hint="eastAsia"/>
                <w:color w:val="auto"/>
                <w:sz w:val="24"/>
                <w:lang w:val="en-US" w:eastAsia="zh-CN"/>
              </w:rPr>
              <w:t>组合</w:t>
            </w:r>
            <w:r>
              <w:rPr>
                <w:rFonts w:hint="eastAsia"/>
                <w:color w:val="auto"/>
                <w:sz w:val="24"/>
              </w:rPr>
              <w:t>聚醚</w:t>
            </w:r>
            <w:r>
              <w:rPr>
                <w:rFonts w:hint="eastAsia"/>
                <w:color w:val="auto"/>
                <w:sz w:val="24"/>
                <w:szCs w:val="24"/>
                <w:lang w:val="en-US" w:eastAsia="zh-CN"/>
              </w:rPr>
              <w:t>等物料相对过量，可以使异氰酸酯充分反应，且生产过程原料在全封闭的发泡机中反应。根据《聚氨酯泡沫塑料生产废气治理效果探讨》（金陵石油化工1992第二期P61-P64）介绍，使用lt原料将有0.5kg的</w:t>
            </w:r>
            <w:r>
              <w:rPr>
                <w:rFonts w:hint="default" w:ascii="Times New Roman" w:hAnsi="Times New Roman" w:eastAsia="宋体" w:cs="Times New Roman"/>
                <w:color w:val="auto"/>
                <w:sz w:val="24"/>
                <w:lang w:eastAsia="zh-CN"/>
              </w:rPr>
              <w:t>多亚甲基多苯基异氰酸酯</w:t>
            </w:r>
            <w:r>
              <w:rPr>
                <w:rFonts w:hint="eastAsia" w:ascii="Times New Roman" w:hAnsi="Times New Roman" w:eastAsia="宋体" w:cs="Times New Roman"/>
                <w:color w:val="auto"/>
                <w:sz w:val="24"/>
                <w:lang w:val="en-US" w:eastAsia="zh-CN"/>
              </w:rPr>
              <w:t>（PAPI）</w:t>
            </w:r>
            <w:r>
              <w:rPr>
                <w:rFonts w:hint="eastAsia"/>
                <w:color w:val="auto"/>
                <w:sz w:val="24"/>
                <w:szCs w:val="24"/>
                <w:lang w:val="en-US" w:eastAsia="zh-CN"/>
              </w:rPr>
              <w:t>废气，因此本项目</w:t>
            </w:r>
            <w:r>
              <w:rPr>
                <w:rFonts w:hint="default" w:ascii="Times New Roman" w:hAnsi="Times New Roman" w:eastAsia="宋体" w:cs="Times New Roman"/>
                <w:color w:val="auto"/>
                <w:sz w:val="24"/>
                <w:lang w:eastAsia="zh-CN"/>
              </w:rPr>
              <w:t>多亚甲基多苯基异氰酸酯</w:t>
            </w:r>
            <w:r>
              <w:rPr>
                <w:rFonts w:hint="eastAsia" w:ascii="Times New Roman" w:hAnsi="Times New Roman" w:eastAsia="宋体" w:cs="Times New Roman"/>
                <w:color w:val="auto"/>
                <w:sz w:val="24"/>
                <w:lang w:val="en-US" w:eastAsia="zh-CN"/>
              </w:rPr>
              <w:t>（PAPI）废气</w:t>
            </w:r>
            <w:r>
              <w:rPr>
                <w:rFonts w:hint="eastAsia"/>
                <w:color w:val="auto"/>
                <w:sz w:val="24"/>
                <w:szCs w:val="24"/>
                <w:lang w:val="en-US" w:eastAsia="zh-CN"/>
              </w:rPr>
              <w:t>产生系数按0.5kg/t 原料计，原料异氰酸酯用量约为45 t/a，则</w:t>
            </w:r>
            <w:r>
              <w:rPr>
                <w:rFonts w:hint="eastAsia" w:ascii="Times New Roman" w:hAnsi="Times New Roman" w:eastAsia="宋体" w:cs="Times New Roman"/>
                <w:color w:val="auto"/>
                <w:sz w:val="24"/>
                <w:lang w:val="en-US" w:eastAsia="zh-CN"/>
              </w:rPr>
              <w:t>PAPI</w:t>
            </w:r>
            <w:r>
              <w:rPr>
                <w:rFonts w:hint="eastAsia"/>
                <w:color w:val="auto"/>
                <w:sz w:val="24"/>
                <w:szCs w:val="24"/>
                <w:lang w:val="en-US" w:eastAsia="zh-CN"/>
              </w:rPr>
              <w:t>产生量为0.023t/a。</w:t>
            </w:r>
          </w:p>
          <w:p w14:paraId="0C6CCC31">
            <w:pPr>
              <w:tabs>
                <w:tab w:val="left" w:pos="2520"/>
              </w:tabs>
              <w:adjustRightInd w:val="0"/>
              <w:spacing w:line="360" w:lineRule="auto"/>
              <w:ind w:firstLine="480" w:firstLineChars="200"/>
              <w:rPr>
                <w:rFonts w:hint="default"/>
                <w:color w:val="auto"/>
                <w:sz w:val="24"/>
                <w:highlight w:val="none"/>
                <w:lang w:val="en-US" w:eastAsia="zh-CN"/>
              </w:rPr>
            </w:pPr>
            <w:r>
              <w:rPr>
                <w:rFonts w:hint="eastAsia"/>
                <w:color w:val="auto"/>
                <w:sz w:val="24"/>
                <w:highlight w:val="none"/>
                <w:lang w:val="en-US" w:eastAsia="zh-CN"/>
              </w:rPr>
              <w:t>项目发泡机设置在封闭的设备间内进行生产，同时对设备间门窗做封闭处理（如安装密封胶条），参考《环境工程技术手册-废气处理工程技术手册》工厂涂装室换气次数要求，换气次数以10次/h计算，封闭的设备间尺寸为15m*10m*5m，</w:t>
            </w:r>
            <w:r>
              <w:rPr>
                <w:rFonts w:hint="eastAsia" w:ascii="宋体" w:hAnsi="宋体" w:eastAsia="宋体" w:cs="宋体"/>
                <w:color w:val="auto"/>
                <w:sz w:val="24"/>
                <w:highlight w:val="none"/>
              </w:rPr>
              <w:t>风量计算公式如下：Q=L×W×H×</w:t>
            </w: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；经计算，</w:t>
            </w:r>
            <w:r>
              <w:rPr>
                <w:rFonts w:hint="eastAsia"/>
                <w:color w:val="auto"/>
                <w:sz w:val="24"/>
                <w:highlight w:val="none"/>
                <w:lang w:val="en-US" w:eastAsia="zh-CN"/>
              </w:rPr>
              <w:t>则风机风量为7500m³/h，</w:t>
            </w:r>
            <w:r>
              <w:rPr>
                <w:rFonts w:hint="eastAsia"/>
                <w:sz w:val="24"/>
              </w:rPr>
              <w:t>考虑风管损耗、漏风量等，因此风机总风量取</w:t>
            </w:r>
            <w:r>
              <w:rPr>
                <w:rFonts w:hint="eastAsia"/>
                <w:sz w:val="24"/>
                <w:lang w:val="en-US" w:eastAsia="zh-CN"/>
              </w:rPr>
              <w:t>10</w:t>
            </w:r>
            <w:r>
              <w:rPr>
                <w:rFonts w:hint="eastAsia"/>
                <w:sz w:val="24"/>
              </w:rPr>
              <w:t>000m</w:t>
            </w:r>
            <w:r>
              <w:rPr>
                <w:rFonts w:hint="eastAsia"/>
                <w:sz w:val="24"/>
                <w:vertAlign w:val="superscript"/>
              </w:rPr>
              <w:t>3</w:t>
            </w:r>
            <w:r>
              <w:rPr>
                <w:rFonts w:hint="eastAsia"/>
                <w:sz w:val="24"/>
              </w:rPr>
              <w:t>/h。</w:t>
            </w:r>
          </w:p>
          <w:p w14:paraId="27B01578">
            <w:pPr>
              <w:tabs>
                <w:tab w:val="left" w:pos="2520"/>
              </w:tabs>
              <w:adjustRightInd w:val="0"/>
              <w:spacing w:line="360" w:lineRule="auto"/>
              <w:ind w:firstLine="480" w:firstLineChars="200"/>
              <w:rPr>
                <w:rFonts w:hint="eastAsia"/>
                <w:sz w:val="24"/>
                <w:lang w:eastAsia="zh-CN"/>
              </w:rPr>
            </w:pPr>
            <w:r>
              <w:rPr>
                <w:rFonts w:hint="eastAsia"/>
                <w:color w:val="auto"/>
                <w:sz w:val="24"/>
                <w:szCs w:val="24"/>
                <w:highlight w:val="none"/>
                <w:lang w:val="en-US" w:eastAsia="zh-CN"/>
              </w:rPr>
              <w:t>整个过程进行密闭操作，密闭收集（收集效率为95%），收集后的废气经两级活性炭吸附处理（处理效率为90%），处理后的尾气经1根15m高排气筒（DA001）高空排放。</w:t>
            </w:r>
            <w:r>
              <w:rPr>
                <w:rFonts w:hint="eastAsia"/>
                <w:color w:val="auto"/>
                <w:sz w:val="24"/>
                <w:highlight w:val="none"/>
                <w:lang w:val="en-US" w:eastAsia="zh-CN"/>
              </w:rPr>
              <w:t>则有组织发泡废气非甲烷产生量为4.133t/a；</w:t>
            </w:r>
            <w:r>
              <w:rPr>
                <w:rFonts w:hint="eastAsia" w:ascii="Times New Roman" w:hAnsi="Times New Roman" w:eastAsia="宋体" w:cs="Times New Roman"/>
                <w:color w:val="auto"/>
                <w:sz w:val="24"/>
                <w:lang w:val="en-US" w:eastAsia="zh-CN"/>
              </w:rPr>
              <w:t>PAPI</w:t>
            </w:r>
            <w:r>
              <w:rPr>
                <w:rFonts w:hint="eastAsia" w:ascii="Times New Roman" w:hAnsi="Times New Roman" w:cs="Times New Roman"/>
                <w:color w:val="auto"/>
                <w:sz w:val="24"/>
                <w:lang w:val="en-US" w:eastAsia="zh-CN"/>
              </w:rPr>
              <w:t>产生</w:t>
            </w:r>
            <w:r>
              <w:rPr>
                <w:rFonts w:hint="eastAsia"/>
                <w:color w:val="auto"/>
                <w:sz w:val="24"/>
                <w:szCs w:val="24"/>
                <w:highlight w:val="none"/>
                <w:lang w:val="en-US" w:eastAsia="zh-CN"/>
              </w:rPr>
              <w:t>量为</w:t>
            </w:r>
            <w:r>
              <w:rPr>
                <w:rFonts w:hint="eastAsia"/>
                <w:color w:val="auto"/>
                <w:sz w:val="24"/>
                <w:highlight w:val="none"/>
                <w:lang w:val="en-US" w:eastAsia="zh-CN"/>
              </w:rPr>
              <w:t>0.022/a</w:t>
            </w:r>
            <w:r>
              <w:rPr>
                <w:rFonts w:hint="eastAsia"/>
                <w:sz w:val="24"/>
              </w:rPr>
              <w:t>，</w:t>
            </w:r>
            <w:r>
              <w:rPr>
                <w:rFonts w:hint="eastAsia"/>
                <w:sz w:val="24"/>
                <w:lang w:val="en-US" w:eastAsia="zh-CN"/>
              </w:rPr>
              <w:t>发泡</w:t>
            </w:r>
            <w:r>
              <w:rPr>
                <w:rFonts w:hint="eastAsia"/>
                <w:sz w:val="24"/>
              </w:rPr>
              <w:t>废气最终排放情况见下表</w:t>
            </w:r>
            <w:r>
              <w:rPr>
                <w:rFonts w:hint="eastAsia"/>
                <w:sz w:val="24"/>
                <w:lang w:eastAsia="zh-CN"/>
              </w:rPr>
              <w:t>。</w:t>
            </w:r>
          </w:p>
          <w:p w14:paraId="3CD44078">
            <w:pPr>
              <w:keepNext w:val="0"/>
              <w:keepLines w:val="0"/>
              <w:pageBreakBefore w:val="0"/>
              <w:widowControl w:val="0"/>
              <w:tabs>
                <w:tab w:val="left" w:pos="2520"/>
              </w:tabs>
              <w:kinsoku/>
              <w:wordWrap/>
              <w:overflowPunct/>
              <w:topLinePunct w:val="0"/>
              <w:autoSpaceDE/>
              <w:autoSpaceDN/>
              <w:bidi w:val="0"/>
              <w:adjustRightInd w:val="0"/>
              <w:snapToGrid/>
              <w:spacing w:line="360" w:lineRule="auto"/>
              <w:ind w:firstLine="0" w:firstLineChars="0"/>
              <w:jc w:val="center"/>
              <w:textAlignment w:val="auto"/>
              <w:rPr>
                <w:rFonts w:hint="eastAsia"/>
                <w:b/>
                <w:bCs/>
                <w:sz w:val="24"/>
              </w:rPr>
            </w:pPr>
            <w:r>
              <w:rPr>
                <w:rFonts w:hint="eastAsia"/>
                <w:b/>
                <w:bCs/>
                <w:sz w:val="24"/>
              </w:rPr>
              <w:t>表4-</w:t>
            </w:r>
            <w:r>
              <w:rPr>
                <w:rFonts w:hint="eastAsia"/>
                <w:b/>
                <w:bCs/>
                <w:sz w:val="24"/>
                <w:lang w:val="en-US" w:eastAsia="zh-CN"/>
              </w:rPr>
              <w:t>1发泡</w:t>
            </w:r>
            <w:r>
              <w:rPr>
                <w:rFonts w:hint="eastAsia" w:ascii="Times New Roman" w:hAnsi="Times New Roman" w:cs="Times New Roman"/>
                <w:b/>
                <w:bCs/>
                <w:sz w:val="24"/>
              </w:rPr>
              <w:t>废气排放</w:t>
            </w:r>
            <w:r>
              <w:rPr>
                <w:rFonts w:hint="eastAsia"/>
                <w:b/>
                <w:bCs/>
                <w:sz w:val="24"/>
              </w:rPr>
              <w:t>情况一览表</w:t>
            </w:r>
          </w:p>
          <w:tbl>
            <w:tblPr>
              <w:tblStyle w:val="30"/>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9"/>
              <w:gridCol w:w="658"/>
              <w:gridCol w:w="796"/>
              <w:gridCol w:w="727"/>
              <w:gridCol w:w="704"/>
              <w:gridCol w:w="1004"/>
              <w:gridCol w:w="1096"/>
              <w:gridCol w:w="1142"/>
              <w:gridCol w:w="998"/>
              <w:gridCol w:w="1032"/>
            </w:tblGrid>
            <w:tr w14:paraId="19F63A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95FD54C">
                  <w:pPr>
                    <w:widowControl/>
                    <w:jc w:val="center"/>
                    <w:rPr>
                      <w:szCs w:val="21"/>
                    </w:rPr>
                  </w:pPr>
                  <w:r>
                    <w:rPr>
                      <w:rFonts w:hint="eastAsia"/>
                      <w:szCs w:val="21"/>
                    </w:rPr>
                    <w:t>产污</w:t>
                  </w:r>
                </w:p>
                <w:p w14:paraId="76EA2D2C">
                  <w:pPr>
                    <w:widowControl/>
                    <w:jc w:val="center"/>
                    <w:rPr>
                      <w:szCs w:val="21"/>
                    </w:rPr>
                  </w:pPr>
                  <w:r>
                    <w:rPr>
                      <w:rFonts w:hint="eastAsia"/>
                      <w:szCs w:val="21"/>
                    </w:rPr>
                    <w:t>工序</w:t>
                  </w:r>
                </w:p>
              </w:tc>
              <w:tc>
                <w:tcPr>
                  <w:tcW w:w="658" w:type="dxa"/>
                  <w:vAlign w:val="center"/>
                </w:tcPr>
                <w:p w14:paraId="3FB10A3D">
                  <w:pPr>
                    <w:widowControl/>
                    <w:jc w:val="center"/>
                    <w:rPr>
                      <w:szCs w:val="21"/>
                    </w:rPr>
                  </w:pPr>
                  <w:r>
                    <w:rPr>
                      <w:rFonts w:hint="eastAsia"/>
                      <w:szCs w:val="21"/>
                    </w:rPr>
                    <w:t>污染物种类</w:t>
                  </w:r>
                </w:p>
              </w:tc>
              <w:tc>
                <w:tcPr>
                  <w:tcW w:w="796" w:type="dxa"/>
                  <w:vAlign w:val="center"/>
                </w:tcPr>
                <w:p w14:paraId="066EC687">
                  <w:pPr>
                    <w:autoSpaceDE w:val="0"/>
                    <w:autoSpaceDN w:val="0"/>
                    <w:adjustRightInd w:val="0"/>
                    <w:jc w:val="center"/>
                    <w:rPr>
                      <w:szCs w:val="21"/>
                    </w:rPr>
                  </w:pPr>
                  <w:r>
                    <w:rPr>
                      <w:rFonts w:hint="eastAsia"/>
                      <w:szCs w:val="21"/>
                    </w:rPr>
                    <w:t>有组织产生量（</w:t>
                  </w:r>
                  <w:r>
                    <w:rPr>
                      <w:szCs w:val="21"/>
                    </w:rPr>
                    <w:t>t/a</w:t>
                  </w:r>
                  <w:r>
                    <w:rPr>
                      <w:rFonts w:hint="eastAsia"/>
                      <w:szCs w:val="21"/>
                    </w:rPr>
                    <w:t>）</w:t>
                  </w:r>
                </w:p>
              </w:tc>
              <w:tc>
                <w:tcPr>
                  <w:tcW w:w="727" w:type="dxa"/>
                  <w:vAlign w:val="center"/>
                </w:tcPr>
                <w:p w14:paraId="45163916">
                  <w:pPr>
                    <w:widowControl/>
                    <w:jc w:val="center"/>
                    <w:rPr>
                      <w:szCs w:val="21"/>
                    </w:rPr>
                  </w:pPr>
                  <w:r>
                    <w:rPr>
                      <w:rFonts w:hint="eastAsia"/>
                      <w:szCs w:val="21"/>
                    </w:rPr>
                    <w:t>处理措施</w:t>
                  </w:r>
                </w:p>
              </w:tc>
              <w:tc>
                <w:tcPr>
                  <w:tcW w:w="704" w:type="dxa"/>
                  <w:vAlign w:val="center"/>
                </w:tcPr>
                <w:p w14:paraId="25FAC458">
                  <w:pPr>
                    <w:autoSpaceDE w:val="0"/>
                    <w:autoSpaceDN w:val="0"/>
                    <w:adjustRightInd w:val="0"/>
                    <w:jc w:val="center"/>
                    <w:rPr>
                      <w:szCs w:val="21"/>
                    </w:rPr>
                  </w:pPr>
                  <w:r>
                    <w:rPr>
                      <w:rFonts w:hint="eastAsia"/>
                      <w:szCs w:val="21"/>
                    </w:rPr>
                    <w:t>处理效率</w:t>
                  </w:r>
                </w:p>
              </w:tc>
              <w:tc>
                <w:tcPr>
                  <w:tcW w:w="1004" w:type="dxa"/>
                  <w:vAlign w:val="center"/>
                </w:tcPr>
                <w:p w14:paraId="031A0611">
                  <w:pPr>
                    <w:autoSpaceDE w:val="0"/>
                    <w:autoSpaceDN w:val="0"/>
                    <w:adjustRightInd w:val="0"/>
                    <w:jc w:val="center"/>
                    <w:rPr>
                      <w:szCs w:val="21"/>
                    </w:rPr>
                  </w:pPr>
                  <w:r>
                    <w:rPr>
                      <w:rFonts w:hint="eastAsia"/>
                      <w:szCs w:val="21"/>
                    </w:rPr>
                    <w:t>排放量（</w:t>
                  </w:r>
                  <w:r>
                    <w:rPr>
                      <w:szCs w:val="21"/>
                    </w:rPr>
                    <w:t>t/a</w:t>
                  </w:r>
                  <w:r>
                    <w:rPr>
                      <w:rFonts w:hint="eastAsia"/>
                      <w:szCs w:val="21"/>
                    </w:rPr>
                    <w:t>）</w:t>
                  </w:r>
                </w:p>
              </w:tc>
              <w:tc>
                <w:tcPr>
                  <w:tcW w:w="1096" w:type="dxa"/>
                  <w:vAlign w:val="center"/>
                </w:tcPr>
                <w:p w14:paraId="42F9131B">
                  <w:pPr>
                    <w:autoSpaceDE w:val="0"/>
                    <w:autoSpaceDN w:val="0"/>
                    <w:adjustRightInd w:val="0"/>
                    <w:jc w:val="center"/>
                    <w:rPr>
                      <w:szCs w:val="21"/>
                    </w:rPr>
                  </w:pPr>
                  <w:r>
                    <w:rPr>
                      <w:rFonts w:hint="eastAsia"/>
                      <w:szCs w:val="21"/>
                    </w:rPr>
                    <w:t>排放速率（</w:t>
                  </w:r>
                  <w:r>
                    <w:rPr>
                      <w:szCs w:val="21"/>
                    </w:rPr>
                    <w:t>kg/h</w:t>
                  </w:r>
                  <w:r>
                    <w:rPr>
                      <w:rFonts w:hint="eastAsia"/>
                      <w:szCs w:val="21"/>
                    </w:rPr>
                    <w:t>）</w:t>
                  </w:r>
                </w:p>
              </w:tc>
              <w:tc>
                <w:tcPr>
                  <w:tcW w:w="1142" w:type="dxa"/>
                  <w:vAlign w:val="center"/>
                </w:tcPr>
                <w:p w14:paraId="6E1EDB39">
                  <w:pPr>
                    <w:autoSpaceDE w:val="0"/>
                    <w:autoSpaceDN w:val="0"/>
                    <w:adjustRightInd w:val="0"/>
                    <w:jc w:val="center"/>
                    <w:rPr>
                      <w:szCs w:val="21"/>
                    </w:rPr>
                  </w:pPr>
                  <w:r>
                    <w:rPr>
                      <w:rFonts w:hint="eastAsia"/>
                      <w:szCs w:val="21"/>
                    </w:rPr>
                    <w:t>排放浓度（</w:t>
                  </w:r>
                  <w:r>
                    <w:rPr>
                      <w:szCs w:val="21"/>
                    </w:rPr>
                    <w:t>mg/m</w:t>
                  </w:r>
                  <w:r>
                    <w:rPr>
                      <w:szCs w:val="21"/>
                      <w:vertAlign w:val="superscript"/>
                    </w:rPr>
                    <w:t>3</w:t>
                  </w:r>
                  <w:r>
                    <w:rPr>
                      <w:rFonts w:hint="eastAsia"/>
                      <w:szCs w:val="21"/>
                    </w:rPr>
                    <w:t>）</w:t>
                  </w:r>
                </w:p>
              </w:tc>
              <w:tc>
                <w:tcPr>
                  <w:tcW w:w="998" w:type="dxa"/>
                  <w:vAlign w:val="center"/>
                </w:tcPr>
                <w:p w14:paraId="4B43E126">
                  <w:pPr>
                    <w:widowControl/>
                    <w:jc w:val="center"/>
                    <w:rPr>
                      <w:szCs w:val="21"/>
                    </w:rPr>
                  </w:pPr>
                  <w:r>
                    <w:rPr>
                      <w:rFonts w:hint="eastAsia"/>
                      <w:szCs w:val="21"/>
                    </w:rPr>
                    <w:t>标准值</w:t>
                  </w:r>
                </w:p>
              </w:tc>
              <w:tc>
                <w:tcPr>
                  <w:tcW w:w="1032" w:type="dxa"/>
                  <w:vAlign w:val="center"/>
                </w:tcPr>
                <w:p w14:paraId="50E93C7B">
                  <w:pPr>
                    <w:autoSpaceDE w:val="0"/>
                    <w:autoSpaceDN w:val="0"/>
                    <w:adjustRightInd w:val="0"/>
                    <w:jc w:val="center"/>
                    <w:rPr>
                      <w:szCs w:val="21"/>
                    </w:rPr>
                  </w:pPr>
                  <w:r>
                    <w:rPr>
                      <w:rFonts w:hint="eastAsia"/>
                      <w:szCs w:val="21"/>
                    </w:rPr>
                    <w:t>风机风量（m</w:t>
                  </w:r>
                  <w:r>
                    <w:rPr>
                      <w:rFonts w:hint="eastAsia"/>
                      <w:szCs w:val="21"/>
                      <w:vertAlign w:val="superscript"/>
                    </w:rPr>
                    <w:t>3</w:t>
                  </w:r>
                  <w:r>
                    <w:rPr>
                      <w:rFonts w:hint="eastAsia"/>
                      <w:szCs w:val="21"/>
                    </w:rPr>
                    <w:t>/h）</w:t>
                  </w:r>
                </w:p>
              </w:tc>
            </w:tr>
            <w:tr w14:paraId="5A2FDD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1" w:hRule="atLeast"/>
              </w:trPr>
              <w:tc>
                <w:tcPr>
                  <w:tcW w:w="659" w:type="dxa"/>
                  <w:vMerge w:val="restart"/>
                  <w:vAlign w:val="center"/>
                </w:tcPr>
                <w:p w14:paraId="121A4083">
                  <w:pPr>
                    <w:widowControl/>
                    <w:jc w:val="center"/>
                    <w:rPr>
                      <w:rFonts w:hint="default" w:eastAsia="宋体"/>
                      <w:szCs w:val="21"/>
                      <w:lang w:val="en-US" w:eastAsia="zh-CN"/>
                    </w:rPr>
                  </w:pPr>
                  <w:r>
                    <w:rPr>
                      <w:rFonts w:hint="eastAsia"/>
                      <w:szCs w:val="21"/>
                      <w:lang w:val="en-US" w:eastAsia="zh-CN"/>
                    </w:rPr>
                    <w:t>发泡</w:t>
                  </w:r>
                </w:p>
              </w:tc>
              <w:tc>
                <w:tcPr>
                  <w:tcW w:w="658" w:type="dxa"/>
                  <w:vAlign w:val="center"/>
                </w:tcPr>
                <w:p w14:paraId="0D30C5D1">
                  <w:pPr>
                    <w:widowControl/>
                    <w:jc w:val="center"/>
                    <w:rPr>
                      <w:rFonts w:hint="eastAsia" w:eastAsia="宋体"/>
                      <w:szCs w:val="21"/>
                      <w:lang w:eastAsia="zh-CN"/>
                    </w:rPr>
                  </w:pPr>
                  <w:r>
                    <w:rPr>
                      <w:rFonts w:hint="eastAsia"/>
                      <w:szCs w:val="21"/>
                      <w:lang w:val="en-US" w:eastAsia="zh-CN"/>
                    </w:rPr>
                    <w:t>非甲烷总烃</w:t>
                  </w:r>
                </w:p>
              </w:tc>
              <w:tc>
                <w:tcPr>
                  <w:tcW w:w="796" w:type="dxa"/>
                  <w:vAlign w:val="center"/>
                </w:tcPr>
                <w:p w14:paraId="2D77C12F">
                  <w:pPr>
                    <w:widowControl/>
                    <w:jc w:val="center"/>
                    <w:rPr>
                      <w:rFonts w:hint="default" w:eastAsia="宋体"/>
                      <w:szCs w:val="21"/>
                      <w:lang w:val="en-US" w:eastAsia="zh-CN"/>
                    </w:rPr>
                  </w:pPr>
                  <w:r>
                    <w:rPr>
                      <w:rFonts w:hint="eastAsia"/>
                      <w:szCs w:val="21"/>
                      <w:lang w:val="en-US" w:eastAsia="zh-CN"/>
                    </w:rPr>
                    <w:t>4.133</w:t>
                  </w:r>
                </w:p>
              </w:tc>
              <w:tc>
                <w:tcPr>
                  <w:tcW w:w="727" w:type="dxa"/>
                  <w:vMerge w:val="restart"/>
                  <w:vAlign w:val="center"/>
                </w:tcPr>
                <w:p w14:paraId="102FB114">
                  <w:pPr>
                    <w:widowControl/>
                    <w:jc w:val="center"/>
                    <w:rPr>
                      <w:szCs w:val="21"/>
                    </w:rPr>
                  </w:pPr>
                  <w:r>
                    <w:rPr>
                      <w:rFonts w:hint="eastAsia"/>
                      <w:szCs w:val="21"/>
                      <w:lang w:val="en-US" w:eastAsia="zh-CN"/>
                    </w:rPr>
                    <w:t>集气罩</w:t>
                  </w:r>
                  <w:r>
                    <w:rPr>
                      <w:rFonts w:hint="eastAsia"/>
                      <w:szCs w:val="21"/>
                    </w:rPr>
                    <w:t>+二级活性炭</w:t>
                  </w:r>
                </w:p>
              </w:tc>
              <w:tc>
                <w:tcPr>
                  <w:tcW w:w="704" w:type="dxa"/>
                  <w:vMerge w:val="restart"/>
                  <w:vAlign w:val="center"/>
                </w:tcPr>
                <w:p w14:paraId="651F0937">
                  <w:pPr>
                    <w:widowControl/>
                    <w:jc w:val="center"/>
                    <w:rPr>
                      <w:szCs w:val="21"/>
                    </w:rPr>
                  </w:pPr>
                  <w:r>
                    <w:rPr>
                      <w:rFonts w:hint="eastAsia"/>
                      <w:szCs w:val="21"/>
                    </w:rPr>
                    <w:t>9</w:t>
                  </w:r>
                  <w:r>
                    <w:rPr>
                      <w:rFonts w:hint="eastAsia"/>
                      <w:szCs w:val="21"/>
                      <w:lang w:val="en-US" w:eastAsia="zh-CN"/>
                    </w:rPr>
                    <w:t>0</w:t>
                  </w:r>
                  <w:r>
                    <w:rPr>
                      <w:rFonts w:hint="eastAsia"/>
                      <w:szCs w:val="21"/>
                    </w:rPr>
                    <w:t>%</w:t>
                  </w:r>
                </w:p>
              </w:tc>
              <w:tc>
                <w:tcPr>
                  <w:tcW w:w="1004" w:type="dxa"/>
                  <w:vAlign w:val="center"/>
                </w:tcPr>
                <w:p w14:paraId="4205928C">
                  <w:pPr>
                    <w:widowControl/>
                    <w:jc w:val="center"/>
                    <w:rPr>
                      <w:rFonts w:hint="default"/>
                      <w:szCs w:val="21"/>
                      <w:lang w:val="en-US" w:eastAsia="zh-CN"/>
                    </w:rPr>
                  </w:pPr>
                  <w:r>
                    <w:rPr>
                      <w:rFonts w:hint="eastAsia"/>
                      <w:szCs w:val="21"/>
                      <w:lang w:val="en-US" w:eastAsia="zh-CN"/>
                    </w:rPr>
                    <w:t>0.413</w:t>
                  </w:r>
                </w:p>
              </w:tc>
              <w:tc>
                <w:tcPr>
                  <w:tcW w:w="1096" w:type="dxa"/>
                  <w:vAlign w:val="center"/>
                </w:tcPr>
                <w:p w14:paraId="3F74C2C2">
                  <w:pPr>
                    <w:widowControl/>
                    <w:jc w:val="center"/>
                    <w:rPr>
                      <w:rFonts w:hint="default"/>
                      <w:szCs w:val="21"/>
                      <w:lang w:val="en-US" w:eastAsia="zh-CN"/>
                    </w:rPr>
                  </w:pPr>
                  <w:r>
                    <w:rPr>
                      <w:rFonts w:hint="eastAsia"/>
                      <w:szCs w:val="21"/>
                      <w:lang w:val="en-US" w:eastAsia="zh-CN"/>
                    </w:rPr>
                    <w:t>0.086</w:t>
                  </w:r>
                </w:p>
              </w:tc>
              <w:tc>
                <w:tcPr>
                  <w:tcW w:w="1142" w:type="dxa"/>
                  <w:shd w:val="clear" w:color="auto" w:fill="auto"/>
                  <w:vAlign w:val="center"/>
                </w:tcPr>
                <w:p w14:paraId="048D7E18">
                  <w:pPr>
                    <w:widowControl/>
                    <w:jc w:val="center"/>
                    <w:rPr>
                      <w:rFonts w:hint="eastAsia"/>
                      <w:szCs w:val="21"/>
                      <w:lang w:val="en-US" w:eastAsia="zh-CN"/>
                    </w:rPr>
                  </w:pPr>
                  <w:r>
                    <w:rPr>
                      <w:rFonts w:hint="eastAsia"/>
                      <w:szCs w:val="21"/>
                      <w:lang w:val="en-US" w:eastAsia="zh-CN"/>
                    </w:rPr>
                    <w:t>8.609</w:t>
                  </w:r>
                </w:p>
              </w:tc>
              <w:tc>
                <w:tcPr>
                  <w:tcW w:w="998" w:type="dxa"/>
                  <w:vAlign w:val="center"/>
                </w:tcPr>
                <w:p w14:paraId="447A7A54">
                  <w:pPr>
                    <w:widowControl/>
                    <w:jc w:val="center"/>
                    <w:rPr>
                      <w:szCs w:val="21"/>
                    </w:rPr>
                  </w:pPr>
                  <w:r>
                    <w:rPr>
                      <w:rFonts w:hint="eastAsia"/>
                      <w:szCs w:val="21"/>
                      <w:lang w:val="en-US" w:eastAsia="zh-CN"/>
                    </w:rPr>
                    <w:t>4</w:t>
                  </w:r>
                  <w:r>
                    <w:rPr>
                      <w:szCs w:val="21"/>
                    </w:rPr>
                    <w:t>0mg/m</w:t>
                  </w:r>
                  <w:r>
                    <w:rPr>
                      <w:szCs w:val="21"/>
                      <w:vertAlign w:val="superscript"/>
                    </w:rPr>
                    <w:t>3</w:t>
                  </w:r>
                  <w:r>
                    <w:rPr>
                      <w:rFonts w:hint="eastAsia"/>
                      <w:szCs w:val="21"/>
                    </w:rPr>
                    <w:t>，</w:t>
                  </w:r>
                  <w:r>
                    <w:rPr>
                      <w:rFonts w:hint="eastAsia"/>
                      <w:szCs w:val="21"/>
                      <w:lang w:val="en-US" w:eastAsia="zh-CN"/>
                    </w:rPr>
                    <w:t>1.6</w:t>
                  </w:r>
                  <w:r>
                    <w:rPr>
                      <w:szCs w:val="21"/>
                    </w:rPr>
                    <w:t>kg/h</w:t>
                  </w:r>
                </w:p>
              </w:tc>
              <w:tc>
                <w:tcPr>
                  <w:tcW w:w="1032" w:type="dxa"/>
                  <w:vMerge w:val="restart"/>
                  <w:vAlign w:val="center"/>
                </w:tcPr>
                <w:p w14:paraId="28D5C5FB">
                  <w:pPr>
                    <w:widowControl/>
                    <w:jc w:val="center"/>
                    <w:rPr>
                      <w:szCs w:val="21"/>
                    </w:rPr>
                  </w:pPr>
                  <w:r>
                    <w:rPr>
                      <w:rFonts w:hint="eastAsia"/>
                      <w:szCs w:val="21"/>
                      <w:lang w:val="en-US" w:eastAsia="zh-CN"/>
                    </w:rPr>
                    <w:t>10</w:t>
                  </w:r>
                  <w:r>
                    <w:rPr>
                      <w:rFonts w:hint="eastAsia"/>
                      <w:szCs w:val="21"/>
                    </w:rPr>
                    <w:t>000</w:t>
                  </w:r>
                </w:p>
              </w:tc>
            </w:tr>
            <w:tr w14:paraId="430332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9" w:type="dxa"/>
                  <w:vMerge w:val="continue"/>
                  <w:vAlign w:val="center"/>
                </w:tcPr>
                <w:p w14:paraId="22857DC7">
                  <w:pPr>
                    <w:widowControl/>
                    <w:jc w:val="center"/>
                    <w:rPr>
                      <w:rFonts w:hint="eastAsia"/>
                      <w:szCs w:val="21"/>
                      <w:lang w:val="en-US" w:eastAsia="zh-CN"/>
                    </w:rPr>
                  </w:pPr>
                </w:p>
              </w:tc>
              <w:tc>
                <w:tcPr>
                  <w:tcW w:w="658" w:type="dxa"/>
                  <w:vAlign w:val="center"/>
                </w:tcPr>
                <w:p w14:paraId="3861BFCE">
                  <w:pPr>
                    <w:widowControl/>
                    <w:jc w:val="center"/>
                    <w:rPr>
                      <w:rFonts w:hint="eastAsia"/>
                      <w:szCs w:val="21"/>
                      <w:lang w:val="en-US" w:eastAsia="zh-CN"/>
                    </w:rPr>
                  </w:pPr>
                  <w:r>
                    <w:rPr>
                      <w:rFonts w:hint="eastAsia" w:ascii="Times New Roman" w:hAnsi="Times New Roman" w:eastAsia="宋体" w:cs="Times New Roman"/>
                      <w:color w:val="auto"/>
                      <w:sz w:val="21"/>
                      <w:szCs w:val="21"/>
                      <w:lang w:val="en-US" w:eastAsia="zh-CN"/>
                    </w:rPr>
                    <w:t>PAPI</w:t>
                  </w:r>
                </w:p>
              </w:tc>
              <w:tc>
                <w:tcPr>
                  <w:tcW w:w="796" w:type="dxa"/>
                  <w:vAlign w:val="center"/>
                </w:tcPr>
                <w:p w14:paraId="212B8F74">
                  <w:pPr>
                    <w:widowControl/>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0.022</w:t>
                  </w:r>
                </w:p>
              </w:tc>
              <w:tc>
                <w:tcPr>
                  <w:tcW w:w="727" w:type="dxa"/>
                  <w:vMerge w:val="continue"/>
                  <w:vAlign w:val="center"/>
                </w:tcPr>
                <w:p w14:paraId="0F91D3F9">
                  <w:pPr>
                    <w:widowControl/>
                    <w:jc w:val="center"/>
                    <w:rPr>
                      <w:rFonts w:hint="eastAsia"/>
                      <w:szCs w:val="21"/>
                      <w:lang w:val="en-US" w:eastAsia="zh-CN"/>
                    </w:rPr>
                  </w:pPr>
                </w:p>
              </w:tc>
              <w:tc>
                <w:tcPr>
                  <w:tcW w:w="704" w:type="dxa"/>
                  <w:vMerge w:val="continue"/>
                  <w:vAlign w:val="center"/>
                </w:tcPr>
                <w:p w14:paraId="61DADC5E">
                  <w:pPr>
                    <w:widowControl/>
                    <w:jc w:val="center"/>
                    <w:rPr>
                      <w:rFonts w:hint="eastAsia"/>
                      <w:szCs w:val="21"/>
                    </w:rPr>
                  </w:pPr>
                </w:p>
              </w:tc>
              <w:tc>
                <w:tcPr>
                  <w:tcW w:w="1004" w:type="dxa"/>
                  <w:vAlign w:val="center"/>
                </w:tcPr>
                <w:p w14:paraId="0A9CBF61">
                  <w:pPr>
                    <w:widowControl/>
                    <w:jc w:val="center"/>
                    <w:rPr>
                      <w:rFonts w:hint="eastAsia"/>
                      <w:szCs w:val="21"/>
                      <w:lang w:val="en-US" w:eastAsia="zh-CN"/>
                    </w:rPr>
                  </w:pPr>
                  <w:r>
                    <w:rPr>
                      <w:rFonts w:hint="eastAsia"/>
                      <w:szCs w:val="21"/>
                      <w:lang w:val="en-US" w:eastAsia="zh-CN"/>
                    </w:rPr>
                    <w:t>0.002</w:t>
                  </w:r>
                </w:p>
              </w:tc>
              <w:tc>
                <w:tcPr>
                  <w:tcW w:w="1096" w:type="dxa"/>
                  <w:vAlign w:val="center"/>
                </w:tcPr>
                <w:p w14:paraId="6B1B662E">
                  <w:pPr>
                    <w:widowControl/>
                    <w:jc w:val="center"/>
                    <w:rPr>
                      <w:rFonts w:hint="eastAsia"/>
                      <w:szCs w:val="21"/>
                      <w:lang w:val="en-US" w:eastAsia="zh-CN"/>
                    </w:rPr>
                  </w:pPr>
                  <w:r>
                    <w:rPr>
                      <w:rFonts w:hint="eastAsia"/>
                      <w:szCs w:val="21"/>
                      <w:lang w:val="en-US" w:eastAsia="zh-CN"/>
                    </w:rPr>
                    <w:t>0.000</w:t>
                  </w:r>
                </w:p>
              </w:tc>
              <w:tc>
                <w:tcPr>
                  <w:tcW w:w="1142" w:type="dxa"/>
                  <w:shd w:val="clear" w:color="auto" w:fill="auto"/>
                  <w:vAlign w:val="center"/>
                </w:tcPr>
                <w:p w14:paraId="7BB6F3B0">
                  <w:pPr>
                    <w:widowControl/>
                    <w:jc w:val="center"/>
                    <w:rPr>
                      <w:rFonts w:hint="eastAsia"/>
                      <w:szCs w:val="21"/>
                      <w:lang w:val="en-US" w:eastAsia="zh-CN"/>
                    </w:rPr>
                  </w:pPr>
                  <w:r>
                    <w:rPr>
                      <w:rFonts w:hint="eastAsia"/>
                      <w:szCs w:val="21"/>
                      <w:lang w:val="en-US" w:eastAsia="zh-CN"/>
                    </w:rPr>
                    <w:t>0.046</w:t>
                  </w:r>
                </w:p>
              </w:tc>
              <w:tc>
                <w:tcPr>
                  <w:tcW w:w="998" w:type="dxa"/>
                  <w:vAlign w:val="center"/>
                </w:tcPr>
                <w:p w14:paraId="78DEC856">
                  <w:pPr>
                    <w:widowControl/>
                    <w:jc w:val="center"/>
                    <w:rPr>
                      <w:rFonts w:hint="eastAsia"/>
                      <w:szCs w:val="21"/>
                      <w:lang w:val="en-US" w:eastAsia="zh-CN"/>
                    </w:rPr>
                  </w:pPr>
                  <w:r>
                    <w:rPr>
                      <w:rFonts w:hint="eastAsia" w:ascii="Times New Roman" w:hAnsi="Times New Roman" w:cs="Times New Roman"/>
                      <w:szCs w:val="21"/>
                      <w:lang w:val="en-US" w:eastAsia="zh-CN"/>
                    </w:rPr>
                    <w:t>1</w:t>
                  </w:r>
                  <w:r>
                    <w:rPr>
                      <w:szCs w:val="21"/>
                    </w:rPr>
                    <w:t>mg/m</w:t>
                  </w:r>
                  <w:r>
                    <w:rPr>
                      <w:szCs w:val="21"/>
                      <w:vertAlign w:val="superscript"/>
                    </w:rPr>
                    <w:t>3</w:t>
                  </w:r>
                </w:p>
              </w:tc>
              <w:tc>
                <w:tcPr>
                  <w:tcW w:w="1032" w:type="dxa"/>
                  <w:vMerge w:val="continue"/>
                  <w:vAlign w:val="center"/>
                </w:tcPr>
                <w:p w14:paraId="5CDCCA66">
                  <w:pPr>
                    <w:widowControl/>
                    <w:jc w:val="center"/>
                    <w:rPr>
                      <w:rFonts w:hint="eastAsia"/>
                      <w:szCs w:val="21"/>
                      <w:lang w:val="en-US" w:eastAsia="zh-CN"/>
                    </w:rPr>
                  </w:pPr>
                </w:p>
              </w:tc>
            </w:tr>
          </w:tbl>
          <w:p w14:paraId="7B1B5FA8">
            <w:pPr>
              <w:keepNext w:val="0"/>
              <w:keepLines w:val="0"/>
              <w:pageBreakBefore w:val="0"/>
              <w:widowControl w:val="0"/>
              <w:tabs>
                <w:tab w:val="left" w:pos="2520"/>
              </w:tabs>
              <w:kinsoku/>
              <w:wordWrap/>
              <w:overflowPunct/>
              <w:topLinePunct w:val="0"/>
              <w:autoSpaceDE/>
              <w:autoSpaceDN/>
              <w:bidi w:val="0"/>
              <w:adjustRightInd w:val="0"/>
              <w:snapToGrid/>
              <w:spacing w:line="360" w:lineRule="auto"/>
              <w:ind w:firstLine="0" w:firstLineChars="0"/>
              <w:jc w:val="center"/>
              <w:textAlignment w:val="auto"/>
              <w:rPr>
                <w:rFonts w:hint="eastAsia"/>
                <w:b/>
                <w:bCs/>
                <w:sz w:val="24"/>
                <w:lang w:eastAsia="zh-CN"/>
              </w:rPr>
            </w:pPr>
          </w:p>
          <w:p w14:paraId="1F680048">
            <w:pPr>
              <w:numPr>
                <w:ilvl w:val="0"/>
                <w:numId w:val="8"/>
              </w:numPr>
              <w:tabs>
                <w:tab w:val="left" w:pos="2520"/>
              </w:tabs>
              <w:adjustRightInd w:val="0"/>
              <w:spacing w:line="360" w:lineRule="auto"/>
              <w:ind w:firstLine="480" w:firstLineChars="200"/>
              <w:rPr>
                <w:kern w:val="0"/>
                <w:sz w:val="24"/>
              </w:rPr>
            </w:pPr>
            <w:r>
              <w:rPr>
                <w:rFonts w:hint="eastAsia"/>
                <w:kern w:val="0"/>
                <w:sz w:val="24"/>
                <w:lang w:val="en-US" w:eastAsia="zh-CN"/>
              </w:rPr>
              <w:t>脱模废气G2</w:t>
            </w:r>
          </w:p>
          <w:p w14:paraId="703EC44B">
            <w:pPr>
              <w:spacing w:line="360" w:lineRule="auto"/>
              <w:ind w:firstLine="480" w:firstLineChars="200"/>
              <w:rPr>
                <w:rFonts w:hint="eastAsia"/>
                <w:sz w:val="24"/>
              </w:rPr>
            </w:pPr>
            <w:r>
              <w:rPr>
                <w:rFonts w:hint="eastAsia"/>
                <w:sz w:val="24"/>
              </w:rPr>
              <w:t>本项目采用水性脱模剂，脱模剂主要成分为水（</w:t>
            </w:r>
            <w:r>
              <w:rPr>
                <w:rFonts w:hint="eastAsia"/>
                <w:sz w:val="24"/>
                <w:lang w:val="en-US" w:eastAsia="zh-CN"/>
              </w:rPr>
              <w:t>80</w:t>
            </w:r>
            <w:r>
              <w:rPr>
                <w:rFonts w:hint="eastAsia"/>
                <w:sz w:val="24"/>
              </w:rPr>
              <w:t>%~9</w:t>
            </w:r>
            <w:r>
              <w:rPr>
                <w:rFonts w:hint="eastAsia"/>
                <w:sz w:val="24"/>
                <w:lang w:val="en-US" w:eastAsia="zh-CN"/>
              </w:rPr>
              <w:t>0</w:t>
            </w:r>
            <w:r>
              <w:rPr>
                <w:rFonts w:hint="eastAsia"/>
                <w:sz w:val="24"/>
              </w:rPr>
              <w:t>%)、</w:t>
            </w:r>
            <w:r>
              <w:rPr>
                <w:rFonts w:hint="eastAsia" w:ascii="宋体" w:hAnsi="宋体" w:eastAsia="宋体"/>
                <w:sz w:val="24"/>
                <w:szCs w:val="24"/>
              </w:rPr>
              <w:t>石蜡和硅氧烷</w:t>
            </w:r>
            <w:r>
              <w:rPr>
                <w:rFonts w:hint="eastAsia"/>
                <w:sz w:val="24"/>
              </w:rPr>
              <w:t>（</w:t>
            </w:r>
            <w:r>
              <w:rPr>
                <w:rFonts w:hint="eastAsia"/>
                <w:sz w:val="24"/>
                <w:lang w:val="en-US" w:eastAsia="zh-CN"/>
              </w:rPr>
              <w:t>5</w:t>
            </w:r>
            <w:r>
              <w:rPr>
                <w:rFonts w:hint="eastAsia"/>
                <w:sz w:val="24"/>
              </w:rPr>
              <w:t>%~</w:t>
            </w:r>
            <w:r>
              <w:rPr>
                <w:rFonts w:hint="eastAsia"/>
                <w:sz w:val="24"/>
                <w:lang w:val="en-US" w:eastAsia="zh-CN"/>
              </w:rPr>
              <w:t>15</w:t>
            </w:r>
            <w:r>
              <w:rPr>
                <w:rFonts w:hint="eastAsia"/>
                <w:sz w:val="24"/>
              </w:rPr>
              <w:t>%）</w:t>
            </w:r>
            <w:r>
              <w:rPr>
                <w:rFonts w:hint="eastAsia"/>
                <w:sz w:val="24"/>
                <w:lang w:eastAsia="zh-CN"/>
              </w:rPr>
              <w:t>、</w:t>
            </w:r>
            <w:r>
              <w:rPr>
                <w:rFonts w:hint="eastAsia" w:ascii="宋体" w:hAnsi="宋体" w:eastAsia="宋体"/>
                <w:sz w:val="24"/>
                <w:szCs w:val="24"/>
              </w:rPr>
              <w:t>石油精</w:t>
            </w:r>
            <w:r>
              <w:rPr>
                <w:rFonts w:hint="eastAsia" w:ascii="宋体" w:hAnsi="宋体" w:eastAsia="宋体"/>
                <w:sz w:val="24"/>
                <w:szCs w:val="24"/>
                <w:lang w:eastAsia="zh-CN"/>
              </w:rPr>
              <w:t>（</w:t>
            </w:r>
            <w:r>
              <w:rPr>
                <w:rFonts w:hint="eastAsia" w:ascii="宋体" w:hAnsi="宋体" w:eastAsia="宋体"/>
                <w:sz w:val="24"/>
                <w:szCs w:val="24"/>
                <w:lang w:val="en-US" w:eastAsia="zh-CN"/>
              </w:rPr>
              <w:t>1%</w:t>
            </w:r>
            <w:r>
              <w:rPr>
                <w:rFonts w:hint="eastAsia"/>
                <w:sz w:val="24"/>
              </w:rPr>
              <w:t>~</w:t>
            </w:r>
            <w:r>
              <w:rPr>
                <w:rFonts w:hint="eastAsia" w:ascii="宋体" w:hAnsi="宋体" w:eastAsia="宋体"/>
                <w:sz w:val="24"/>
                <w:szCs w:val="24"/>
                <w:lang w:val="en-US" w:eastAsia="zh-CN"/>
              </w:rPr>
              <w:t>5%</w:t>
            </w:r>
            <w:r>
              <w:rPr>
                <w:rFonts w:hint="eastAsia" w:ascii="宋体" w:hAnsi="宋体" w:eastAsia="宋体"/>
                <w:sz w:val="24"/>
                <w:szCs w:val="24"/>
                <w:lang w:eastAsia="zh-CN"/>
              </w:rPr>
              <w:t>），</w:t>
            </w:r>
            <w:r>
              <w:rPr>
                <w:rFonts w:hint="eastAsia"/>
                <w:sz w:val="24"/>
              </w:rPr>
              <w:t>脱模剂年使用量为</w:t>
            </w:r>
            <w:r>
              <w:rPr>
                <w:rFonts w:hint="eastAsia"/>
                <w:sz w:val="24"/>
                <w:lang w:val="en-US" w:eastAsia="zh-CN"/>
              </w:rPr>
              <w:t>4.85</w:t>
            </w:r>
            <w:r>
              <w:rPr>
                <w:rFonts w:hint="eastAsia"/>
                <w:sz w:val="24"/>
              </w:rPr>
              <w:t>t，本环评以</w:t>
            </w:r>
            <w:r>
              <w:rPr>
                <w:rFonts w:hint="eastAsia" w:ascii="宋体" w:hAnsi="宋体" w:eastAsia="宋体"/>
                <w:sz w:val="24"/>
                <w:szCs w:val="24"/>
              </w:rPr>
              <w:t>石蜡</w:t>
            </w:r>
            <w:r>
              <w:rPr>
                <w:rFonts w:hint="eastAsia" w:ascii="宋体" w:hAnsi="宋体"/>
                <w:sz w:val="24"/>
                <w:szCs w:val="24"/>
                <w:lang w:eastAsia="zh-CN"/>
              </w:rPr>
              <w:t>、</w:t>
            </w:r>
            <w:r>
              <w:rPr>
                <w:rFonts w:hint="eastAsia" w:ascii="宋体" w:hAnsi="宋体" w:eastAsia="宋体"/>
                <w:sz w:val="24"/>
                <w:szCs w:val="24"/>
              </w:rPr>
              <w:t>硅氧烷和石油精</w:t>
            </w:r>
            <w:r>
              <w:rPr>
                <w:rFonts w:hint="eastAsia"/>
                <w:sz w:val="24"/>
              </w:rPr>
              <w:t>最大量</w:t>
            </w:r>
            <w:r>
              <w:rPr>
                <w:rFonts w:hint="eastAsia"/>
                <w:sz w:val="24"/>
                <w:lang w:eastAsia="zh-CN"/>
              </w:rPr>
              <w:t>（</w:t>
            </w:r>
            <w:r>
              <w:rPr>
                <w:rFonts w:hint="eastAsia"/>
                <w:sz w:val="24"/>
                <w:lang w:val="en-US" w:eastAsia="zh-CN"/>
              </w:rPr>
              <w:t>20%</w:t>
            </w:r>
            <w:r>
              <w:rPr>
                <w:rFonts w:hint="eastAsia"/>
                <w:sz w:val="24"/>
                <w:lang w:eastAsia="zh-CN"/>
              </w:rPr>
              <w:t>）</w:t>
            </w:r>
            <w:r>
              <w:rPr>
                <w:rFonts w:hint="eastAsia"/>
                <w:sz w:val="24"/>
              </w:rPr>
              <w:t>全部挥发计，则脱模废气产生量为0.</w:t>
            </w:r>
            <w:r>
              <w:rPr>
                <w:rFonts w:hint="eastAsia"/>
                <w:sz w:val="24"/>
                <w:lang w:val="en-US" w:eastAsia="zh-CN"/>
              </w:rPr>
              <w:t>97</w:t>
            </w:r>
            <w:r>
              <w:rPr>
                <w:rFonts w:hint="eastAsia"/>
                <w:sz w:val="24"/>
              </w:rPr>
              <w:t>t/a，以非甲烷总烃计。</w:t>
            </w:r>
          </w:p>
          <w:p w14:paraId="4C23786A">
            <w:pPr>
              <w:spacing w:line="360" w:lineRule="auto"/>
              <w:ind w:firstLine="480" w:firstLineChars="200"/>
              <w:rPr>
                <w:rFonts w:hint="eastAsia"/>
                <w:sz w:val="24"/>
                <w:highlight w:val="yellow"/>
              </w:rPr>
            </w:pPr>
            <w:r>
              <w:rPr>
                <w:rFonts w:hint="eastAsia" w:ascii="宋体" w:hAnsi="宋体" w:cs="宋体"/>
                <w:bCs/>
                <w:sz w:val="24"/>
              </w:rPr>
              <w:t>废气收集效率取90%，二级活性炭处理效率取</w:t>
            </w:r>
            <w:r>
              <w:rPr>
                <w:rFonts w:hint="eastAsia" w:ascii="宋体" w:hAnsi="宋体" w:cs="宋体"/>
                <w:bCs/>
                <w:sz w:val="24"/>
                <w:lang w:val="en-US" w:eastAsia="zh-CN"/>
              </w:rPr>
              <w:t>90</w:t>
            </w:r>
            <w:r>
              <w:rPr>
                <w:rFonts w:hint="eastAsia" w:ascii="宋体" w:hAnsi="宋体" w:cs="宋体"/>
                <w:bCs/>
                <w:sz w:val="24"/>
              </w:rPr>
              <w:t>%。喷脱模剂废气经集气罩</w:t>
            </w:r>
            <w:r>
              <w:rPr>
                <w:rFonts w:hint="eastAsia" w:ascii="宋体" w:hAnsi="宋体" w:cs="宋体"/>
                <w:sz w:val="24"/>
              </w:rPr>
              <w:t>收集后+过滤棉+</w:t>
            </w:r>
            <w:r>
              <w:rPr>
                <w:rFonts w:hint="eastAsia" w:ascii="宋体" w:hAnsi="宋体" w:cs="宋体"/>
                <w:bCs/>
                <w:sz w:val="24"/>
              </w:rPr>
              <w:t>二级活性炭</w:t>
            </w:r>
            <w:r>
              <w:rPr>
                <w:rFonts w:hint="eastAsia" w:ascii="宋体" w:hAnsi="宋体" w:cs="宋体"/>
                <w:sz w:val="24"/>
              </w:rPr>
              <w:t>处理，最终经15m高排气筒（DA001）排放</w:t>
            </w:r>
            <w:r>
              <w:rPr>
                <w:rFonts w:hint="eastAsia" w:ascii="宋体" w:hAnsi="宋体" w:cs="宋体"/>
                <w:sz w:val="24"/>
                <w:lang w:eastAsia="zh-CN"/>
              </w:rPr>
              <w:t>，</w:t>
            </w:r>
            <w:r>
              <w:rPr>
                <w:rFonts w:hint="eastAsia"/>
                <w:sz w:val="24"/>
              </w:rPr>
              <w:t>有组织非甲烷总烃产生量为0.191t/a，则有组织排放量非甲烷总烃量为</w:t>
            </w:r>
            <w:r>
              <w:rPr>
                <w:rFonts w:hint="eastAsia"/>
                <w:sz w:val="24"/>
                <w:lang w:val="en-US" w:eastAsia="zh-CN"/>
              </w:rPr>
              <w:t>0.087</w:t>
            </w:r>
            <w:r>
              <w:rPr>
                <w:rFonts w:hint="eastAsia"/>
                <w:sz w:val="24"/>
              </w:rPr>
              <w:t>t/a，排放速率为0.0</w:t>
            </w:r>
            <w:r>
              <w:rPr>
                <w:rFonts w:hint="eastAsia"/>
                <w:sz w:val="24"/>
                <w:lang w:val="en-US" w:eastAsia="zh-CN"/>
              </w:rPr>
              <w:t xml:space="preserve">18 </w:t>
            </w:r>
            <w:r>
              <w:rPr>
                <w:rFonts w:hint="eastAsia"/>
                <w:sz w:val="24"/>
              </w:rPr>
              <w:t>kg/h。</w:t>
            </w:r>
          </w:p>
          <w:p w14:paraId="446AD91A">
            <w:pPr>
              <w:snapToGrid w:val="0"/>
              <w:spacing w:line="360" w:lineRule="auto"/>
              <w:ind w:firstLine="480" w:firstLineChars="200"/>
              <w:rPr>
                <w:sz w:val="24"/>
              </w:rPr>
            </w:pPr>
            <w:r>
              <w:rPr>
                <w:rFonts w:hint="eastAsia"/>
                <w:sz w:val="24"/>
              </w:rPr>
              <w:t>根据《大气污染控制工程》中集气罩收集风量计算公式</w:t>
            </w:r>
          </w:p>
          <w:p w14:paraId="7281549D">
            <w:pPr>
              <w:snapToGrid w:val="0"/>
              <w:spacing w:line="360" w:lineRule="auto"/>
              <w:ind w:firstLine="480" w:firstLineChars="200"/>
              <w:rPr>
                <w:bCs/>
                <w:kern w:val="0"/>
                <w:sz w:val="24"/>
                <w:lang w:bidi="en-US"/>
              </w:rPr>
            </w:pPr>
            <w:r>
              <w:rPr>
                <w:bCs/>
                <w:kern w:val="0"/>
                <w:sz w:val="24"/>
                <w:lang w:bidi="en-US"/>
              </w:rPr>
              <w:t>Q=KPHv</w:t>
            </w:r>
          </w:p>
          <w:p w14:paraId="21987E47">
            <w:pPr>
              <w:snapToGrid w:val="0"/>
              <w:spacing w:line="360" w:lineRule="auto"/>
              <w:ind w:firstLine="480" w:firstLineChars="200"/>
              <w:rPr>
                <w:bCs/>
                <w:kern w:val="0"/>
                <w:sz w:val="24"/>
                <w:lang w:bidi="en-US"/>
              </w:rPr>
            </w:pPr>
            <w:r>
              <w:rPr>
                <w:bCs/>
                <w:kern w:val="0"/>
                <w:sz w:val="24"/>
                <w:lang w:bidi="en-US"/>
              </w:rPr>
              <w:t>Q——风量，m</w:t>
            </w:r>
            <w:r>
              <w:rPr>
                <w:bCs/>
                <w:kern w:val="0"/>
                <w:sz w:val="24"/>
                <w:vertAlign w:val="superscript"/>
                <w:lang w:bidi="en-US"/>
              </w:rPr>
              <w:t>3</w:t>
            </w:r>
            <w:r>
              <w:rPr>
                <w:bCs/>
                <w:kern w:val="0"/>
                <w:sz w:val="24"/>
                <w:lang w:bidi="en-US"/>
              </w:rPr>
              <w:t>/s；</w:t>
            </w:r>
          </w:p>
          <w:p w14:paraId="6AD57686">
            <w:pPr>
              <w:snapToGrid w:val="0"/>
              <w:spacing w:line="360" w:lineRule="auto"/>
              <w:ind w:firstLine="480" w:firstLineChars="200"/>
              <w:rPr>
                <w:bCs/>
                <w:kern w:val="0"/>
                <w:sz w:val="24"/>
                <w:lang w:bidi="en-US"/>
              </w:rPr>
            </w:pPr>
            <w:r>
              <w:rPr>
                <w:bCs/>
                <w:kern w:val="0"/>
                <w:sz w:val="24"/>
                <w:lang w:bidi="en-US"/>
              </w:rPr>
              <w:t>K——考虑沿高度速度分布不均匀的安全系数，通常取1.4</w:t>
            </w:r>
            <w:r>
              <w:rPr>
                <w:rFonts w:hint="eastAsia"/>
                <w:bCs/>
                <w:kern w:val="0"/>
                <w:sz w:val="24"/>
                <w:lang w:bidi="en-US"/>
              </w:rPr>
              <w:t>；</w:t>
            </w:r>
          </w:p>
          <w:p w14:paraId="17AC33A1">
            <w:pPr>
              <w:snapToGrid w:val="0"/>
              <w:spacing w:line="360" w:lineRule="auto"/>
              <w:ind w:firstLine="480" w:firstLineChars="200"/>
              <w:rPr>
                <w:bCs/>
                <w:kern w:val="0"/>
                <w:sz w:val="24"/>
                <w:lang w:bidi="en-US"/>
              </w:rPr>
            </w:pPr>
            <w:r>
              <w:rPr>
                <w:bCs/>
                <w:kern w:val="0"/>
                <w:sz w:val="24"/>
                <w:lang w:bidi="en-US"/>
              </w:rPr>
              <w:t>P——集气罩敞开面周长，m</w:t>
            </w:r>
            <w:r>
              <w:rPr>
                <w:rFonts w:hint="eastAsia"/>
                <w:bCs/>
                <w:kern w:val="0"/>
                <w:sz w:val="24"/>
                <w:lang w:bidi="en-US"/>
              </w:rPr>
              <w:t>，</w:t>
            </w:r>
            <w:r>
              <w:rPr>
                <w:rFonts w:hint="eastAsia"/>
                <w:sz w:val="24"/>
              </w:rPr>
              <w:t>集气罩尺寸为0.</w:t>
            </w:r>
            <w:r>
              <w:rPr>
                <w:rFonts w:hint="eastAsia"/>
                <w:sz w:val="24"/>
                <w:lang w:val="en-US" w:eastAsia="zh-CN"/>
              </w:rPr>
              <w:t>8</w:t>
            </w:r>
            <w:r>
              <w:rPr>
                <w:sz w:val="24"/>
              </w:rPr>
              <w:t xml:space="preserve"> m</w:t>
            </w:r>
            <w:r>
              <w:rPr>
                <w:rFonts w:hint="eastAsia"/>
                <w:sz w:val="24"/>
              </w:rPr>
              <w:t>×0.</w:t>
            </w:r>
            <w:r>
              <w:rPr>
                <w:rFonts w:hint="eastAsia"/>
                <w:sz w:val="24"/>
                <w:lang w:val="en-US" w:eastAsia="zh-CN"/>
              </w:rPr>
              <w:t>8</w:t>
            </w:r>
            <w:r>
              <w:rPr>
                <w:sz w:val="24"/>
              </w:rPr>
              <w:t>m</w:t>
            </w:r>
            <w:r>
              <w:rPr>
                <w:rFonts w:hint="eastAsia"/>
                <w:bCs/>
                <w:kern w:val="0"/>
                <w:sz w:val="24"/>
                <w:lang w:bidi="en-US"/>
              </w:rPr>
              <w:t>；</w:t>
            </w:r>
          </w:p>
          <w:p w14:paraId="36ED968F">
            <w:pPr>
              <w:snapToGrid w:val="0"/>
              <w:spacing w:line="360" w:lineRule="auto"/>
              <w:ind w:firstLine="480" w:firstLineChars="200"/>
              <w:rPr>
                <w:bCs/>
                <w:kern w:val="0"/>
                <w:sz w:val="24"/>
                <w:lang w:bidi="en-US"/>
              </w:rPr>
            </w:pPr>
            <w:r>
              <w:rPr>
                <w:bCs/>
                <w:kern w:val="0"/>
                <w:sz w:val="24"/>
                <w:lang w:bidi="en-US"/>
              </w:rPr>
              <w:t>H——集气罩开口面至污染源距离，m</w:t>
            </w:r>
            <w:r>
              <w:rPr>
                <w:rFonts w:hint="eastAsia"/>
                <w:bCs/>
                <w:kern w:val="0"/>
                <w:sz w:val="24"/>
                <w:lang w:bidi="en-US"/>
              </w:rPr>
              <w:t>，H取值1</w:t>
            </w:r>
            <w:r>
              <w:rPr>
                <w:rFonts w:hint="eastAsia"/>
                <w:bCs/>
                <w:kern w:val="0"/>
                <w:sz w:val="24"/>
                <w:lang w:val="en-US" w:eastAsia="zh-CN" w:bidi="en-US"/>
              </w:rPr>
              <w:t>.5</w:t>
            </w:r>
            <w:r>
              <w:rPr>
                <w:rFonts w:hint="eastAsia"/>
                <w:bCs/>
                <w:kern w:val="0"/>
                <w:sz w:val="24"/>
                <w:lang w:bidi="en-US"/>
              </w:rPr>
              <w:t>m；</w:t>
            </w:r>
          </w:p>
          <w:p w14:paraId="3D5EE9CB">
            <w:pPr>
              <w:spacing w:line="360" w:lineRule="auto"/>
              <w:ind w:firstLine="481"/>
              <w:rPr>
                <w:bCs/>
                <w:kern w:val="0"/>
                <w:sz w:val="24"/>
                <w:lang w:bidi="en-US"/>
              </w:rPr>
            </w:pPr>
            <w:r>
              <w:rPr>
                <w:bCs/>
                <w:kern w:val="0"/>
                <w:sz w:val="24"/>
                <w:lang w:bidi="en-US"/>
              </w:rPr>
              <w:t>V——集气罩开口面最远处风速，m/s，</w:t>
            </w:r>
            <w:r>
              <w:rPr>
                <w:rFonts w:hint="eastAsia"/>
                <w:bCs/>
                <w:kern w:val="0"/>
                <w:sz w:val="24"/>
                <w:lang w:bidi="en-US"/>
              </w:rPr>
              <w:t>V取0.</w:t>
            </w:r>
            <w:r>
              <w:rPr>
                <w:bCs/>
                <w:kern w:val="0"/>
                <w:sz w:val="24"/>
                <w:lang w:bidi="en-US"/>
              </w:rPr>
              <w:t>3</w:t>
            </w:r>
            <w:r>
              <w:rPr>
                <w:rFonts w:hint="eastAsia"/>
                <w:bCs/>
                <w:kern w:val="0"/>
                <w:sz w:val="24"/>
                <w:lang w:bidi="en-US"/>
              </w:rPr>
              <w:t>m/s；</w:t>
            </w:r>
          </w:p>
          <w:p w14:paraId="4028B451">
            <w:pPr>
              <w:tabs>
                <w:tab w:val="left" w:pos="2520"/>
              </w:tabs>
              <w:adjustRightInd w:val="0"/>
              <w:spacing w:line="360" w:lineRule="auto"/>
              <w:ind w:firstLine="480" w:firstLineChars="200"/>
              <w:rPr>
                <w:rFonts w:hint="eastAsia"/>
                <w:sz w:val="24"/>
                <w:lang w:eastAsia="zh-CN"/>
              </w:rPr>
            </w:pPr>
            <w:r>
              <w:rPr>
                <w:rFonts w:hint="eastAsia"/>
                <w:bCs/>
                <w:kern w:val="0"/>
                <w:sz w:val="24"/>
                <w:lang w:bidi="en-US"/>
              </w:rPr>
              <w:t>经计算，Q=</w:t>
            </w:r>
            <w:r>
              <w:rPr>
                <w:rFonts w:hint="eastAsia"/>
                <w:bCs/>
                <w:kern w:val="0"/>
                <w:sz w:val="24"/>
                <w:lang w:val="en-US" w:eastAsia="zh-CN" w:bidi="en-US"/>
              </w:rPr>
              <w:t>2.016</w:t>
            </w:r>
            <w:r>
              <w:rPr>
                <w:bCs/>
                <w:kern w:val="0"/>
                <w:sz w:val="24"/>
                <w:lang w:bidi="en-US"/>
              </w:rPr>
              <w:t xml:space="preserve"> m</w:t>
            </w:r>
            <w:r>
              <w:rPr>
                <w:bCs/>
                <w:kern w:val="0"/>
                <w:sz w:val="24"/>
                <w:vertAlign w:val="superscript"/>
                <w:lang w:bidi="en-US"/>
              </w:rPr>
              <w:t>3</w:t>
            </w:r>
            <w:r>
              <w:rPr>
                <w:bCs/>
                <w:kern w:val="0"/>
                <w:sz w:val="24"/>
                <w:lang w:bidi="en-US"/>
              </w:rPr>
              <w:t>/s</w:t>
            </w:r>
            <w:r>
              <w:rPr>
                <w:rFonts w:hint="eastAsia"/>
                <w:bCs/>
                <w:kern w:val="0"/>
                <w:sz w:val="24"/>
                <w:lang w:bidi="en-US"/>
              </w:rPr>
              <w:t>，</w:t>
            </w:r>
            <w:r>
              <w:rPr>
                <w:rFonts w:ascii="宋体"/>
                <w:sz w:val="24"/>
              </w:rPr>
              <w:t>集气罩的数量为1个，计算得出风量为</w:t>
            </w:r>
            <w:r>
              <w:rPr>
                <w:rFonts w:hint="eastAsia" w:ascii="宋体"/>
                <w:sz w:val="24"/>
                <w:lang w:val="en-US" w:eastAsia="zh-CN"/>
              </w:rPr>
              <w:t>7257.6</w:t>
            </w:r>
            <w:r>
              <w:rPr>
                <w:rFonts w:ascii="宋体"/>
                <w:sz w:val="24"/>
              </w:rPr>
              <w:t>m</w:t>
            </w:r>
            <w:r>
              <w:rPr>
                <w:rFonts w:ascii="宋体"/>
                <w:sz w:val="24"/>
                <w:vertAlign w:val="superscript"/>
              </w:rPr>
              <w:t>3</w:t>
            </w:r>
            <w:r>
              <w:rPr>
                <w:rFonts w:ascii="宋体"/>
                <w:sz w:val="24"/>
              </w:rPr>
              <w:t>/h</w:t>
            </w:r>
            <w:r>
              <w:rPr>
                <w:rFonts w:hint="eastAsia"/>
                <w:bCs/>
                <w:kern w:val="0"/>
                <w:sz w:val="24"/>
                <w:lang w:bidi="en-US"/>
              </w:rPr>
              <w:t>，考虑到管道阻力风量取</w:t>
            </w:r>
            <w:r>
              <w:rPr>
                <w:rFonts w:hint="eastAsia"/>
                <w:bCs/>
                <w:kern w:val="0"/>
                <w:sz w:val="24"/>
                <w:lang w:val="en-US" w:eastAsia="zh-CN" w:bidi="en-US"/>
              </w:rPr>
              <w:t>10</w:t>
            </w:r>
            <w:r>
              <w:rPr>
                <w:rFonts w:hint="eastAsia"/>
                <w:bCs/>
                <w:kern w:val="0"/>
                <w:sz w:val="24"/>
                <w:lang w:bidi="en-US"/>
              </w:rPr>
              <w:t>000m</w:t>
            </w:r>
            <w:r>
              <w:rPr>
                <w:rFonts w:hint="eastAsia"/>
                <w:bCs/>
                <w:kern w:val="0"/>
                <w:sz w:val="24"/>
                <w:vertAlign w:val="superscript"/>
                <w:lang w:bidi="en-US"/>
              </w:rPr>
              <w:t>3</w:t>
            </w:r>
            <w:r>
              <w:rPr>
                <w:rFonts w:hint="eastAsia"/>
                <w:bCs/>
                <w:kern w:val="0"/>
                <w:sz w:val="24"/>
                <w:lang w:bidi="en-US"/>
              </w:rPr>
              <w:t>/h 满足风量要求</w:t>
            </w:r>
            <w:r>
              <w:rPr>
                <w:rFonts w:hint="eastAsia"/>
                <w:bCs/>
                <w:kern w:val="0"/>
                <w:sz w:val="24"/>
                <w:lang w:eastAsia="zh-CN" w:bidi="en-US"/>
              </w:rPr>
              <w:t>，</w:t>
            </w:r>
            <w:r>
              <w:rPr>
                <w:rFonts w:hint="eastAsia"/>
                <w:bCs/>
                <w:kern w:val="0"/>
                <w:sz w:val="24"/>
                <w:lang w:val="en-US" w:eastAsia="zh-CN" w:bidi="en-US"/>
              </w:rPr>
              <w:t>脱模</w:t>
            </w:r>
            <w:r>
              <w:rPr>
                <w:rFonts w:hint="eastAsia"/>
                <w:sz w:val="24"/>
              </w:rPr>
              <w:t>废气最终排放情况见下表</w:t>
            </w:r>
            <w:r>
              <w:rPr>
                <w:rFonts w:hint="eastAsia"/>
                <w:sz w:val="24"/>
                <w:lang w:eastAsia="zh-CN"/>
              </w:rPr>
              <w:t>。</w:t>
            </w:r>
          </w:p>
          <w:p w14:paraId="7CA139C7">
            <w:pPr>
              <w:keepNext w:val="0"/>
              <w:keepLines w:val="0"/>
              <w:pageBreakBefore w:val="0"/>
              <w:widowControl w:val="0"/>
              <w:tabs>
                <w:tab w:val="left" w:pos="2520"/>
              </w:tabs>
              <w:kinsoku/>
              <w:wordWrap/>
              <w:overflowPunct/>
              <w:topLinePunct w:val="0"/>
              <w:autoSpaceDE/>
              <w:autoSpaceDN/>
              <w:bidi w:val="0"/>
              <w:adjustRightInd w:val="0"/>
              <w:snapToGrid/>
              <w:spacing w:line="360" w:lineRule="auto"/>
              <w:ind w:firstLine="0" w:firstLineChars="0"/>
              <w:jc w:val="center"/>
              <w:textAlignment w:val="auto"/>
              <w:rPr>
                <w:rFonts w:hint="eastAsia"/>
                <w:b/>
                <w:bCs/>
                <w:sz w:val="24"/>
              </w:rPr>
            </w:pPr>
            <w:r>
              <w:rPr>
                <w:rFonts w:hint="eastAsia"/>
                <w:b/>
                <w:bCs/>
                <w:sz w:val="24"/>
              </w:rPr>
              <w:t>表4-</w:t>
            </w:r>
            <w:r>
              <w:rPr>
                <w:rFonts w:hint="eastAsia"/>
                <w:b/>
                <w:bCs/>
                <w:sz w:val="24"/>
                <w:lang w:val="en-US" w:eastAsia="zh-CN"/>
              </w:rPr>
              <w:t>2脱模</w:t>
            </w:r>
            <w:r>
              <w:rPr>
                <w:rFonts w:hint="eastAsia" w:ascii="Times New Roman" w:hAnsi="Times New Roman" w:cs="Times New Roman"/>
                <w:b/>
                <w:bCs/>
                <w:sz w:val="24"/>
              </w:rPr>
              <w:t>废气排放</w:t>
            </w:r>
            <w:r>
              <w:rPr>
                <w:rFonts w:hint="eastAsia"/>
                <w:b/>
                <w:bCs/>
                <w:sz w:val="24"/>
              </w:rPr>
              <w:t>情况一览表</w:t>
            </w:r>
          </w:p>
          <w:tbl>
            <w:tblPr>
              <w:tblStyle w:val="30"/>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9"/>
              <w:gridCol w:w="658"/>
              <w:gridCol w:w="796"/>
              <w:gridCol w:w="727"/>
              <w:gridCol w:w="704"/>
              <w:gridCol w:w="1004"/>
              <w:gridCol w:w="1096"/>
              <w:gridCol w:w="1142"/>
              <w:gridCol w:w="998"/>
              <w:gridCol w:w="1032"/>
            </w:tblGrid>
            <w:tr w14:paraId="2B9FC2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73231FB">
                  <w:pPr>
                    <w:widowControl/>
                    <w:jc w:val="center"/>
                    <w:rPr>
                      <w:szCs w:val="21"/>
                    </w:rPr>
                  </w:pPr>
                  <w:r>
                    <w:rPr>
                      <w:rFonts w:hint="eastAsia"/>
                      <w:szCs w:val="21"/>
                    </w:rPr>
                    <w:t>产污</w:t>
                  </w:r>
                </w:p>
                <w:p w14:paraId="2D54DE0A">
                  <w:pPr>
                    <w:widowControl/>
                    <w:jc w:val="center"/>
                    <w:rPr>
                      <w:szCs w:val="21"/>
                    </w:rPr>
                  </w:pPr>
                  <w:r>
                    <w:rPr>
                      <w:rFonts w:hint="eastAsia"/>
                      <w:szCs w:val="21"/>
                    </w:rPr>
                    <w:t>工序</w:t>
                  </w:r>
                </w:p>
              </w:tc>
              <w:tc>
                <w:tcPr>
                  <w:tcW w:w="658" w:type="dxa"/>
                  <w:vAlign w:val="center"/>
                </w:tcPr>
                <w:p w14:paraId="23177756">
                  <w:pPr>
                    <w:widowControl/>
                    <w:jc w:val="center"/>
                    <w:rPr>
                      <w:szCs w:val="21"/>
                    </w:rPr>
                  </w:pPr>
                  <w:r>
                    <w:rPr>
                      <w:rFonts w:hint="eastAsia"/>
                      <w:szCs w:val="21"/>
                    </w:rPr>
                    <w:t>污染物种类</w:t>
                  </w:r>
                </w:p>
              </w:tc>
              <w:tc>
                <w:tcPr>
                  <w:tcW w:w="796" w:type="dxa"/>
                  <w:vAlign w:val="center"/>
                </w:tcPr>
                <w:p w14:paraId="23CF82CA">
                  <w:pPr>
                    <w:autoSpaceDE w:val="0"/>
                    <w:autoSpaceDN w:val="0"/>
                    <w:adjustRightInd w:val="0"/>
                    <w:jc w:val="center"/>
                    <w:rPr>
                      <w:szCs w:val="21"/>
                    </w:rPr>
                  </w:pPr>
                  <w:r>
                    <w:rPr>
                      <w:rFonts w:hint="eastAsia"/>
                      <w:szCs w:val="21"/>
                    </w:rPr>
                    <w:t>有组织产生量（</w:t>
                  </w:r>
                  <w:r>
                    <w:rPr>
                      <w:szCs w:val="21"/>
                    </w:rPr>
                    <w:t>t/a</w:t>
                  </w:r>
                  <w:r>
                    <w:rPr>
                      <w:rFonts w:hint="eastAsia"/>
                      <w:szCs w:val="21"/>
                    </w:rPr>
                    <w:t>）</w:t>
                  </w:r>
                </w:p>
              </w:tc>
              <w:tc>
                <w:tcPr>
                  <w:tcW w:w="727" w:type="dxa"/>
                  <w:vAlign w:val="center"/>
                </w:tcPr>
                <w:p w14:paraId="13CA2748">
                  <w:pPr>
                    <w:widowControl/>
                    <w:jc w:val="center"/>
                    <w:rPr>
                      <w:szCs w:val="21"/>
                    </w:rPr>
                  </w:pPr>
                  <w:r>
                    <w:rPr>
                      <w:rFonts w:hint="eastAsia"/>
                      <w:szCs w:val="21"/>
                    </w:rPr>
                    <w:t>处理措施</w:t>
                  </w:r>
                </w:p>
              </w:tc>
              <w:tc>
                <w:tcPr>
                  <w:tcW w:w="704" w:type="dxa"/>
                  <w:vAlign w:val="center"/>
                </w:tcPr>
                <w:p w14:paraId="78A7AEC9">
                  <w:pPr>
                    <w:autoSpaceDE w:val="0"/>
                    <w:autoSpaceDN w:val="0"/>
                    <w:adjustRightInd w:val="0"/>
                    <w:jc w:val="center"/>
                    <w:rPr>
                      <w:szCs w:val="21"/>
                    </w:rPr>
                  </w:pPr>
                  <w:r>
                    <w:rPr>
                      <w:rFonts w:hint="eastAsia"/>
                      <w:szCs w:val="21"/>
                    </w:rPr>
                    <w:t>处理效率</w:t>
                  </w:r>
                </w:p>
              </w:tc>
              <w:tc>
                <w:tcPr>
                  <w:tcW w:w="1004" w:type="dxa"/>
                  <w:vAlign w:val="center"/>
                </w:tcPr>
                <w:p w14:paraId="6BF3635F">
                  <w:pPr>
                    <w:autoSpaceDE w:val="0"/>
                    <w:autoSpaceDN w:val="0"/>
                    <w:adjustRightInd w:val="0"/>
                    <w:jc w:val="center"/>
                    <w:rPr>
                      <w:szCs w:val="21"/>
                    </w:rPr>
                  </w:pPr>
                  <w:r>
                    <w:rPr>
                      <w:rFonts w:hint="eastAsia"/>
                      <w:szCs w:val="21"/>
                    </w:rPr>
                    <w:t>排放量（</w:t>
                  </w:r>
                  <w:r>
                    <w:rPr>
                      <w:szCs w:val="21"/>
                    </w:rPr>
                    <w:t>t/a</w:t>
                  </w:r>
                  <w:r>
                    <w:rPr>
                      <w:rFonts w:hint="eastAsia"/>
                      <w:szCs w:val="21"/>
                    </w:rPr>
                    <w:t>）</w:t>
                  </w:r>
                </w:p>
              </w:tc>
              <w:tc>
                <w:tcPr>
                  <w:tcW w:w="1096" w:type="dxa"/>
                  <w:vAlign w:val="center"/>
                </w:tcPr>
                <w:p w14:paraId="126D6540">
                  <w:pPr>
                    <w:autoSpaceDE w:val="0"/>
                    <w:autoSpaceDN w:val="0"/>
                    <w:adjustRightInd w:val="0"/>
                    <w:jc w:val="center"/>
                    <w:rPr>
                      <w:szCs w:val="21"/>
                    </w:rPr>
                  </w:pPr>
                  <w:r>
                    <w:rPr>
                      <w:rFonts w:hint="eastAsia"/>
                      <w:szCs w:val="21"/>
                    </w:rPr>
                    <w:t>排放速率（</w:t>
                  </w:r>
                  <w:r>
                    <w:rPr>
                      <w:szCs w:val="21"/>
                    </w:rPr>
                    <w:t>kg/h</w:t>
                  </w:r>
                  <w:r>
                    <w:rPr>
                      <w:rFonts w:hint="eastAsia"/>
                      <w:szCs w:val="21"/>
                    </w:rPr>
                    <w:t>）</w:t>
                  </w:r>
                </w:p>
              </w:tc>
              <w:tc>
                <w:tcPr>
                  <w:tcW w:w="1142" w:type="dxa"/>
                  <w:vAlign w:val="center"/>
                </w:tcPr>
                <w:p w14:paraId="662AE17B">
                  <w:pPr>
                    <w:autoSpaceDE w:val="0"/>
                    <w:autoSpaceDN w:val="0"/>
                    <w:adjustRightInd w:val="0"/>
                    <w:jc w:val="center"/>
                    <w:rPr>
                      <w:szCs w:val="21"/>
                    </w:rPr>
                  </w:pPr>
                  <w:r>
                    <w:rPr>
                      <w:rFonts w:hint="eastAsia"/>
                      <w:szCs w:val="21"/>
                    </w:rPr>
                    <w:t>排放浓度（</w:t>
                  </w:r>
                  <w:r>
                    <w:rPr>
                      <w:szCs w:val="21"/>
                    </w:rPr>
                    <w:t>mg/m</w:t>
                  </w:r>
                  <w:r>
                    <w:rPr>
                      <w:szCs w:val="21"/>
                      <w:vertAlign w:val="superscript"/>
                    </w:rPr>
                    <w:t>3</w:t>
                  </w:r>
                  <w:r>
                    <w:rPr>
                      <w:rFonts w:hint="eastAsia"/>
                      <w:szCs w:val="21"/>
                    </w:rPr>
                    <w:t>）</w:t>
                  </w:r>
                </w:p>
              </w:tc>
              <w:tc>
                <w:tcPr>
                  <w:tcW w:w="998" w:type="dxa"/>
                  <w:vAlign w:val="center"/>
                </w:tcPr>
                <w:p w14:paraId="1F55A7E5">
                  <w:pPr>
                    <w:widowControl/>
                    <w:jc w:val="center"/>
                    <w:rPr>
                      <w:szCs w:val="21"/>
                    </w:rPr>
                  </w:pPr>
                  <w:r>
                    <w:rPr>
                      <w:rFonts w:hint="eastAsia"/>
                      <w:szCs w:val="21"/>
                    </w:rPr>
                    <w:t>标准值</w:t>
                  </w:r>
                </w:p>
              </w:tc>
              <w:tc>
                <w:tcPr>
                  <w:tcW w:w="1032" w:type="dxa"/>
                  <w:vAlign w:val="center"/>
                </w:tcPr>
                <w:p w14:paraId="5F6F3BDF">
                  <w:pPr>
                    <w:autoSpaceDE w:val="0"/>
                    <w:autoSpaceDN w:val="0"/>
                    <w:adjustRightInd w:val="0"/>
                    <w:jc w:val="center"/>
                    <w:rPr>
                      <w:szCs w:val="21"/>
                    </w:rPr>
                  </w:pPr>
                  <w:r>
                    <w:rPr>
                      <w:rFonts w:hint="eastAsia"/>
                      <w:szCs w:val="21"/>
                    </w:rPr>
                    <w:t>风机风量（m</w:t>
                  </w:r>
                  <w:r>
                    <w:rPr>
                      <w:rFonts w:hint="eastAsia"/>
                      <w:szCs w:val="21"/>
                      <w:vertAlign w:val="superscript"/>
                    </w:rPr>
                    <w:t>3</w:t>
                  </w:r>
                  <w:r>
                    <w:rPr>
                      <w:rFonts w:hint="eastAsia"/>
                      <w:szCs w:val="21"/>
                    </w:rPr>
                    <w:t>/h）</w:t>
                  </w:r>
                </w:p>
              </w:tc>
            </w:tr>
            <w:tr w14:paraId="305C9B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1" w:hRule="atLeast"/>
              </w:trPr>
              <w:tc>
                <w:tcPr>
                  <w:tcW w:w="659" w:type="dxa"/>
                  <w:vAlign w:val="center"/>
                </w:tcPr>
                <w:p w14:paraId="0DCD4197">
                  <w:pPr>
                    <w:widowControl/>
                    <w:jc w:val="center"/>
                    <w:rPr>
                      <w:rFonts w:hint="default" w:eastAsia="宋体"/>
                      <w:szCs w:val="21"/>
                      <w:lang w:val="en-US" w:eastAsia="zh-CN"/>
                    </w:rPr>
                  </w:pPr>
                  <w:r>
                    <w:rPr>
                      <w:rFonts w:hint="eastAsia"/>
                      <w:szCs w:val="21"/>
                      <w:lang w:val="en-US" w:eastAsia="zh-CN"/>
                    </w:rPr>
                    <w:t>脱模</w:t>
                  </w:r>
                </w:p>
              </w:tc>
              <w:tc>
                <w:tcPr>
                  <w:tcW w:w="658" w:type="dxa"/>
                  <w:vAlign w:val="center"/>
                </w:tcPr>
                <w:p w14:paraId="0FD04718">
                  <w:pPr>
                    <w:widowControl/>
                    <w:jc w:val="center"/>
                    <w:rPr>
                      <w:rFonts w:hint="eastAsia" w:eastAsia="宋体"/>
                      <w:szCs w:val="21"/>
                      <w:lang w:eastAsia="zh-CN"/>
                    </w:rPr>
                  </w:pPr>
                  <w:r>
                    <w:rPr>
                      <w:rFonts w:hint="eastAsia"/>
                      <w:szCs w:val="21"/>
                      <w:lang w:val="en-US" w:eastAsia="zh-CN"/>
                    </w:rPr>
                    <w:t>非甲烷总烃</w:t>
                  </w:r>
                </w:p>
              </w:tc>
              <w:tc>
                <w:tcPr>
                  <w:tcW w:w="796" w:type="dxa"/>
                  <w:vAlign w:val="center"/>
                </w:tcPr>
                <w:p w14:paraId="3300869C">
                  <w:pPr>
                    <w:widowControl/>
                    <w:jc w:val="center"/>
                    <w:rPr>
                      <w:rFonts w:hint="default" w:eastAsia="宋体"/>
                      <w:szCs w:val="21"/>
                      <w:lang w:val="en-US" w:eastAsia="zh-CN"/>
                    </w:rPr>
                  </w:pPr>
                  <w:r>
                    <w:rPr>
                      <w:rFonts w:hint="eastAsia"/>
                      <w:szCs w:val="21"/>
                      <w:lang w:val="en-US" w:eastAsia="zh-CN"/>
                    </w:rPr>
                    <w:t>0.873</w:t>
                  </w:r>
                </w:p>
              </w:tc>
              <w:tc>
                <w:tcPr>
                  <w:tcW w:w="727" w:type="dxa"/>
                  <w:vAlign w:val="center"/>
                </w:tcPr>
                <w:p w14:paraId="18EA0367">
                  <w:pPr>
                    <w:widowControl/>
                    <w:jc w:val="center"/>
                    <w:rPr>
                      <w:szCs w:val="21"/>
                    </w:rPr>
                  </w:pPr>
                  <w:r>
                    <w:rPr>
                      <w:rFonts w:hint="eastAsia"/>
                      <w:szCs w:val="21"/>
                      <w:lang w:val="en-US" w:eastAsia="zh-CN"/>
                    </w:rPr>
                    <w:t>集气罩</w:t>
                  </w:r>
                  <w:r>
                    <w:rPr>
                      <w:rFonts w:hint="eastAsia"/>
                      <w:szCs w:val="21"/>
                    </w:rPr>
                    <w:t>+二级活性炭</w:t>
                  </w:r>
                </w:p>
              </w:tc>
              <w:tc>
                <w:tcPr>
                  <w:tcW w:w="704" w:type="dxa"/>
                  <w:vAlign w:val="center"/>
                </w:tcPr>
                <w:p w14:paraId="694CB667">
                  <w:pPr>
                    <w:widowControl/>
                    <w:jc w:val="center"/>
                    <w:rPr>
                      <w:szCs w:val="21"/>
                    </w:rPr>
                  </w:pPr>
                  <w:r>
                    <w:rPr>
                      <w:rFonts w:hint="eastAsia"/>
                      <w:szCs w:val="21"/>
                      <w:lang w:val="en-US" w:eastAsia="zh-CN"/>
                    </w:rPr>
                    <w:t>90</w:t>
                  </w:r>
                  <w:r>
                    <w:rPr>
                      <w:rFonts w:hint="eastAsia"/>
                      <w:szCs w:val="21"/>
                    </w:rPr>
                    <w:t>%</w:t>
                  </w:r>
                </w:p>
              </w:tc>
              <w:tc>
                <w:tcPr>
                  <w:tcW w:w="1004" w:type="dxa"/>
                  <w:vAlign w:val="center"/>
                </w:tcPr>
                <w:p w14:paraId="024C8342">
                  <w:pPr>
                    <w:widowControl/>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0.087 </w:t>
                  </w:r>
                </w:p>
              </w:tc>
              <w:tc>
                <w:tcPr>
                  <w:tcW w:w="1096" w:type="dxa"/>
                  <w:vAlign w:val="center"/>
                </w:tcPr>
                <w:p w14:paraId="5E9B0C42">
                  <w:pPr>
                    <w:widowControl/>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0.018 </w:t>
                  </w:r>
                </w:p>
              </w:tc>
              <w:tc>
                <w:tcPr>
                  <w:tcW w:w="1142" w:type="dxa"/>
                  <w:shd w:val="clear"/>
                  <w:vAlign w:val="center"/>
                </w:tcPr>
                <w:p w14:paraId="6F8CA982">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Times New Roman" w:hAnsi="Times New Roman" w:eastAsia="宋体" w:cs="Times New Roman"/>
                      <w:szCs w:val="21"/>
                      <w:lang w:val="en-US" w:eastAsia="zh-CN"/>
                    </w:rPr>
                    <w:t>1.819</w:t>
                  </w:r>
                </w:p>
              </w:tc>
              <w:tc>
                <w:tcPr>
                  <w:tcW w:w="998" w:type="dxa"/>
                  <w:vAlign w:val="center"/>
                </w:tcPr>
                <w:p w14:paraId="3E2DB02F">
                  <w:pPr>
                    <w:widowControl/>
                    <w:jc w:val="center"/>
                    <w:rPr>
                      <w:szCs w:val="21"/>
                    </w:rPr>
                  </w:pPr>
                  <w:r>
                    <w:rPr>
                      <w:rFonts w:hint="eastAsia"/>
                      <w:szCs w:val="21"/>
                      <w:lang w:val="en-US" w:eastAsia="zh-CN"/>
                    </w:rPr>
                    <w:t>4</w:t>
                  </w:r>
                  <w:r>
                    <w:rPr>
                      <w:szCs w:val="21"/>
                    </w:rPr>
                    <w:t>0mg/m</w:t>
                  </w:r>
                  <w:r>
                    <w:rPr>
                      <w:szCs w:val="21"/>
                      <w:vertAlign w:val="superscript"/>
                    </w:rPr>
                    <w:t>3</w:t>
                  </w:r>
                  <w:r>
                    <w:rPr>
                      <w:rFonts w:hint="eastAsia"/>
                      <w:szCs w:val="21"/>
                    </w:rPr>
                    <w:t>，</w:t>
                  </w:r>
                  <w:r>
                    <w:rPr>
                      <w:rFonts w:hint="eastAsia"/>
                      <w:szCs w:val="21"/>
                      <w:lang w:val="en-US" w:eastAsia="zh-CN"/>
                    </w:rPr>
                    <w:t>1.6</w:t>
                  </w:r>
                  <w:r>
                    <w:rPr>
                      <w:szCs w:val="21"/>
                    </w:rPr>
                    <w:t>kg/h</w:t>
                  </w:r>
                </w:p>
              </w:tc>
              <w:tc>
                <w:tcPr>
                  <w:tcW w:w="1032" w:type="dxa"/>
                  <w:vAlign w:val="center"/>
                </w:tcPr>
                <w:p w14:paraId="3985B618">
                  <w:pPr>
                    <w:widowControl/>
                    <w:jc w:val="center"/>
                    <w:rPr>
                      <w:szCs w:val="21"/>
                    </w:rPr>
                  </w:pPr>
                  <w:r>
                    <w:rPr>
                      <w:rFonts w:hint="eastAsia"/>
                      <w:szCs w:val="21"/>
                      <w:lang w:val="en-US" w:eastAsia="zh-CN"/>
                    </w:rPr>
                    <w:t>10</w:t>
                  </w:r>
                  <w:r>
                    <w:rPr>
                      <w:rFonts w:hint="eastAsia"/>
                      <w:szCs w:val="21"/>
                    </w:rPr>
                    <w:t>000</w:t>
                  </w:r>
                </w:p>
              </w:tc>
            </w:tr>
          </w:tbl>
          <w:p w14:paraId="5F5F9758">
            <w:pPr>
              <w:keepNext w:val="0"/>
              <w:keepLines w:val="0"/>
              <w:pageBreakBefore w:val="0"/>
              <w:widowControl w:val="0"/>
              <w:numPr>
                <w:ilvl w:val="0"/>
                <w:numId w:val="0"/>
              </w:numPr>
              <w:tabs>
                <w:tab w:val="left" w:pos="2520"/>
              </w:tabs>
              <w:kinsoku/>
              <w:wordWrap/>
              <w:overflowPunct/>
              <w:topLinePunct w:val="0"/>
              <w:autoSpaceDE/>
              <w:autoSpaceDN/>
              <w:bidi w:val="0"/>
              <w:adjustRightInd w:val="0"/>
              <w:snapToGrid/>
              <w:spacing w:line="360" w:lineRule="auto"/>
              <w:ind w:firstLine="480" w:firstLineChars="200"/>
              <w:textAlignment w:val="auto"/>
              <w:rPr>
                <w:sz w:val="24"/>
              </w:rPr>
            </w:pPr>
          </w:p>
          <w:p w14:paraId="440D0416">
            <w:pPr>
              <w:numPr>
                <w:ilvl w:val="0"/>
                <w:numId w:val="8"/>
              </w:numPr>
              <w:tabs>
                <w:tab w:val="left" w:pos="2520"/>
              </w:tabs>
              <w:adjustRightInd w:val="0"/>
              <w:spacing w:line="360" w:lineRule="auto"/>
              <w:ind w:firstLine="480" w:firstLineChars="200"/>
              <w:rPr>
                <w:kern w:val="0"/>
                <w:sz w:val="24"/>
              </w:rPr>
            </w:pPr>
            <w:r>
              <w:rPr>
                <w:rFonts w:hint="eastAsia"/>
                <w:kern w:val="0"/>
                <w:sz w:val="24"/>
                <w:lang w:val="en-US" w:eastAsia="zh-CN"/>
              </w:rPr>
              <w:t>喷胶固化废气G3</w:t>
            </w:r>
          </w:p>
          <w:p w14:paraId="1453D1F5">
            <w:pPr>
              <w:pStyle w:val="101"/>
              <w:spacing w:line="480" w:lineRule="exact"/>
              <w:rPr>
                <w:rFonts w:hint="eastAsia" w:cs="Times New Roman"/>
                <w:color w:val="auto"/>
                <w:lang w:val="en-US" w:eastAsia="zh-CN"/>
              </w:rPr>
            </w:pPr>
            <w:r>
              <w:rPr>
                <w:rFonts w:hint="eastAsia" w:cs="Times New Roman"/>
                <w:color w:val="auto"/>
                <w:lang w:val="en-US" w:eastAsia="zh-CN"/>
              </w:rPr>
              <w:t>①喷胶废气</w:t>
            </w:r>
          </w:p>
          <w:p w14:paraId="1C24B266">
            <w:pPr>
              <w:pStyle w:val="100"/>
              <w:keepNext w:val="0"/>
              <w:keepLines w:val="0"/>
              <w:pageBreakBefore w:val="0"/>
              <w:widowControl w:val="0"/>
              <w:kinsoku/>
              <w:wordWrap/>
              <w:overflowPunct/>
              <w:topLinePunct w:val="0"/>
              <w:bidi w:val="0"/>
              <w:snapToGrid/>
              <w:spacing w:line="360" w:lineRule="auto"/>
              <w:ind w:firstLine="480"/>
              <w:textAlignment w:val="auto"/>
              <w:rPr>
                <w:rFonts w:hint="eastAsia" w:cs="宋体"/>
                <w:color w:val="auto"/>
                <w:lang w:eastAsia="zh-CN"/>
              </w:rPr>
            </w:pPr>
            <w:r>
              <w:rPr>
                <w:rFonts w:hint="eastAsia" w:ascii="Times New Roman" w:hAnsi="Times New Roman" w:eastAsia="宋体" w:cs="Times New Roman"/>
                <w:color w:val="auto"/>
                <w:lang w:val="en-US" w:eastAsia="zh-CN"/>
              </w:rPr>
              <w:t>本项目外购骨架、表皮在包覆前需喷胶、加热，喷胶位于独立密闭喷胶房内，设置</w:t>
            </w:r>
            <w:r>
              <w:rPr>
                <w:rFonts w:hint="eastAsia" w:cs="Times New Roman"/>
                <w:color w:val="auto"/>
                <w:lang w:val="en-US" w:eastAsia="zh-CN"/>
              </w:rPr>
              <w:t>4</w:t>
            </w:r>
            <w:r>
              <w:rPr>
                <w:rFonts w:hint="eastAsia" w:ascii="Times New Roman" w:hAnsi="Times New Roman" w:eastAsia="宋体" w:cs="Times New Roman"/>
                <w:color w:val="auto"/>
                <w:lang w:val="en-US" w:eastAsia="zh-CN"/>
              </w:rPr>
              <w:t>个喷胶工位。三面围挡，顶设集气罩，根据企业生产经验，喷胶过程产品附着率为70%，剩余 30%以胶雾形式逸散，喷胶位于三面封闭的喷胶工位内，收集效率按照 90%计，则27%胶雾被收集，3%</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沉降于工位内。年喷胶量为</w:t>
            </w:r>
            <w:r>
              <w:rPr>
                <w:rFonts w:hint="eastAsia" w:cs="Times New Roman"/>
                <w:color w:val="auto"/>
                <w:lang w:val="en-US" w:eastAsia="zh-CN"/>
              </w:rPr>
              <w:t>38.13</w:t>
            </w:r>
            <w:r>
              <w:rPr>
                <w:rFonts w:hint="eastAsia" w:ascii="Times New Roman" w:hAnsi="Times New Roman" w:eastAsia="宋体" w:cs="Times New Roman"/>
                <w:color w:val="auto"/>
                <w:lang w:val="en-US" w:eastAsia="zh-CN"/>
              </w:rPr>
              <w:t>t</w:t>
            </w:r>
            <w:r>
              <w:rPr>
                <w:rFonts w:hint="eastAsia" w:cs="Times New Roman"/>
                <w:color w:val="auto"/>
                <w:lang w:val="en-US" w:eastAsia="zh-CN"/>
              </w:rPr>
              <w:t>/a</w:t>
            </w:r>
            <w:r>
              <w:rPr>
                <w:rFonts w:hint="eastAsia" w:ascii="Times New Roman" w:hAnsi="Times New Roman" w:eastAsia="宋体" w:cs="Times New Roman"/>
                <w:color w:val="auto"/>
                <w:lang w:val="en-US" w:eastAsia="zh-CN"/>
              </w:rPr>
              <w:t>，</w:t>
            </w:r>
            <w:r>
              <w:rPr>
                <w:rFonts w:hint="eastAsia" w:cs="Times New Roman"/>
                <w:color w:val="auto"/>
                <w:lang w:val="en-US" w:eastAsia="zh-CN"/>
              </w:rPr>
              <w:t xml:space="preserve">26.69 </w:t>
            </w:r>
            <w:r>
              <w:rPr>
                <w:rFonts w:hint="eastAsia" w:ascii="Times New Roman" w:hAnsi="Times New Roman" w:eastAsia="宋体" w:cs="Times New Roman"/>
                <w:color w:val="auto"/>
                <w:lang w:val="en-US" w:eastAsia="zh-CN"/>
              </w:rPr>
              <w:t>t进入产品，10.3</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t被收集，</w:t>
            </w:r>
            <w:r>
              <w:rPr>
                <w:rFonts w:hint="eastAsia" w:cs="Times New Roman"/>
                <w:color w:val="auto"/>
                <w:lang w:val="en-US" w:eastAsia="zh-CN"/>
              </w:rPr>
              <w:t>1.14</w:t>
            </w:r>
            <w:r>
              <w:rPr>
                <w:rFonts w:hint="eastAsia" w:ascii="Times New Roman" w:hAnsi="Times New Roman" w:eastAsia="宋体" w:cs="Times New Roman"/>
                <w:color w:val="auto"/>
                <w:lang w:val="en-US" w:eastAsia="zh-CN"/>
              </w:rPr>
              <w:t>t沉降于工位。即用状态下胶水与固化剂质量配比为 200:11，固分含量占比为48.5~52.5%，水分含量为 47.5~51.5%，VOC 质量占比为 1~2%。本次环评固分、水分按照49%计算，VOC 按照最大值2%核算，10.3 t 被收集：胶雾固分 5.047t，水分 5.047t,VOC 0.206 t。固分和水分经过滤棉过滤吸收，VOC 经二级活性炭吸附装置处理，去除效率为 90%，VOC 有组织排放量为 0.0206t，最终经 15m排气筒(DA002)排放。沉降工位的废胶1.14t中未被收集 VOC 质量为 0.023t/a，无组织排放。</w:t>
            </w:r>
          </w:p>
          <w:p w14:paraId="63305302">
            <w:pPr>
              <w:pStyle w:val="101"/>
              <w:spacing w:line="480" w:lineRule="exact"/>
              <w:rPr>
                <w:rFonts w:hint="eastAsia" w:cs="Times New Roman"/>
                <w:color w:val="auto"/>
                <w:lang w:val="en-US" w:eastAsia="zh-CN"/>
              </w:rPr>
            </w:pPr>
            <w:r>
              <w:rPr>
                <w:rFonts w:hint="eastAsia" w:cs="Times New Roman"/>
                <w:color w:val="auto"/>
                <w:lang w:val="en-US" w:eastAsia="zh-CN"/>
              </w:rPr>
              <w:t>②固化废气</w:t>
            </w:r>
          </w:p>
          <w:p w14:paraId="7C908DA5">
            <w:pPr>
              <w:pStyle w:val="101"/>
              <w:spacing w:line="480" w:lineRule="exact"/>
              <w:rPr>
                <w:rFonts w:hint="default" w:cs="Times New Roman"/>
                <w:color w:val="auto"/>
                <w:lang w:val="en-US" w:eastAsia="zh-CN"/>
              </w:rPr>
            </w:pPr>
            <w:r>
              <w:rPr>
                <w:rFonts w:hint="default" w:cs="Times New Roman"/>
                <w:color w:val="auto"/>
                <w:lang w:val="en-US" w:eastAsia="zh-CN"/>
              </w:rPr>
              <w:t>喷胶过后骨架和表皮分别进密闭烘道内加热(采用电加热)，加热温度为70-90℃(未达到胶水中固份含量分解温度)，此时加热过程胶水中所含有机物挥发(</w:t>
            </w:r>
            <w:r>
              <w:rPr>
                <w:rFonts w:hint="eastAsia" w:cs="Times New Roman"/>
                <w:color w:val="auto"/>
                <w:lang w:val="en-US" w:eastAsia="zh-CN"/>
              </w:rPr>
              <w:t>38.13×</w:t>
            </w:r>
            <w:r>
              <w:rPr>
                <w:rFonts w:hint="default" w:cs="Times New Roman"/>
                <w:color w:val="auto"/>
                <w:lang w:val="en-US" w:eastAsia="zh-CN"/>
              </w:rPr>
              <w:t>0.7</w:t>
            </w:r>
            <w:r>
              <w:rPr>
                <w:rFonts w:hint="eastAsia" w:cs="Times New Roman"/>
                <w:color w:val="auto"/>
                <w:lang w:val="en-US" w:eastAsia="zh-CN"/>
              </w:rPr>
              <w:t>×</w:t>
            </w:r>
            <w:r>
              <w:rPr>
                <w:rFonts w:hint="default" w:cs="Times New Roman"/>
                <w:color w:val="auto"/>
                <w:lang w:val="en-US" w:eastAsia="zh-CN"/>
              </w:rPr>
              <w:t>2%=0.</w:t>
            </w:r>
            <w:r>
              <w:rPr>
                <w:rFonts w:hint="eastAsia" w:cs="Times New Roman"/>
                <w:color w:val="auto"/>
                <w:lang w:val="en-US" w:eastAsia="zh-CN"/>
              </w:rPr>
              <w:t>534</w:t>
            </w:r>
            <w:r>
              <w:rPr>
                <w:rFonts w:hint="default" w:cs="Times New Roman"/>
                <w:color w:val="auto"/>
                <w:lang w:val="en-US" w:eastAsia="zh-CN"/>
              </w:rPr>
              <w:t>t</w:t>
            </w:r>
            <w:r>
              <w:rPr>
                <w:rFonts w:hint="eastAsia" w:cs="Times New Roman"/>
                <w:color w:val="auto"/>
                <w:lang w:val="en-US" w:eastAsia="zh-CN"/>
              </w:rPr>
              <w:t>/</w:t>
            </w:r>
            <w:r>
              <w:rPr>
                <w:rFonts w:hint="default" w:cs="Times New Roman"/>
                <w:color w:val="auto"/>
                <w:lang w:val="en-US" w:eastAsia="zh-CN"/>
              </w:rPr>
              <w:t>a)，本次环评按照全挥发计算，则加热工序产生的有机废气为</w:t>
            </w:r>
            <w:r>
              <w:rPr>
                <w:rFonts w:hint="default" w:cs="Times New Roman"/>
                <w:color w:val="auto"/>
                <w:lang w:val="en-US" w:eastAsia="zh-CN"/>
              </w:rPr>
              <w:t>0.</w:t>
            </w:r>
            <w:r>
              <w:rPr>
                <w:rFonts w:hint="eastAsia" w:cs="Times New Roman"/>
                <w:color w:val="auto"/>
                <w:lang w:val="en-US" w:eastAsia="zh-CN"/>
              </w:rPr>
              <w:t>534</w:t>
            </w:r>
            <w:r>
              <w:rPr>
                <w:rFonts w:hint="default" w:cs="Times New Roman"/>
                <w:color w:val="auto"/>
                <w:lang w:val="en-US" w:eastAsia="zh-CN"/>
              </w:rPr>
              <w:t>t</w:t>
            </w:r>
            <w:r>
              <w:rPr>
                <w:rFonts w:hint="eastAsia" w:cs="Times New Roman"/>
                <w:color w:val="auto"/>
                <w:lang w:val="en-US" w:eastAsia="zh-CN"/>
              </w:rPr>
              <w:t>/</w:t>
            </w:r>
            <w:r>
              <w:rPr>
                <w:rFonts w:hint="default" w:cs="Times New Roman"/>
                <w:color w:val="auto"/>
                <w:lang w:val="en-US" w:eastAsia="zh-CN"/>
              </w:rPr>
              <w:t>a</w:t>
            </w:r>
            <w:r>
              <w:rPr>
                <w:rFonts w:hint="default" w:cs="Times New Roman"/>
                <w:color w:val="auto"/>
                <w:lang w:val="en-US" w:eastAsia="zh-CN"/>
              </w:rPr>
              <w:t>，本项目在密闭加热烘道出料口设置 1.2m</w:t>
            </w:r>
            <w:r>
              <w:rPr>
                <w:rFonts w:hint="eastAsia" w:cs="Times New Roman"/>
                <w:color w:val="auto"/>
                <w:lang w:val="en-US" w:eastAsia="zh-CN"/>
              </w:rPr>
              <w:t>×</w:t>
            </w:r>
            <w:r>
              <w:rPr>
                <w:rFonts w:hint="default" w:cs="Times New Roman"/>
                <w:color w:val="auto"/>
                <w:lang w:val="en-US" w:eastAsia="zh-CN"/>
              </w:rPr>
              <w:t xml:space="preserve">0.4m 集气罩收集有机废气，收集效率按照 90%计，则有组织收集废气量为 </w:t>
            </w:r>
            <w:r>
              <w:rPr>
                <w:rFonts w:hint="eastAsia" w:cs="Times New Roman"/>
                <w:color w:val="auto"/>
                <w:lang w:val="en-US" w:eastAsia="zh-CN"/>
              </w:rPr>
              <w:t>0.481</w:t>
            </w:r>
            <w:r>
              <w:rPr>
                <w:rFonts w:hint="default" w:cs="Times New Roman"/>
                <w:color w:val="auto"/>
                <w:lang w:val="en-US" w:eastAsia="zh-CN"/>
              </w:rPr>
              <w:t>t</w:t>
            </w:r>
            <w:r>
              <w:rPr>
                <w:rFonts w:hint="eastAsia" w:cs="Times New Roman"/>
                <w:color w:val="auto"/>
                <w:lang w:val="en-US" w:eastAsia="zh-CN"/>
              </w:rPr>
              <w:t>/</w:t>
            </w:r>
            <w:r>
              <w:rPr>
                <w:rFonts w:hint="default" w:cs="Times New Roman"/>
                <w:color w:val="auto"/>
                <w:lang w:val="en-US" w:eastAsia="zh-CN"/>
              </w:rPr>
              <w:t xml:space="preserve">a，无组织排放量为 </w:t>
            </w:r>
            <w:r>
              <w:rPr>
                <w:rFonts w:hint="eastAsia" w:cs="Times New Roman"/>
                <w:color w:val="auto"/>
                <w:lang w:val="en-US" w:eastAsia="zh-CN"/>
              </w:rPr>
              <w:t>0.053</w:t>
            </w:r>
            <w:r>
              <w:rPr>
                <w:rFonts w:hint="default" w:cs="Times New Roman"/>
                <w:color w:val="auto"/>
                <w:lang w:val="en-US" w:eastAsia="zh-CN"/>
              </w:rPr>
              <w:t>t</w:t>
            </w:r>
            <w:r>
              <w:rPr>
                <w:rFonts w:hint="eastAsia" w:cs="Times New Roman"/>
                <w:color w:val="auto"/>
                <w:lang w:val="en-US" w:eastAsia="zh-CN"/>
              </w:rPr>
              <w:t>/</w:t>
            </w:r>
            <w:r>
              <w:rPr>
                <w:rFonts w:hint="default" w:cs="Times New Roman"/>
                <w:color w:val="auto"/>
                <w:lang w:val="en-US" w:eastAsia="zh-CN"/>
              </w:rPr>
              <w:t xml:space="preserve">a。收集废气经二级活性炭吸附装置处理后经 15m 排气筒DA002)排放,去除效率 90%,最终有组织排放量为 </w:t>
            </w:r>
            <w:r>
              <w:rPr>
                <w:rFonts w:hint="eastAsia" w:cs="Times New Roman"/>
                <w:color w:val="auto"/>
                <w:lang w:val="en-US" w:eastAsia="zh-CN"/>
              </w:rPr>
              <w:t>0.048</w:t>
            </w:r>
            <w:r>
              <w:rPr>
                <w:rFonts w:hint="default" w:cs="Times New Roman"/>
                <w:color w:val="auto"/>
                <w:lang w:val="en-US" w:eastAsia="zh-CN"/>
              </w:rPr>
              <w:t>ta、0.0</w:t>
            </w:r>
            <w:r>
              <w:rPr>
                <w:rFonts w:hint="eastAsia" w:cs="Times New Roman"/>
                <w:color w:val="auto"/>
                <w:lang w:val="en-US" w:eastAsia="zh-CN"/>
              </w:rPr>
              <w:t>10</w:t>
            </w:r>
            <w:r>
              <w:rPr>
                <w:rFonts w:hint="default" w:cs="Times New Roman"/>
                <w:color w:val="auto"/>
                <w:lang w:val="en-US" w:eastAsia="zh-CN"/>
              </w:rPr>
              <w:t>kg/h。</w:t>
            </w:r>
          </w:p>
          <w:p w14:paraId="6EBCC20B">
            <w:pPr>
              <w:keepNext w:val="0"/>
              <w:keepLines w:val="0"/>
              <w:pageBreakBefore w:val="0"/>
              <w:widowControl w:val="0"/>
              <w:tabs>
                <w:tab w:val="left" w:pos="2520"/>
              </w:tabs>
              <w:kinsoku/>
              <w:wordWrap/>
              <w:overflowPunct/>
              <w:topLinePunct w:val="0"/>
              <w:autoSpaceDE/>
              <w:autoSpaceDN/>
              <w:bidi w:val="0"/>
              <w:adjustRightInd w:val="0"/>
              <w:snapToGrid/>
              <w:spacing w:line="360" w:lineRule="auto"/>
              <w:ind w:firstLine="0" w:firstLineChars="0"/>
              <w:jc w:val="center"/>
              <w:textAlignment w:val="auto"/>
              <w:rPr>
                <w:rFonts w:hint="eastAsia"/>
                <w:b/>
                <w:bCs/>
                <w:sz w:val="24"/>
              </w:rPr>
            </w:pPr>
            <w:r>
              <w:rPr>
                <w:rFonts w:hint="eastAsia"/>
                <w:b/>
                <w:bCs/>
                <w:sz w:val="24"/>
              </w:rPr>
              <w:t>表4-</w:t>
            </w:r>
            <w:r>
              <w:rPr>
                <w:rFonts w:hint="eastAsia"/>
                <w:b/>
                <w:bCs/>
                <w:sz w:val="24"/>
                <w:lang w:val="en-US" w:eastAsia="zh-CN"/>
              </w:rPr>
              <w:t>3喷胶固化</w:t>
            </w:r>
            <w:r>
              <w:rPr>
                <w:rFonts w:hint="eastAsia" w:ascii="Times New Roman" w:hAnsi="Times New Roman" w:cs="Times New Roman"/>
                <w:b/>
                <w:bCs/>
                <w:sz w:val="24"/>
              </w:rPr>
              <w:t>废气排放</w:t>
            </w:r>
            <w:r>
              <w:rPr>
                <w:rFonts w:hint="eastAsia"/>
                <w:b/>
                <w:bCs/>
                <w:sz w:val="24"/>
              </w:rPr>
              <w:t>情况一览表</w:t>
            </w:r>
          </w:p>
          <w:tbl>
            <w:tblPr>
              <w:tblStyle w:val="30"/>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9"/>
              <w:gridCol w:w="658"/>
              <w:gridCol w:w="796"/>
              <w:gridCol w:w="727"/>
              <w:gridCol w:w="704"/>
              <w:gridCol w:w="1004"/>
              <w:gridCol w:w="1096"/>
              <w:gridCol w:w="1142"/>
              <w:gridCol w:w="998"/>
              <w:gridCol w:w="1032"/>
            </w:tblGrid>
            <w:tr w14:paraId="64938D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94B9E62">
                  <w:pPr>
                    <w:widowControl/>
                    <w:jc w:val="center"/>
                    <w:rPr>
                      <w:szCs w:val="21"/>
                    </w:rPr>
                  </w:pPr>
                  <w:r>
                    <w:rPr>
                      <w:rFonts w:hint="eastAsia"/>
                      <w:szCs w:val="21"/>
                    </w:rPr>
                    <w:t>产污</w:t>
                  </w:r>
                </w:p>
                <w:p w14:paraId="46AE06C9">
                  <w:pPr>
                    <w:widowControl/>
                    <w:jc w:val="center"/>
                    <w:rPr>
                      <w:szCs w:val="21"/>
                    </w:rPr>
                  </w:pPr>
                  <w:r>
                    <w:rPr>
                      <w:rFonts w:hint="eastAsia"/>
                      <w:szCs w:val="21"/>
                    </w:rPr>
                    <w:t>工序</w:t>
                  </w:r>
                </w:p>
              </w:tc>
              <w:tc>
                <w:tcPr>
                  <w:tcW w:w="658" w:type="dxa"/>
                  <w:vAlign w:val="center"/>
                </w:tcPr>
                <w:p w14:paraId="4BAB5614">
                  <w:pPr>
                    <w:widowControl/>
                    <w:jc w:val="center"/>
                    <w:rPr>
                      <w:szCs w:val="21"/>
                    </w:rPr>
                  </w:pPr>
                  <w:r>
                    <w:rPr>
                      <w:rFonts w:hint="eastAsia"/>
                      <w:szCs w:val="21"/>
                    </w:rPr>
                    <w:t>污染物种类</w:t>
                  </w:r>
                </w:p>
              </w:tc>
              <w:tc>
                <w:tcPr>
                  <w:tcW w:w="796" w:type="dxa"/>
                  <w:vAlign w:val="center"/>
                </w:tcPr>
                <w:p w14:paraId="06148385">
                  <w:pPr>
                    <w:autoSpaceDE w:val="0"/>
                    <w:autoSpaceDN w:val="0"/>
                    <w:adjustRightInd w:val="0"/>
                    <w:jc w:val="center"/>
                    <w:rPr>
                      <w:szCs w:val="21"/>
                    </w:rPr>
                  </w:pPr>
                  <w:r>
                    <w:rPr>
                      <w:rFonts w:hint="eastAsia"/>
                      <w:szCs w:val="21"/>
                    </w:rPr>
                    <w:t>有组织产生量（</w:t>
                  </w:r>
                  <w:r>
                    <w:rPr>
                      <w:szCs w:val="21"/>
                    </w:rPr>
                    <w:t>t/a</w:t>
                  </w:r>
                  <w:r>
                    <w:rPr>
                      <w:rFonts w:hint="eastAsia"/>
                      <w:szCs w:val="21"/>
                    </w:rPr>
                    <w:t>）</w:t>
                  </w:r>
                </w:p>
              </w:tc>
              <w:tc>
                <w:tcPr>
                  <w:tcW w:w="727" w:type="dxa"/>
                  <w:vAlign w:val="center"/>
                </w:tcPr>
                <w:p w14:paraId="2B944B1E">
                  <w:pPr>
                    <w:widowControl/>
                    <w:jc w:val="center"/>
                    <w:rPr>
                      <w:szCs w:val="21"/>
                    </w:rPr>
                  </w:pPr>
                  <w:r>
                    <w:rPr>
                      <w:rFonts w:hint="eastAsia"/>
                      <w:szCs w:val="21"/>
                    </w:rPr>
                    <w:t>处理措施</w:t>
                  </w:r>
                </w:p>
              </w:tc>
              <w:tc>
                <w:tcPr>
                  <w:tcW w:w="704" w:type="dxa"/>
                  <w:vAlign w:val="center"/>
                </w:tcPr>
                <w:p w14:paraId="64720EDB">
                  <w:pPr>
                    <w:autoSpaceDE w:val="0"/>
                    <w:autoSpaceDN w:val="0"/>
                    <w:adjustRightInd w:val="0"/>
                    <w:jc w:val="center"/>
                    <w:rPr>
                      <w:szCs w:val="21"/>
                    </w:rPr>
                  </w:pPr>
                  <w:r>
                    <w:rPr>
                      <w:rFonts w:hint="eastAsia"/>
                      <w:szCs w:val="21"/>
                    </w:rPr>
                    <w:t>处理效率</w:t>
                  </w:r>
                </w:p>
              </w:tc>
              <w:tc>
                <w:tcPr>
                  <w:tcW w:w="1004" w:type="dxa"/>
                  <w:vAlign w:val="center"/>
                </w:tcPr>
                <w:p w14:paraId="4E2A32D9">
                  <w:pPr>
                    <w:autoSpaceDE w:val="0"/>
                    <w:autoSpaceDN w:val="0"/>
                    <w:adjustRightInd w:val="0"/>
                    <w:jc w:val="center"/>
                    <w:rPr>
                      <w:szCs w:val="21"/>
                    </w:rPr>
                  </w:pPr>
                  <w:r>
                    <w:rPr>
                      <w:rFonts w:hint="eastAsia"/>
                      <w:szCs w:val="21"/>
                    </w:rPr>
                    <w:t>排放量（</w:t>
                  </w:r>
                  <w:r>
                    <w:rPr>
                      <w:szCs w:val="21"/>
                    </w:rPr>
                    <w:t>t/a</w:t>
                  </w:r>
                  <w:r>
                    <w:rPr>
                      <w:rFonts w:hint="eastAsia"/>
                      <w:szCs w:val="21"/>
                    </w:rPr>
                    <w:t>）</w:t>
                  </w:r>
                </w:p>
              </w:tc>
              <w:tc>
                <w:tcPr>
                  <w:tcW w:w="1096" w:type="dxa"/>
                  <w:vAlign w:val="center"/>
                </w:tcPr>
                <w:p w14:paraId="3EF1283F">
                  <w:pPr>
                    <w:autoSpaceDE w:val="0"/>
                    <w:autoSpaceDN w:val="0"/>
                    <w:adjustRightInd w:val="0"/>
                    <w:jc w:val="center"/>
                    <w:rPr>
                      <w:szCs w:val="21"/>
                    </w:rPr>
                  </w:pPr>
                  <w:r>
                    <w:rPr>
                      <w:rFonts w:hint="eastAsia"/>
                      <w:szCs w:val="21"/>
                    </w:rPr>
                    <w:t>排放速率（</w:t>
                  </w:r>
                  <w:r>
                    <w:rPr>
                      <w:szCs w:val="21"/>
                    </w:rPr>
                    <w:t>kg/h</w:t>
                  </w:r>
                  <w:r>
                    <w:rPr>
                      <w:rFonts w:hint="eastAsia"/>
                      <w:szCs w:val="21"/>
                    </w:rPr>
                    <w:t>）</w:t>
                  </w:r>
                </w:p>
              </w:tc>
              <w:tc>
                <w:tcPr>
                  <w:tcW w:w="1142" w:type="dxa"/>
                  <w:vAlign w:val="center"/>
                </w:tcPr>
                <w:p w14:paraId="0782F803">
                  <w:pPr>
                    <w:autoSpaceDE w:val="0"/>
                    <w:autoSpaceDN w:val="0"/>
                    <w:adjustRightInd w:val="0"/>
                    <w:jc w:val="center"/>
                    <w:rPr>
                      <w:szCs w:val="21"/>
                    </w:rPr>
                  </w:pPr>
                  <w:r>
                    <w:rPr>
                      <w:rFonts w:hint="eastAsia"/>
                      <w:szCs w:val="21"/>
                    </w:rPr>
                    <w:t>排放浓度（</w:t>
                  </w:r>
                  <w:r>
                    <w:rPr>
                      <w:szCs w:val="21"/>
                    </w:rPr>
                    <w:t>mg/m</w:t>
                  </w:r>
                  <w:r>
                    <w:rPr>
                      <w:szCs w:val="21"/>
                      <w:vertAlign w:val="superscript"/>
                    </w:rPr>
                    <w:t>3</w:t>
                  </w:r>
                  <w:r>
                    <w:rPr>
                      <w:rFonts w:hint="eastAsia"/>
                      <w:szCs w:val="21"/>
                    </w:rPr>
                    <w:t>）</w:t>
                  </w:r>
                </w:p>
              </w:tc>
              <w:tc>
                <w:tcPr>
                  <w:tcW w:w="998" w:type="dxa"/>
                  <w:vAlign w:val="center"/>
                </w:tcPr>
                <w:p w14:paraId="0F9CDBA0">
                  <w:pPr>
                    <w:widowControl/>
                    <w:jc w:val="center"/>
                    <w:rPr>
                      <w:szCs w:val="21"/>
                    </w:rPr>
                  </w:pPr>
                  <w:r>
                    <w:rPr>
                      <w:rFonts w:hint="eastAsia"/>
                      <w:szCs w:val="21"/>
                    </w:rPr>
                    <w:t>标准值</w:t>
                  </w:r>
                </w:p>
              </w:tc>
              <w:tc>
                <w:tcPr>
                  <w:tcW w:w="1032" w:type="dxa"/>
                  <w:vAlign w:val="center"/>
                </w:tcPr>
                <w:p w14:paraId="43452311">
                  <w:pPr>
                    <w:autoSpaceDE w:val="0"/>
                    <w:autoSpaceDN w:val="0"/>
                    <w:adjustRightInd w:val="0"/>
                    <w:jc w:val="center"/>
                    <w:rPr>
                      <w:szCs w:val="21"/>
                    </w:rPr>
                  </w:pPr>
                  <w:r>
                    <w:rPr>
                      <w:rFonts w:hint="eastAsia"/>
                      <w:szCs w:val="21"/>
                    </w:rPr>
                    <w:t>风机风量（m</w:t>
                  </w:r>
                  <w:r>
                    <w:rPr>
                      <w:rFonts w:hint="eastAsia"/>
                      <w:szCs w:val="21"/>
                      <w:vertAlign w:val="superscript"/>
                    </w:rPr>
                    <w:t>3</w:t>
                  </w:r>
                  <w:r>
                    <w:rPr>
                      <w:rFonts w:hint="eastAsia"/>
                      <w:szCs w:val="21"/>
                    </w:rPr>
                    <w:t>/h）</w:t>
                  </w:r>
                </w:p>
              </w:tc>
            </w:tr>
            <w:tr w14:paraId="5957A4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1" w:hRule="atLeast"/>
              </w:trPr>
              <w:tc>
                <w:tcPr>
                  <w:tcW w:w="659" w:type="dxa"/>
                  <w:vAlign w:val="center"/>
                </w:tcPr>
                <w:p w14:paraId="005CA491">
                  <w:pPr>
                    <w:widowControl/>
                    <w:jc w:val="center"/>
                    <w:rPr>
                      <w:rFonts w:hint="default" w:eastAsia="宋体"/>
                      <w:szCs w:val="21"/>
                      <w:lang w:val="en-US" w:eastAsia="zh-CN"/>
                    </w:rPr>
                  </w:pPr>
                  <w:r>
                    <w:rPr>
                      <w:rFonts w:hint="eastAsia"/>
                      <w:szCs w:val="21"/>
                      <w:lang w:val="en-US" w:eastAsia="zh-CN"/>
                    </w:rPr>
                    <w:t>喷胶固化</w:t>
                  </w:r>
                </w:p>
              </w:tc>
              <w:tc>
                <w:tcPr>
                  <w:tcW w:w="658" w:type="dxa"/>
                  <w:vAlign w:val="center"/>
                </w:tcPr>
                <w:p w14:paraId="6FA08445">
                  <w:pPr>
                    <w:widowControl/>
                    <w:jc w:val="center"/>
                    <w:rPr>
                      <w:rFonts w:hint="eastAsia" w:eastAsia="宋体"/>
                      <w:szCs w:val="21"/>
                      <w:lang w:eastAsia="zh-CN"/>
                    </w:rPr>
                  </w:pPr>
                  <w:r>
                    <w:rPr>
                      <w:rFonts w:hint="eastAsia"/>
                      <w:szCs w:val="21"/>
                      <w:lang w:val="en-US" w:eastAsia="zh-CN"/>
                    </w:rPr>
                    <w:t>非甲烷总烃</w:t>
                  </w:r>
                </w:p>
              </w:tc>
              <w:tc>
                <w:tcPr>
                  <w:tcW w:w="796" w:type="dxa"/>
                  <w:vAlign w:val="center"/>
                </w:tcPr>
                <w:p w14:paraId="1E8E2500">
                  <w:pPr>
                    <w:widowControl/>
                    <w:jc w:val="center"/>
                    <w:rPr>
                      <w:rFonts w:hint="default" w:eastAsia="宋体"/>
                      <w:szCs w:val="21"/>
                      <w:lang w:val="en-US" w:eastAsia="zh-CN"/>
                    </w:rPr>
                  </w:pPr>
                  <w:r>
                    <w:rPr>
                      <w:rFonts w:hint="eastAsia"/>
                      <w:szCs w:val="21"/>
                      <w:lang w:val="en-US" w:eastAsia="zh-CN"/>
                    </w:rPr>
                    <w:t>0.687</w:t>
                  </w:r>
                </w:p>
              </w:tc>
              <w:tc>
                <w:tcPr>
                  <w:tcW w:w="727" w:type="dxa"/>
                  <w:vAlign w:val="center"/>
                </w:tcPr>
                <w:p w14:paraId="51AD31CF">
                  <w:pPr>
                    <w:widowControl/>
                    <w:jc w:val="center"/>
                    <w:rPr>
                      <w:szCs w:val="21"/>
                    </w:rPr>
                  </w:pPr>
                  <w:r>
                    <w:rPr>
                      <w:rFonts w:hint="eastAsia"/>
                      <w:szCs w:val="21"/>
                      <w:lang w:val="en-US" w:eastAsia="zh-CN"/>
                    </w:rPr>
                    <w:t>集气罩</w:t>
                  </w:r>
                  <w:r>
                    <w:rPr>
                      <w:rFonts w:hint="eastAsia"/>
                      <w:szCs w:val="21"/>
                    </w:rPr>
                    <w:t>+</w:t>
                  </w:r>
                  <w:r>
                    <w:rPr>
                      <w:rFonts w:hint="eastAsia"/>
                      <w:szCs w:val="21"/>
                      <w:lang w:val="en-US" w:eastAsia="zh-CN"/>
                    </w:rPr>
                    <w:t>过滤棉+</w:t>
                  </w:r>
                  <w:r>
                    <w:rPr>
                      <w:rFonts w:hint="eastAsia"/>
                      <w:szCs w:val="21"/>
                    </w:rPr>
                    <w:t>二级活性炭</w:t>
                  </w:r>
                </w:p>
              </w:tc>
              <w:tc>
                <w:tcPr>
                  <w:tcW w:w="704" w:type="dxa"/>
                  <w:vAlign w:val="center"/>
                </w:tcPr>
                <w:p w14:paraId="69DE815B">
                  <w:pPr>
                    <w:widowControl/>
                    <w:jc w:val="center"/>
                    <w:rPr>
                      <w:szCs w:val="21"/>
                    </w:rPr>
                  </w:pPr>
                  <w:r>
                    <w:rPr>
                      <w:rFonts w:hint="eastAsia"/>
                      <w:szCs w:val="21"/>
                      <w:lang w:val="en-US" w:eastAsia="zh-CN"/>
                    </w:rPr>
                    <w:t>90</w:t>
                  </w:r>
                  <w:r>
                    <w:rPr>
                      <w:rFonts w:hint="eastAsia"/>
                      <w:szCs w:val="21"/>
                    </w:rPr>
                    <w:t>%</w:t>
                  </w:r>
                </w:p>
              </w:tc>
              <w:tc>
                <w:tcPr>
                  <w:tcW w:w="1004" w:type="dxa"/>
                  <w:vAlign w:val="center"/>
                </w:tcPr>
                <w:p w14:paraId="055C31B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0.254</w:t>
                  </w:r>
                </w:p>
              </w:tc>
              <w:tc>
                <w:tcPr>
                  <w:tcW w:w="1096" w:type="dxa"/>
                  <w:vAlign w:val="center"/>
                </w:tcPr>
                <w:p w14:paraId="6941D342">
                  <w:pPr>
                    <w:keepNext w:val="0"/>
                    <w:keepLines w:val="0"/>
                    <w:widowControl/>
                    <w:suppressLineNumbers w:val="0"/>
                    <w:jc w:val="center"/>
                    <w:textAlignment w:val="center"/>
                    <w:rPr>
                      <w:rFonts w:hint="default" w:eastAsia="宋体"/>
                      <w:szCs w:val="21"/>
                      <w:lang w:val="en-US" w:eastAsia="zh-CN"/>
                    </w:rPr>
                  </w:pPr>
                  <w:r>
                    <w:rPr>
                      <w:rFonts w:hint="eastAsia" w:ascii="宋体" w:hAnsi="宋体" w:eastAsia="宋体" w:cs="宋体"/>
                      <w:i w:val="0"/>
                      <w:iCs w:val="0"/>
                      <w:color w:val="000000"/>
                      <w:kern w:val="0"/>
                      <w:sz w:val="22"/>
                      <w:szCs w:val="22"/>
                      <w:u w:val="none"/>
                      <w:lang w:val="en-US" w:eastAsia="zh-CN" w:bidi="ar"/>
                    </w:rPr>
                    <w:t>0.0138</w:t>
                  </w:r>
                </w:p>
              </w:tc>
              <w:tc>
                <w:tcPr>
                  <w:tcW w:w="1142" w:type="dxa"/>
                  <w:shd w:val="clear" w:color="auto" w:fill="auto"/>
                  <w:vAlign w:val="center"/>
                </w:tcPr>
                <w:p w14:paraId="5F323896">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1.38</w:t>
                  </w:r>
                </w:p>
              </w:tc>
              <w:tc>
                <w:tcPr>
                  <w:tcW w:w="998" w:type="dxa"/>
                  <w:vAlign w:val="center"/>
                </w:tcPr>
                <w:p w14:paraId="07BC093E">
                  <w:pPr>
                    <w:widowControl/>
                    <w:jc w:val="center"/>
                    <w:rPr>
                      <w:szCs w:val="21"/>
                    </w:rPr>
                  </w:pPr>
                  <w:r>
                    <w:rPr>
                      <w:rFonts w:hint="eastAsia"/>
                      <w:szCs w:val="21"/>
                      <w:lang w:val="en-US" w:eastAsia="zh-CN"/>
                    </w:rPr>
                    <w:t>12</w:t>
                  </w:r>
                  <w:r>
                    <w:rPr>
                      <w:szCs w:val="21"/>
                    </w:rPr>
                    <w:t>0mg/m</w:t>
                  </w:r>
                  <w:r>
                    <w:rPr>
                      <w:szCs w:val="21"/>
                      <w:vertAlign w:val="superscript"/>
                    </w:rPr>
                    <w:t>3</w:t>
                  </w:r>
                  <w:r>
                    <w:rPr>
                      <w:rFonts w:hint="eastAsia"/>
                      <w:szCs w:val="21"/>
                    </w:rPr>
                    <w:t>，</w:t>
                  </w:r>
                  <w:r>
                    <w:rPr>
                      <w:rFonts w:hint="eastAsia"/>
                      <w:szCs w:val="21"/>
                      <w:lang w:val="en-US" w:eastAsia="zh-CN"/>
                    </w:rPr>
                    <w:t>10</w:t>
                  </w:r>
                  <w:r>
                    <w:rPr>
                      <w:szCs w:val="21"/>
                    </w:rPr>
                    <w:t>kg/h</w:t>
                  </w:r>
                </w:p>
              </w:tc>
              <w:tc>
                <w:tcPr>
                  <w:tcW w:w="1032" w:type="dxa"/>
                  <w:vAlign w:val="center"/>
                </w:tcPr>
                <w:p w14:paraId="03F2EA02">
                  <w:pPr>
                    <w:widowControl/>
                    <w:jc w:val="center"/>
                    <w:rPr>
                      <w:szCs w:val="21"/>
                    </w:rPr>
                  </w:pPr>
                  <w:r>
                    <w:rPr>
                      <w:rFonts w:hint="eastAsia"/>
                      <w:szCs w:val="21"/>
                      <w:lang w:val="en-US" w:eastAsia="zh-CN"/>
                    </w:rPr>
                    <w:t>10</w:t>
                  </w:r>
                  <w:r>
                    <w:rPr>
                      <w:rFonts w:hint="eastAsia"/>
                      <w:szCs w:val="21"/>
                    </w:rPr>
                    <w:t>000</w:t>
                  </w:r>
                </w:p>
              </w:tc>
            </w:tr>
          </w:tbl>
          <w:p w14:paraId="7C6CD8E3">
            <w:pPr>
              <w:pStyle w:val="101"/>
              <w:spacing w:line="480" w:lineRule="exact"/>
              <w:ind w:left="0" w:leftChars="0" w:firstLine="0" w:firstLineChars="0"/>
              <w:rPr>
                <w:rFonts w:hint="eastAsia" w:ascii="Times New Roman" w:hAnsi="Times New Roman" w:eastAsia="宋体" w:cs="Times New Roman"/>
                <w:color w:val="auto"/>
                <w:lang w:val="en-US" w:eastAsia="zh-CN"/>
              </w:rPr>
            </w:pPr>
          </w:p>
          <w:p w14:paraId="3084AC9A">
            <w:pPr>
              <w:pStyle w:val="9"/>
              <w:spacing w:line="360" w:lineRule="auto"/>
              <w:ind w:firstLine="0" w:firstLineChars="0"/>
              <w:rPr>
                <w:kern w:val="0"/>
                <w:sz w:val="24"/>
              </w:rPr>
            </w:pPr>
          </w:p>
        </w:tc>
      </w:tr>
    </w:tbl>
    <w:p w14:paraId="28AACBF0">
      <w:pPr>
        <w:adjustRightInd w:val="0"/>
        <w:snapToGrid w:val="0"/>
        <w:jc w:val="center"/>
        <w:rPr>
          <w:bCs/>
          <w:sz w:val="24"/>
        </w:rPr>
        <w:sectPr>
          <w:pgSz w:w="11907" w:h="16840"/>
          <w:pgMar w:top="1701" w:right="1531" w:bottom="2127" w:left="1531" w:header="851" w:footer="851" w:gutter="0"/>
          <w:cols w:space="720" w:num="1"/>
          <w:docGrid w:linePitch="312" w:charSpace="0"/>
        </w:sectPr>
      </w:pPr>
    </w:p>
    <w:tbl>
      <w:tblPr>
        <w:tblStyle w:val="29"/>
        <w:tblW w:w="132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12773"/>
      </w:tblGrid>
      <w:tr w14:paraId="13F72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6" w:hRule="atLeast"/>
        </w:trPr>
        <w:tc>
          <w:tcPr>
            <w:tcW w:w="455" w:type="dxa"/>
            <w:shd w:val="clear" w:color="auto" w:fill="auto"/>
            <w:vAlign w:val="center"/>
          </w:tcPr>
          <w:p w14:paraId="7DEF0F8F">
            <w:pPr>
              <w:autoSpaceDE w:val="0"/>
              <w:autoSpaceDN w:val="0"/>
              <w:adjustRightInd w:val="0"/>
              <w:snapToGrid w:val="0"/>
              <w:jc w:val="center"/>
              <w:rPr>
                <w:rFonts w:cs="宋体"/>
                <w:kern w:val="0"/>
                <w:sz w:val="24"/>
              </w:rPr>
            </w:pPr>
            <w:r>
              <w:rPr>
                <w:rFonts w:hint="eastAsia" w:cs="宋体"/>
                <w:kern w:val="0"/>
                <w:sz w:val="24"/>
              </w:rPr>
              <w:t>运营</w:t>
            </w:r>
          </w:p>
          <w:p w14:paraId="2005FAD9">
            <w:pPr>
              <w:autoSpaceDE w:val="0"/>
              <w:autoSpaceDN w:val="0"/>
              <w:adjustRightInd w:val="0"/>
              <w:snapToGrid w:val="0"/>
              <w:jc w:val="center"/>
              <w:rPr>
                <w:rFonts w:cs="宋体"/>
                <w:kern w:val="0"/>
                <w:sz w:val="24"/>
              </w:rPr>
            </w:pPr>
            <w:r>
              <w:rPr>
                <w:rFonts w:hint="eastAsia" w:cs="宋体"/>
                <w:kern w:val="0"/>
                <w:sz w:val="24"/>
              </w:rPr>
              <w:t>期环</w:t>
            </w:r>
          </w:p>
          <w:p w14:paraId="7AD9AD5E">
            <w:pPr>
              <w:autoSpaceDE w:val="0"/>
              <w:autoSpaceDN w:val="0"/>
              <w:adjustRightInd w:val="0"/>
              <w:snapToGrid w:val="0"/>
              <w:jc w:val="center"/>
              <w:rPr>
                <w:rFonts w:cs="宋体"/>
                <w:kern w:val="0"/>
                <w:sz w:val="24"/>
              </w:rPr>
            </w:pPr>
            <w:r>
              <w:rPr>
                <w:rFonts w:hint="eastAsia" w:cs="宋体"/>
                <w:kern w:val="0"/>
                <w:sz w:val="24"/>
              </w:rPr>
              <w:t>境影</w:t>
            </w:r>
          </w:p>
          <w:p w14:paraId="7EEC2DFC">
            <w:pPr>
              <w:autoSpaceDE w:val="0"/>
              <w:autoSpaceDN w:val="0"/>
              <w:adjustRightInd w:val="0"/>
              <w:snapToGrid w:val="0"/>
              <w:jc w:val="center"/>
              <w:rPr>
                <w:rFonts w:cs="宋体"/>
                <w:kern w:val="0"/>
                <w:sz w:val="24"/>
              </w:rPr>
            </w:pPr>
            <w:r>
              <w:rPr>
                <w:rFonts w:hint="eastAsia" w:cs="宋体"/>
                <w:kern w:val="0"/>
                <w:sz w:val="24"/>
              </w:rPr>
              <w:t>响和</w:t>
            </w:r>
          </w:p>
          <w:p w14:paraId="71591A9E">
            <w:pPr>
              <w:autoSpaceDE w:val="0"/>
              <w:autoSpaceDN w:val="0"/>
              <w:adjustRightInd w:val="0"/>
              <w:snapToGrid w:val="0"/>
              <w:jc w:val="center"/>
              <w:rPr>
                <w:rFonts w:cs="宋体"/>
                <w:kern w:val="0"/>
                <w:sz w:val="24"/>
              </w:rPr>
            </w:pPr>
            <w:r>
              <w:rPr>
                <w:rFonts w:hint="eastAsia" w:cs="宋体"/>
                <w:kern w:val="0"/>
                <w:sz w:val="24"/>
              </w:rPr>
              <w:t>保护</w:t>
            </w:r>
          </w:p>
          <w:p w14:paraId="0F265F58">
            <w:pPr>
              <w:tabs>
                <w:tab w:val="left" w:pos="1077"/>
              </w:tabs>
              <w:jc w:val="center"/>
              <w:rPr>
                <w:rFonts w:cs="宋体"/>
                <w:sz w:val="24"/>
              </w:rPr>
            </w:pPr>
            <w:r>
              <w:rPr>
                <w:rFonts w:hint="eastAsia" w:cs="宋体"/>
                <w:kern w:val="0"/>
                <w:sz w:val="24"/>
              </w:rPr>
              <w:t>措施</w:t>
            </w:r>
          </w:p>
        </w:tc>
        <w:tc>
          <w:tcPr>
            <w:tcW w:w="12773" w:type="dxa"/>
            <w:shd w:val="clear" w:color="auto" w:fill="auto"/>
          </w:tcPr>
          <w:p w14:paraId="42A7552F">
            <w:pPr>
              <w:spacing w:before="120" w:beforeLines="50" w:line="360" w:lineRule="auto"/>
              <w:ind w:firstLine="480" w:firstLineChars="200"/>
              <w:jc w:val="left"/>
              <w:rPr>
                <w:b/>
                <w:sz w:val="24"/>
              </w:rPr>
            </w:pPr>
            <w:r>
              <w:rPr>
                <w:sz w:val="24"/>
              </w:rPr>
              <w:t>根据工程分析结果，项目生产过程中有组织废气污染物产生、处理及排放情况见表</w:t>
            </w:r>
            <w:r>
              <w:rPr>
                <w:rFonts w:hint="eastAsia"/>
                <w:sz w:val="24"/>
              </w:rPr>
              <w:t>4</w:t>
            </w:r>
            <w:r>
              <w:rPr>
                <w:sz w:val="24"/>
              </w:rPr>
              <w:t>-</w:t>
            </w:r>
            <w:r>
              <w:rPr>
                <w:rFonts w:hint="eastAsia"/>
                <w:sz w:val="24"/>
                <w:lang w:val="en-US" w:eastAsia="zh-CN"/>
              </w:rPr>
              <w:t>4</w:t>
            </w:r>
            <w:r>
              <w:rPr>
                <w:sz w:val="24"/>
              </w:rPr>
              <w:t>，无组织废气污染物排放情况见表</w:t>
            </w:r>
            <w:r>
              <w:rPr>
                <w:rFonts w:hint="eastAsia"/>
                <w:sz w:val="24"/>
              </w:rPr>
              <w:t>4</w:t>
            </w:r>
            <w:r>
              <w:rPr>
                <w:sz w:val="24"/>
              </w:rPr>
              <w:t>-</w:t>
            </w:r>
            <w:r>
              <w:rPr>
                <w:rFonts w:hint="eastAsia"/>
                <w:sz w:val="24"/>
                <w:lang w:val="en-US" w:eastAsia="zh-CN"/>
              </w:rPr>
              <w:t>5</w:t>
            </w:r>
            <w:r>
              <w:rPr>
                <w:rFonts w:hint="eastAsia"/>
                <w:sz w:val="24"/>
              </w:rPr>
              <w:t>。</w:t>
            </w:r>
          </w:p>
          <w:p w14:paraId="2C560EA7">
            <w:pPr>
              <w:spacing w:before="120" w:beforeLines="50"/>
              <w:jc w:val="center"/>
            </w:pPr>
            <w:r>
              <w:rPr>
                <w:b/>
                <w:sz w:val="24"/>
              </w:rPr>
              <w:t>表</w:t>
            </w:r>
            <w:r>
              <w:rPr>
                <w:rFonts w:hint="eastAsia"/>
                <w:b/>
                <w:sz w:val="24"/>
              </w:rPr>
              <w:t>4</w:t>
            </w:r>
            <w:r>
              <w:rPr>
                <w:b/>
                <w:sz w:val="24"/>
              </w:rPr>
              <w:t>-</w:t>
            </w:r>
            <w:r>
              <w:rPr>
                <w:rFonts w:hint="eastAsia"/>
                <w:b/>
                <w:sz w:val="24"/>
                <w:lang w:val="en-US" w:eastAsia="zh-CN"/>
              </w:rPr>
              <w:t>4</w:t>
            </w:r>
            <w:r>
              <w:rPr>
                <w:b/>
                <w:sz w:val="24"/>
              </w:rPr>
              <w:t xml:space="preserve">  </w:t>
            </w:r>
            <w:r>
              <w:rPr>
                <w:rFonts w:hint="eastAsia"/>
                <w:b/>
                <w:sz w:val="24"/>
              </w:rPr>
              <w:t>本</w:t>
            </w:r>
            <w:r>
              <w:rPr>
                <w:b/>
                <w:sz w:val="24"/>
              </w:rPr>
              <w:t>项目有组织废气产生、治理及排放状况表</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694"/>
              <w:gridCol w:w="719"/>
              <w:gridCol w:w="859"/>
              <w:gridCol w:w="603"/>
              <w:gridCol w:w="689"/>
              <w:gridCol w:w="694"/>
              <w:gridCol w:w="438"/>
              <w:gridCol w:w="1296"/>
              <w:gridCol w:w="400"/>
              <w:gridCol w:w="613"/>
              <w:gridCol w:w="808"/>
              <w:gridCol w:w="750"/>
              <w:gridCol w:w="597"/>
              <w:gridCol w:w="459"/>
              <w:gridCol w:w="412"/>
              <w:gridCol w:w="429"/>
              <w:gridCol w:w="429"/>
              <w:gridCol w:w="381"/>
              <w:gridCol w:w="725"/>
              <w:gridCol w:w="552"/>
            </w:tblGrid>
            <w:tr w14:paraId="25F52A2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76" w:type="pct"/>
                  <w:vMerge w:val="restart"/>
                  <w:vAlign w:val="center"/>
                </w:tcPr>
                <w:p w14:paraId="52841310">
                  <w:pPr>
                    <w:overflowPunct w:val="0"/>
                    <w:adjustRightInd w:val="0"/>
                    <w:snapToGrid w:val="0"/>
                    <w:ind w:firstLine="4"/>
                    <w:jc w:val="center"/>
                    <w:textAlignment w:val="baseline"/>
                    <w:rPr>
                      <w:b/>
                      <w:kern w:val="0"/>
                      <w:szCs w:val="21"/>
                    </w:rPr>
                  </w:pPr>
                  <w:r>
                    <w:rPr>
                      <w:b/>
                      <w:kern w:val="0"/>
                      <w:szCs w:val="21"/>
                    </w:rPr>
                    <w:t>排放源编号</w:t>
                  </w:r>
                </w:p>
              </w:tc>
              <w:tc>
                <w:tcPr>
                  <w:tcW w:w="286" w:type="pct"/>
                  <w:vMerge w:val="restart"/>
                  <w:vAlign w:val="center"/>
                </w:tcPr>
                <w:p w14:paraId="50DE62DC">
                  <w:pPr>
                    <w:overflowPunct w:val="0"/>
                    <w:adjustRightInd w:val="0"/>
                    <w:snapToGrid w:val="0"/>
                    <w:ind w:firstLine="4"/>
                    <w:jc w:val="center"/>
                    <w:textAlignment w:val="baseline"/>
                    <w:rPr>
                      <w:b/>
                      <w:kern w:val="0"/>
                      <w:szCs w:val="21"/>
                    </w:rPr>
                  </w:pPr>
                  <w:r>
                    <w:rPr>
                      <w:b/>
                      <w:kern w:val="0"/>
                      <w:szCs w:val="21"/>
                    </w:rPr>
                    <w:t>污染源</w:t>
                  </w:r>
                </w:p>
              </w:tc>
              <w:tc>
                <w:tcPr>
                  <w:tcW w:w="342" w:type="pct"/>
                  <w:vMerge w:val="restart"/>
                  <w:vAlign w:val="center"/>
                </w:tcPr>
                <w:p w14:paraId="0526876D">
                  <w:pPr>
                    <w:overflowPunct w:val="0"/>
                    <w:adjustRightInd w:val="0"/>
                    <w:snapToGrid w:val="0"/>
                    <w:ind w:firstLine="4"/>
                    <w:jc w:val="center"/>
                    <w:textAlignment w:val="baseline"/>
                    <w:rPr>
                      <w:b/>
                      <w:kern w:val="0"/>
                      <w:szCs w:val="21"/>
                    </w:rPr>
                  </w:pPr>
                  <w:r>
                    <w:rPr>
                      <w:b/>
                      <w:kern w:val="0"/>
                      <w:szCs w:val="21"/>
                    </w:rPr>
                    <w:t>污染物</w:t>
                  </w:r>
                </w:p>
                <w:p w14:paraId="40131DAA">
                  <w:pPr>
                    <w:overflowPunct w:val="0"/>
                    <w:adjustRightInd w:val="0"/>
                    <w:snapToGrid w:val="0"/>
                    <w:ind w:firstLine="4"/>
                    <w:jc w:val="center"/>
                    <w:textAlignment w:val="baseline"/>
                    <w:rPr>
                      <w:b/>
                      <w:kern w:val="0"/>
                      <w:szCs w:val="21"/>
                    </w:rPr>
                  </w:pPr>
                  <w:r>
                    <w:rPr>
                      <w:b/>
                      <w:kern w:val="0"/>
                      <w:szCs w:val="21"/>
                    </w:rPr>
                    <w:t>名称</w:t>
                  </w:r>
                </w:p>
              </w:tc>
              <w:tc>
                <w:tcPr>
                  <w:tcW w:w="791" w:type="pct"/>
                  <w:gridSpan w:val="3"/>
                  <w:vAlign w:val="center"/>
                </w:tcPr>
                <w:p w14:paraId="71709952">
                  <w:pPr>
                    <w:overflowPunct w:val="0"/>
                    <w:adjustRightInd w:val="0"/>
                    <w:snapToGrid w:val="0"/>
                    <w:ind w:firstLine="4"/>
                    <w:jc w:val="center"/>
                    <w:textAlignment w:val="baseline"/>
                    <w:rPr>
                      <w:b/>
                      <w:kern w:val="0"/>
                      <w:szCs w:val="21"/>
                    </w:rPr>
                  </w:pPr>
                  <w:r>
                    <w:rPr>
                      <w:b/>
                      <w:kern w:val="0"/>
                      <w:szCs w:val="21"/>
                    </w:rPr>
                    <w:t>产生状况</w:t>
                  </w:r>
                </w:p>
              </w:tc>
              <w:tc>
                <w:tcPr>
                  <w:tcW w:w="850" w:type="pct"/>
                  <w:gridSpan w:val="3"/>
                  <w:vAlign w:val="center"/>
                </w:tcPr>
                <w:p w14:paraId="2DC19C3C">
                  <w:pPr>
                    <w:overflowPunct w:val="0"/>
                    <w:adjustRightInd w:val="0"/>
                    <w:snapToGrid w:val="0"/>
                    <w:ind w:firstLine="4"/>
                    <w:jc w:val="center"/>
                    <w:textAlignment w:val="baseline"/>
                    <w:rPr>
                      <w:b/>
                      <w:kern w:val="0"/>
                      <w:szCs w:val="21"/>
                    </w:rPr>
                  </w:pPr>
                  <w:r>
                    <w:rPr>
                      <w:rFonts w:hint="eastAsia"/>
                      <w:b/>
                      <w:kern w:val="0"/>
                      <w:szCs w:val="21"/>
                    </w:rPr>
                    <w:t>治理设施</w:t>
                  </w:r>
                </w:p>
              </w:tc>
              <w:tc>
                <w:tcPr>
                  <w:tcW w:w="865" w:type="pct"/>
                  <w:gridSpan w:val="3"/>
                  <w:vAlign w:val="center"/>
                </w:tcPr>
                <w:p w14:paraId="41D690D5">
                  <w:pPr>
                    <w:overflowPunct w:val="0"/>
                    <w:adjustRightInd w:val="0"/>
                    <w:snapToGrid w:val="0"/>
                    <w:ind w:firstLine="4"/>
                    <w:jc w:val="center"/>
                    <w:textAlignment w:val="baseline"/>
                    <w:rPr>
                      <w:b/>
                      <w:kern w:val="0"/>
                      <w:szCs w:val="21"/>
                    </w:rPr>
                  </w:pPr>
                  <w:r>
                    <w:rPr>
                      <w:b/>
                      <w:kern w:val="0"/>
                      <w:szCs w:val="21"/>
                    </w:rPr>
                    <w:t>排放状况</w:t>
                  </w:r>
                </w:p>
              </w:tc>
              <w:tc>
                <w:tcPr>
                  <w:tcW w:w="420" w:type="pct"/>
                  <w:gridSpan w:val="2"/>
                  <w:vAlign w:val="center"/>
                </w:tcPr>
                <w:p w14:paraId="3FDBACCE">
                  <w:pPr>
                    <w:overflowPunct w:val="0"/>
                    <w:adjustRightInd w:val="0"/>
                    <w:snapToGrid w:val="0"/>
                    <w:ind w:firstLine="4"/>
                    <w:jc w:val="center"/>
                    <w:textAlignment w:val="baseline"/>
                    <w:rPr>
                      <w:b/>
                      <w:kern w:val="0"/>
                      <w:szCs w:val="21"/>
                    </w:rPr>
                  </w:pPr>
                  <w:r>
                    <w:rPr>
                      <w:b/>
                      <w:kern w:val="0"/>
                      <w:szCs w:val="21"/>
                    </w:rPr>
                    <w:t>执行标准</w:t>
                  </w:r>
                </w:p>
              </w:tc>
              <w:tc>
                <w:tcPr>
                  <w:tcW w:w="164" w:type="pct"/>
                  <w:vMerge w:val="restart"/>
                  <w:vAlign w:val="center"/>
                </w:tcPr>
                <w:p w14:paraId="218EEAC5">
                  <w:pPr>
                    <w:overflowPunct w:val="0"/>
                    <w:adjustRightInd w:val="0"/>
                    <w:snapToGrid w:val="0"/>
                    <w:ind w:firstLine="4"/>
                    <w:jc w:val="center"/>
                    <w:textAlignment w:val="baseline"/>
                    <w:rPr>
                      <w:b/>
                      <w:kern w:val="0"/>
                      <w:szCs w:val="21"/>
                    </w:rPr>
                  </w:pPr>
                  <w:r>
                    <w:rPr>
                      <w:b/>
                      <w:kern w:val="0"/>
                      <w:szCs w:val="21"/>
                    </w:rPr>
                    <w:t>达标情况</w:t>
                  </w:r>
                </w:p>
              </w:tc>
              <w:tc>
                <w:tcPr>
                  <w:tcW w:w="782" w:type="pct"/>
                  <w:gridSpan w:val="4"/>
                  <w:vAlign w:val="center"/>
                </w:tcPr>
                <w:p w14:paraId="3198904C">
                  <w:pPr>
                    <w:overflowPunct w:val="0"/>
                    <w:adjustRightInd w:val="0"/>
                    <w:snapToGrid w:val="0"/>
                    <w:ind w:firstLine="4"/>
                    <w:jc w:val="center"/>
                    <w:textAlignment w:val="baseline"/>
                    <w:rPr>
                      <w:b/>
                      <w:kern w:val="0"/>
                      <w:szCs w:val="21"/>
                    </w:rPr>
                  </w:pPr>
                  <w:r>
                    <w:rPr>
                      <w:b/>
                      <w:kern w:val="0"/>
                      <w:szCs w:val="21"/>
                    </w:rPr>
                    <w:t>排放源参数</w:t>
                  </w:r>
                </w:p>
              </w:tc>
              <w:tc>
                <w:tcPr>
                  <w:tcW w:w="219" w:type="pct"/>
                  <w:vMerge w:val="restart"/>
                  <w:vAlign w:val="center"/>
                </w:tcPr>
                <w:p w14:paraId="7B303316">
                  <w:pPr>
                    <w:overflowPunct w:val="0"/>
                    <w:adjustRightInd w:val="0"/>
                    <w:snapToGrid w:val="0"/>
                    <w:spacing w:before="40" w:after="60" w:line="200" w:lineRule="atLeast"/>
                    <w:ind w:firstLine="4"/>
                    <w:jc w:val="center"/>
                    <w:textAlignment w:val="baseline"/>
                    <w:rPr>
                      <w:b/>
                      <w:kern w:val="0"/>
                      <w:szCs w:val="21"/>
                    </w:rPr>
                  </w:pPr>
                  <w:r>
                    <w:rPr>
                      <w:b/>
                      <w:kern w:val="0"/>
                      <w:szCs w:val="21"/>
                    </w:rPr>
                    <w:t>年排放时间</w:t>
                  </w:r>
                </w:p>
              </w:tc>
            </w:tr>
            <w:tr w14:paraId="6914767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76" w:type="pct"/>
                  <w:vMerge w:val="continue"/>
                  <w:vAlign w:val="center"/>
                </w:tcPr>
                <w:p w14:paraId="7EC11C63">
                  <w:pPr>
                    <w:overflowPunct w:val="0"/>
                    <w:adjustRightInd w:val="0"/>
                    <w:snapToGrid w:val="0"/>
                    <w:ind w:firstLine="4"/>
                    <w:jc w:val="center"/>
                    <w:textAlignment w:val="baseline"/>
                    <w:rPr>
                      <w:b/>
                      <w:kern w:val="0"/>
                      <w:szCs w:val="21"/>
                    </w:rPr>
                  </w:pPr>
                </w:p>
              </w:tc>
              <w:tc>
                <w:tcPr>
                  <w:tcW w:w="286" w:type="pct"/>
                  <w:vMerge w:val="continue"/>
                  <w:vAlign w:val="center"/>
                </w:tcPr>
                <w:p w14:paraId="359C2530">
                  <w:pPr>
                    <w:overflowPunct w:val="0"/>
                    <w:adjustRightInd w:val="0"/>
                    <w:snapToGrid w:val="0"/>
                    <w:ind w:firstLine="4"/>
                    <w:jc w:val="center"/>
                    <w:textAlignment w:val="baseline"/>
                    <w:rPr>
                      <w:b/>
                      <w:kern w:val="0"/>
                      <w:szCs w:val="21"/>
                    </w:rPr>
                  </w:pPr>
                </w:p>
              </w:tc>
              <w:tc>
                <w:tcPr>
                  <w:tcW w:w="342" w:type="pct"/>
                  <w:vMerge w:val="continue"/>
                  <w:vAlign w:val="center"/>
                </w:tcPr>
                <w:p w14:paraId="579CFAFA">
                  <w:pPr>
                    <w:overflowPunct w:val="0"/>
                    <w:adjustRightInd w:val="0"/>
                    <w:snapToGrid w:val="0"/>
                    <w:ind w:firstLine="4"/>
                    <w:jc w:val="center"/>
                    <w:textAlignment w:val="baseline"/>
                    <w:rPr>
                      <w:b/>
                      <w:kern w:val="0"/>
                      <w:szCs w:val="21"/>
                    </w:rPr>
                  </w:pPr>
                </w:p>
              </w:tc>
              <w:tc>
                <w:tcPr>
                  <w:tcW w:w="240" w:type="pct"/>
                  <w:vAlign w:val="center"/>
                </w:tcPr>
                <w:p w14:paraId="4B35B4CE">
                  <w:pPr>
                    <w:overflowPunct w:val="0"/>
                    <w:adjustRightInd w:val="0"/>
                    <w:snapToGrid w:val="0"/>
                    <w:ind w:firstLine="4"/>
                    <w:jc w:val="center"/>
                    <w:textAlignment w:val="baseline"/>
                    <w:rPr>
                      <w:b/>
                      <w:kern w:val="0"/>
                      <w:szCs w:val="21"/>
                    </w:rPr>
                  </w:pPr>
                  <w:r>
                    <w:rPr>
                      <w:b/>
                      <w:kern w:val="0"/>
                      <w:szCs w:val="21"/>
                    </w:rPr>
                    <w:t>浓度</w:t>
                  </w:r>
                </w:p>
                <w:p w14:paraId="75912669">
                  <w:pPr>
                    <w:overflowPunct w:val="0"/>
                    <w:adjustRightInd w:val="0"/>
                    <w:snapToGrid w:val="0"/>
                    <w:ind w:firstLine="4"/>
                    <w:jc w:val="center"/>
                    <w:textAlignment w:val="baseline"/>
                    <w:rPr>
                      <w:b/>
                      <w:kern w:val="0"/>
                      <w:szCs w:val="21"/>
                    </w:rPr>
                  </w:pPr>
                  <w:r>
                    <w:rPr>
                      <w:b/>
                      <w:kern w:val="0"/>
                      <w:szCs w:val="21"/>
                    </w:rPr>
                    <w:t>mg/m</w:t>
                  </w:r>
                  <w:r>
                    <w:rPr>
                      <w:b/>
                      <w:kern w:val="0"/>
                      <w:szCs w:val="21"/>
                      <w:vertAlign w:val="superscript"/>
                    </w:rPr>
                    <w:t>3</w:t>
                  </w:r>
                </w:p>
              </w:tc>
              <w:tc>
                <w:tcPr>
                  <w:tcW w:w="274" w:type="pct"/>
                  <w:vAlign w:val="center"/>
                </w:tcPr>
                <w:p w14:paraId="3F606DEE">
                  <w:pPr>
                    <w:overflowPunct w:val="0"/>
                    <w:adjustRightInd w:val="0"/>
                    <w:snapToGrid w:val="0"/>
                    <w:ind w:firstLine="4"/>
                    <w:jc w:val="center"/>
                    <w:textAlignment w:val="baseline"/>
                    <w:rPr>
                      <w:b/>
                      <w:kern w:val="0"/>
                      <w:szCs w:val="21"/>
                    </w:rPr>
                  </w:pPr>
                  <w:r>
                    <w:rPr>
                      <w:b/>
                      <w:kern w:val="0"/>
                      <w:szCs w:val="21"/>
                    </w:rPr>
                    <w:t>速率</w:t>
                  </w:r>
                </w:p>
                <w:p w14:paraId="5DCF5021">
                  <w:pPr>
                    <w:overflowPunct w:val="0"/>
                    <w:adjustRightInd w:val="0"/>
                    <w:snapToGrid w:val="0"/>
                    <w:ind w:firstLine="4"/>
                    <w:jc w:val="center"/>
                    <w:textAlignment w:val="baseline"/>
                    <w:rPr>
                      <w:b/>
                      <w:kern w:val="0"/>
                      <w:szCs w:val="21"/>
                    </w:rPr>
                  </w:pPr>
                  <w:r>
                    <w:rPr>
                      <w:b/>
                      <w:kern w:val="0"/>
                      <w:szCs w:val="21"/>
                    </w:rPr>
                    <w:t>kg/h</w:t>
                  </w:r>
                </w:p>
              </w:tc>
              <w:tc>
                <w:tcPr>
                  <w:tcW w:w="276" w:type="pct"/>
                  <w:vAlign w:val="center"/>
                </w:tcPr>
                <w:p w14:paraId="7D544584">
                  <w:pPr>
                    <w:overflowPunct w:val="0"/>
                    <w:adjustRightInd w:val="0"/>
                    <w:snapToGrid w:val="0"/>
                    <w:ind w:firstLine="4"/>
                    <w:jc w:val="center"/>
                    <w:textAlignment w:val="baseline"/>
                    <w:rPr>
                      <w:b/>
                      <w:kern w:val="0"/>
                      <w:szCs w:val="21"/>
                    </w:rPr>
                  </w:pPr>
                  <w:r>
                    <w:rPr>
                      <w:b/>
                      <w:kern w:val="0"/>
                      <w:szCs w:val="21"/>
                    </w:rPr>
                    <w:t>产生量</w:t>
                  </w:r>
                </w:p>
                <w:p w14:paraId="2524C1DF">
                  <w:pPr>
                    <w:overflowPunct w:val="0"/>
                    <w:adjustRightInd w:val="0"/>
                    <w:snapToGrid w:val="0"/>
                    <w:ind w:firstLine="4"/>
                    <w:jc w:val="center"/>
                    <w:textAlignment w:val="baseline"/>
                    <w:rPr>
                      <w:b/>
                      <w:kern w:val="0"/>
                      <w:szCs w:val="21"/>
                    </w:rPr>
                  </w:pPr>
                  <w:r>
                    <w:rPr>
                      <w:b/>
                      <w:kern w:val="0"/>
                      <w:szCs w:val="21"/>
                    </w:rPr>
                    <w:t>t/a</w:t>
                  </w:r>
                </w:p>
              </w:tc>
              <w:tc>
                <w:tcPr>
                  <w:tcW w:w="174" w:type="pct"/>
                  <w:vAlign w:val="center"/>
                </w:tcPr>
                <w:p w14:paraId="129564C6">
                  <w:pPr>
                    <w:overflowPunct w:val="0"/>
                    <w:adjustRightInd w:val="0"/>
                    <w:snapToGrid w:val="0"/>
                    <w:ind w:firstLine="4"/>
                    <w:jc w:val="center"/>
                    <w:textAlignment w:val="baseline"/>
                    <w:rPr>
                      <w:b/>
                      <w:kern w:val="0"/>
                      <w:szCs w:val="21"/>
                    </w:rPr>
                  </w:pPr>
                  <w:r>
                    <w:rPr>
                      <w:rFonts w:hint="eastAsia"/>
                      <w:b/>
                      <w:kern w:val="0"/>
                      <w:szCs w:val="21"/>
                    </w:rPr>
                    <w:t>收集效率</w:t>
                  </w:r>
                </w:p>
              </w:tc>
              <w:tc>
                <w:tcPr>
                  <w:tcW w:w="516" w:type="pct"/>
                  <w:vAlign w:val="center"/>
                </w:tcPr>
                <w:p w14:paraId="5578A7B5">
                  <w:pPr>
                    <w:overflowPunct w:val="0"/>
                    <w:adjustRightInd w:val="0"/>
                    <w:snapToGrid w:val="0"/>
                    <w:ind w:firstLine="4"/>
                    <w:jc w:val="center"/>
                    <w:textAlignment w:val="baseline"/>
                    <w:rPr>
                      <w:b/>
                      <w:kern w:val="0"/>
                      <w:szCs w:val="21"/>
                    </w:rPr>
                  </w:pPr>
                  <w:r>
                    <w:rPr>
                      <w:rFonts w:hint="eastAsia"/>
                      <w:b/>
                      <w:kern w:val="0"/>
                      <w:szCs w:val="21"/>
                    </w:rPr>
                    <w:t>治理工艺</w:t>
                  </w:r>
                </w:p>
              </w:tc>
              <w:tc>
                <w:tcPr>
                  <w:tcW w:w="159" w:type="pct"/>
                  <w:vAlign w:val="center"/>
                </w:tcPr>
                <w:p w14:paraId="02A9F9AA">
                  <w:pPr>
                    <w:overflowPunct w:val="0"/>
                    <w:adjustRightInd w:val="0"/>
                    <w:snapToGrid w:val="0"/>
                    <w:ind w:firstLine="4"/>
                    <w:jc w:val="center"/>
                    <w:textAlignment w:val="baseline"/>
                    <w:rPr>
                      <w:b/>
                      <w:kern w:val="0"/>
                      <w:szCs w:val="21"/>
                    </w:rPr>
                  </w:pPr>
                  <w:r>
                    <w:rPr>
                      <w:b/>
                      <w:kern w:val="0"/>
                      <w:szCs w:val="21"/>
                    </w:rPr>
                    <w:t>去除率</w:t>
                  </w:r>
                </w:p>
              </w:tc>
              <w:tc>
                <w:tcPr>
                  <w:tcW w:w="244" w:type="pct"/>
                  <w:vAlign w:val="center"/>
                </w:tcPr>
                <w:p w14:paraId="58D5E839">
                  <w:pPr>
                    <w:overflowPunct w:val="0"/>
                    <w:adjustRightInd w:val="0"/>
                    <w:snapToGrid w:val="0"/>
                    <w:ind w:firstLine="4"/>
                    <w:jc w:val="center"/>
                    <w:textAlignment w:val="baseline"/>
                    <w:rPr>
                      <w:b/>
                      <w:kern w:val="0"/>
                      <w:szCs w:val="21"/>
                    </w:rPr>
                  </w:pPr>
                  <w:r>
                    <w:rPr>
                      <w:b/>
                      <w:kern w:val="0"/>
                      <w:szCs w:val="21"/>
                    </w:rPr>
                    <w:t>浓度</w:t>
                  </w:r>
                </w:p>
                <w:p w14:paraId="51028080">
                  <w:pPr>
                    <w:overflowPunct w:val="0"/>
                    <w:adjustRightInd w:val="0"/>
                    <w:snapToGrid w:val="0"/>
                    <w:ind w:firstLine="4"/>
                    <w:jc w:val="center"/>
                    <w:textAlignment w:val="baseline"/>
                    <w:rPr>
                      <w:b/>
                      <w:kern w:val="0"/>
                      <w:szCs w:val="21"/>
                    </w:rPr>
                  </w:pPr>
                  <w:r>
                    <w:rPr>
                      <w:b/>
                      <w:kern w:val="0"/>
                      <w:szCs w:val="21"/>
                    </w:rPr>
                    <w:t>mg/m</w:t>
                  </w:r>
                  <w:r>
                    <w:rPr>
                      <w:b/>
                      <w:kern w:val="0"/>
                      <w:szCs w:val="21"/>
                      <w:vertAlign w:val="superscript"/>
                    </w:rPr>
                    <w:t>3</w:t>
                  </w:r>
                </w:p>
              </w:tc>
              <w:tc>
                <w:tcPr>
                  <w:tcW w:w="321" w:type="pct"/>
                  <w:vAlign w:val="center"/>
                </w:tcPr>
                <w:p w14:paraId="5B985FDD">
                  <w:pPr>
                    <w:overflowPunct w:val="0"/>
                    <w:adjustRightInd w:val="0"/>
                    <w:snapToGrid w:val="0"/>
                    <w:ind w:firstLine="4"/>
                    <w:jc w:val="center"/>
                    <w:textAlignment w:val="baseline"/>
                    <w:rPr>
                      <w:b/>
                      <w:kern w:val="0"/>
                      <w:szCs w:val="21"/>
                    </w:rPr>
                  </w:pPr>
                  <w:r>
                    <w:rPr>
                      <w:b/>
                      <w:kern w:val="0"/>
                      <w:szCs w:val="21"/>
                    </w:rPr>
                    <w:t>速率</w:t>
                  </w:r>
                </w:p>
                <w:p w14:paraId="3E759F4C">
                  <w:pPr>
                    <w:overflowPunct w:val="0"/>
                    <w:adjustRightInd w:val="0"/>
                    <w:snapToGrid w:val="0"/>
                    <w:ind w:firstLine="4"/>
                    <w:jc w:val="center"/>
                    <w:textAlignment w:val="baseline"/>
                    <w:rPr>
                      <w:b/>
                      <w:kern w:val="0"/>
                      <w:szCs w:val="21"/>
                    </w:rPr>
                  </w:pPr>
                  <w:r>
                    <w:rPr>
                      <w:b/>
                      <w:kern w:val="0"/>
                      <w:szCs w:val="21"/>
                    </w:rPr>
                    <w:t>kg/h</w:t>
                  </w:r>
                </w:p>
              </w:tc>
              <w:tc>
                <w:tcPr>
                  <w:tcW w:w="298" w:type="pct"/>
                  <w:vAlign w:val="center"/>
                </w:tcPr>
                <w:p w14:paraId="219E7928">
                  <w:pPr>
                    <w:overflowPunct w:val="0"/>
                    <w:adjustRightInd w:val="0"/>
                    <w:snapToGrid w:val="0"/>
                    <w:ind w:firstLine="4"/>
                    <w:jc w:val="center"/>
                    <w:textAlignment w:val="baseline"/>
                    <w:rPr>
                      <w:b/>
                      <w:kern w:val="0"/>
                      <w:szCs w:val="21"/>
                    </w:rPr>
                  </w:pPr>
                  <w:r>
                    <w:rPr>
                      <w:b/>
                      <w:kern w:val="0"/>
                      <w:szCs w:val="21"/>
                    </w:rPr>
                    <w:t>排放量</w:t>
                  </w:r>
                </w:p>
                <w:p w14:paraId="3754457A">
                  <w:pPr>
                    <w:overflowPunct w:val="0"/>
                    <w:adjustRightInd w:val="0"/>
                    <w:snapToGrid w:val="0"/>
                    <w:ind w:firstLine="4"/>
                    <w:jc w:val="center"/>
                    <w:textAlignment w:val="baseline"/>
                    <w:rPr>
                      <w:b/>
                      <w:kern w:val="0"/>
                      <w:szCs w:val="21"/>
                    </w:rPr>
                  </w:pPr>
                  <w:r>
                    <w:rPr>
                      <w:b/>
                      <w:kern w:val="0"/>
                      <w:szCs w:val="21"/>
                    </w:rPr>
                    <w:t>t/a</w:t>
                  </w:r>
                </w:p>
              </w:tc>
              <w:tc>
                <w:tcPr>
                  <w:tcW w:w="237" w:type="pct"/>
                  <w:vAlign w:val="center"/>
                </w:tcPr>
                <w:p w14:paraId="523C272A">
                  <w:pPr>
                    <w:overflowPunct w:val="0"/>
                    <w:adjustRightInd w:val="0"/>
                    <w:snapToGrid w:val="0"/>
                    <w:ind w:firstLine="4"/>
                    <w:jc w:val="center"/>
                    <w:textAlignment w:val="baseline"/>
                    <w:rPr>
                      <w:b/>
                      <w:kern w:val="0"/>
                      <w:szCs w:val="21"/>
                    </w:rPr>
                  </w:pPr>
                  <w:r>
                    <w:rPr>
                      <w:b/>
                      <w:kern w:val="0"/>
                      <w:szCs w:val="21"/>
                    </w:rPr>
                    <w:t>浓度</w:t>
                  </w:r>
                </w:p>
                <w:p w14:paraId="3CE42650">
                  <w:pPr>
                    <w:overflowPunct w:val="0"/>
                    <w:adjustRightInd w:val="0"/>
                    <w:snapToGrid w:val="0"/>
                    <w:ind w:firstLine="4"/>
                    <w:jc w:val="center"/>
                    <w:textAlignment w:val="baseline"/>
                    <w:rPr>
                      <w:b/>
                      <w:kern w:val="0"/>
                      <w:szCs w:val="21"/>
                    </w:rPr>
                  </w:pPr>
                  <w:r>
                    <w:rPr>
                      <w:b/>
                      <w:kern w:val="0"/>
                      <w:szCs w:val="21"/>
                    </w:rPr>
                    <w:t>mg/m</w:t>
                  </w:r>
                  <w:r>
                    <w:rPr>
                      <w:b/>
                      <w:kern w:val="0"/>
                      <w:szCs w:val="21"/>
                      <w:vertAlign w:val="superscript"/>
                    </w:rPr>
                    <w:t>3</w:t>
                  </w:r>
                </w:p>
              </w:tc>
              <w:tc>
                <w:tcPr>
                  <w:tcW w:w="182" w:type="pct"/>
                  <w:vAlign w:val="center"/>
                </w:tcPr>
                <w:p w14:paraId="59B04580">
                  <w:pPr>
                    <w:overflowPunct w:val="0"/>
                    <w:adjustRightInd w:val="0"/>
                    <w:snapToGrid w:val="0"/>
                    <w:ind w:firstLine="4"/>
                    <w:jc w:val="center"/>
                    <w:textAlignment w:val="baseline"/>
                    <w:rPr>
                      <w:b/>
                      <w:kern w:val="0"/>
                      <w:szCs w:val="21"/>
                    </w:rPr>
                  </w:pPr>
                  <w:r>
                    <w:rPr>
                      <w:b/>
                      <w:kern w:val="0"/>
                      <w:szCs w:val="21"/>
                    </w:rPr>
                    <w:t>速率kg/h</w:t>
                  </w:r>
                </w:p>
              </w:tc>
              <w:tc>
                <w:tcPr>
                  <w:tcW w:w="164" w:type="pct"/>
                  <w:vMerge w:val="continue"/>
                  <w:vAlign w:val="center"/>
                </w:tcPr>
                <w:p w14:paraId="1A96B2EE">
                  <w:pPr>
                    <w:overflowPunct w:val="0"/>
                    <w:adjustRightInd w:val="0"/>
                    <w:snapToGrid w:val="0"/>
                    <w:ind w:firstLine="4"/>
                    <w:jc w:val="center"/>
                    <w:textAlignment w:val="baseline"/>
                    <w:rPr>
                      <w:b/>
                      <w:kern w:val="0"/>
                      <w:szCs w:val="21"/>
                    </w:rPr>
                  </w:pPr>
                </w:p>
              </w:tc>
              <w:tc>
                <w:tcPr>
                  <w:tcW w:w="170" w:type="pct"/>
                  <w:vAlign w:val="center"/>
                </w:tcPr>
                <w:p w14:paraId="348D0DCC">
                  <w:pPr>
                    <w:overflowPunct w:val="0"/>
                    <w:adjustRightInd w:val="0"/>
                    <w:snapToGrid w:val="0"/>
                    <w:ind w:firstLine="4"/>
                    <w:jc w:val="center"/>
                    <w:textAlignment w:val="baseline"/>
                    <w:rPr>
                      <w:b/>
                      <w:kern w:val="0"/>
                      <w:szCs w:val="21"/>
                    </w:rPr>
                  </w:pPr>
                  <w:r>
                    <w:rPr>
                      <w:b/>
                      <w:kern w:val="0"/>
                      <w:szCs w:val="21"/>
                    </w:rPr>
                    <w:t>高度</w:t>
                  </w:r>
                </w:p>
                <w:p w14:paraId="043B9703">
                  <w:pPr>
                    <w:overflowPunct w:val="0"/>
                    <w:adjustRightInd w:val="0"/>
                    <w:snapToGrid w:val="0"/>
                    <w:ind w:firstLine="4"/>
                    <w:jc w:val="center"/>
                    <w:textAlignment w:val="baseline"/>
                    <w:rPr>
                      <w:b/>
                      <w:kern w:val="0"/>
                      <w:szCs w:val="21"/>
                    </w:rPr>
                  </w:pPr>
                  <w:r>
                    <w:rPr>
                      <w:b/>
                      <w:kern w:val="0"/>
                      <w:szCs w:val="21"/>
                    </w:rPr>
                    <w:t>m</w:t>
                  </w:r>
                </w:p>
              </w:tc>
              <w:tc>
                <w:tcPr>
                  <w:tcW w:w="170" w:type="pct"/>
                  <w:vAlign w:val="center"/>
                </w:tcPr>
                <w:p w14:paraId="2BA1742A">
                  <w:pPr>
                    <w:overflowPunct w:val="0"/>
                    <w:adjustRightInd w:val="0"/>
                    <w:snapToGrid w:val="0"/>
                    <w:ind w:firstLine="4"/>
                    <w:jc w:val="center"/>
                    <w:textAlignment w:val="baseline"/>
                    <w:rPr>
                      <w:b/>
                      <w:kern w:val="0"/>
                      <w:szCs w:val="21"/>
                    </w:rPr>
                  </w:pPr>
                  <w:r>
                    <w:rPr>
                      <w:b/>
                      <w:kern w:val="0"/>
                      <w:szCs w:val="21"/>
                    </w:rPr>
                    <w:t>直径</w:t>
                  </w:r>
                </w:p>
                <w:p w14:paraId="0B5844F3">
                  <w:pPr>
                    <w:overflowPunct w:val="0"/>
                    <w:adjustRightInd w:val="0"/>
                    <w:snapToGrid w:val="0"/>
                    <w:ind w:firstLine="4"/>
                    <w:jc w:val="center"/>
                    <w:textAlignment w:val="baseline"/>
                    <w:rPr>
                      <w:b/>
                      <w:kern w:val="0"/>
                      <w:szCs w:val="21"/>
                    </w:rPr>
                  </w:pPr>
                  <w:r>
                    <w:rPr>
                      <w:b/>
                      <w:kern w:val="0"/>
                      <w:szCs w:val="21"/>
                    </w:rPr>
                    <w:t>m</w:t>
                  </w:r>
                </w:p>
              </w:tc>
              <w:tc>
                <w:tcPr>
                  <w:tcW w:w="151" w:type="pct"/>
                  <w:vAlign w:val="center"/>
                </w:tcPr>
                <w:p w14:paraId="76114576">
                  <w:pPr>
                    <w:overflowPunct w:val="0"/>
                    <w:adjustRightInd w:val="0"/>
                    <w:snapToGrid w:val="0"/>
                    <w:ind w:firstLine="4"/>
                    <w:jc w:val="center"/>
                    <w:textAlignment w:val="baseline"/>
                    <w:rPr>
                      <w:b/>
                      <w:kern w:val="0"/>
                      <w:szCs w:val="21"/>
                    </w:rPr>
                  </w:pPr>
                  <w:r>
                    <w:rPr>
                      <w:b/>
                      <w:kern w:val="0"/>
                      <w:szCs w:val="21"/>
                    </w:rPr>
                    <w:t>温度</w:t>
                  </w:r>
                </w:p>
                <w:p w14:paraId="37A2A1E3">
                  <w:pPr>
                    <w:overflowPunct w:val="0"/>
                    <w:adjustRightInd w:val="0"/>
                    <w:snapToGrid w:val="0"/>
                    <w:ind w:firstLine="4"/>
                    <w:jc w:val="center"/>
                    <w:textAlignment w:val="baseline"/>
                    <w:rPr>
                      <w:b/>
                      <w:kern w:val="0"/>
                      <w:szCs w:val="21"/>
                    </w:rPr>
                  </w:pPr>
                  <w:r>
                    <w:rPr>
                      <w:rFonts w:hint="eastAsia" w:cs="宋体"/>
                      <w:b/>
                      <w:kern w:val="0"/>
                      <w:szCs w:val="21"/>
                    </w:rPr>
                    <w:t>℃</w:t>
                  </w:r>
                </w:p>
              </w:tc>
              <w:tc>
                <w:tcPr>
                  <w:tcW w:w="288" w:type="pct"/>
                  <w:vAlign w:val="center"/>
                </w:tcPr>
                <w:p w14:paraId="317C719B">
                  <w:pPr>
                    <w:overflowPunct w:val="0"/>
                    <w:adjustRightInd w:val="0"/>
                    <w:snapToGrid w:val="0"/>
                    <w:ind w:firstLine="4"/>
                    <w:jc w:val="center"/>
                    <w:textAlignment w:val="baseline"/>
                    <w:rPr>
                      <w:b/>
                      <w:kern w:val="0"/>
                      <w:szCs w:val="21"/>
                    </w:rPr>
                  </w:pPr>
                  <w:r>
                    <w:rPr>
                      <w:b/>
                      <w:kern w:val="0"/>
                      <w:szCs w:val="21"/>
                    </w:rPr>
                    <w:t>排气量</w:t>
                  </w:r>
                </w:p>
                <w:p w14:paraId="6B61F47E">
                  <w:pPr>
                    <w:overflowPunct w:val="0"/>
                    <w:adjustRightInd w:val="0"/>
                    <w:snapToGrid w:val="0"/>
                    <w:ind w:firstLine="4"/>
                    <w:jc w:val="center"/>
                    <w:textAlignment w:val="baseline"/>
                    <w:rPr>
                      <w:b/>
                      <w:kern w:val="0"/>
                      <w:szCs w:val="21"/>
                    </w:rPr>
                  </w:pPr>
                  <w:r>
                    <w:rPr>
                      <w:b/>
                      <w:kern w:val="0"/>
                      <w:szCs w:val="21"/>
                    </w:rPr>
                    <w:t>Nm</w:t>
                  </w:r>
                  <w:r>
                    <w:rPr>
                      <w:b/>
                      <w:kern w:val="0"/>
                      <w:szCs w:val="21"/>
                      <w:vertAlign w:val="superscript"/>
                    </w:rPr>
                    <w:t>3</w:t>
                  </w:r>
                  <w:r>
                    <w:rPr>
                      <w:b/>
                      <w:kern w:val="0"/>
                      <w:szCs w:val="21"/>
                    </w:rPr>
                    <w:t>/h</w:t>
                  </w:r>
                </w:p>
              </w:tc>
              <w:tc>
                <w:tcPr>
                  <w:tcW w:w="219" w:type="pct"/>
                  <w:vMerge w:val="continue"/>
                  <w:vAlign w:val="center"/>
                </w:tcPr>
                <w:p w14:paraId="68DF543D">
                  <w:pPr>
                    <w:overflowPunct w:val="0"/>
                    <w:adjustRightInd w:val="0"/>
                    <w:snapToGrid w:val="0"/>
                    <w:ind w:firstLine="4"/>
                    <w:jc w:val="center"/>
                    <w:textAlignment w:val="baseline"/>
                    <w:rPr>
                      <w:b/>
                      <w:kern w:val="0"/>
                      <w:szCs w:val="21"/>
                    </w:rPr>
                  </w:pPr>
                </w:p>
              </w:tc>
            </w:tr>
            <w:tr w14:paraId="0A14D1B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749" w:hRule="atLeast"/>
                <w:jc w:val="center"/>
              </w:trPr>
              <w:tc>
                <w:tcPr>
                  <w:tcW w:w="276" w:type="pct"/>
                  <w:vMerge w:val="restart"/>
                  <w:vAlign w:val="center"/>
                </w:tcPr>
                <w:p w14:paraId="74646556">
                  <w:pPr>
                    <w:adjustRightInd w:val="0"/>
                    <w:snapToGrid w:val="0"/>
                    <w:jc w:val="center"/>
                    <w:rPr>
                      <w:szCs w:val="21"/>
                    </w:rPr>
                  </w:pPr>
                  <w:r>
                    <w:rPr>
                      <w:rFonts w:hint="eastAsia"/>
                      <w:szCs w:val="21"/>
                    </w:rPr>
                    <w:t>DA001</w:t>
                  </w:r>
                </w:p>
              </w:tc>
              <w:tc>
                <w:tcPr>
                  <w:tcW w:w="286" w:type="pct"/>
                  <w:vMerge w:val="restart"/>
                  <w:vAlign w:val="center"/>
                </w:tcPr>
                <w:p w14:paraId="7D137875">
                  <w:pPr>
                    <w:jc w:val="center"/>
                    <w:rPr>
                      <w:szCs w:val="21"/>
                    </w:rPr>
                  </w:pPr>
                  <w:r>
                    <w:rPr>
                      <w:rFonts w:hint="eastAsia"/>
                      <w:szCs w:val="21"/>
                      <w:lang w:val="en-US" w:eastAsia="zh-CN"/>
                    </w:rPr>
                    <w:t>发泡</w:t>
                  </w:r>
                  <w:r>
                    <w:rPr>
                      <w:rFonts w:hint="eastAsia"/>
                      <w:szCs w:val="21"/>
                    </w:rPr>
                    <w:t>工序</w:t>
                  </w:r>
                </w:p>
              </w:tc>
              <w:tc>
                <w:tcPr>
                  <w:tcW w:w="342" w:type="pct"/>
                  <w:vAlign w:val="center"/>
                </w:tcPr>
                <w:p w14:paraId="3BD47AF7">
                  <w:pPr>
                    <w:jc w:val="center"/>
                    <w:rPr>
                      <w:szCs w:val="21"/>
                    </w:rPr>
                  </w:pPr>
                  <w:r>
                    <w:rPr>
                      <w:rFonts w:hint="eastAsia"/>
                      <w:szCs w:val="21"/>
                    </w:rPr>
                    <w:t>非甲烷总烃</w:t>
                  </w:r>
                </w:p>
              </w:tc>
              <w:tc>
                <w:tcPr>
                  <w:tcW w:w="240" w:type="pct"/>
                  <w:vAlign w:val="center"/>
                </w:tcPr>
                <w:p w14:paraId="2C9B67F6">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86.094</w:t>
                  </w:r>
                </w:p>
              </w:tc>
              <w:tc>
                <w:tcPr>
                  <w:tcW w:w="274" w:type="pct"/>
                  <w:vAlign w:val="center"/>
                </w:tcPr>
                <w:p w14:paraId="304FD1A2">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0.861</w:t>
                  </w:r>
                </w:p>
              </w:tc>
              <w:tc>
                <w:tcPr>
                  <w:tcW w:w="276" w:type="pct"/>
                  <w:vAlign w:val="center"/>
                </w:tcPr>
                <w:p w14:paraId="608628F5">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4.133</w:t>
                  </w:r>
                </w:p>
              </w:tc>
              <w:tc>
                <w:tcPr>
                  <w:tcW w:w="174" w:type="pct"/>
                  <w:vMerge w:val="restart"/>
                  <w:vAlign w:val="center"/>
                </w:tcPr>
                <w:p w14:paraId="53B84856">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95%</w:t>
                  </w:r>
                </w:p>
              </w:tc>
              <w:tc>
                <w:tcPr>
                  <w:tcW w:w="516" w:type="pct"/>
                  <w:vMerge w:val="restart"/>
                  <w:vAlign w:val="center"/>
                </w:tcPr>
                <w:p w14:paraId="456B691D">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集气罩+</w:t>
                  </w:r>
                </w:p>
                <w:p w14:paraId="1CADCA72">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活性炭吸附</w:t>
                  </w:r>
                </w:p>
              </w:tc>
              <w:tc>
                <w:tcPr>
                  <w:tcW w:w="159" w:type="pct"/>
                  <w:vMerge w:val="restart"/>
                  <w:vAlign w:val="center"/>
                </w:tcPr>
                <w:p w14:paraId="662A9554">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90%</w:t>
                  </w:r>
                </w:p>
              </w:tc>
              <w:tc>
                <w:tcPr>
                  <w:tcW w:w="244" w:type="pct"/>
                  <w:vAlign w:val="center"/>
                </w:tcPr>
                <w:p w14:paraId="0BA85E8E">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8.609</w:t>
                  </w:r>
                </w:p>
              </w:tc>
              <w:tc>
                <w:tcPr>
                  <w:tcW w:w="321" w:type="pct"/>
                  <w:vAlign w:val="center"/>
                </w:tcPr>
                <w:p w14:paraId="0F45FF10">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0.086</w:t>
                  </w:r>
                </w:p>
              </w:tc>
              <w:tc>
                <w:tcPr>
                  <w:tcW w:w="298" w:type="pct"/>
                  <w:vAlign w:val="center"/>
                </w:tcPr>
                <w:p w14:paraId="18155219">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0.413</w:t>
                  </w:r>
                </w:p>
              </w:tc>
              <w:tc>
                <w:tcPr>
                  <w:tcW w:w="237" w:type="pct"/>
                  <w:vAlign w:val="center"/>
                </w:tcPr>
                <w:p w14:paraId="04882EE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40</w:t>
                  </w:r>
                </w:p>
              </w:tc>
              <w:tc>
                <w:tcPr>
                  <w:tcW w:w="182" w:type="pct"/>
                  <w:vAlign w:val="center"/>
                </w:tcPr>
                <w:p w14:paraId="75DF7805">
                  <w:pPr>
                    <w:widowControl/>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1.6</w:t>
                  </w:r>
                </w:p>
              </w:tc>
              <w:tc>
                <w:tcPr>
                  <w:tcW w:w="164" w:type="pct"/>
                  <w:vAlign w:val="center"/>
                </w:tcPr>
                <w:p w14:paraId="6B435C9D">
                  <w:pPr>
                    <w:jc w:val="center"/>
                    <w:rPr>
                      <w:szCs w:val="21"/>
                    </w:rPr>
                  </w:pPr>
                  <w:r>
                    <w:rPr>
                      <w:rFonts w:hint="eastAsia"/>
                      <w:szCs w:val="21"/>
                    </w:rPr>
                    <w:t>达标</w:t>
                  </w:r>
                </w:p>
              </w:tc>
              <w:tc>
                <w:tcPr>
                  <w:tcW w:w="170" w:type="pct"/>
                  <w:vMerge w:val="restart"/>
                  <w:vAlign w:val="center"/>
                </w:tcPr>
                <w:p w14:paraId="3C63EAD3">
                  <w:pPr>
                    <w:jc w:val="center"/>
                    <w:rPr>
                      <w:szCs w:val="21"/>
                    </w:rPr>
                  </w:pPr>
                  <w:r>
                    <w:rPr>
                      <w:rFonts w:hint="eastAsia"/>
                      <w:szCs w:val="21"/>
                    </w:rPr>
                    <w:t>15</w:t>
                  </w:r>
                </w:p>
              </w:tc>
              <w:tc>
                <w:tcPr>
                  <w:tcW w:w="170" w:type="pct"/>
                  <w:vMerge w:val="restart"/>
                  <w:vAlign w:val="center"/>
                </w:tcPr>
                <w:p w14:paraId="4B321694">
                  <w:pPr>
                    <w:jc w:val="center"/>
                    <w:rPr>
                      <w:szCs w:val="21"/>
                    </w:rPr>
                  </w:pPr>
                  <w:r>
                    <w:rPr>
                      <w:rFonts w:hint="eastAsia"/>
                      <w:szCs w:val="21"/>
                    </w:rPr>
                    <w:t>0.5</w:t>
                  </w:r>
                </w:p>
              </w:tc>
              <w:tc>
                <w:tcPr>
                  <w:tcW w:w="151" w:type="pct"/>
                  <w:vMerge w:val="restart"/>
                  <w:vAlign w:val="center"/>
                </w:tcPr>
                <w:p w14:paraId="44DFED1D">
                  <w:pPr>
                    <w:jc w:val="center"/>
                    <w:rPr>
                      <w:szCs w:val="21"/>
                    </w:rPr>
                  </w:pPr>
                  <w:r>
                    <w:rPr>
                      <w:rFonts w:hint="eastAsia"/>
                      <w:szCs w:val="21"/>
                    </w:rPr>
                    <w:t>25</w:t>
                  </w:r>
                </w:p>
              </w:tc>
              <w:tc>
                <w:tcPr>
                  <w:tcW w:w="288" w:type="pct"/>
                  <w:vMerge w:val="restart"/>
                  <w:vAlign w:val="center"/>
                </w:tcPr>
                <w:p w14:paraId="42E312BA">
                  <w:pPr>
                    <w:widowControl/>
                    <w:jc w:val="center"/>
                    <w:rPr>
                      <w:szCs w:val="21"/>
                    </w:rPr>
                  </w:pPr>
                  <w:r>
                    <w:rPr>
                      <w:rFonts w:hint="eastAsia"/>
                      <w:szCs w:val="21"/>
                      <w:lang w:val="en-US" w:eastAsia="zh-CN"/>
                    </w:rPr>
                    <w:t>10</w:t>
                  </w:r>
                  <w:r>
                    <w:rPr>
                      <w:rFonts w:hint="eastAsia"/>
                      <w:szCs w:val="21"/>
                    </w:rPr>
                    <w:t>000</w:t>
                  </w:r>
                </w:p>
              </w:tc>
              <w:tc>
                <w:tcPr>
                  <w:tcW w:w="219" w:type="pct"/>
                  <w:vMerge w:val="restart"/>
                  <w:vAlign w:val="center"/>
                </w:tcPr>
                <w:p w14:paraId="7EF4ABAF">
                  <w:pPr>
                    <w:jc w:val="center"/>
                    <w:rPr>
                      <w:szCs w:val="21"/>
                    </w:rPr>
                  </w:pPr>
                  <w:r>
                    <w:rPr>
                      <w:rFonts w:hint="eastAsia"/>
                      <w:szCs w:val="21"/>
                    </w:rPr>
                    <w:t>4800</w:t>
                  </w:r>
                  <w:r>
                    <w:rPr>
                      <w:szCs w:val="21"/>
                    </w:rPr>
                    <w:t>h</w:t>
                  </w:r>
                </w:p>
              </w:tc>
            </w:tr>
            <w:tr w14:paraId="11EAC3A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704" w:hRule="atLeast"/>
                <w:jc w:val="center"/>
              </w:trPr>
              <w:tc>
                <w:tcPr>
                  <w:tcW w:w="276" w:type="pct"/>
                  <w:vMerge w:val="continue"/>
                  <w:vAlign w:val="center"/>
                </w:tcPr>
                <w:p w14:paraId="310147E8">
                  <w:pPr>
                    <w:adjustRightInd w:val="0"/>
                    <w:snapToGrid w:val="0"/>
                    <w:jc w:val="center"/>
                    <w:rPr>
                      <w:szCs w:val="21"/>
                    </w:rPr>
                  </w:pPr>
                </w:p>
              </w:tc>
              <w:tc>
                <w:tcPr>
                  <w:tcW w:w="286" w:type="pct"/>
                  <w:vMerge w:val="continue"/>
                  <w:vAlign w:val="center"/>
                </w:tcPr>
                <w:p w14:paraId="2BAAB67A">
                  <w:pPr>
                    <w:jc w:val="center"/>
                    <w:rPr>
                      <w:szCs w:val="21"/>
                    </w:rPr>
                  </w:pPr>
                </w:p>
              </w:tc>
              <w:tc>
                <w:tcPr>
                  <w:tcW w:w="342" w:type="pct"/>
                  <w:vAlign w:val="center"/>
                </w:tcPr>
                <w:p w14:paraId="27BFA856">
                  <w:pPr>
                    <w:jc w:val="center"/>
                    <w:rPr>
                      <w:bCs/>
                      <w:szCs w:val="21"/>
                    </w:rPr>
                  </w:pPr>
                  <w:r>
                    <w:rPr>
                      <w:rFonts w:hint="eastAsia" w:ascii="Times New Roman" w:hAnsi="Times New Roman" w:eastAsia="宋体" w:cs="Times New Roman"/>
                      <w:color w:val="auto"/>
                      <w:sz w:val="21"/>
                      <w:szCs w:val="21"/>
                      <w:lang w:val="en-US" w:eastAsia="zh-CN"/>
                    </w:rPr>
                    <w:t>PAPI</w:t>
                  </w:r>
                </w:p>
              </w:tc>
              <w:tc>
                <w:tcPr>
                  <w:tcW w:w="240" w:type="pct"/>
                  <w:vAlign w:val="center"/>
                </w:tcPr>
                <w:p w14:paraId="7481119B">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0.455</w:t>
                  </w:r>
                </w:p>
              </w:tc>
              <w:tc>
                <w:tcPr>
                  <w:tcW w:w="274" w:type="pct"/>
                  <w:vAlign w:val="center"/>
                </w:tcPr>
                <w:p w14:paraId="1E648401">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0.005</w:t>
                  </w:r>
                </w:p>
              </w:tc>
              <w:tc>
                <w:tcPr>
                  <w:tcW w:w="276" w:type="pct"/>
                  <w:vAlign w:val="center"/>
                </w:tcPr>
                <w:p w14:paraId="69D16EBB">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0.022</w:t>
                  </w:r>
                </w:p>
              </w:tc>
              <w:tc>
                <w:tcPr>
                  <w:tcW w:w="174" w:type="pct"/>
                  <w:vMerge w:val="continue"/>
                  <w:vAlign w:val="center"/>
                </w:tcPr>
                <w:p w14:paraId="3514919B">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p>
              </w:tc>
              <w:tc>
                <w:tcPr>
                  <w:tcW w:w="516" w:type="pct"/>
                  <w:vMerge w:val="continue"/>
                  <w:vAlign w:val="center"/>
                </w:tcPr>
                <w:p w14:paraId="31580D84">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p>
              </w:tc>
              <w:tc>
                <w:tcPr>
                  <w:tcW w:w="159" w:type="pct"/>
                  <w:vMerge w:val="continue"/>
                  <w:vAlign w:val="center"/>
                </w:tcPr>
                <w:p w14:paraId="18C43EEC">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p>
              </w:tc>
              <w:tc>
                <w:tcPr>
                  <w:tcW w:w="244" w:type="pct"/>
                  <w:vAlign w:val="center"/>
                </w:tcPr>
                <w:p w14:paraId="454B0A60">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0.046</w:t>
                  </w:r>
                </w:p>
              </w:tc>
              <w:tc>
                <w:tcPr>
                  <w:tcW w:w="321" w:type="pct"/>
                  <w:vAlign w:val="center"/>
                </w:tcPr>
                <w:p w14:paraId="5AB162E4">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0.000</w:t>
                  </w:r>
                </w:p>
              </w:tc>
              <w:tc>
                <w:tcPr>
                  <w:tcW w:w="298" w:type="pct"/>
                  <w:vAlign w:val="center"/>
                </w:tcPr>
                <w:p w14:paraId="253426BF">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0.002</w:t>
                  </w:r>
                </w:p>
              </w:tc>
              <w:tc>
                <w:tcPr>
                  <w:tcW w:w="237" w:type="pct"/>
                  <w:vAlign w:val="center"/>
                </w:tcPr>
                <w:p w14:paraId="3FA4E001">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w:t>
                  </w:r>
                </w:p>
              </w:tc>
              <w:tc>
                <w:tcPr>
                  <w:tcW w:w="182" w:type="pct"/>
                  <w:vAlign w:val="center"/>
                </w:tcPr>
                <w:p w14:paraId="36521F4F">
                  <w:pPr>
                    <w:widowControl/>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t>
                  </w:r>
                </w:p>
              </w:tc>
              <w:tc>
                <w:tcPr>
                  <w:tcW w:w="164" w:type="pct"/>
                  <w:vAlign w:val="center"/>
                </w:tcPr>
                <w:p w14:paraId="29F2C2F7">
                  <w:pPr>
                    <w:jc w:val="center"/>
                    <w:rPr>
                      <w:szCs w:val="21"/>
                    </w:rPr>
                  </w:pPr>
                  <w:r>
                    <w:rPr>
                      <w:rFonts w:hint="eastAsia"/>
                      <w:szCs w:val="21"/>
                    </w:rPr>
                    <w:t>达标</w:t>
                  </w:r>
                </w:p>
              </w:tc>
              <w:tc>
                <w:tcPr>
                  <w:tcW w:w="170" w:type="pct"/>
                  <w:vMerge w:val="continue"/>
                  <w:tcBorders/>
                  <w:vAlign w:val="center"/>
                </w:tcPr>
                <w:p w14:paraId="456675E0">
                  <w:pPr>
                    <w:jc w:val="center"/>
                    <w:rPr>
                      <w:szCs w:val="21"/>
                    </w:rPr>
                  </w:pPr>
                </w:p>
              </w:tc>
              <w:tc>
                <w:tcPr>
                  <w:tcW w:w="170" w:type="pct"/>
                  <w:vMerge w:val="continue"/>
                  <w:tcBorders/>
                  <w:vAlign w:val="center"/>
                </w:tcPr>
                <w:p w14:paraId="46AD4096">
                  <w:pPr>
                    <w:jc w:val="center"/>
                    <w:rPr>
                      <w:szCs w:val="21"/>
                    </w:rPr>
                  </w:pPr>
                </w:p>
              </w:tc>
              <w:tc>
                <w:tcPr>
                  <w:tcW w:w="151" w:type="pct"/>
                  <w:vMerge w:val="continue"/>
                  <w:tcBorders/>
                  <w:vAlign w:val="center"/>
                </w:tcPr>
                <w:p w14:paraId="204AA4B5">
                  <w:pPr>
                    <w:jc w:val="center"/>
                    <w:rPr>
                      <w:szCs w:val="21"/>
                    </w:rPr>
                  </w:pPr>
                </w:p>
              </w:tc>
              <w:tc>
                <w:tcPr>
                  <w:tcW w:w="288" w:type="pct"/>
                  <w:vMerge w:val="continue"/>
                  <w:tcBorders/>
                  <w:vAlign w:val="center"/>
                </w:tcPr>
                <w:p w14:paraId="079AEB09">
                  <w:pPr>
                    <w:widowControl/>
                    <w:jc w:val="center"/>
                    <w:rPr>
                      <w:szCs w:val="21"/>
                    </w:rPr>
                  </w:pPr>
                </w:p>
              </w:tc>
              <w:tc>
                <w:tcPr>
                  <w:tcW w:w="219" w:type="pct"/>
                  <w:vMerge w:val="continue"/>
                  <w:tcBorders/>
                  <w:vAlign w:val="center"/>
                </w:tcPr>
                <w:p w14:paraId="64EA814C">
                  <w:pPr>
                    <w:jc w:val="center"/>
                    <w:rPr>
                      <w:szCs w:val="21"/>
                    </w:rPr>
                  </w:pPr>
                </w:p>
              </w:tc>
            </w:tr>
            <w:tr w14:paraId="611A88B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704" w:hRule="atLeast"/>
                <w:jc w:val="center"/>
              </w:trPr>
              <w:tc>
                <w:tcPr>
                  <w:tcW w:w="276" w:type="pct"/>
                  <w:vAlign w:val="center"/>
                </w:tcPr>
                <w:p w14:paraId="4CDECDB1">
                  <w:pPr>
                    <w:adjustRightInd w:val="0"/>
                    <w:snapToGrid w:val="0"/>
                    <w:jc w:val="center"/>
                    <w:rPr>
                      <w:rFonts w:hint="default" w:eastAsia="宋体"/>
                      <w:szCs w:val="21"/>
                      <w:lang w:val="en-US" w:eastAsia="zh-CN"/>
                    </w:rPr>
                  </w:pPr>
                  <w:r>
                    <w:rPr>
                      <w:rFonts w:hint="eastAsia"/>
                      <w:szCs w:val="21"/>
                      <w:lang w:val="en-US" w:eastAsia="zh-CN"/>
                    </w:rPr>
                    <w:t>DA001</w:t>
                  </w:r>
                </w:p>
              </w:tc>
              <w:tc>
                <w:tcPr>
                  <w:tcW w:w="286" w:type="pct"/>
                  <w:vAlign w:val="center"/>
                </w:tcPr>
                <w:p w14:paraId="24BB0418">
                  <w:pPr>
                    <w:jc w:val="center"/>
                    <w:rPr>
                      <w:rFonts w:hint="default" w:eastAsia="宋体"/>
                      <w:szCs w:val="21"/>
                      <w:lang w:val="en-US" w:eastAsia="zh-CN"/>
                    </w:rPr>
                  </w:pPr>
                  <w:r>
                    <w:rPr>
                      <w:rFonts w:hint="eastAsia"/>
                      <w:szCs w:val="21"/>
                      <w:lang w:val="en-US" w:eastAsia="zh-CN"/>
                    </w:rPr>
                    <w:t>脱模工序</w:t>
                  </w:r>
                </w:p>
              </w:tc>
              <w:tc>
                <w:tcPr>
                  <w:tcW w:w="342" w:type="pct"/>
                  <w:shd w:val="clear"/>
                  <w:vAlign w:val="center"/>
                </w:tcPr>
                <w:p w14:paraId="150BCE8C">
                  <w:pPr>
                    <w:jc w:val="center"/>
                    <w:rPr>
                      <w:rFonts w:ascii="Times New Roman" w:hAnsi="Times New Roman" w:eastAsia="宋体" w:cs="Times New Roman"/>
                      <w:kern w:val="2"/>
                      <w:sz w:val="21"/>
                      <w:szCs w:val="21"/>
                      <w:lang w:val="en-US" w:eastAsia="zh-CN" w:bidi="ar-SA"/>
                    </w:rPr>
                  </w:pPr>
                  <w:r>
                    <w:rPr>
                      <w:rFonts w:hint="eastAsia"/>
                      <w:szCs w:val="21"/>
                    </w:rPr>
                    <w:t>非甲烷总烃</w:t>
                  </w:r>
                </w:p>
              </w:tc>
              <w:tc>
                <w:tcPr>
                  <w:tcW w:w="240" w:type="pct"/>
                  <w:shd w:val="clear"/>
                  <w:vAlign w:val="center"/>
                </w:tcPr>
                <w:p w14:paraId="3F61FAAB">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w:t>
                  </w:r>
                  <w:r>
                    <w:rPr>
                      <w:rFonts w:hint="eastAsia" w:ascii="Times New Roman" w:hAnsi="Times New Roman" w:eastAsia="宋体" w:cs="Times New Roman"/>
                      <w:szCs w:val="21"/>
                      <w:lang w:val="en-US" w:eastAsia="zh-CN"/>
                    </w:rPr>
                    <w:t>8.188</w:t>
                  </w:r>
                </w:p>
              </w:tc>
              <w:tc>
                <w:tcPr>
                  <w:tcW w:w="274" w:type="pct"/>
                  <w:shd w:val="clear"/>
                  <w:vAlign w:val="center"/>
                </w:tcPr>
                <w:p w14:paraId="5F9CA968">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0.182</w:t>
                  </w:r>
                </w:p>
              </w:tc>
              <w:tc>
                <w:tcPr>
                  <w:tcW w:w="276" w:type="pct"/>
                  <w:shd w:val="clear"/>
                  <w:vAlign w:val="center"/>
                </w:tcPr>
                <w:p w14:paraId="7B7DB179">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0.873</w:t>
                  </w:r>
                </w:p>
              </w:tc>
              <w:tc>
                <w:tcPr>
                  <w:tcW w:w="174" w:type="pct"/>
                  <w:vAlign w:val="center"/>
                </w:tcPr>
                <w:p w14:paraId="6827D07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90%</w:t>
                  </w:r>
                </w:p>
              </w:tc>
              <w:tc>
                <w:tcPr>
                  <w:tcW w:w="516" w:type="pct"/>
                  <w:vAlign w:val="center"/>
                </w:tcPr>
                <w:p w14:paraId="29E98512">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集气罩+</w:t>
                  </w:r>
                </w:p>
                <w:p w14:paraId="07B6821E">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活性炭吸附</w:t>
                  </w:r>
                </w:p>
              </w:tc>
              <w:tc>
                <w:tcPr>
                  <w:tcW w:w="159" w:type="pct"/>
                  <w:vAlign w:val="center"/>
                </w:tcPr>
                <w:p w14:paraId="75F3FDC9">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90%</w:t>
                  </w:r>
                </w:p>
              </w:tc>
              <w:tc>
                <w:tcPr>
                  <w:tcW w:w="244" w:type="pct"/>
                  <w:shd w:val="clear"/>
                  <w:vAlign w:val="center"/>
                </w:tcPr>
                <w:p w14:paraId="7E5DBA13">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1.819 </w:t>
                  </w:r>
                </w:p>
              </w:tc>
              <w:tc>
                <w:tcPr>
                  <w:tcW w:w="321" w:type="pct"/>
                  <w:shd w:val="clear"/>
                  <w:vAlign w:val="center"/>
                </w:tcPr>
                <w:p w14:paraId="197EC5A5">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0.018 </w:t>
                  </w:r>
                </w:p>
              </w:tc>
              <w:tc>
                <w:tcPr>
                  <w:tcW w:w="298" w:type="pct"/>
                  <w:shd w:val="clear"/>
                  <w:vAlign w:val="center"/>
                </w:tcPr>
                <w:p w14:paraId="1B6AEA4F">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 xml:space="preserve">0.087 </w:t>
                  </w:r>
                </w:p>
              </w:tc>
              <w:tc>
                <w:tcPr>
                  <w:tcW w:w="237" w:type="pct"/>
                  <w:vAlign w:val="center"/>
                </w:tcPr>
                <w:p w14:paraId="24661B58">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40</w:t>
                  </w:r>
                </w:p>
              </w:tc>
              <w:tc>
                <w:tcPr>
                  <w:tcW w:w="182" w:type="pct"/>
                  <w:vAlign w:val="center"/>
                </w:tcPr>
                <w:p w14:paraId="4F908196">
                  <w:pPr>
                    <w:widowControl/>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1.6</w:t>
                  </w:r>
                </w:p>
              </w:tc>
              <w:tc>
                <w:tcPr>
                  <w:tcW w:w="164" w:type="pct"/>
                  <w:vAlign w:val="center"/>
                </w:tcPr>
                <w:p w14:paraId="70D2218A">
                  <w:pPr>
                    <w:jc w:val="center"/>
                    <w:rPr>
                      <w:rFonts w:hint="eastAsia"/>
                      <w:szCs w:val="21"/>
                    </w:rPr>
                  </w:pPr>
                  <w:r>
                    <w:rPr>
                      <w:rFonts w:hint="eastAsia"/>
                      <w:szCs w:val="21"/>
                    </w:rPr>
                    <w:t>达标</w:t>
                  </w:r>
                </w:p>
              </w:tc>
              <w:tc>
                <w:tcPr>
                  <w:tcW w:w="170" w:type="pct"/>
                  <w:vMerge w:val="continue"/>
                  <w:tcBorders/>
                  <w:vAlign w:val="center"/>
                </w:tcPr>
                <w:p w14:paraId="73218B12">
                  <w:pPr>
                    <w:jc w:val="center"/>
                    <w:rPr>
                      <w:szCs w:val="21"/>
                    </w:rPr>
                  </w:pPr>
                </w:p>
              </w:tc>
              <w:tc>
                <w:tcPr>
                  <w:tcW w:w="170" w:type="pct"/>
                  <w:vMerge w:val="continue"/>
                  <w:tcBorders/>
                  <w:vAlign w:val="center"/>
                </w:tcPr>
                <w:p w14:paraId="481CED17">
                  <w:pPr>
                    <w:jc w:val="center"/>
                    <w:rPr>
                      <w:szCs w:val="21"/>
                    </w:rPr>
                  </w:pPr>
                </w:p>
              </w:tc>
              <w:tc>
                <w:tcPr>
                  <w:tcW w:w="151" w:type="pct"/>
                  <w:vMerge w:val="continue"/>
                  <w:tcBorders/>
                  <w:vAlign w:val="center"/>
                </w:tcPr>
                <w:p w14:paraId="531F894B">
                  <w:pPr>
                    <w:jc w:val="center"/>
                    <w:rPr>
                      <w:szCs w:val="21"/>
                    </w:rPr>
                  </w:pPr>
                </w:p>
              </w:tc>
              <w:tc>
                <w:tcPr>
                  <w:tcW w:w="288" w:type="pct"/>
                  <w:vMerge w:val="continue"/>
                  <w:tcBorders/>
                  <w:vAlign w:val="center"/>
                </w:tcPr>
                <w:p w14:paraId="033EF259">
                  <w:pPr>
                    <w:widowControl/>
                    <w:jc w:val="center"/>
                    <w:rPr>
                      <w:szCs w:val="21"/>
                    </w:rPr>
                  </w:pPr>
                </w:p>
              </w:tc>
              <w:tc>
                <w:tcPr>
                  <w:tcW w:w="219" w:type="pct"/>
                  <w:vMerge w:val="continue"/>
                  <w:tcBorders/>
                  <w:vAlign w:val="center"/>
                </w:tcPr>
                <w:p w14:paraId="63E481FE">
                  <w:pPr>
                    <w:jc w:val="center"/>
                    <w:rPr>
                      <w:szCs w:val="21"/>
                    </w:rPr>
                  </w:pPr>
                </w:p>
              </w:tc>
            </w:tr>
            <w:tr w14:paraId="76528F9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704" w:hRule="atLeast"/>
                <w:jc w:val="center"/>
              </w:trPr>
              <w:tc>
                <w:tcPr>
                  <w:tcW w:w="276" w:type="pct"/>
                  <w:vAlign w:val="center"/>
                </w:tcPr>
                <w:p w14:paraId="4D2A7C75">
                  <w:pPr>
                    <w:adjustRightInd w:val="0"/>
                    <w:snapToGrid w:val="0"/>
                    <w:jc w:val="center"/>
                    <w:rPr>
                      <w:rFonts w:hint="eastAsia" w:eastAsia="宋体"/>
                      <w:szCs w:val="21"/>
                      <w:lang w:val="en-US" w:eastAsia="zh-CN"/>
                    </w:rPr>
                  </w:pPr>
                  <w:r>
                    <w:rPr>
                      <w:rFonts w:hint="eastAsia"/>
                      <w:szCs w:val="21"/>
                    </w:rPr>
                    <w:t>DA00</w:t>
                  </w:r>
                  <w:r>
                    <w:rPr>
                      <w:rFonts w:hint="eastAsia"/>
                      <w:szCs w:val="21"/>
                      <w:lang w:val="en-US" w:eastAsia="zh-CN"/>
                    </w:rPr>
                    <w:t>2</w:t>
                  </w:r>
                </w:p>
              </w:tc>
              <w:tc>
                <w:tcPr>
                  <w:tcW w:w="286" w:type="pct"/>
                  <w:vAlign w:val="center"/>
                </w:tcPr>
                <w:p w14:paraId="42363C12">
                  <w:pPr>
                    <w:jc w:val="center"/>
                    <w:rPr>
                      <w:szCs w:val="21"/>
                    </w:rPr>
                  </w:pPr>
                  <w:r>
                    <w:rPr>
                      <w:rFonts w:hint="eastAsia"/>
                      <w:szCs w:val="21"/>
                      <w:lang w:val="en-US" w:eastAsia="zh-CN"/>
                    </w:rPr>
                    <w:t>喷胶固化</w:t>
                  </w:r>
                  <w:r>
                    <w:rPr>
                      <w:rFonts w:hint="eastAsia"/>
                      <w:szCs w:val="21"/>
                    </w:rPr>
                    <w:t>工序</w:t>
                  </w:r>
                </w:p>
              </w:tc>
              <w:tc>
                <w:tcPr>
                  <w:tcW w:w="342" w:type="pct"/>
                  <w:vAlign w:val="center"/>
                </w:tcPr>
                <w:p w14:paraId="137CF3FA">
                  <w:pPr>
                    <w:jc w:val="center"/>
                    <w:rPr>
                      <w:bCs/>
                      <w:szCs w:val="21"/>
                    </w:rPr>
                  </w:pPr>
                  <w:r>
                    <w:rPr>
                      <w:rFonts w:hint="eastAsia"/>
                      <w:szCs w:val="21"/>
                    </w:rPr>
                    <w:t>非甲烷总烃</w:t>
                  </w:r>
                </w:p>
              </w:tc>
              <w:tc>
                <w:tcPr>
                  <w:tcW w:w="240" w:type="pct"/>
                  <w:vAlign w:val="center"/>
                </w:tcPr>
                <w:p w14:paraId="07981B0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14.31</w:t>
                  </w:r>
                </w:p>
              </w:tc>
              <w:tc>
                <w:tcPr>
                  <w:tcW w:w="274" w:type="pct"/>
                  <w:vAlign w:val="center"/>
                </w:tcPr>
                <w:p w14:paraId="377DE64A">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0.143</w:t>
                  </w:r>
                </w:p>
              </w:tc>
              <w:tc>
                <w:tcPr>
                  <w:tcW w:w="276" w:type="pct"/>
                  <w:vAlign w:val="center"/>
                </w:tcPr>
                <w:p w14:paraId="286A80ED">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w:t>
                  </w:r>
                  <w:r>
                    <w:rPr>
                      <w:rFonts w:hint="eastAsia" w:ascii="宋体" w:hAnsi="宋体" w:eastAsia="宋体" w:cs="宋体"/>
                      <w:i w:val="0"/>
                      <w:iCs w:val="0"/>
                      <w:color w:val="000000"/>
                      <w:kern w:val="0"/>
                      <w:sz w:val="22"/>
                      <w:szCs w:val="22"/>
                      <w:u w:val="none"/>
                      <w:lang w:val="en-US" w:eastAsia="zh-CN" w:bidi="ar"/>
                    </w:rPr>
                    <w:t>68</w:t>
                  </w:r>
                  <w:r>
                    <w:rPr>
                      <w:rFonts w:hint="eastAsia" w:ascii="Times New Roman" w:hAnsi="Times New Roman" w:eastAsia="宋体" w:cs="Times New Roman"/>
                      <w:szCs w:val="21"/>
                      <w:lang w:val="en-US" w:eastAsia="zh-CN"/>
                    </w:rPr>
                    <w:t>7</w:t>
                  </w:r>
                </w:p>
              </w:tc>
              <w:tc>
                <w:tcPr>
                  <w:tcW w:w="174" w:type="pct"/>
                  <w:vAlign w:val="center"/>
                </w:tcPr>
                <w:p w14:paraId="1348EC27">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90%</w:t>
                  </w:r>
                </w:p>
              </w:tc>
              <w:tc>
                <w:tcPr>
                  <w:tcW w:w="516" w:type="pct"/>
                  <w:vAlign w:val="center"/>
                </w:tcPr>
                <w:p w14:paraId="7C352497">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集气罩+过滤棉+活性炭吸附</w:t>
                  </w:r>
                </w:p>
              </w:tc>
              <w:tc>
                <w:tcPr>
                  <w:tcW w:w="159" w:type="pct"/>
                  <w:vAlign w:val="center"/>
                </w:tcPr>
                <w:p w14:paraId="15AD8CAA">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90%</w:t>
                  </w:r>
                </w:p>
              </w:tc>
              <w:tc>
                <w:tcPr>
                  <w:tcW w:w="244" w:type="pct"/>
                  <w:vAlign w:val="center"/>
                </w:tcPr>
                <w:p w14:paraId="63CDDAEA">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1.38</w:t>
                  </w:r>
                </w:p>
              </w:tc>
              <w:tc>
                <w:tcPr>
                  <w:tcW w:w="321" w:type="pct"/>
                  <w:vAlign w:val="center"/>
                </w:tcPr>
                <w:p w14:paraId="72EE1B2B">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0.0138</w:t>
                  </w:r>
                </w:p>
              </w:tc>
              <w:tc>
                <w:tcPr>
                  <w:tcW w:w="298" w:type="pct"/>
                  <w:vAlign w:val="center"/>
                </w:tcPr>
                <w:p w14:paraId="35B16B82">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0.254</w:t>
                  </w:r>
                </w:p>
              </w:tc>
              <w:tc>
                <w:tcPr>
                  <w:tcW w:w="237" w:type="pct"/>
                  <w:vAlign w:val="center"/>
                </w:tcPr>
                <w:p w14:paraId="274ADC5D">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120</w:t>
                  </w:r>
                </w:p>
              </w:tc>
              <w:tc>
                <w:tcPr>
                  <w:tcW w:w="182" w:type="pct"/>
                  <w:vAlign w:val="center"/>
                </w:tcPr>
                <w:p w14:paraId="05CF4CE9">
                  <w:pPr>
                    <w:widowControl/>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w:t>
                  </w:r>
                </w:p>
              </w:tc>
              <w:tc>
                <w:tcPr>
                  <w:tcW w:w="164" w:type="pct"/>
                  <w:vAlign w:val="center"/>
                </w:tcPr>
                <w:p w14:paraId="2F1EA30F">
                  <w:pPr>
                    <w:jc w:val="center"/>
                    <w:rPr>
                      <w:rFonts w:hint="eastAsia"/>
                      <w:szCs w:val="21"/>
                    </w:rPr>
                  </w:pPr>
                  <w:r>
                    <w:rPr>
                      <w:rFonts w:hint="eastAsia"/>
                      <w:szCs w:val="21"/>
                    </w:rPr>
                    <w:t>达标</w:t>
                  </w:r>
                </w:p>
              </w:tc>
              <w:tc>
                <w:tcPr>
                  <w:tcW w:w="170" w:type="pct"/>
                  <w:vAlign w:val="center"/>
                </w:tcPr>
                <w:p w14:paraId="3437C2B7">
                  <w:pPr>
                    <w:jc w:val="center"/>
                    <w:rPr>
                      <w:szCs w:val="21"/>
                    </w:rPr>
                  </w:pPr>
                  <w:r>
                    <w:rPr>
                      <w:rFonts w:hint="eastAsia"/>
                      <w:szCs w:val="21"/>
                    </w:rPr>
                    <w:t>15</w:t>
                  </w:r>
                </w:p>
              </w:tc>
              <w:tc>
                <w:tcPr>
                  <w:tcW w:w="170" w:type="pct"/>
                  <w:vAlign w:val="center"/>
                </w:tcPr>
                <w:p w14:paraId="1C64C812">
                  <w:pPr>
                    <w:jc w:val="center"/>
                    <w:rPr>
                      <w:szCs w:val="21"/>
                    </w:rPr>
                  </w:pPr>
                  <w:r>
                    <w:rPr>
                      <w:rFonts w:hint="eastAsia"/>
                      <w:szCs w:val="21"/>
                    </w:rPr>
                    <w:t>0.5</w:t>
                  </w:r>
                </w:p>
              </w:tc>
              <w:tc>
                <w:tcPr>
                  <w:tcW w:w="151" w:type="pct"/>
                  <w:vAlign w:val="center"/>
                </w:tcPr>
                <w:p w14:paraId="1647A4BA">
                  <w:pPr>
                    <w:jc w:val="center"/>
                    <w:rPr>
                      <w:szCs w:val="21"/>
                    </w:rPr>
                  </w:pPr>
                  <w:r>
                    <w:rPr>
                      <w:rFonts w:hint="eastAsia"/>
                      <w:szCs w:val="21"/>
                    </w:rPr>
                    <w:t>25</w:t>
                  </w:r>
                </w:p>
              </w:tc>
              <w:tc>
                <w:tcPr>
                  <w:tcW w:w="288" w:type="pct"/>
                  <w:vAlign w:val="center"/>
                </w:tcPr>
                <w:p w14:paraId="7653A0DE">
                  <w:pPr>
                    <w:widowControl/>
                    <w:jc w:val="center"/>
                    <w:rPr>
                      <w:szCs w:val="21"/>
                    </w:rPr>
                  </w:pPr>
                  <w:r>
                    <w:rPr>
                      <w:rFonts w:hint="eastAsia"/>
                      <w:szCs w:val="21"/>
                      <w:lang w:val="en-US" w:eastAsia="zh-CN"/>
                    </w:rPr>
                    <w:t>10</w:t>
                  </w:r>
                  <w:r>
                    <w:rPr>
                      <w:rFonts w:hint="eastAsia"/>
                      <w:szCs w:val="21"/>
                    </w:rPr>
                    <w:t>000</w:t>
                  </w:r>
                </w:p>
              </w:tc>
              <w:tc>
                <w:tcPr>
                  <w:tcW w:w="219" w:type="pct"/>
                  <w:vAlign w:val="center"/>
                </w:tcPr>
                <w:p w14:paraId="6EF922E7">
                  <w:pPr>
                    <w:jc w:val="center"/>
                    <w:rPr>
                      <w:szCs w:val="21"/>
                    </w:rPr>
                  </w:pPr>
                  <w:r>
                    <w:rPr>
                      <w:rFonts w:hint="eastAsia"/>
                      <w:szCs w:val="21"/>
                    </w:rPr>
                    <w:t>4800</w:t>
                  </w:r>
                  <w:r>
                    <w:rPr>
                      <w:szCs w:val="21"/>
                    </w:rPr>
                    <w:t>h</w:t>
                  </w:r>
                </w:p>
              </w:tc>
            </w:tr>
          </w:tbl>
          <w:p w14:paraId="2B2111F6">
            <w:pPr>
              <w:widowControl/>
              <w:spacing w:before="120" w:beforeLines="50"/>
              <w:jc w:val="center"/>
              <w:rPr>
                <w:b/>
                <w:kern w:val="0"/>
                <w:sz w:val="24"/>
                <w:szCs w:val="20"/>
              </w:rPr>
            </w:pPr>
            <w:r>
              <w:rPr>
                <w:b/>
                <w:kern w:val="0"/>
                <w:sz w:val="24"/>
                <w:szCs w:val="20"/>
              </w:rPr>
              <w:t>表</w:t>
            </w:r>
            <w:r>
              <w:rPr>
                <w:rFonts w:hint="eastAsia"/>
                <w:b/>
                <w:kern w:val="0"/>
                <w:sz w:val="24"/>
                <w:szCs w:val="20"/>
              </w:rPr>
              <w:t>4</w:t>
            </w:r>
            <w:r>
              <w:rPr>
                <w:b/>
                <w:kern w:val="0"/>
                <w:sz w:val="24"/>
                <w:szCs w:val="20"/>
              </w:rPr>
              <w:t>-</w:t>
            </w:r>
            <w:r>
              <w:rPr>
                <w:rFonts w:hint="eastAsia"/>
                <w:b/>
                <w:kern w:val="0"/>
                <w:sz w:val="24"/>
                <w:szCs w:val="20"/>
                <w:lang w:val="en-US" w:eastAsia="zh-CN"/>
              </w:rPr>
              <w:t>5</w:t>
            </w:r>
            <w:r>
              <w:rPr>
                <w:b/>
                <w:kern w:val="0"/>
                <w:sz w:val="24"/>
                <w:szCs w:val="20"/>
              </w:rPr>
              <w:t xml:space="preserve">  </w:t>
            </w:r>
            <w:r>
              <w:rPr>
                <w:rFonts w:hint="eastAsia"/>
                <w:b/>
                <w:kern w:val="0"/>
                <w:sz w:val="24"/>
                <w:szCs w:val="20"/>
              </w:rPr>
              <w:t>本项目无织废气排放情况表</w:t>
            </w:r>
          </w:p>
          <w:tbl>
            <w:tblPr>
              <w:tblStyle w:val="29"/>
              <w:tblW w:w="4998" w:type="pct"/>
              <w:jc w:val="center"/>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Layout w:type="fixed"/>
              <w:tblCellMar>
                <w:top w:w="0" w:type="dxa"/>
                <w:left w:w="0" w:type="dxa"/>
                <w:bottom w:w="0" w:type="dxa"/>
                <w:right w:w="0" w:type="dxa"/>
              </w:tblCellMar>
            </w:tblPr>
            <w:tblGrid>
              <w:gridCol w:w="1203"/>
              <w:gridCol w:w="1333"/>
              <w:gridCol w:w="1335"/>
              <w:gridCol w:w="1258"/>
              <w:gridCol w:w="1187"/>
              <w:gridCol w:w="2396"/>
              <w:gridCol w:w="1801"/>
              <w:gridCol w:w="2029"/>
            </w:tblGrid>
            <w:tr w14:paraId="7FBE9CB8">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0" w:type="dxa"/>
                  <w:bottom w:w="0" w:type="dxa"/>
                  <w:right w:w="0" w:type="dxa"/>
                </w:tblCellMar>
              </w:tblPrEx>
              <w:trPr>
                <w:trHeight w:val="368" w:hRule="atLeast"/>
                <w:jc w:val="center"/>
              </w:trPr>
              <w:tc>
                <w:tcPr>
                  <w:tcW w:w="479" w:type="pct"/>
                  <w:vMerge w:val="restart"/>
                  <w:tcBorders>
                    <w:tl2br w:val="nil"/>
                    <w:tr2bl w:val="nil"/>
                  </w:tcBorders>
                  <w:vAlign w:val="center"/>
                </w:tcPr>
                <w:p w14:paraId="79526254">
                  <w:pPr>
                    <w:jc w:val="center"/>
                    <w:rPr>
                      <w:b/>
                      <w:szCs w:val="21"/>
                    </w:rPr>
                  </w:pPr>
                  <w:r>
                    <w:rPr>
                      <w:b/>
                      <w:szCs w:val="21"/>
                    </w:rPr>
                    <w:t>污染</w:t>
                  </w:r>
                  <w:r>
                    <w:rPr>
                      <w:rFonts w:hint="eastAsia"/>
                      <w:b/>
                      <w:szCs w:val="21"/>
                    </w:rPr>
                    <w:t>面</w:t>
                  </w:r>
                  <w:r>
                    <w:rPr>
                      <w:b/>
                      <w:szCs w:val="21"/>
                    </w:rPr>
                    <w:t>源</w:t>
                  </w:r>
                </w:p>
              </w:tc>
              <w:tc>
                <w:tcPr>
                  <w:tcW w:w="531" w:type="pct"/>
                  <w:vMerge w:val="restart"/>
                  <w:tcBorders>
                    <w:tl2br w:val="nil"/>
                    <w:tr2bl w:val="nil"/>
                  </w:tcBorders>
                  <w:vAlign w:val="center"/>
                </w:tcPr>
                <w:p w14:paraId="79B7765D">
                  <w:pPr>
                    <w:jc w:val="center"/>
                    <w:rPr>
                      <w:b/>
                      <w:szCs w:val="21"/>
                    </w:rPr>
                  </w:pPr>
                  <w:r>
                    <w:rPr>
                      <w:rFonts w:hint="eastAsia"/>
                      <w:b/>
                      <w:szCs w:val="21"/>
                    </w:rPr>
                    <w:t>污染工序</w:t>
                  </w:r>
                </w:p>
              </w:tc>
              <w:tc>
                <w:tcPr>
                  <w:tcW w:w="532" w:type="pct"/>
                  <w:vMerge w:val="restart"/>
                  <w:tcBorders>
                    <w:tl2br w:val="nil"/>
                    <w:tr2bl w:val="nil"/>
                  </w:tcBorders>
                  <w:vAlign w:val="center"/>
                </w:tcPr>
                <w:p w14:paraId="38DC4C9F">
                  <w:pPr>
                    <w:jc w:val="center"/>
                    <w:rPr>
                      <w:b/>
                      <w:szCs w:val="21"/>
                    </w:rPr>
                  </w:pPr>
                  <w:r>
                    <w:rPr>
                      <w:b/>
                      <w:szCs w:val="21"/>
                    </w:rPr>
                    <w:t>污染物名称</w:t>
                  </w:r>
                </w:p>
              </w:tc>
              <w:tc>
                <w:tcPr>
                  <w:tcW w:w="974" w:type="pct"/>
                  <w:gridSpan w:val="2"/>
                  <w:tcBorders>
                    <w:tl2br w:val="nil"/>
                    <w:tr2bl w:val="nil"/>
                  </w:tcBorders>
                  <w:vAlign w:val="center"/>
                </w:tcPr>
                <w:p w14:paraId="10A47D34">
                  <w:pPr>
                    <w:snapToGrid w:val="0"/>
                    <w:jc w:val="center"/>
                    <w:rPr>
                      <w:b/>
                      <w:szCs w:val="21"/>
                    </w:rPr>
                  </w:pPr>
                  <w:r>
                    <w:rPr>
                      <w:rFonts w:hint="eastAsia"/>
                      <w:b/>
                      <w:szCs w:val="21"/>
                    </w:rPr>
                    <w:t>排放状况</w:t>
                  </w:r>
                </w:p>
              </w:tc>
              <w:tc>
                <w:tcPr>
                  <w:tcW w:w="955" w:type="pct"/>
                  <w:vMerge w:val="restart"/>
                  <w:tcBorders>
                    <w:tl2br w:val="nil"/>
                    <w:tr2bl w:val="nil"/>
                  </w:tcBorders>
                  <w:vAlign w:val="center"/>
                </w:tcPr>
                <w:p w14:paraId="0945499F">
                  <w:pPr>
                    <w:snapToGrid w:val="0"/>
                    <w:jc w:val="center"/>
                    <w:rPr>
                      <w:b/>
                      <w:szCs w:val="21"/>
                    </w:rPr>
                  </w:pPr>
                  <w:r>
                    <w:rPr>
                      <w:b/>
                      <w:szCs w:val="21"/>
                    </w:rPr>
                    <w:t>处理</w:t>
                  </w:r>
                  <w:r>
                    <w:rPr>
                      <w:rFonts w:hint="eastAsia"/>
                      <w:b/>
                      <w:szCs w:val="21"/>
                    </w:rPr>
                    <w:t>措施</w:t>
                  </w:r>
                </w:p>
              </w:tc>
              <w:tc>
                <w:tcPr>
                  <w:tcW w:w="717" w:type="pct"/>
                  <w:vMerge w:val="restart"/>
                  <w:tcBorders>
                    <w:tl2br w:val="nil"/>
                    <w:tr2bl w:val="nil"/>
                  </w:tcBorders>
                  <w:vAlign w:val="center"/>
                </w:tcPr>
                <w:p w14:paraId="3D8D5ED3">
                  <w:pPr>
                    <w:snapToGrid w:val="0"/>
                    <w:jc w:val="center"/>
                    <w:rPr>
                      <w:b/>
                      <w:szCs w:val="21"/>
                    </w:rPr>
                  </w:pPr>
                  <w:r>
                    <w:rPr>
                      <w:rFonts w:hint="eastAsia"/>
                      <w:b/>
                      <w:szCs w:val="21"/>
                    </w:rPr>
                    <w:t>车间高度（m）</w:t>
                  </w:r>
                </w:p>
              </w:tc>
              <w:tc>
                <w:tcPr>
                  <w:tcW w:w="808" w:type="pct"/>
                  <w:vMerge w:val="restart"/>
                  <w:tcBorders>
                    <w:tl2br w:val="nil"/>
                    <w:tr2bl w:val="nil"/>
                  </w:tcBorders>
                  <w:vAlign w:val="center"/>
                </w:tcPr>
                <w:p w14:paraId="422E5827">
                  <w:pPr>
                    <w:snapToGrid w:val="0"/>
                    <w:jc w:val="center"/>
                    <w:rPr>
                      <w:b/>
                      <w:szCs w:val="21"/>
                    </w:rPr>
                  </w:pPr>
                  <w:r>
                    <w:rPr>
                      <w:rFonts w:hint="eastAsia"/>
                      <w:b/>
                      <w:szCs w:val="21"/>
                    </w:rPr>
                    <w:t>面源面积（m</w:t>
                  </w:r>
                  <w:r>
                    <w:rPr>
                      <w:rFonts w:hint="eastAsia"/>
                      <w:b/>
                      <w:szCs w:val="21"/>
                      <w:vertAlign w:val="superscript"/>
                    </w:rPr>
                    <w:t>2</w:t>
                  </w:r>
                  <w:r>
                    <w:rPr>
                      <w:rFonts w:hint="eastAsia"/>
                      <w:b/>
                      <w:szCs w:val="21"/>
                    </w:rPr>
                    <w:t>）</w:t>
                  </w:r>
                </w:p>
              </w:tc>
            </w:tr>
            <w:tr w14:paraId="5242BAC0">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79" w:type="pct"/>
                  <w:vMerge w:val="continue"/>
                  <w:tcBorders>
                    <w:tl2br w:val="nil"/>
                    <w:tr2bl w:val="nil"/>
                  </w:tcBorders>
                  <w:vAlign w:val="center"/>
                </w:tcPr>
                <w:p w14:paraId="2F7E99A8">
                  <w:pPr>
                    <w:jc w:val="center"/>
                    <w:rPr>
                      <w:b/>
                      <w:szCs w:val="21"/>
                    </w:rPr>
                  </w:pPr>
                </w:p>
              </w:tc>
              <w:tc>
                <w:tcPr>
                  <w:tcW w:w="531" w:type="pct"/>
                  <w:vMerge w:val="continue"/>
                  <w:tcBorders>
                    <w:tl2br w:val="nil"/>
                    <w:tr2bl w:val="nil"/>
                  </w:tcBorders>
                  <w:vAlign w:val="center"/>
                </w:tcPr>
                <w:p w14:paraId="36B810C2">
                  <w:pPr>
                    <w:jc w:val="center"/>
                    <w:rPr>
                      <w:b/>
                      <w:szCs w:val="21"/>
                    </w:rPr>
                  </w:pPr>
                </w:p>
              </w:tc>
              <w:tc>
                <w:tcPr>
                  <w:tcW w:w="532" w:type="pct"/>
                  <w:vMerge w:val="continue"/>
                  <w:tcBorders>
                    <w:tl2br w:val="nil"/>
                    <w:tr2bl w:val="nil"/>
                  </w:tcBorders>
                  <w:vAlign w:val="center"/>
                </w:tcPr>
                <w:p w14:paraId="5FFBBC54">
                  <w:pPr>
                    <w:jc w:val="center"/>
                    <w:rPr>
                      <w:b/>
                      <w:szCs w:val="21"/>
                    </w:rPr>
                  </w:pPr>
                </w:p>
              </w:tc>
              <w:tc>
                <w:tcPr>
                  <w:tcW w:w="501" w:type="pct"/>
                  <w:tcBorders>
                    <w:tl2br w:val="nil"/>
                    <w:tr2bl w:val="nil"/>
                  </w:tcBorders>
                  <w:vAlign w:val="center"/>
                </w:tcPr>
                <w:p w14:paraId="29E7F0AD">
                  <w:pPr>
                    <w:snapToGrid w:val="0"/>
                    <w:jc w:val="center"/>
                    <w:rPr>
                      <w:b/>
                      <w:szCs w:val="21"/>
                    </w:rPr>
                  </w:pPr>
                  <w:r>
                    <w:rPr>
                      <w:b/>
                      <w:szCs w:val="21"/>
                    </w:rPr>
                    <w:t>排放量</w:t>
                  </w:r>
                </w:p>
                <w:p w14:paraId="3AEC5DA7">
                  <w:pPr>
                    <w:snapToGrid w:val="0"/>
                    <w:jc w:val="center"/>
                    <w:rPr>
                      <w:b/>
                      <w:kern w:val="0"/>
                      <w:szCs w:val="21"/>
                    </w:rPr>
                  </w:pPr>
                  <w:r>
                    <w:rPr>
                      <w:b/>
                      <w:szCs w:val="21"/>
                    </w:rPr>
                    <w:t>t/a</w:t>
                  </w:r>
                </w:p>
              </w:tc>
              <w:tc>
                <w:tcPr>
                  <w:tcW w:w="473" w:type="pct"/>
                  <w:tcBorders>
                    <w:tl2br w:val="nil"/>
                    <w:tr2bl w:val="nil"/>
                  </w:tcBorders>
                  <w:vAlign w:val="center"/>
                </w:tcPr>
                <w:p w14:paraId="7EE852F5">
                  <w:pPr>
                    <w:snapToGrid w:val="0"/>
                    <w:jc w:val="center"/>
                    <w:rPr>
                      <w:b/>
                      <w:szCs w:val="21"/>
                    </w:rPr>
                  </w:pPr>
                  <w:r>
                    <w:rPr>
                      <w:b/>
                      <w:szCs w:val="21"/>
                    </w:rPr>
                    <w:t>排放速率</w:t>
                  </w:r>
                </w:p>
                <w:p w14:paraId="05473EC7">
                  <w:pPr>
                    <w:snapToGrid w:val="0"/>
                    <w:jc w:val="center"/>
                    <w:rPr>
                      <w:b/>
                      <w:kern w:val="0"/>
                      <w:szCs w:val="21"/>
                    </w:rPr>
                  </w:pPr>
                  <w:r>
                    <w:rPr>
                      <w:b/>
                      <w:szCs w:val="21"/>
                    </w:rPr>
                    <w:t>kg/h</w:t>
                  </w:r>
                </w:p>
              </w:tc>
              <w:tc>
                <w:tcPr>
                  <w:tcW w:w="955" w:type="pct"/>
                  <w:vMerge w:val="continue"/>
                  <w:tcBorders>
                    <w:tl2br w:val="nil"/>
                    <w:tr2bl w:val="nil"/>
                  </w:tcBorders>
                  <w:vAlign w:val="center"/>
                </w:tcPr>
                <w:p w14:paraId="4142ED77">
                  <w:pPr>
                    <w:snapToGrid w:val="0"/>
                    <w:jc w:val="center"/>
                    <w:rPr>
                      <w:b/>
                      <w:szCs w:val="21"/>
                    </w:rPr>
                  </w:pPr>
                </w:p>
              </w:tc>
              <w:tc>
                <w:tcPr>
                  <w:tcW w:w="717" w:type="pct"/>
                  <w:vMerge w:val="continue"/>
                  <w:tcBorders>
                    <w:tl2br w:val="nil"/>
                    <w:tr2bl w:val="nil"/>
                  </w:tcBorders>
                  <w:vAlign w:val="center"/>
                </w:tcPr>
                <w:p w14:paraId="4D23AEAF">
                  <w:pPr>
                    <w:snapToGrid w:val="0"/>
                    <w:jc w:val="center"/>
                    <w:rPr>
                      <w:b/>
                      <w:szCs w:val="21"/>
                    </w:rPr>
                  </w:pPr>
                </w:p>
              </w:tc>
              <w:tc>
                <w:tcPr>
                  <w:tcW w:w="808" w:type="pct"/>
                  <w:vMerge w:val="continue"/>
                  <w:tcBorders>
                    <w:tl2br w:val="nil"/>
                    <w:tr2bl w:val="nil"/>
                  </w:tcBorders>
                  <w:vAlign w:val="center"/>
                </w:tcPr>
                <w:p w14:paraId="76EFA270">
                  <w:pPr>
                    <w:snapToGrid w:val="0"/>
                    <w:jc w:val="center"/>
                    <w:rPr>
                      <w:b/>
                      <w:szCs w:val="21"/>
                    </w:rPr>
                  </w:pPr>
                </w:p>
              </w:tc>
            </w:tr>
            <w:tr w14:paraId="2487DC2B">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479" w:type="pct"/>
                  <w:vMerge w:val="restart"/>
                  <w:tcBorders>
                    <w:tl2br w:val="nil"/>
                    <w:tr2bl w:val="nil"/>
                  </w:tcBorders>
                  <w:vAlign w:val="center"/>
                </w:tcPr>
                <w:p w14:paraId="5CA107D5">
                  <w:pPr>
                    <w:jc w:val="center"/>
                    <w:rPr>
                      <w:szCs w:val="21"/>
                    </w:rPr>
                  </w:pPr>
                  <w:r>
                    <w:rPr>
                      <w:rFonts w:hint="eastAsia"/>
                      <w:szCs w:val="21"/>
                    </w:rPr>
                    <w:t>生产厂房</w:t>
                  </w:r>
                </w:p>
              </w:tc>
              <w:tc>
                <w:tcPr>
                  <w:tcW w:w="531" w:type="pct"/>
                  <w:vMerge w:val="restart"/>
                  <w:tcBorders>
                    <w:tl2br w:val="nil"/>
                    <w:tr2bl w:val="nil"/>
                  </w:tcBorders>
                  <w:vAlign w:val="center"/>
                </w:tcPr>
                <w:p w14:paraId="5F1D6F80">
                  <w:pPr>
                    <w:ind w:left="-105" w:leftChars="-50" w:right="-105" w:rightChars="-50"/>
                    <w:jc w:val="center"/>
                    <w:rPr>
                      <w:rFonts w:hint="default" w:eastAsia="宋体"/>
                      <w:szCs w:val="21"/>
                      <w:lang w:val="en-US" w:eastAsia="zh-CN"/>
                    </w:rPr>
                  </w:pPr>
                  <w:r>
                    <w:rPr>
                      <w:rFonts w:hint="eastAsia"/>
                      <w:szCs w:val="21"/>
                      <w:lang w:val="en-US" w:eastAsia="zh-CN"/>
                    </w:rPr>
                    <w:t>发泡</w:t>
                  </w:r>
                </w:p>
              </w:tc>
              <w:tc>
                <w:tcPr>
                  <w:tcW w:w="532" w:type="pct"/>
                  <w:tcBorders>
                    <w:tl2br w:val="nil"/>
                    <w:tr2bl w:val="nil"/>
                  </w:tcBorders>
                  <w:vAlign w:val="center"/>
                </w:tcPr>
                <w:p w14:paraId="13FF2F3D">
                  <w:pPr>
                    <w:jc w:val="center"/>
                    <w:rPr>
                      <w:szCs w:val="21"/>
                    </w:rPr>
                  </w:pPr>
                  <w:r>
                    <w:rPr>
                      <w:rFonts w:hint="eastAsia"/>
                      <w:szCs w:val="21"/>
                    </w:rPr>
                    <w:t>非甲烷总烃</w:t>
                  </w:r>
                </w:p>
              </w:tc>
              <w:tc>
                <w:tcPr>
                  <w:tcW w:w="1258" w:type="dxa"/>
                  <w:tcBorders>
                    <w:tl2br w:val="nil"/>
                    <w:tr2bl w:val="nil"/>
                  </w:tcBorders>
                  <w:vAlign w:val="center"/>
                </w:tcPr>
                <w:p w14:paraId="5A6316A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0.218</w:t>
                  </w:r>
                </w:p>
              </w:tc>
              <w:tc>
                <w:tcPr>
                  <w:tcW w:w="1187" w:type="dxa"/>
                  <w:tcBorders>
                    <w:tl2br w:val="nil"/>
                    <w:tr2bl w:val="nil"/>
                  </w:tcBorders>
                  <w:vAlign w:val="center"/>
                </w:tcPr>
                <w:p w14:paraId="0C20B6C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0.045</w:t>
                  </w:r>
                </w:p>
              </w:tc>
              <w:tc>
                <w:tcPr>
                  <w:tcW w:w="955" w:type="pct"/>
                  <w:vMerge w:val="restart"/>
                  <w:tcBorders>
                    <w:tl2br w:val="nil"/>
                    <w:tr2bl w:val="nil"/>
                  </w:tcBorders>
                  <w:vAlign w:val="center"/>
                </w:tcPr>
                <w:p w14:paraId="6ADFF5F8">
                  <w:pPr>
                    <w:jc w:val="center"/>
                    <w:rPr>
                      <w:szCs w:val="21"/>
                    </w:rPr>
                  </w:pPr>
                  <w:r>
                    <w:rPr>
                      <w:rFonts w:hint="eastAsia"/>
                      <w:szCs w:val="21"/>
                    </w:rPr>
                    <w:t>加强管理，生产时关闭门窗</w:t>
                  </w:r>
                </w:p>
              </w:tc>
              <w:tc>
                <w:tcPr>
                  <w:tcW w:w="717" w:type="pct"/>
                  <w:vMerge w:val="restart"/>
                  <w:tcBorders>
                    <w:tl2br w:val="nil"/>
                    <w:tr2bl w:val="nil"/>
                  </w:tcBorders>
                  <w:vAlign w:val="center"/>
                </w:tcPr>
                <w:p w14:paraId="6C575E36">
                  <w:pPr>
                    <w:widowControl/>
                    <w:jc w:val="center"/>
                    <w:textAlignment w:val="center"/>
                  </w:pPr>
                  <w:r>
                    <w:rPr>
                      <w:rFonts w:hint="eastAsia"/>
                    </w:rPr>
                    <w:t>13</w:t>
                  </w:r>
                </w:p>
              </w:tc>
              <w:tc>
                <w:tcPr>
                  <w:tcW w:w="808" w:type="pct"/>
                  <w:vMerge w:val="restart"/>
                  <w:tcBorders>
                    <w:tl2br w:val="nil"/>
                    <w:tr2bl w:val="nil"/>
                  </w:tcBorders>
                  <w:vAlign w:val="center"/>
                </w:tcPr>
                <w:p w14:paraId="0C9A0B5C">
                  <w:pPr>
                    <w:widowControl/>
                    <w:jc w:val="center"/>
                    <w:textAlignment w:val="center"/>
                  </w:pPr>
                  <w:r>
                    <w:rPr>
                      <w:rFonts w:hint="eastAsia"/>
                    </w:rPr>
                    <w:t>1650</w:t>
                  </w:r>
                </w:p>
              </w:tc>
            </w:tr>
            <w:tr w14:paraId="6C1A62B7">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479" w:type="pct"/>
                  <w:vMerge w:val="continue"/>
                  <w:tcBorders>
                    <w:tl2br w:val="nil"/>
                    <w:tr2bl w:val="nil"/>
                  </w:tcBorders>
                  <w:vAlign w:val="center"/>
                </w:tcPr>
                <w:p w14:paraId="4211E2F5">
                  <w:pPr>
                    <w:jc w:val="center"/>
                    <w:rPr>
                      <w:szCs w:val="21"/>
                    </w:rPr>
                  </w:pPr>
                </w:p>
              </w:tc>
              <w:tc>
                <w:tcPr>
                  <w:tcW w:w="531" w:type="pct"/>
                  <w:vMerge w:val="continue"/>
                  <w:tcBorders>
                    <w:tl2br w:val="nil"/>
                    <w:tr2bl w:val="nil"/>
                  </w:tcBorders>
                  <w:vAlign w:val="center"/>
                </w:tcPr>
                <w:p w14:paraId="0EA6F82A">
                  <w:pPr>
                    <w:ind w:left="-105" w:leftChars="-50" w:right="-105" w:rightChars="-50"/>
                    <w:jc w:val="center"/>
                    <w:rPr>
                      <w:szCs w:val="21"/>
                    </w:rPr>
                  </w:pPr>
                </w:p>
              </w:tc>
              <w:tc>
                <w:tcPr>
                  <w:tcW w:w="532" w:type="pct"/>
                  <w:tcBorders>
                    <w:tl2br w:val="nil"/>
                    <w:tr2bl w:val="nil"/>
                  </w:tcBorders>
                  <w:vAlign w:val="center"/>
                </w:tcPr>
                <w:p w14:paraId="2D6B899C">
                  <w:pPr>
                    <w:jc w:val="center"/>
                    <w:rPr>
                      <w:bCs/>
                      <w:szCs w:val="21"/>
                    </w:rPr>
                  </w:pPr>
                  <w:r>
                    <w:rPr>
                      <w:rFonts w:hint="eastAsia" w:ascii="Times New Roman" w:hAnsi="Times New Roman" w:eastAsia="宋体" w:cs="Times New Roman"/>
                      <w:color w:val="auto"/>
                      <w:sz w:val="21"/>
                      <w:szCs w:val="21"/>
                      <w:lang w:val="en-US" w:eastAsia="zh-CN"/>
                    </w:rPr>
                    <w:t>PAPI</w:t>
                  </w:r>
                </w:p>
              </w:tc>
              <w:tc>
                <w:tcPr>
                  <w:tcW w:w="1258" w:type="dxa"/>
                  <w:tcBorders>
                    <w:tl2br w:val="nil"/>
                    <w:tr2bl w:val="nil"/>
                  </w:tcBorders>
                  <w:vAlign w:val="center"/>
                </w:tcPr>
                <w:p w14:paraId="680E9C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0.001</w:t>
                  </w:r>
                </w:p>
              </w:tc>
              <w:tc>
                <w:tcPr>
                  <w:tcW w:w="1187" w:type="dxa"/>
                  <w:tcBorders>
                    <w:tl2br w:val="nil"/>
                    <w:tr2bl w:val="nil"/>
                  </w:tcBorders>
                  <w:vAlign w:val="center"/>
                </w:tcPr>
                <w:p w14:paraId="7410F4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0.0002</w:t>
                  </w:r>
                </w:p>
              </w:tc>
              <w:tc>
                <w:tcPr>
                  <w:tcW w:w="955" w:type="pct"/>
                  <w:vMerge w:val="continue"/>
                  <w:tcBorders>
                    <w:tl2br w:val="nil"/>
                    <w:tr2bl w:val="nil"/>
                  </w:tcBorders>
                  <w:vAlign w:val="center"/>
                </w:tcPr>
                <w:p w14:paraId="638439F3">
                  <w:pPr>
                    <w:jc w:val="center"/>
                    <w:rPr>
                      <w:szCs w:val="21"/>
                    </w:rPr>
                  </w:pPr>
                </w:p>
              </w:tc>
              <w:tc>
                <w:tcPr>
                  <w:tcW w:w="717" w:type="pct"/>
                  <w:vMerge w:val="continue"/>
                  <w:tcBorders>
                    <w:tl2br w:val="nil"/>
                    <w:tr2bl w:val="nil"/>
                  </w:tcBorders>
                  <w:vAlign w:val="center"/>
                </w:tcPr>
                <w:p w14:paraId="02A52209">
                  <w:pPr>
                    <w:widowControl/>
                    <w:jc w:val="center"/>
                    <w:textAlignment w:val="center"/>
                  </w:pPr>
                </w:p>
              </w:tc>
              <w:tc>
                <w:tcPr>
                  <w:tcW w:w="808" w:type="pct"/>
                  <w:vMerge w:val="continue"/>
                  <w:tcBorders>
                    <w:tl2br w:val="nil"/>
                    <w:tr2bl w:val="nil"/>
                  </w:tcBorders>
                  <w:vAlign w:val="center"/>
                </w:tcPr>
                <w:p w14:paraId="4FBCB1D9">
                  <w:pPr>
                    <w:widowControl/>
                    <w:jc w:val="center"/>
                    <w:textAlignment w:val="center"/>
                  </w:pPr>
                </w:p>
              </w:tc>
            </w:tr>
            <w:tr w14:paraId="20E22BAE">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479" w:type="pct"/>
                  <w:vMerge w:val="continue"/>
                  <w:tcBorders>
                    <w:tl2br w:val="nil"/>
                    <w:tr2bl w:val="nil"/>
                  </w:tcBorders>
                  <w:vAlign w:val="center"/>
                </w:tcPr>
                <w:p w14:paraId="5E0D33FD">
                  <w:pPr>
                    <w:jc w:val="center"/>
                    <w:rPr>
                      <w:szCs w:val="21"/>
                    </w:rPr>
                  </w:pPr>
                </w:p>
              </w:tc>
              <w:tc>
                <w:tcPr>
                  <w:tcW w:w="531" w:type="pct"/>
                  <w:tcBorders>
                    <w:tl2br w:val="nil"/>
                    <w:tr2bl w:val="nil"/>
                  </w:tcBorders>
                  <w:vAlign w:val="center"/>
                </w:tcPr>
                <w:p w14:paraId="07854835">
                  <w:pPr>
                    <w:ind w:left="-105" w:leftChars="-50" w:right="-105" w:rightChars="-50"/>
                    <w:jc w:val="center"/>
                    <w:rPr>
                      <w:rFonts w:hint="eastAsia" w:eastAsia="宋体"/>
                      <w:szCs w:val="21"/>
                      <w:lang w:val="en-US" w:eastAsia="zh-CN"/>
                    </w:rPr>
                  </w:pPr>
                  <w:r>
                    <w:rPr>
                      <w:rFonts w:hint="eastAsia"/>
                      <w:szCs w:val="21"/>
                      <w:lang w:val="en-US" w:eastAsia="zh-CN"/>
                    </w:rPr>
                    <w:t>脱模</w:t>
                  </w:r>
                </w:p>
              </w:tc>
              <w:tc>
                <w:tcPr>
                  <w:tcW w:w="532" w:type="pct"/>
                  <w:tcBorders>
                    <w:tl2br w:val="nil"/>
                    <w:tr2bl w:val="nil"/>
                  </w:tcBorders>
                  <w:vAlign w:val="center"/>
                </w:tcPr>
                <w:p w14:paraId="74F92159">
                  <w:pPr>
                    <w:widowControl/>
                    <w:jc w:val="center"/>
                    <w:textAlignment w:val="center"/>
                    <w:rPr>
                      <w:kern w:val="0"/>
                      <w:szCs w:val="21"/>
                      <w:lang w:bidi="ar"/>
                    </w:rPr>
                  </w:pPr>
                  <w:r>
                    <w:rPr>
                      <w:rFonts w:hint="eastAsia"/>
                      <w:szCs w:val="21"/>
                    </w:rPr>
                    <w:t>非甲烷总烃</w:t>
                  </w:r>
                </w:p>
              </w:tc>
              <w:tc>
                <w:tcPr>
                  <w:tcW w:w="1258" w:type="dxa"/>
                  <w:tcBorders>
                    <w:tl2br w:val="nil"/>
                    <w:tr2bl w:val="nil"/>
                  </w:tcBorders>
                  <w:vAlign w:val="center"/>
                </w:tcPr>
                <w:p w14:paraId="41BA2F9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0.097</w:t>
                  </w:r>
                </w:p>
              </w:tc>
              <w:tc>
                <w:tcPr>
                  <w:tcW w:w="1187" w:type="dxa"/>
                  <w:tcBorders>
                    <w:tl2br w:val="nil"/>
                    <w:tr2bl w:val="nil"/>
                  </w:tcBorders>
                  <w:vAlign w:val="center"/>
                </w:tcPr>
                <w:p w14:paraId="1567E4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0.020</w:t>
                  </w:r>
                </w:p>
              </w:tc>
              <w:tc>
                <w:tcPr>
                  <w:tcW w:w="955" w:type="pct"/>
                  <w:vMerge w:val="continue"/>
                  <w:tcBorders>
                    <w:tl2br w:val="nil"/>
                    <w:tr2bl w:val="nil"/>
                  </w:tcBorders>
                  <w:vAlign w:val="center"/>
                </w:tcPr>
                <w:p w14:paraId="7C6DC1DA">
                  <w:pPr>
                    <w:jc w:val="center"/>
                    <w:rPr>
                      <w:szCs w:val="21"/>
                    </w:rPr>
                  </w:pPr>
                </w:p>
              </w:tc>
              <w:tc>
                <w:tcPr>
                  <w:tcW w:w="717" w:type="pct"/>
                  <w:vMerge w:val="continue"/>
                  <w:tcBorders>
                    <w:tl2br w:val="nil"/>
                    <w:tr2bl w:val="nil"/>
                  </w:tcBorders>
                  <w:vAlign w:val="center"/>
                </w:tcPr>
                <w:p w14:paraId="3017F9AD">
                  <w:pPr>
                    <w:widowControl/>
                    <w:jc w:val="center"/>
                    <w:textAlignment w:val="center"/>
                  </w:pPr>
                </w:p>
              </w:tc>
              <w:tc>
                <w:tcPr>
                  <w:tcW w:w="808" w:type="pct"/>
                  <w:vMerge w:val="continue"/>
                  <w:tcBorders>
                    <w:tl2br w:val="nil"/>
                    <w:tr2bl w:val="nil"/>
                  </w:tcBorders>
                  <w:vAlign w:val="center"/>
                </w:tcPr>
                <w:p w14:paraId="0E554332">
                  <w:pPr>
                    <w:widowControl/>
                    <w:jc w:val="center"/>
                    <w:textAlignment w:val="center"/>
                  </w:pPr>
                </w:p>
              </w:tc>
            </w:tr>
            <w:tr w14:paraId="5419AC53">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479" w:type="pct"/>
                  <w:vMerge w:val="continue"/>
                  <w:tcBorders>
                    <w:tl2br w:val="nil"/>
                    <w:tr2bl w:val="nil"/>
                  </w:tcBorders>
                  <w:vAlign w:val="center"/>
                </w:tcPr>
                <w:p w14:paraId="6BAF3D27">
                  <w:pPr>
                    <w:jc w:val="center"/>
                    <w:rPr>
                      <w:szCs w:val="21"/>
                    </w:rPr>
                  </w:pPr>
                </w:p>
              </w:tc>
              <w:tc>
                <w:tcPr>
                  <w:tcW w:w="531" w:type="pct"/>
                  <w:tcBorders>
                    <w:tl2br w:val="nil"/>
                    <w:tr2bl w:val="nil"/>
                  </w:tcBorders>
                  <w:vAlign w:val="center"/>
                </w:tcPr>
                <w:p w14:paraId="427C4203">
                  <w:pPr>
                    <w:ind w:left="-105" w:leftChars="-50" w:right="-105" w:rightChars="-50"/>
                    <w:jc w:val="center"/>
                    <w:rPr>
                      <w:szCs w:val="21"/>
                    </w:rPr>
                  </w:pPr>
                  <w:r>
                    <w:rPr>
                      <w:rFonts w:hint="eastAsia"/>
                      <w:szCs w:val="21"/>
                      <w:lang w:val="en-US" w:eastAsia="zh-CN"/>
                    </w:rPr>
                    <w:t>喷胶固化</w:t>
                  </w:r>
                </w:p>
              </w:tc>
              <w:tc>
                <w:tcPr>
                  <w:tcW w:w="532" w:type="pct"/>
                  <w:tcBorders>
                    <w:tl2br w:val="nil"/>
                    <w:tr2bl w:val="nil"/>
                  </w:tcBorders>
                  <w:vAlign w:val="center"/>
                </w:tcPr>
                <w:p w14:paraId="3B1DF273">
                  <w:pPr>
                    <w:widowControl/>
                    <w:jc w:val="center"/>
                    <w:textAlignment w:val="center"/>
                    <w:rPr>
                      <w:kern w:val="0"/>
                      <w:szCs w:val="21"/>
                      <w:lang w:bidi="ar"/>
                    </w:rPr>
                  </w:pPr>
                  <w:r>
                    <w:rPr>
                      <w:rFonts w:hint="eastAsia"/>
                      <w:szCs w:val="21"/>
                    </w:rPr>
                    <w:t>非甲烷总烃</w:t>
                  </w:r>
                </w:p>
              </w:tc>
              <w:tc>
                <w:tcPr>
                  <w:tcW w:w="501" w:type="pct"/>
                  <w:tcBorders>
                    <w:tl2br w:val="nil"/>
                    <w:tr2bl w:val="nil"/>
                  </w:tcBorders>
                  <w:vAlign w:val="center"/>
                </w:tcPr>
                <w:p w14:paraId="39FC99FF">
                  <w:pPr>
                    <w:widowControl/>
                    <w:jc w:val="center"/>
                    <w:textAlignment w:val="center"/>
                    <w:rPr>
                      <w:rFonts w:hint="default" w:eastAsia="宋体"/>
                      <w:kern w:val="0"/>
                      <w:szCs w:val="21"/>
                      <w:lang w:val="en-US" w:eastAsia="zh-CN" w:bidi="ar"/>
                    </w:rPr>
                  </w:pPr>
                  <w:r>
                    <w:rPr>
                      <w:rFonts w:hint="eastAsia"/>
                      <w:kern w:val="0"/>
                      <w:szCs w:val="21"/>
                      <w:lang w:val="en-US" w:eastAsia="zh-CN" w:bidi="ar"/>
                    </w:rPr>
                    <w:t>0.076</w:t>
                  </w:r>
                </w:p>
              </w:tc>
              <w:tc>
                <w:tcPr>
                  <w:tcW w:w="473" w:type="pct"/>
                  <w:tcBorders>
                    <w:tl2br w:val="nil"/>
                    <w:tr2bl w:val="nil"/>
                  </w:tcBorders>
                  <w:vAlign w:val="center"/>
                </w:tcPr>
                <w:p w14:paraId="26DAB668">
                  <w:pPr>
                    <w:widowControl/>
                    <w:jc w:val="center"/>
                    <w:textAlignment w:val="center"/>
                    <w:rPr>
                      <w:rFonts w:hint="default" w:eastAsia="宋体"/>
                      <w:lang w:val="en-US" w:eastAsia="zh-CN"/>
                    </w:rPr>
                  </w:pPr>
                  <w:r>
                    <w:rPr>
                      <w:rFonts w:hint="eastAsia"/>
                      <w:lang w:val="en-US" w:eastAsia="zh-CN"/>
                    </w:rPr>
                    <w:t>0.016</w:t>
                  </w:r>
                </w:p>
              </w:tc>
              <w:tc>
                <w:tcPr>
                  <w:tcW w:w="955" w:type="pct"/>
                  <w:vMerge w:val="continue"/>
                  <w:tcBorders>
                    <w:tl2br w:val="nil"/>
                    <w:tr2bl w:val="nil"/>
                  </w:tcBorders>
                  <w:vAlign w:val="center"/>
                </w:tcPr>
                <w:p w14:paraId="1CB89FCD">
                  <w:pPr>
                    <w:jc w:val="center"/>
                    <w:rPr>
                      <w:szCs w:val="21"/>
                    </w:rPr>
                  </w:pPr>
                </w:p>
              </w:tc>
              <w:tc>
                <w:tcPr>
                  <w:tcW w:w="717" w:type="pct"/>
                  <w:vMerge w:val="continue"/>
                  <w:tcBorders>
                    <w:tl2br w:val="nil"/>
                    <w:tr2bl w:val="nil"/>
                  </w:tcBorders>
                  <w:vAlign w:val="center"/>
                </w:tcPr>
                <w:p w14:paraId="25C73404">
                  <w:pPr>
                    <w:widowControl/>
                    <w:jc w:val="center"/>
                    <w:textAlignment w:val="center"/>
                  </w:pPr>
                </w:p>
              </w:tc>
              <w:tc>
                <w:tcPr>
                  <w:tcW w:w="808" w:type="pct"/>
                  <w:vMerge w:val="continue"/>
                  <w:tcBorders>
                    <w:tl2br w:val="nil"/>
                    <w:tr2bl w:val="nil"/>
                  </w:tcBorders>
                  <w:vAlign w:val="center"/>
                </w:tcPr>
                <w:p w14:paraId="71D20DB6">
                  <w:pPr>
                    <w:widowControl/>
                    <w:jc w:val="center"/>
                    <w:textAlignment w:val="center"/>
                  </w:pPr>
                </w:p>
              </w:tc>
            </w:tr>
          </w:tbl>
          <w:p w14:paraId="4B1B1F5A">
            <w:pPr>
              <w:pStyle w:val="9"/>
              <w:spacing w:line="360" w:lineRule="auto"/>
              <w:ind w:firstLine="482"/>
              <w:jc w:val="center"/>
              <w:rPr>
                <w:sz w:val="24"/>
                <w:lang w:bidi="ar"/>
              </w:rPr>
            </w:pPr>
            <w:r>
              <w:rPr>
                <w:rFonts w:hint="eastAsia"/>
                <w:b/>
                <w:bCs/>
                <w:sz w:val="24"/>
                <w:lang w:bidi="ar"/>
              </w:rPr>
              <w:t>表4-</w:t>
            </w:r>
            <w:r>
              <w:rPr>
                <w:rFonts w:hint="eastAsia"/>
                <w:b/>
                <w:bCs/>
                <w:sz w:val="24"/>
                <w:lang w:val="en-US" w:eastAsia="zh-CN" w:bidi="ar"/>
              </w:rPr>
              <w:t>6</w:t>
            </w:r>
            <w:r>
              <w:rPr>
                <w:rFonts w:hint="eastAsia"/>
                <w:b/>
                <w:bCs/>
                <w:sz w:val="24"/>
                <w:lang w:bidi="ar"/>
              </w:rPr>
              <w:t xml:space="preserve"> 项目排放口基本情况一览表</w:t>
            </w:r>
          </w:p>
          <w:tbl>
            <w:tblPr>
              <w:tblStyle w:val="30"/>
              <w:tblW w:w="4998" w:type="pct"/>
              <w:tblInd w:w="0" w:type="dxa"/>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465"/>
              <w:gridCol w:w="721"/>
              <w:gridCol w:w="1679"/>
              <w:gridCol w:w="1713"/>
              <w:gridCol w:w="615"/>
              <w:gridCol w:w="615"/>
              <w:gridCol w:w="479"/>
              <w:gridCol w:w="705"/>
              <w:gridCol w:w="735"/>
              <w:gridCol w:w="1259"/>
              <w:gridCol w:w="778"/>
              <w:gridCol w:w="1049"/>
              <w:gridCol w:w="890"/>
            </w:tblGrid>
            <w:tr w14:paraId="607E29DC">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34" w:type="pct"/>
                  <w:vMerge w:val="restart"/>
                  <w:tcBorders>
                    <w:tl2br w:val="nil"/>
                    <w:tr2bl w:val="nil"/>
                  </w:tcBorders>
                  <w:vAlign w:val="center"/>
                </w:tcPr>
                <w:p w14:paraId="0A50BEB9">
                  <w:pPr>
                    <w:pStyle w:val="9"/>
                    <w:spacing w:line="360" w:lineRule="auto"/>
                    <w:ind w:firstLine="0" w:firstLineChars="0"/>
                    <w:jc w:val="center"/>
                    <w:rPr>
                      <w:b/>
                      <w:bCs/>
                      <w:szCs w:val="21"/>
                      <w:lang w:bidi="ar"/>
                    </w:rPr>
                  </w:pPr>
                  <w:r>
                    <w:rPr>
                      <w:rFonts w:hint="eastAsia"/>
                      <w:b/>
                      <w:bCs/>
                      <w:szCs w:val="21"/>
                      <w:lang w:bidi="ar"/>
                    </w:rPr>
                    <w:t>编号</w:t>
                  </w:r>
                </w:p>
              </w:tc>
              <w:tc>
                <w:tcPr>
                  <w:tcW w:w="185" w:type="pct"/>
                  <w:vMerge w:val="restart"/>
                  <w:tcBorders>
                    <w:tl2br w:val="nil"/>
                    <w:tr2bl w:val="nil"/>
                  </w:tcBorders>
                  <w:vAlign w:val="center"/>
                </w:tcPr>
                <w:p w14:paraId="2BA1F297">
                  <w:pPr>
                    <w:pStyle w:val="9"/>
                    <w:spacing w:line="360" w:lineRule="auto"/>
                    <w:ind w:firstLine="0" w:firstLineChars="0"/>
                    <w:rPr>
                      <w:b/>
                      <w:bCs/>
                      <w:szCs w:val="21"/>
                      <w:lang w:bidi="ar"/>
                    </w:rPr>
                  </w:pPr>
                  <w:r>
                    <w:rPr>
                      <w:rFonts w:hint="eastAsia"/>
                      <w:b/>
                      <w:bCs/>
                      <w:szCs w:val="21"/>
                      <w:lang w:bidi="ar"/>
                    </w:rPr>
                    <w:t>排放口类型</w:t>
                  </w:r>
                </w:p>
              </w:tc>
              <w:tc>
                <w:tcPr>
                  <w:tcW w:w="287" w:type="pct"/>
                  <w:vMerge w:val="restart"/>
                  <w:tcBorders>
                    <w:tl2br w:val="nil"/>
                    <w:tr2bl w:val="nil"/>
                  </w:tcBorders>
                  <w:vAlign w:val="center"/>
                </w:tcPr>
                <w:p w14:paraId="7B4DB1C1">
                  <w:pPr>
                    <w:pStyle w:val="9"/>
                    <w:spacing w:line="360" w:lineRule="auto"/>
                    <w:ind w:firstLine="0" w:firstLineChars="0"/>
                    <w:jc w:val="center"/>
                    <w:rPr>
                      <w:b/>
                      <w:bCs/>
                      <w:szCs w:val="21"/>
                      <w:lang w:bidi="ar"/>
                    </w:rPr>
                  </w:pPr>
                  <w:r>
                    <w:rPr>
                      <w:rFonts w:hint="eastAsia"/>
                      <w:b/>
                      <w:bCs/>
                      <w:szCs w:val="21"/>
                      <w:lang w:bidi="ar"/>
                    </w:rPr>
                    <w:t>名称</w:t>
                  </w:r>
                </w:p>
              </w:tc>
              <w:tc>
                <w:tcPr>
                  <w:tcW w:w="1352" w:type="pct"/>
                  <w:gridSpan w:val="2"/>
                  <w:tcBorders>
                    <w:tl2br w:val="nil"/>
                    <w:tr2bl w:val="nil"/>
                  </w:tcBorders>
                  <w:vAlign w:val="center"/>
                </w:tcPr>
                <w:p w14:paraId="1E689E4C">
                  <w:pPr>
                    <w:pStyle w:val="9"/>
                    <w:spacing w:line="360" w:lineRule="auto"/>
                    <w:ind w:firstLine="0" w:firstLineChars="0"/>
                    <w:jc w:val="center"/>
                    <w:rPr>
                      <w:b/>
                      <w:bCs/>
                      <w:szCs w:val="21"/>
                      <w:lang w:bidi="ar"/>
                    </w:rPr>
                  </w:pPr>
                  <w:r>
                    <w:rPr>
                      <w:rFonts w:hint="eastAsia"/>
                      <w:b/>
                      <w:bCs/>
                      <w:szCs w:val="21"/>
                      <w:lang w:bidi="ar"/>
                    </w:rPr>
                    <w:t>排放口地理坐标</w:t>
                  </w:r>
                </w:p>
              </w:tc>
              <w:tc>
                <w:tcPr>
                  <w:tcW w:w="245" w:type="pct"/>
                  <w:vMerge w:val="restart"/>
                  <w:tcBorders>
                    <w:tl2br w:val="nil"/>
                    <w:tr2bl w:val="nil"/>
                  </w:tcBorders>
                  <w:vAlign w:val="center"/>
                </w:tcPr>
                <w:p w14:paraId="4F4F377A">
                  <w:pPr>
                    <w:pStyle w:val="9"/>
                    <w:spacing w:line="360" w:lineRule="auto"/>
                    <w:ind w:firstLine="0" w:firstLineChars="0"/>
                    <w:jc w:val="center"/>
                    <w:rPr>
                      <w:b/>
                      <w:bCs/>
                      <w:szCs w:val="21"/>
                      <w:lang w:bidi="ar"/>
                    </w:rPr>
                  </w:pPr>
                  <w:r>
                    <w:rPr>
                      <w:rFonts w:hint="eastAsia"/>
                      <w:b/>
                      <w:bCs/>
                      <w:szCs w:val="21"/>
                      <w:lang w:bidi="ar"/>
                    </w:rPr>
                    <w:t>排气筒高度/m</w:t>
                  </w:r>
                </w:p>
              </w:tc>
              <w:tc>
                <w:tcPr>
                  <w:tcW w:w="245" w:type="pct"/>
                  <w:vMerge w:val="restart"/>
                  <w:tcBorders>
                    <w:tl2br w:val="nil"/>
                    <w:tr2bl w:val="nil"/>
                  </w:tcBorders>
                  <w:vAlign w:val="center"/>
                </w:tcPr>
                <w:p w14:paraId="1DC57EE1">
                  <w:pPr>
                    <w:widowControl/>
                    <w:jc w:val="center"/>
                    <w:rPr>
                      <w:szCs w:val="21"/>
                    </w:rPr>
                  </w:pPr>
                  <w:r>
                    <w:rPr>
                      <w:rFonts w:hint="eastAsia" w:ascii="宋体" w:hAnsi="宋体" w:cs="宋体"/>
                      <w:b/>
                      <w:bCs/>
                      <w:color w:val="000000"/>
                      <w:kern w:val="0"/>
                      <w:szCs w:val="21"/>
                      <w:lang w:bidi="ar"/>
                    </w:rPr>
                    <w:t>排气筒</w:t>
                  </w:r>
                </w:p>
                <w:p w14:paraId="7D1F3CB4">
                  <w:pPr>
                    <w:widowControl/>
                    <w:jc w:val="center"/>
                    <w:rPr>
                      <w:szCs w:val="21"/>
                    </w:rPr>
                  </w:pPr>
                  <w:r>
                    <w:rPr>
                      <w:rFonts w:hint="eastAsia" w:ascii="宋体" w:hAnsi="宋体" w:cs="宋体"/>
                      <w:b/>
                      <w:bCs/>
                      <w:color w:val="000000"/>
                      <w:kern w:val="0"/>
                      <w:szCs w:val="21"/>
                      <w:lang w:bidi="ar"/>
                    </w:rPr>
                    <w:t>出口</w:t>
                  </w:r>
                </w:p>
                <w:p w14:paraId="11455E69">
                  <w:pPr>
                    <w:widowControl/>
                    <w:jc w:val="center"/>
                    <w:rPr>
                      <w:szCs w:val="21"/>
                    </w:rPr>
                  </w:pPr>
                  <w:r>
                    <w:rPr>
                      <w:rFonts w:hint="eastAsia" w:ascii="宋体" w:hAnsi="宋体" w:cs="宋体"/>
                      <w:b/>
                      <w:bCs/>
                      <w:color w:val="000000"/>
                      <w:kern w:val="0"/>
                      <w:szCs w:val="21"/>
                      <w:lang w:bidi="ar"/>
                    </w:rPr>
                    <w:t>内</w:t>
                  </w:r>
                </w:p>
                <w:p w14:paraId="1AC70076">
                  <w:pPr>
                    <w:widowControl/>
                    <w:jc w:val="center"/>
                    <w:rPr>
                      <w:szCs w:val="21"/>
                    </w:rPr>
                  </w:pPr>
                  <w:r>
                    <w:rPr>
                      <w:rFonts w:hint="eastAsia" w:ascii="宋体" w:hAnsi="宋体" w:cs="宋体"/>
                      <w:b/>
                      <w:bCs/>
                      <w:color w:val="000000"/>
                      <w:kern w:val="0"/>
                      <w:szCs w:val="21"/>
                      <w:lang w:bidi="ar"/>
                    </w:rPr>
                    <w:t>径</w:t>
                  </w:r>
                </w:p>
                <w:p w14:paraId="7D085008">
                  <w:pPr>
                    <w:widowControl/>
                    <w:jc w:val="center"/>
                    <w:rPr>
                      <w:szCs w:val="21"/>
                    </w:rPr>
                  </w:pPr>
                  <w:r>
                    <w:rPr>
                      <w:b/>
                      <w:bCs/>
                      <w:color w:val="000000"/>
                      <w:kern w:val="0"/>
                      <w:szCs w:val="21"/>
                      <w:lang w:bidi="ar"/>
                    </w:rPr>
                    <w:t>/m</w:t>
                  </w:r>
                </w:p>
                <w:p w14:paraId="41FCFDAB">
                  <w:pPr>
                    <w:pStyle w:val="9"/>
                    <w:spacing w:line="360" w:lineRule="auto"/>
                    <w:ind w:firstLine="0" w:firstLineChars="0"/>
                    <w:jc w:val="center"/>
                    <w:rPr>
                      <w:szCs w:val="21"/>
                      <w:lang w:bidi="ar"/>
                    </w:rPr>
                  </w:pPr>
                </w:p>
              </w:tc>
              <w:tc>
                <w:tcPr>
                  <w:tcW w:w="190" w:type="pct"/>
                  <w:vMerge w:val="restart"/>
                  <w:tcBorders>
                    <w:tl2br w:val="nil"/>
                    <w:tr2bl w:val="nil"/>
                  </w:tcBorders>
                  <w:vAlign w:val="center"/>
                </w:tcPr>
                <w:p w14:paraId="3E53A674">
                  <w:pPr>
                    <w:widowControl/>
                    <w:jc w:val="center"/>
                    <w:rPr>
                      <w:szCs w:val="21"/>
                    </w:rPr>
                  </w:pPr>
                  <w:r>
                    <w:rPr>
                      <w:rFonts w:hint="eastAsia" w:ascii="宋体" w:hAnsi="宋体" w:cs="宋体"/>
                      <w:b/>
                      <w:bCs/>
                      <w:color w:val="000000"/>
                      <w:kern w:val="0"/>
                      <w:szCs w:val="21"/>
                      <w:lang w:bidi="ar"/>
                    </w:rPr>
                    <w:t>烟气</w:t>
                  </w:r>
                </w:p>
                <w:p w14:paraId="13A41460">
                  <w:pPr>
                    <w:widowControl/>
                    <w:jc w:val="center"/>
                    <w:rPr>
                      <w:szCs w:val="21"/>
                    </w:rPr>
                  </w:pPr>
                  <w:r>
                    <w:rPr>
                      <w:rFonts w:hint="eastAsia" w:ascii="宋体" w:hAnsi="宋体" w:cs="宋体"/>
                      <w:b/>
                      <w:bCs/>
                      <w:color w:val="000000"/>
                      <w:kern w:val="0"/>
                      <w:szCs w:val="21"/>
                      <w:lang w:bidi="ar"/>
                    </w:rPr>
                    <w:t>温</w:t>
                  </w:r>
                </w:p>
                <w:p w14:paraId="0F91E9F9">
                  <w:pPr>
                    <w:widowControl/>
                    <w:jc w:val="center"/>
                    <w:rPr>
                      <w:szCs w:val="21"/>
                    </w:rPr>
                  </w:pPr>
                  <w:r>
                    <w:rPr>
                      <w:rFonts w:hint="eastAsia" w:ascii="宋体" w:hAnsi="宋体" w:cs="宋体"/>
                      <w:b/>
                      <w:bCs/>
                      <w:color w:val="000000"/>
                      <w:kern w:val="0"/>
                      <w:szCs w:val="21"/>
                      <w:lang w:bidi="ar"/>
                    </w:rPr>
                    <w:t>度</w:t>
                  </w:r>
                </w:p>
                <w:p w14:paraId="20AF34EE">
                  <w:pPr>
                    <w:widowControl/>
                    <w:jc w:val="center"/>
                    <w:rPr>
                      <w:szCs w:val="21"/>
                    </w:rPr>
                  </w:pPr>
                  <w:r>
                    <w:rPr>
                      <w:b/>
                      <w:bCs/>
                      <w:color w:val="000000"/>
                      <w:kern w:val="0"/>
                      <w:szCs w:val="21"/>
                      <w:lang w:bidi="ar"/>
                    </w:rPr>
                    <w:t>/℃</w:t>
                  </w:r>
                </w:p>
                <w:p w14:paraId="71F182E9">
                  <w:pPr>
                    <w:pStyle w:val="9"/>
                    <w:spacing w:line="360" w:lineRule="auto"/>
                    <w:jc w:val="center"/>
                    <w:rPr>
                      <w:szCs w:val="21"/>
                      <w:lang w:bidi="ar"/>
                    </w:rPr>
                  </w:pPr>
                </w:p>
              </w:tc>
              <w:tc>
                <w:tcPr>
                  <w:tcW w:w="281" w:type="pct"/>
                  <w:vMerge w:val="restart"/>
                  <w:tcBorders>
                    <w:tl2br w:val="nil"/>
                    <w:tr2bl w:val="nil"/>
                  </w:tcBorders>
                  <w:vAlign w:val="center"/>
                </w:tcPr>
                <w:p w14:paraId="011E30F0">
                  <w:pPr>
                    <w:widowControl/>
                    <w:jc w:val="center"/>
                    <w:rPr>
                      <w:szCs w:val="21"/>
                    </w:rPr>
                  </w:pPr>
                  <w:r>
                    <w:rPr>
                      <w:rFonts w:hint="eastAsia" w:ascii="宋体" w:hAnsi="宋体" w:cs="宋体"/>
                      <w:b/>
                      <w:bCs/>
                      <w:color w:val="000000"/>
                      <w:kern w:val="0"/>
                      <w:szCs w:val="21"/>
                      <w:lang w:bidi="ar"/>
                    </w:rPr>
                    <w:t>排放工况</w:t>
                  </w:r>
                  <w:r>
                    <w:rPr>
                      <w:b/>
                      <w:bCs/>
                      <w:color w:val="000000"/>
                      <w:kern w:val="0"/>
                      <w:szCs w:val="21"/>
                      <w:lang w:bidi="ar"/>
                    </w:rPr>
                    <w:t>/</w:t>
                  </w:r>
                  <w:r>
                    <w:rPr>
                      <w:color w:val="000000"/>
                      <w:kern w:val="0"/>
                      <w:szCs w:val="21"/>
                      <w:lang w:bidi="ar"/>
                    </w:rPr>
                    <w:t>h/a</w:t>
                  </w:r>
                </w:p>
                <w:p w14:paraId="56E218F7">
                  <w:pPr>
                    <w:pStyle w:val="9"/>
                    <w:spacing w:line="360" w:lineRule="auto"/>
                    <w:jc w:val="center"/>
                    <w:rPr>
                      <w:szCs w:val="21"/>
                      <w:lang w:bidi="ar"/>
                    </w:rPr>
                  </w:pPr>
                </w:p>
              </w:tc>
              <w:tc>
                <w:tcPr>
                  <w:tcW w:w="293" w:type="pct"/>
                  <w:vMerge w:val="restart"/>
                  <w:tcBorders>
                    <w:tl2br w:val="nil"/>
                    <w:tr2bl w:val="nil"/>
                  </w:tcBorders>
                  <w:vAlign w:val="center"/>
                </w:tcPr>
                <w:p w14:paraId="583C237A">
                  <w:pPr>
                    <w:widowControl/>
                    <w:jc w:val="center"/>
                    <w:rPr>
                      <w:szCs w:val="21"/>
                    </w:rPr>
                  </w:pPr>
                  <w:r>
                    <w:rPr>
                      <w:rFonts w:hint="eastAsia" w:ascii="宋体" w:hAnsi="宋体" w:cs="宋体"/>
                      <w:b/>
                      <w:bCs/>
                      <w:color w:val="000000"/>
                      <w:kern w:val="0"/>
                      <w:szCs w:val="21"/>
                      <w:lang w:bidi="ar"/>
                    </w:rPr>
                    <w:t>烟气流</w:t>
                  </w:r>
                </w:p>
                <w:p w14:paraId="55C9C861">
                  <w:pPr>
                    <w:widowControl/>
                    <w:jc w:val="center"/>
                    <w:rPr>
                      <w:szCs w:val="21"/>
                    </w:rPr>
                  </w:pPr>
                  <w:r>
                    <w:rPr>
                      <w:rFonts w:hint="eastAsia" w:ascii="宋体" w:hAnsi="宋体" w:cs="宋体"/>
                      <w:b/>
                      <w:bCs/>
                      <w:color w:val="000000"/>
                      <w:kern w:val="0"/>
                      <w:szCs w:val="21"/>
                      <w:lang w:bidi="ar"/>
                    </w:rPr>
                    <w:t>速</w:t>
                  </w:r>
                  <w:r>
                    <w:rPr>
                      <w:b/>
                      <w:bCs/>
                      <w:color w:val="000000"/>
                      <w:kern w:val="0"/>
                      <w:szCs w:val="21"/>
                      <w:lang w:bidi="ar"/>
                    </w:rPr>
                    <w:t>/m/s</w:t>
                  </w:r>
                </w:p>
                <w:p w14:paraId="74654E41">
                  <w:pPr>
                    <w:pStyle w:val="9"/>
                    <w:spacing w:line="360" w:lineRule="auto"/>
                    <w:jc w:val="center"/>
                    <w:rPr>
                      <w:szCs w:val="21"/>
                      <w:lang w:bidi="ar"/>
                    </w:rPr>
                  </w:pPr>
                </w:p>
              </w:tc>
              <w:tc>
                <w:tcPr>
                  <w:tcW w:w="501" w:type="pct"/>
                  <w:vMerge w:val="restart"/>
                  <w:tcBorders>
                    <w:tl2br w:val="nil"/>
                    <w:tr2bl w:val="nil"/>
                  </w:tcBorders>
                  <w:vAlign w:val="center"/>
                </w:tcPr>
                <w:p w14:paraId="62A0C04A">
                  <w:pPr>
                    <w:widowControl/>
                    <w:jc w:val="center"/>
                    <w:rPr>
                      <w:szCs w:val="21"/>
                    </w:rPr>
                  </w:pPr>
                  <w:r>
                    <w:rPr>
                      <w:rFonts w:hint="eastAsia" w:ascii="宋体" w:hAnsi="宋体" w:cs="宋体"/>
                      <w:b/>
                      <w:bCs/>
                      <w:color w:val="000000"/>
                      <w:kern w:val="0"/>
                      <w:szCs w:val="21"/>
                      <w:lang w:bidi="ar"/>
                    </w:rPr>
                    <w:t>污染物</w:t>
                  </w:r>
                </w:p>
                <w:p w14:paraId="598B163D">
                  <w:pPr>
                    <w:widowControl/>
                    <w:jc w:val="center"/>
                    <w:rPr>
                      <w:szCs w:val="21"/>
                    </w:rPr>
                  </w:pPr>
                  <w:r>
                    <w:rPr>
                      <w:rFonts w:hint="eastAsia" w:ascii="宋体" w:hAnsi="宋体" w:cs="宋体"/>
                      <w:b/>
                      <w:bCs/>
                      <w:color w:val="000000"/>
                      <w:kern w:val="0"/>
                      <w:szCs w:val="21"/>
                      <w:lang w:bidi="ar"/>
                    </w:rPr>
                    <w:t>种类</w:t>
                  </w:r>
                </w:p>
                <w:p w14:paraId="0113D40C">
                  <w:pPr>
                    <w:pStyle w:val="9"/>
                    <w:spacing w:line="360" w:lineRule="auto"/>
                    <w:jc w:val="center"/>
                    <w:rPr>
                      <w:szCs w:val="21"/>
                      <w:lang w:bidi="ar"/>
                    </w:rPr>
                  </w:pPr>
                </w:p>
              </w:tc>
              <w:tc>
                <w:tcPr>
                  <w:tcW w:w="1083" w:type="pct"/>
                  <w:gridSpan w:val="3"/>
                  <w:tcBorders>
                    <w:tl2br w:val="nil"/>
                    <w:tr2bl w:val="nil"/>
                  </w:tcBorders>
                  <w:vAlign w:val="center"/>
                </w:tcPr>
                <w:p w14:paraId="30F743AF">
                  <w:pPr>
                    <w:pStyle w:val="9"/>
                    <w:spacing w:line="360" w:lineRule="auto"/>
                    <w:ind w:firstLine="0" w:firstLineChars="0"/>
                    <w:jc w:val="center"/>
                    <w:rPr>
                      <w:b/>
                      <w:bCs/>
                      <w:szCs w:val="21"/>
                      <w:lang w:bidi="ar"/>
                    </w:rPr>
                  </w:pPr>
                  <w:r>
                    <w:rPr>
                      <w:rFonts w:hint="eastAsia"/>
                      <w:b/>
                      <w:bCs/>
                      <w:szCs w:val="21"/>
                      <w:lang w:bidi="ar"/>
                    </w:rPr>
                    <w:t>排放标准</w:t>
                  </w:r>
                </w:p>
              </w:tc>
            </w:tr>
            <w:tr w14:paraId="04303417">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1761" w:hRule="atLeast"/>
              </w:trPr>
              <w:tc>
                <w:tcPr>
                  <w:tcW w:w="334" w:type="pct"/>
                  <w:vMerge w:val="continue"/>
                  <w:tcBorders>
                    <w:tl2br w:val="nil"/>
                    <w:tr2bl w:val="nil"/>
                  </w:tcBorders>
                  <w:vAlign w:val="center"/>
                </w:tcPr>
                <w:p w14:paraId="78B4B2CD">
                  <w:pPr>
                    <w:pStyle w:val="9"/>
                    <w:spacing w:line="360" w:lineRule="auto"/>
                    <w:jc w:val="center"/>
                    <w:rPr>
                      <w:szCs w:val="21"/>
                    </w:rPr>
                  </w:pPr>
                </w:p>
              </w:tc>
              <w:tc>
                <w:tcPr>
                  <w:tcW w:w="185" w:type="pct"/>
                  <w:vMerge w:val="continue"/>
                  <w:tcBorders>
                    <w:tl2br w:val="nil"/>
                    <w:tr2bl w:val="nil"/>
                  </w:tcBorders>
                  <w:vAlign w:val="center"/>
                </w:tcPr>
                <w:p w14:paraId="3EDD98F2">
                  <w:pPr>
                    <w:pStyle w:val="9"/>
                    <w:spacing w:line="360" w:lineRule="auto"/>
                    <w:jc w:val="center"/>
                    <w:rPr>
                      <w:szCs w:val="21"/>
                    </w:rPr>
                  </w:pPr>
                </w:p>
              </w:tc>
              <w:tc>
                <w:tcPr>
                  <w:tcW w:w="287" w:type="pct"/>
                  <w:vMerge w:val="continue"/>
                  <w:tcBorders>
                    <w:tl2br w:val="nil"/>
                    <w:tr2bl w:val="nil"/>
                  </w:tcBorders>
                  <w:vAlign w:val="center"/>
                </w:tcPr>
                <w:p w14:paraId="2A79D866">
                  <w:pPr>
                    <w:pStyle w:val="9"/>
                    <w:spacing w:line="360" w:lineRule="auto"/>
                    <w:jc w:val="center"/>
                    <w:rPr>
                      <w:szCs w:val="21"/>
                    </w:rPr>
                  </w:pPr>
                </w:p>
              </w:tc>
              <w:tc>
                <w:tcPr>
                  <w:tcW w:w="669" w:type="pct"/>
                  <w:tcBorders>
                    <w:tl2br w:val="nil"/>
                    <w:tr2bl w:val="nil"/>
                  </w:tcBorders>
                  <w:vAlign w:val="center"/>
                </w:tcPr>
                <w:p w14:paraId="1990FE77">
                  <w:pPr>
                    <w:widowControl/>
                    <w:jc w:val="center"/>
                    <w:rPr>
                      <w:szCs w:val="21"/>
                    </w:rPr>
                  </w:pPr>
                  <w:r>
                    <w:rPr>
                      <w:rFonts w:hint="eastAsia" w:ascii="宋体" w:hAnsi="宋体" w:cs="宋体"/>
                      <w:b/>
                      <w:bCs/>
                      <w:color w:val="000000"/>
                      <w:kern w:val="0"/>
                      <w:szCs w:val="21"/>
                      <w:lang w:bidi="ar"/>
                    </w:rPr>
                    <w:t>经度</w:t>
                  </w:r>
                </w:p>
                <w:p w14:paraId="682BFDC7">
                  <w:pPr>
                    <w:pStyle w:val="9"/>
                    <w:spacing w:line="360" w:lineRule="auto"/>
                    <w:jc w:val="center"/>
                    <w:rPr>
                      <w:szCs w:val="21"/>
                      <w:lang w:bidi="ar"/>
                    </w:rPr>
                  </w:pPr>
                </w:p>
              </w:tc>
              <w:tc>
                <w:tcPr>
                  <w:tcW w:w="682" w:type="pct"/>
                  <w:tcBorders>
                    <w:tl2br w:val="nil"/>
                    <w:tr2bl w:val="nil"/>
                  </w:tcBorders>
                  <w:vAlign w:val="center"/>
                </w:tcPr>
                <w:p w14:paraId="5157E245">
                  <w:pPr>
                    <w:widowControl/>
                    <w:jc w:val="center"/>
                    <w:rPr>
                      <w:szCs w:val="21"/>
                    </w:rPr>
                  </w:pPr>
                  <w:r>
                    <w:rPr>
                      <w:rFonts w:hint="eastAsia" w:ascii="宋体" w:hAnsi="宋体" w:cs="宋体"/>
                      <w:b/>
                      <w:bCs/>
                      <w:color w:val="000000"/>
                      <w:kern w:val="0"/>
                      <w:szCs w:val="21"/>
                      <w:lang w:bidi="ar"/>
                    </w:rPr>
                    <w:t>纬度</w:t>
                  </w:r>
                </w:p>
                <w:p w14:paraId="383528A4">
                  <w:pPr>
                    <w:pStyle w:val="9"/>
                    <w:spacing w:line="360" w:lineRule="auto"/>
                    <w:jc w:val="center"/>
                    <w:rPr>
                      <w:szCs w:val="21"/>
                      <w:lang w:bidi="ar"/>
                    </w:rPr>
                  </w:pPr>
                </w:p>
              </w:tc>
              <w:tc>
                <w:tcPr>
                  <w:tcW w:w="245" w:type="pct"/>
                  <w:vMerge w:val="continue"/>
                  <w:tcBorders>
                    <w:tl2br w:val="nil"/>
                    <w:tr2bl w:val="nil"/>
                  </w:tcBorders>
                  <w:vAlign w:val="center"/>
                </w:tcPr>
                <w:p w14:paraId="3E899625">
                  <w:pPr>
                    <w:pStyle w:val="9"/>
                    <w:spacing w:line="360" w:lineRule="auto"/>
                    <w:jc w:val="center"/>
                    <w:rPr>
                      <w:szCs w:val="21"/>
                      <w:lang w:bidi="ar"/>
                    </w:rPr>
                  </w:pPr>
                </w:p>
              </w:tc>
              <w:tc>
                <w:tcPr>
                  <w:tcW w:w="245" w:type="pct"/>
                  <w:vMerge w:val="continue"/>
                  <w:tcBorders>
                    <w:tl2br w:val="nil"/>
                    <w:tr2bl w:val="nil"/>
                  </w:tcBorders>
                  <w:vAlign w:val="center"/>
                </w:tcPr>
                <w:p w14:paraId="6023220C">
                  <w:pPr>
                    <w:pStyle w:val="9"/>
                    <w:spacing w:line="360" w:lineRule="auto"/>
                    <w:jc w:val="center"/>
                    <w:rPr>
                      <w:szCs w:val="21"/>
                      <w:lang w:bidi="ar"/>
                    </w:rPr>
                  </w:pPr>
                </w:p>
              </w:tc>
              <w:tc>
                <w:tcPr>
                  <w:tcW w:w="190" w:type="pct"/>
                  <w:vMerge w:val="continue"/>
                  <w:tcBorders>
                    <w:tl2br w:val="nil"/>
                    <w:tr2bl w:val="nil"/>
                  </w:tcBorders>
                  <w:vAlign w:val="center"/>
                </w:tcPr>
                <w:p w14:paraId="62FDAF2F">
                  <w:pPr>
                    <w:pStyle w:val="9"/>
                    <w:spacing w:line="360" w:lineRule="auto"/>
                    <w:jc w:val="center"/>
                    <w:rPr>
                      <w:szCs w:val="21"/>
                      <w:lang w:bidi="ar"/>
                    </w:rPr>
                  </w:pPr>
                </w:p>
              </w:tc>
              <w:tc>
                <w:tcPr>
                  <w:tcW w:w="281" w:type="pct"/>
                  <w:vMerge w:val="continue"/>
                  <w:tcBorders>
                    <w:tl2br w:val="nil"/>
                    <w:tr2bl w:val="nil"/>
                  </w:tcBorders>
                  <w:vAlign w:val="center"/>
                </w:tcPr>
                <w:p w14:paraId="0E6D90CA">
                  <w:pPr>
                    <w:pStyle w:val="9"/>
                    <w:spacing w:line="360" w:lineRule="auto"/>
                    <w:jc w:val="center"/>
                    <w:rPr>
                      <w:szCs w:val="21"/>
                      <w:lang w:bidi="ar"/>
                    </w:rPr>
                  </w:pPr>
                </w:p>
              </w:tc>
              <w:tc>
                <w:tcPr>
                  <w:tcW w:w="293" w:type="pct"/>
                  <w:vMerge w:val="continue"/>
                  <w:tcBorders>
                    <w:tl2br w:val="nil"/>
                    <w:tr2bl w:val="nil"/>
                  </w:tcBorders>
                  <w:vAlign w:val="center"/>
                </w:tcPr>
                <w:p w14:paraId="159DF62D">
                  <w:pPr>
                    <w:pStyle w:val="9"/>
                    <w:spacing w:line="360" w:lineRule="auto"/>
                    <w:jc w:val="center"/>
                    <w:rPr>
                      <w:szCs w:val="21"/>
                      <w:lang w:bidi="ar"/>
                    </w:rPr>
                  </w:pPr>
                </w:p>
              </w:tc>
              <w:tc>
                <w:tcPr>
                  <w:tcW w:w="501" w:type="pct"/>
                  <w:vMerge w:val="continue"/>
                  <w:tcBorders>
                    <w:tl2br w:val="nil"/>
                    <w:tr2bl w:val="nil"/>
                  </w:tcBorders>
                  <w:vAlign w:val="center"/>
                </w:tcPr>
                <w:p w14:paraId="0B3778CE">
                  <w:pPr>
                    <w:pStyle w:val="9"/>
                    <w:spacing w:line="360" w:lineRule="auto"/>
                    <w:jc w:val="center"/>
                    <w:rPr>
                      <w:szCs w:val="21"/>
                      <w:lang w:bidi="ar"/>
                    </w:rPr>
                  </w:pPr>
                </w:p>
              </w:tc>
              <w:tc>
                <w:tcPr>
                  <w:tcW w:w="310" w:type="pct"/>
                  <w:tcBorders>
                    <w:tl2br w:val="nil"/>
                    <w:tr2bl w:val="nil"/>
                  </w:tcBorders>
                  <w:vAlign w:val="center"/>
                </w:tcPr>
                <w:p w14:paraId="3742A266">
                  <w:pPr>
                    <w:widowControl/>
                    <w:jc w:val="center"/>
                    <w:rPr>
                      <w:szCs w:val="21"/>
                    </w:rPr>
                  </w:pPr>
                  <w:r>
                    <w:rPr>
                      <w:rFonts w:hint="eastAsia" w:ascii="宋体" w:hAnsi="宋体" w:cs="宋体"/>
                      <w:b/>
                      <w:bCs/>
                      <w:color w:val="000000"/>
                      <w:kern w:val="0"/>
                      <w:szCs w:val="21"/>
                      <w:lang w:bidi="ar"/>
                    </w:rPr>
                    <w:t>最高允许排放</w:t>
                  </w:r>
                </w:p>
                <w:p w14:paraId="57D9F0AD">
                  <w:pPr>
                    <w:widowControl/>
                    <w:jc w:val="center"/>
                    <w:rPr>
                      <w:szCs w:val="21"/>
                    </w:rPr>
                  </w:pPr>
                  <w:r>
                    <w:rPr>
                      <w:rFonts w:hint="eastAsia" w:ascii="宋体" w:hAnsi="宋体" w:cs="宋体"/>
                      <w:b/>
                      <w:bCs/>
                      <w:color w:val="000000"/>
                      <w:kern w:val="0"/>
                      <w:szCs w:val="21"/>
                      <w:lang w:bidi="ar"/>
                    </w:rPr>
                    <w:t>速率（</w:t>
                  </w:r>
                  <w:r>
                    <w:rPr>
                      <w:b/>
                      <w:bCs/>
                      <w:color w:val="000000"/>
                      <w:kern w:val="0"/>
                      <w:szCs w:val="21"/>
                      <w:lang w:bidi="ar"/>
                    </w:rPr>
                    <w:t>kg/h</w:t>
                  </w:r>
                  <w:r>
                    <w:rPr>
                      <w:rFonts w:hint="eastAsia" w:ascii="宋体" w:hAnsi="宋体" w:cs="宋体"/>
                      <w:b/>
                      <w:bCs/>
                      <w:color w:val="000000"/>
                      <w:kern w:val="0"/>
                      <w:szCs w:val="21"/>
                      <w:lang w:bidi="ar"/>
                    </w:rPr>
                    <w:t>）</w:t>
                  </w:r>
                </w:p>
                <w:p w14:paraId="109265D7">
                  <w:pPr>
                    <w:pStyle w:val="9"/>
                    <w:spacing w:line="360" w:lineRule="auto"/>
                    <w:jc w:val="center"/>
                    <w:rPr>
                      <w:szCs w:val="21"/>
                      <w:lang w:bidi="ar"/>
                    </w:rPr>
                  </w:pPr>
                </w:p>
              </w:tc>
              <w:tc>
                <w:tcPr>
                  <w:tcW w:w="418" w:type="pct"/>
                  <w:tcBorders>
                    <w:tl2br w:val="nil"/>
                    <w:tr2bl w:val="nil"/>
                  </w:tcBorders>
                  <w:vAlign w:val="center"/>
                </w:tcPr>
                <w:p w14:paraId="1093C506">
                  <w:pPr>
                    <w:widowControl/>
                    <w:jc w:val="center"/>
                    <w:rPr>
                      <w:szCs w:val="21"/>
                    </w:rPr>
                  </w:pPr>
                  <w:r>
                    <w:rPr>
                      <w:rFonts w:hint="eastAsia" w:ascii="宋体" w:hAnsi="宋体" w:cs="宋体"/>
                      <w:b/>
                      <w:bCs/>
                      <w:color w:val="000000"/>
                      <w:kern w:val="0"/>
                      <w:szCs w:val="21"/>
                      <w:lang w:bidi="ar"/>
                    </w:rPr>
                    <w:t>最高允许排放浓度（</w:t>
                  </w:r>
                  <w:r>
                    <w:rPr>
                      <w:b/>
                      <w:bCs/>
                      <w:color w:val="000000"/>
                      <w:kern w:val="0"/>
                      <w:szCs w:val="21"/>
                      <w:lang w:bidi="ar"/>
                    </w:rPr>
                    <w:t>mg/m</w:t>
                  </w:r>
                  <w:r>
                    <w:rPr>
                      <w:b/>
                      <w:bCs/>
                      <w:color w:val="000000"/>
                      <w:kern w:val="0"/>
                      <w:szCs w:val="21"/>
                      <w:vertAlign w:val="superscript"/>
                      <w:lang w:bidi="ar"/>
                    </w:rPr>
                    <w:t>3</w:t>
                  </w:r>
                  <w:r>
                    <w:rPr>
                      <w:rFonts w:hint="eastAsia" w:ascii="宋体" w:hAnsi="宋体" w:cs="宋体"/>
                      <w:b/>
                      <w:bCs/>
                      <w:color w:val="000000"/>
                      <w:kern w:val="0"/>
                      <w:szCs w:val="21"/>
                      <w:lang w:bidi="ar"/>
                    </w:rPr>
                    <w:t>）</w:t>
                  </w:r>
                </w:p>
                <w:p w14:paraId="6B89DE9A">
                  <w:pPr>
                    <w:pStyle w:val="9"/>
                    <w:spacing w:line="360" w:lineRule="auto"/>
                    <w:jc w:val="center"/>
                    <w:rPr>
                      <w:szCs w:val="21"/>
                      <w:lang w:bidi="ar"/>
                    </w:rPr>
                  </w:pPr>
                </w:p>
              </w:tc>
              <w:tc>
                <w:tcPr>
                  <w:tcW w:w="354" w:type="pct"/>
                  <w:tcBorders>
                    <w:tl2br w:val="nil"/>
                    <w:tr2bl w:val="nil"/>
                  </w:tcBorders>
                  <w:vAlign w:val="center"/>
                </w:tcPr>
                <w:p w14:paraId="376787E8">
                  <w:pPr>
                    <w:pStyle w:val="9"/>
                    <w:spacing w:line="360" w:lineRule="auto"/>
                    <w:ind w:firstLine="0" w:firstLineChars="0"/>
                    <w:jc w:val="center"/>
                    <w:rPr>
                      <w:szCs w:val="21"/>
                      <w:lang w:bidi="ar"/>
                    </w:rPr>
                  </w:pPr>
                  <w:r>
                    <w:rPr>
                      <w:rFonts w:hint="eastAsia"/>
                      <w:b/>
                      <w:bCs/>
                      <w:szCs w:val="21"/>
                      <w:lang w:bidi="ar"/>
                    </w:rPr>
                    <w:t>执行标准</w:t>
                  </w:r>
                </w:p>
              </w:tc>
            </w:tr>
            <w:tr w14:paraId="1E442680">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334" w:type="pct"/>
                  <w:vMerge w:val="restart"/>
                  <w:tcBorders>
                    <w:tl2br w:val="nil"/>
                    <w:tr2bl w:val="nil"/>
                  </w:tcBorders>
                  <w:vAlign w:val="center"/>
                </w:tcPr>
                <w:p w14:paraId="6EE96AF8">
                  <w:pPr>
                    <w:pStyle w:val="9"/>
                    <w:spacing w:line="360" w:lineRule="auto"/>
                    <w:ind w:firstLine="0" w:firstLineChars="0"/>
                    <w:jc w:val="center"/>
                    <w:rPr>
                      <w:szCs w:val="21"/>
                      <w:lang w:bidi="ar"/>
                    </w:rPr>
                  </w:pPr>
                  <w:r>
                    <w:rPr>
                      <w:rFonts w:hint="eastAsia"/>
                      <w:szCs w:val="21"/>
                      <w:lang w:bidi="ar"/>
                    </w:rPr>
                    <w:t>DA001</w:t>
                  </w:r>
                </w:p>
              </w:tc>
              <w:tc>
                <w:tcPr>
                  <w:tcW w:w="185" w:type="pct"/>
                  <w:vMerge w:val="restart"/>
                  <w:tcBorders>
                    <w:tl2br w:val="nil"/>
                    <w:tr2bl w:val="nil"/>
                  </w:tcBorders>
                  <w:vAlign w:val="center"/>
                </w:tcPr>
                <w:p w14:paraId="0480DD79">
                  <w:pPr>
                    <w:pStyle w:val="9"/>
                    <w:spacing w:line="360" w:lineRule="auto"/>
                    <w:ind w:firstLine="0" w:firstLineChars="0"/>
                    <w:rPr>
                      <w:szCs w:val="21"/>
                      <w:lang w:bidi="ar"/>
                    </w:rPr>
                  </w:pPr>
                  <w:r>
                    <w:rPr>
                      <w:rFonts w:hint="eastAsia"/>
                      <w:szCs w:val="21"/>
                      <w:lang w:bidi="ar"/>
                    </w:rPr>
                    <w:t>一般排放口</w:t>
                  </w:r>
                </w:p>
              </w:tc>
              <w:tc>
                <w:tcPr>
                  <w:tcW w:w="287" w:type="pct"/>
                  <w:vMerge w:val="restart"/>
                  <w:tcBorders>
                    <w:tl2br w:val="nil"/>
                    <w:tr2bl w:val="nil"/>
                  </w:tcBorders>
                  <w:vAlign w:val="center"/>
                </w:tcPr>
                <w:p w14:paraId="754E2470">
                  <w:pPr>
                    <w:pStyle w:val="9"/>
                    <w:spacing w:line="360" w:lineRule="auto"/>
                    <w:ind w:firstLine="0" w:firstLineChars="0"/>
                    <w:jc w:val="center"/>
                    <w:rPr>
                      <w:szCs w:val="21"/>
                      <w:lang w:bidi="ar"/>
                    </w:rPr>
                  </w:pPr>
                  <w:r>
                    <w:rPr>
                      <w:rFonts w:hint="eastAsia"/>
                      <w:szCs w:val="21"/>
                      <w:lang w:val="en-US" w:eastAsia="zh-CN"/>
                    </w:rPr>
                    <w:t>发泡脱模</w:t>
                  </w:r>
                  <w:r>
                    <w:rPr>
                      <w:rFonts w:hint="eastAsia"/>
                      <w:szCs w:val="21"/>
                      <w:lang w:bidi="ar"/>
                    </w:rPr>
                    <w:t>废气排口</w:t>
                  </w:r>
                </w:p>
              </w:tc>
              <w:tc>
                <w:tcPr>
                  <w:tcW w:w="669" w:type="pct"/>
                  <w:vMerge w:val="restart"/>
                  <w:tcBorders>
                    <w:tl2br w:val="nil"/>
                    <w:tr2bl w:val="nil"/>
                  </w:tcBorders>
                  <w:vAlign w:val="center"/>
                </w:tcPr>
                <w:p w14:paraId="4404262C">
                  <w:pPr>
                    <w:widowControl/>
                    <w:jc w:val="center"/>
                    <w:rPr>
                      <w:szCs w:val="21"/>
                      <w:lang w:bidi="ar"/>
                    </w:rPr>
                  </w:pPr>
                  <w:r>
                    <w:rPr>
                      <w:color w:val="000000"/>
                      <w:kern w:val="0"/>
                      <w:szCs w:val="21"/>
                      <w:lang w:bidi="ar"/>
                    </w:rPr>
                    <w:t>E118°2</w:t>
                  </w:r>
                  <w:r>
                    <w:rPr>
                      <w:rFonts w:hint="eastAsia"/>
                      <w:color w:val="000000"/>
                      <w:kern w:val="0"/>
                      <w:szCs w:val="21"/>
                      <w:lang w:val="en-US" w:eastAsia="zh-CN" w:bidi="ar"/>
                    </w:rPr>
                    <w:t>6</w:t>
                  </w:r>
                  <w:r>
                    <w:rPr>
                      <w:color w:val="000000"/>
                      <w:kern w:val="0"/>
                      <w:szCs w:val="21"/>
                      <w:lang w:bidi="ar"/>
                    </w:rPr>
                    <w:t>′</w:t>
                  </w:r>
                  <w:r>
                    <w:rPr>
                      <w:rFonts w:hint="eastAsia"/>
                      <w:color w:val="000000"/>
                      <w:kern w:val="0"/>
                      <w:szCs w:val="21"/>
                      <w:lang w:bidi="ar"/>
                    </w:rPr>
                    <w:t>53.4</w:t>
                  </w:r>
                  <w:r>
                    <w:rPr>
                      <w:rFonts w:hint="eastAsia"/>
                      <w:color w:val="000000"/>
                      <w:kern w:val="0"/>
                      <w:szCs w:val="21"/>
                      <w:lang w:val="en-US" w:eastAsia="zh-CN" w:bidi="ar"/>
                    </w:rPr>
                    <w:t>80</w:t>
                  </w:r>
                  <w:r>
                    <w:rPr>
                      <w:color w:val="000000"/>
                      <w:kern w:val="0"/>
                      <w:szCs w:val="21"/>
                      <w:lang w:bidi="ar"/>
                    </w:rPr>
                    <w:t>″</w:t>
                  </w:r>
                </w:p>
              </w:tc>
              <w:tc>
                <w:tcPr>
                  <w:tcW w:w="682" w:type="pct"/>
                  <w:vMerge w:val="restart"/>
                  <w:tcBorders>
                    <w:tl2br w:val="nil"/>
                    <w:tr2bl w:val="nil"/>
                  </w:tcBorders>
                  <w:vAlign w:val="center"/>
                </w:tcPr>
                <w:p w14:paraId="6D73A46D">
                  <w:pPr>
                    <w:widowControl/>
                    <w:jc w:val="center"/>
                    <w:rPr>
                      <w:szCs w:val="21"/>
                      <w:lang w:bidi="ar"/>
                    </w:rPr>
                  </w:pPr>
                  <w:r>
                    <w:rPr>
                      <w:rFonts w:hint="eastAsia"/>
                      <w:color w:val="000000"/>
                      <w:kern w:val="0"/>
                      <w:szCs w:val="21"/>
                      <w:lang w:bidi="ar"/>
                    </w:rPr>
                    <w:t>N31</w:t>
                  </w:r>
                  <w:r>
                    <w:rPr>
                      <w:color w:val="000000"/>
                      <w:kern w:val="0"/>
                      <w:szCs w:val="21"/>
                      <w:lang w:bidi="ar"/>
                    </w:rPr>
                    <w:t>°2</w:t>
                  </w:r>
                  <w:r>
                    <w:rPr>
                      <w:rFonts w:hint="eastAsia"/>
                      <w:color w:val="000000"/>
                      <w:kern w:val="0"/>
                      <w:szCs w:val="21"/>
                      <w:lang w:val="en-US" w:eastAsia="zh-CN" w:bidi="ar"/>
                    </w:rPr>
                    <w:t>3</w:t>
                  </w:r>
                  <w:r>
                    <w:rPr>
                      <w:color w:val="000000"/>
                      <w:kern w:val="0"/>
                      <w:szCs w:val="21"/>
                      <w:lang w:bidi="ar"/>
                    </w:rPr>
                    <w:t>′</w:t>
                  </w:r>
                  <w:r>
                    <w:rPr>
                      <w:rFonts w:hint="eastAsia"/>
                      <w:color w:val="000000"/>
                      <w:kern w:val="0"/>
                      <w:szCs w:val="21"/>
                      <w:lang w:bidi="ar"/>
                    </w:rPr>
                    <w:t>12.67</w:t>
                  </w:r>
                  <w:r>
                    <w:rPr>
                      <w:rFonts w:hint="eastAsia"/>
                      <w:color w:val="000000"/>
                      <w:kern w:val="0"/>
                      <w:szCs w:val="21"/>
                      <w:lang w:val="en-US" w:eastAsia="zh-CN" w:bidi="ar"/>
                    </w:rPr>
                    <w:t>2</w:t>
                  </w:r>
                  <w:r>
                    <w:rPr>
                      <w:color w:val="000000"/>
                      <w:kern w:val="0"/>
                      <w:szCs w:val="21"/>
                      <w:lang w:bidi="ar"/>
                    </w:rPr>
                    <w:t>″</w:t>
                  </w:r>
                </w:p>
              </w:tc>
              <w:tc>
                <w:tcPr>
                  <w:tcW w:w="245" w:type="pct"/>
                  <w:vMerge w:val="restart"/>
                  <w:tcBorders>
                    <w:tl2br w:val="nil"/>
                    <w:tr2bl w:val="nil"/>
                  </w:tcBorders>
                  <w:vAlign w:val="center"/>
                </w:tcPr>
                <w:p w14:paraId="476A0CE7">
                  <w:pPr>
                    <w:pStyle w:val="9"/>
                    <w:spacing w:line="360" w:lineRule="auto"/>
                    <w:ind w:firstLine="0" w:firstLineChars="0"/>
                    <w:jc w:val="center"/>
                    <w:rPr>
                      <w:szCs w:val="21"/>
                      <w:lang w:bidi="ar"/>
                    </w:rPr>
                  </w:pPr>
                  <w:r>
                    <w:rPr>
                      <w:rFonts w:hint="eastAsia"/>
                      <w:szCs w:val="21"/>
                      <w:lang w:bidi="ar"/>
                    </w:rPr>
                    <w:t>15</w:t>
                  </w:r>
                </w:p>
              </w:tc>
              <w:tc>
                <w:tcPr>
                  <w:tcW w:w="245" w:type="pct"/>
                  <w:vMerge w:val="restart"/>
                  <w:tcBorders>
                    <w:tl2br w:val="nil"/>
                    <w:tr2bl w:val="nil"/>
                  </w:tcBorders>
                  <w:vAlign w:val="center"/>
                </w:tcPr>
                <w:p w14:paraId="6E59B685">
                  <w:pPr>
                    <w:pStyle w:val="9"/>
                    <w:spacing w:line="360" w:lineRule="auto"/>
                    <w:ind w:firstLine="0" w:firstLineChars="0"/>
                    <w:jc w:val="center"/>
                    <w:rPr>
                      <w:szCs w:val="21"/>
                      <w:lang w:bidi="ar"/>
                    </w:rPr>
                  </w:pPr>
                  <w:r>
                    <w:rPr>
                      <w:rFonts w:hint="eastAsia"/>
                      <w:szCs w:val="21"/>
                      <w:lang w:bidi="ar"/>
                    </w:rPr>
                    <w:t>0.5</w:t>
                  </w:r>
                </w:p>
              </w:tc>
              <w:tc>
                <w:tcPr>
                  <w:tcW w:w="190" w:type="pct"/>
                  <w:vMerge w:val="restart"/>
                  <w:tcBorders>
                    <w:tl2br w:val="nil"/>
                    <w:tr2bl w:val="nil"/>
                  </w:tcBorders>
                  <w:vAlign w:val="center"/>
                </w:tcPr>
                <w:p w14:paraId="6328345F">
                  <w:pPr>
                    <w:pStyle w:val="9"/>
                    <w:spacing w:line="360" w:lineRule="auto"/>
                    <w:ind w:firstLine="0" w:firstLineChars="0"/>
                    <w:jc w:val="center"/>
                    <w:rPr>
                      <w:szCs w:val="21"/>
                      <w:lang w:bidi="ar"/>
                    </w:rPr>
                  </w:pPr>
                  <w:r>
                    <w:rPr>
                      <w:rFonts w:hint="eastAsia"/>
                      <w:szCs w:val="21"/>
                      <w:lang w:bidi="ar"/>
                    </w:rPr>
                    <w:t>25</w:t>
                  </w:r>
                </w:p>
              </w:tc>
              <w:tc>
                <w:tcPr>
                  <w:tcW w:w="281" w:type="pct"/>
                  <w:vMerge w:val="restart"/>
                  <w:tcBorders>
                    <w:tl2br w:val="nil"/>
                    <w:tr2bl w:val="nil"/>
                  </w:tcBorders>
                  <w:vAlign w:val="center"/>
                </w:tcPr>
                <w:p w14:paraId="63CBC102">
                  <w:pPr>
                    <w:pStyle w:val="9"/>
                    <w:spacing w:line="360" w:lineRule="auto"/>
                    <w:ind w:firstLine="0" w:firstLineChars="0"/>
                    <w:rPr>
                      <w:szCs w:val="21"/>
                      <w:lang w:bidi="ar"/>
                    </w:rPr>
                  </w:pPr>
                  <w:r>
                    <w:rPr>
                      <w:rFonts w:hint="eastAsia"/>
                      <w:szCs w:val="21"/>
                      <w:lang w:bidi="ar"/>
                    </w:rPr>
                    <w:t>4800</w:t>
                  </w:r>
                </w:p>
              </w:tc>
              <w:tc>
                <w:tcPr>
                  <w:tcW w:w="293" w:type="pct"/>
                  <w:vMerge w:val="restart"/>
                  <w:tcBorders>
                    <w:tl2br w:val="nil"/>
                    <w:tr2bl w:val="nil"/>
                  </w:tcBorders>
                  <w:vAlign w:val="center"/>
                </w:tcPr>
                <w:p w14:paraId="5BE939EF">
                  <w:pPr>
                    <w:pStyle w:val="9"/>
                    <w:spacing w:line="360" w:lineRule="auto"/>
                    <w:ind w:firstLine="0" w:firstLineChars="0"/>
                    <w:jc w:val="center"/>
                    <w:rPr>
                      <w:rFonts w:hint="default" w:eastAsia="宋体"/>
                      <w:szCs w:val="21"/>
                      <w:lang w:val="en-US" w:eastAsia="zh-CN" w:bidi="ar"/>
                    </w:rPr>
                  </w:pPr>
                  <w:r>
                    <w:rPr>
                      <w:rFonts w:hint="eastAsia"/>
                      <w:szCs w:val="21"/>
                      <w:lang w:val="en-US" w:eastAsia="zh-CN" w:bidi="ar"/>
                    </w:rPr>
                    <w:t>27.78</w:t>
                  </w:r>
                </w:p>
              </w:tc>
              <w:tc>
                <w:tcPr>
                  <w:tcW w:w="501" w:type="pct"/>
                  <w:tcBorders>
                    <w:tl2br w:val="nil"/>
                    <w:tr2bl w:val="nil"/>
                  </w:tcBorders>
                  <w:vAlign w:val="center"/>
                </w:tcPr>
                <w:p w14:paraId="1D801040">
                  <w:pPr>
                    <w:jc w:val="center"/>
                    <w:rPr>
                      <w:szCs w:val="21"/>
                      <w:lang w:bidi="ar"/>
                    </w:rPr>
                  </w:pPr>
                  <w:r>
                    <w:rPr>
                      <w:rFonts w:hint="eastAsia"/>
                      <w:szCs w:val="21"/>
                    </w:rPr>
                    <w:t>非甲烷总烃</w:t>
                  </w:r>
                </w:p>
              </w:tc>
              <w:tc>
                <w:tcPr>
                  <w:tcW w:w="310" w:type="pct"/>
                  <w:tcBorders>
                    <w:tl2br w:val="nil"/>
                    <w:tr2bl w:val="nil"/>
                  </w:tcBorders>
                  <w:vAlign w:val="center"/>
                </w:tcPr>
                <w:p w14:paraId="5C1B0558">
                  <w:pPr>
                    <w:pStyle w:val="9"/>
                    <w:spacing w:line="360" w:lineRule="auto"/>
                    <w:ind w:firstLine="0" w:firstLineChars="0"/>
                    <w:jc w:val="center"/>
                    <w:rPr>
                      <w:rFonts w:hint="default" w:eastAsia="宋体"/>
                      <w:szCs w:val="21"/>
                      <w:lang w:val="en-US" w:eastAsia="zh-CN" w:bidi="ar"/>
                    </w:rPr>
                  </w:pPr>
                  <w:r>
                    <w:rPr>
                      <w:rFonts w:hint="eastAsia"/>
                      <w:szCs w:val="21"/>
                      <w:lang w:val="en-US" w:eastAsia="zh-CN" w:bidi="ar"/>
                    </w:rPr>
                    <w:t>1.6</w:t>
                  </w:r>
                </w:p>
              </w:tc>
              <w:tc>
                <w:tcPr>
                  <w:tcW w:w="418" w:type="pct"/>
                  <w:tcBorders>
                    <w:tl2br w:val="nil"/>
                    <w:tr2bl w:val="nil"/>
                  </w:tcBorders>
                  <w:vAlign w:val="center"/>
                </w:tcPr>
                <w:p w14:paraId="7BE06F90">
                  <w:pPr>
                    <w:jc w:val="center"/>
                  </w:pPr>
                  <w:r>
                    <w:rPr>
                      <w:rFonts w:hint="eastAsia"/>
                      <w:lang w:val="en-US" w:eastAsia="zh-CN"/>
                    </w:rPr>
                    <w:t>4</w:t>
                  </w:r>
                  <w:r>
                    <w:rPr>
                      <w:rFonts w:hint="eastAsia"/>
                    </w:rPr>
                    <w:t>0</w:t>
                  </w:r>
                </w:p>
              </w:tc>
              <w:tc>
                <w:tcPr>
                  <w:tcW w:w="354" w:type="pct"/>
                  <w:vMerge w:val="restart"/>
                  <w:tcBorders>
                    <w:tl2br w:val="nil"/>
                    <w:tr2bl w:val="nil"/>
                  </w:tcBorders>
                  <w:vAlign w:val="center"/>
                </w:tcPr>
                <w:p w14:paraId="043BCCCE">
                  <w:pPr>
                    <w:pStyle w:val="9"/>
                    <w:spacing w:line="360" w:lineRule="auto"/>
                    <w:ind w:firstLine="0" w:firstLineChars="0"/>
                    <w:rPr>
                      <w:szCs w:val="21"/>
                      <w:lang w:bidi="ar"/>
                    </w:rPr>
                  </w:pPr>
                  <w:r>
                    <w:rPr>
                      <w:rFonts w:hint="eastAsia" w:ascii="Times New Roman" w:hAnsi="Times New Roman" w:eastAsia="宋体" w:cs="Times New Roman"/>
                      <w:bCs/>
                      <w:kern w:val="2"/>
                      <w:sz w:val="21"/>
                      <w:szCs w:val="21"/>
                      <w:lang w:val="en-US" w:eastAsia="zh-CN" w:bidi="ar-SA"/>
                    </w:rPr>
                    <w:t>安徽省地方标准《固定源挥发性有机物综合排放标准第6部分：其他行业》（DB34/4812.6-2024）</w:t>
                  </w:r>
                </w:p>
              </w:tc>
            </w:tr>
            <w:tr w14:paraId="06C79803">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c>
                <w:tcPr>
                  <w:tcW w:w="334" w:type="pct"/>
                  <w:vMerge w:val="continue"/>
                  <w:tcBorders>
                    <w:tl2br w:val="nil"/>
                    <w:tr2bl w:val="nil"/>
                  </w:tcBorders>
                  <w:vAlign w:val="center"/>
                </w:tcPr>
                <w:p w14:paraId="16349060">
                  <w:pPr>
                    <w:pStyle w:val="9"/>
                    <w:spacing w:line="360" w:lineRule="auto"/>
                    <w:ind w:firstLine="0" w:firstLineChars="0"/>
                    <w:jc w:val="center"/>
                    <w:rPr>
                      <w:szCs w:val="21"/>
                      <w:lang w:bidi="ar"/>
                    </w:rPr>
                  </w:pPr>
                </w:p>
              </w:tc>
              <w:tc>
                <w:tcPr>
                  <w:tcW w:w="185" w:type="pct"/>
                  <w:vMerge w:val="continue"/>
                  <w:tcBorders>
                    <w:tl2br w:val="nil"/>
                    <w:tr2bl w:val="nil"/>
                  </w:tcBorders>
                  <w:vAlign w:val="center"/>
                </w:tcPr>
                <w:p w14:paraId="78DE6ADB">
                  <w:pPr>
                    <w:pStyle w:val="9"/>
                    <w:spacing w:line="360" w:lineRule="auto"/>
                    <w:ind w:firstLine="0" w:firstLineChars="0"/>
                    <w:rPr>
                      <w:szCs w:val="21"/>
                      <w:lang w:bidi="ar"/>
                    </w:rPr>
                  </w:pPr>
                </w:p>
              </w:tc>
              <w:tc>
                <w:tcPr>
                  <w:tcW w:w="287" w:type="pct"/>
                  <w:vMerge w:val="continue"/>
                  <w:tcBorders>
                    <w:tl2br w:val="nil"/>
                    <w:tr2bl w:val="nil"/>
                  </w:tcBorders>
                  <w:vAlign w:val="center"/>
                </w:tcPr>
                <w:p w14:paraId="387DEAE9">
                  <w:pPr>
                    <w:pStyle w:val="9"/>
                    <w:spacing w:line="360" w:lineRule="auto"/>
                    <w:ind w:firstLine="0" w:firstLineChars="0"/>
                    <w:jc w:val="center"/>
                    <w:rPr>
                      <w:szCs w:val="21"/>
                      <w:lang w:bidi="ar"/>
                    </w:rPr>
                  </w:pPr>
                </w:p>
              </w:tc>
              <w:tc>
                <w:tcPr>
                  <w:tcW w:w="669" w:type="pct"/>
                  <w:vMerge w:val="continue"/>
                  <w:tcBorders>
                    <w:tl2br w:val="nil"/>
                    <w:tr2bl w:val="nil"/>
                  </w:tcBorders>
                  <w:vAlign w:val="center"/>
                </w:tcPr>
                <w:p w14:paraId="70A70DFC">
                  <w:pPr>
                    <w:pStyle w:val="9"/>
                    <w:spacing w:line="360" w:lineRule="auto"/>
                    <w:ind w:firstLine="0" w:firstLineChars="0"/>
                    <w:jc w:val="center"/>
                    <w:rPr>
                      <w:szCs w:val="21"/>
                      <w:lang w:bidi="ar"/>
                    </w:rPr>
                  </w:pPr>
                </w:p>
              </w:tc>
              <w:tc>
                <w:tcPr>
                  <w:tcW w:w="682" w:type="pct"/>
                  <w:vMerge w:val="continue"/>
                  <w:tcBorders>
                    <w:tl2br w:val="nil"/>
                    <w:tr2bl w:val="nil"/>
                  </w:tcBorders>
                  <w:vAlign w:val="center"/>
                </w:tcPr>
                <w:p w14:paraId="626A920D">
                  <w:pPr>
                    <w:pStyle w:val="9"/>
                    <w:spacing w:line="360" w:lineRule="auto"/>
                    <w:ind w:firstLine="0" w:firstLineChars="0"/>
                    <w:jc w:val="center"/>
                    <w:rPr>
                      <w:szCs w:val="21"/>
                      <w:lang w:bidi="ar"/>
                    </w:rPr>
                  </w:pPr>
                </w:p>
              </w:tc>
              <w:tc>
                <w:tcPr>
                  <w:tcW w:w="245" w:type="pct"/>
                  <w:vMerge w:val="continue"/>
                  <w:tcBorders>
                    <w:tl2br w:val="nil"/>
                    <w:tr2bl w:val="nil"/>
                  </w:tcBorders>
                  <w:vAlign w:val="center"/>
                </w:tcPr>
                <w:p w14:paraId="7070E333">
                  <w:pPr>
                    <w:pStyle w:val="9"/>
                    <w:spacing w:line="360" w:lineRule="auto"/>
                    <w:ind w:firstLine="0" w:firstLineChars="0"/>
                    <w:rPr>
                      <w:szCs w:val="21"/>
                      <w:lang w:bidi="ar"/>
                    </w:rPr>
                  </w:pPr>
                </w:p>
              </w:tc>
              <w:tc>
                <w:tcPr>
                  <w:tcW w:w="245" w:type="pct"/>
                  <w:vMerge w:val="continue"/>
                  <w:tcBorders>
                    <w:tl2br w:val="nil"/>
                    <w:tr2bl w:val="nil"/>
                  </w:tcBorders>
                  <w:vAlign w:val="center"/>
                </w:tcPr>
                <w:p w14:paraId="4F0DD549">
                  <w:pPr>
                    <w:pStyle w:val="9"/>
                    <w:spacing w:line="360" w:lineRule="auto"/>
                    <w:ind w:firstLine="0" w:firstLineChars="0"/>
                    <w:jc w:val="center"/>
                    <w:rPr>
                      <w:szCs w:val="21"/>
                      <w:lang w:bidi="ar"/>
                    </w:rPr>
                  </w:pPr>
                </w:p>
              </w:tc>
              <w:tc>
                <w:tcPr>
                  <w:tcW w:w="190" w:type="pct"/>
                  <w:vMerge w:val="continue"/>
                  <w:tcBorders>
                    <w:tl2br w:val="nil"/>
                    <w:tr2bl w:val="nil"/>
                  </w:tcBorders>
                  <w:vAlign w:val="center"/>
                </w:tcPr>
                <w:p w14:paraId="00A90B27">
                  <w:pPr>
                    <w:pStyle w:val="9"/>
                    <w:spacing w:line="360" w:lineRule="auto"/>
                    <w:ind w:firstLine="0" w:firstLineChars="0"/>
                    <w:jc w:val="center"/>
                    <w:rPr>
                      <w:szCs w:val="21"/>
                      <w:lang w:bidi="ar"/>
                    </w:rPr>
                  </w:pPr>
                </w:p>
              </w:tc>
              <w:tc>
                <w:tcPr>
                  <w:tcW w:w="281" w:type="pct"/>
                  <w:vMerge w:val="continue"/>
                  <w:tcBorders>
                    <w:tl2br w:val="nil"/>
                    <w:tr2bl w:val="nil"/>
                  </w:tcBorders>
                  <w:vAlign w:val="center"/>
                </w:tcPr>
                <w:p w14:paraId="5977E826">
                  <w:pPr>
                    <w:pStyle w:val="9"/>
                    <w:spacing w:line="360" w:lineRule="auto"/>
                    <w:ind w:firstLine="0" w:firstLineChars="0"/>
                    <w:rPr>
                      <w:szCs w:val="21"/>
                      <w:lang w:bidi="ar"/>
                    </w:rPr>
                  </w:pPr>
                </w:p>
              </w:tc>
              <w:tc>
                <w:tcPr>
                  <w:tcW w:w="293" w:type="pct"/>
                  <w:vMerge w:val="continue"/>
                  <w:tcBorders>
                    <w:tl2br w:val="nil"/>
                    <w:tr2bl w:val="nil"/>
                  </w:tcBorders>
                  <w:vAlign w:val="center"/>
                </w:tcPr>
                <w:p w14:paraId="14C21E1F">
                  <w:pPr>
                    <w:pStyle w:val="9"/>
                    <w:spacing w:line="360" w:lineRule="auto"/>
                    <w:ind w:firstLine="0" w:firstLineChars="0"/>
                    <w:jc w:val="center"/>
                    <w:rPr>
                      <w:szCs w:val="21"/>
                      <w:lang w:bidi="ar"/>
                    </w:rPr>
                  </w:pPr>
                </w:p>
              </w:tc>
              <w:tc>
                <w:tcPr>
                  <w:tcW w:w="501" w:type="pct"/>
                  <w:tcBorders>
                    <w:tl2br w:val="nil"/>
                    <w:tr2bl w:val="nil"/>
                  </w:tcBorders>
                  <w:vAlign w:val="center"/>
                </w:tcPr>
                <w:p w14:paraId="32B2A4B5">
                  <w:pPr>
                    <w:jc w:val="center"/>
                    <w:rPr>
                      <w:szCs w:val="21"/>
                      <w:lang w:bidi="ar"/>
                    </w:rPr>
                  </w:pPr>
                  <w:r>
                    <w:rPr>
                      <w:rFonts w:hint="eastAsia" w:ascii="Times New Roman" w:hAnsi="Times New Roman" w:eastAsia="宋体" w:cs="Times New Roman"/>
                      <w:color w:val="auto"/>
                      <w:sz w:val="21"/>
                      <w:szCs w:val="21"/>
                      <w:lang w:val="en-US" w:eastAsia="zh-CN"/>
                    </w:rPr>
                    <w:t>PAPI</w:t>
                  </w:r>
                </w:p>
              </w:tc>
              <w:tc>
                <w:tcPr>
                  <w:tcW w:w="310" w:type="pct"/>
                  <w:tcBorders>
                    <w:tl2br w:val="nil"/>
                    <w:tr2bl w:val="nil"/>
                  </w:tcBorders>
                  <w:vAlign w:val="center"/>
                </w:tcPr>
                <w:p w14:paraId="57178ED0">
                  <w:pPr>
                    <w:pStyle w:val="9"/>
                    <w:spacing w:line="360" w:lineRule="auto"/>
                    <w:ind w:firstLine="0" w:firstLineChars="0"/>
                    <w:jc w:val="center"/>
                    <w:rPr>
                      <w:rFonts w:hint="eastAsia" w:eastAsia="宋体"/>
                      <w:szCs w:val="21"/>
                      <w:lang w:val="en-US" w:eastAsia="zh-CN" w:bidi="ar"/>
                    </w:rPr>
                  </w:pPr>
                  <w:r>
                    <w:rPr>
                      <w:rFonts w:hint="eastAsia"/>
                      <w:szCs w:val="21"/>
                      <w:lang w:val="en-US" w:eastAsia="zh-CN" w:bidi="ar"/>
                    </w:rPr>
                    <w:t>/</w:t>
                  </w:r>
                </w:p>
              </w:tc>
              <w:tc>
                <w:tcPr>
                  <w:tcW w:w="418" w:type="pct"/>
                  <w:tcBorders>
                    <w:tl2br w:val="nil"/>
                    <w:tr2bl w:val="nil"/>
                  </w:tcBorders>
                  <w:vAlign w:val="center"/>
                </w:tcPr>
                <w:p w14:paraId="78147FD1">
                  <w:pPr>
                    <w:jc w:val="center"/>
                    <w:rPr>
                      <w:rFonts w:hint="eastAsia" w:eastAsia="宋体"/>
                      <w:lang w:eastAsia="zh-CN"/>
                    </w:rPr>
                  </w:pPr>
                  <w:r>
                    <w:rPr>
                      <w:rFonts w:hint="eastAsia"/>
                      <w:lang w:val="en-US" w:eastAsia="zh-CN"/>
                    </w:rPr>
                    <w:t>1</w:t>
                  </w:r>
                </w:p>
              </w:tc>
              <w:tc>
                <w:tcPr>
                  <w:tcW w:w="354" w:type="pct"/>
                  <w:vMerge w:val="continue"/>
                  <w:tcBorders>
                    <w:tl2br w:val="nil"/>
                    <w:tr2bl w:val="nil"/>
                  </w:tcBorders>
                  <w:vAlign w:val="center"/>
                </w:tcPr>
                <w:p w14:paraId="5C7C9165">
                  <w:pPr>
                    <w:pStyle w:val="9"/>
                    <w:spacing w:line="360" w:lineRule="auto"/>
                    <w:jc w:val="center"/>
                    <w:rPr>
                      <w:szCs w:val="21"/>
                      <w:lang w:bidi="ar"/>
                    </w:rPr>
                  </w:pPr>
                </w:p>
              </w:tc>
            </w:tr>
            <w:tr w14:paraId="1EFD63D3">
              <w:tblPrEx>
                <w:tblBorders>
                  <w:top w:val="single" w:color="auto" w:sz="12" w:space="0"/>
                  <w:left w:val="dotted" w:color="auto" w:sz="4" w:space="0"/>
                  <w:bottom w:val="single" w:color="auto" w:sz="12" w:space="0"/>
                  <w:right w:val="dotted"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l2br w:val="nil"/>
                    <w:tr2bl w:val="nil"/>
                  </w:tcBorders>
                  <w:shd w:val="clear"/>
                  <w:vAlign w:val="center"/>
                </w:tcPr>
                <w:p w14:paraId="5AE06AF5">
                  <w:pPr>
                    <w:pStyle w:val="9"/>
                    <w:spacing w:line="360" w:lineRule="auto"/>
                    <w:ind w:firstLine="0" w:firstLineChars="0"/>
                    <w:jc w:val="center"/>
                    <w:rPr>
                      <w:rFonts w:hint="eastAsia" w:ascii="Times New Roman" w:hAnsi="Times New Roman" w:eastAsia="宋体" w:cs="Times New Roman"/>
                      <w:kern w:val="2"/>
                      <w:sz w:val="21"/>
                      <w:szCs w:val="21"/>
                      <w:lang w:val="en-US" w:eastAsia="zh-CN" w:bidi="ar"/>
                    </w:rPr>
                  </w:pPr>
                  <w:r>
                    <w:rPr>
                      <w:rFonts w:hint="eastAsia"/>
                      <w:szCs w:val="21"/>
                      <w:lang w:bidi="ar"/>
                    </w:rPr>
                    <w:t>DA00</w:t>
                  </w:r>
                  <w:r>
                    <w:rPr>
                      <w:rFonts w:hint="eastAsia"/>
                      <w:szCs w:val="21"/>
                      <w:lang w:val="en-US" w:eastAsia="zh-CN" w:bidi="ar"/>
                    </w:rPr>
                    <w:t>2</w:t>
                  </w:r>
                </w:p>
              </w:tc>
              <w:tc>
                <w:tcPr>
                  <w:tcW w:w="185" w:type="pct"/>
                  <w:tcBorders>
                    <w:tl2br w:val="nil"/>
                    <w:tr2bl w:val="nil"/>
                  </w:tcBorders>
                  <w:shd w:val="clear"/>
                  <w:vAlign w:val="center"/>
                </w:tcPr>
                <w:p w14:paraId="1EB0659D">
                  <w:pPr>
                    <w:pStyle w:val="9"/>
                    <w:spacing w:line="360" w:lineRule="auto"/>
                    <w:ind w:firstLine="0" w:firstLineChars="0"/>
                    <w:rPr>
                      <w:rFonts w:ascii="Times New Roman" w:hAnsi="Times New Roman" w:eastAsia="宋体" w:cs="Times New Roman"/>
                      <w:kern w:val="2"/>
                      <w:sz w:val="21"/>
                      <w:szCs w:val="21"/>
                      <w:lang w:val="en-US" w:eastAsia="zh-CN" w:bidi="ar"/>
                    </w:rPr>
                  </w:pPr>
                  <w:r>
                    <w:rPr>
                      <w:rFonts w:hint="eastAsia"/>
                      <w:szCs w:val="21"/>
                      <w:lang w:bidi="ar"/>
                    </w:rPr>
                    <w:t>一般排放口</w:t>
                  </w:r>
                </w:p>
              </w:tc>
              <w:tc>
                <w:tcPr>
                  <w:tcW w:w="287" w:type="pct"/>
                  <w:tcBorders>
                    <w:tl2br w:val="nil"/>
                    <w:tr2bl w:val="nil"/>
                  </w:tcBorders>
                  <w:shd w:val="clear"/>
                  <w:vAlign w:val="center"/>
                </w:tcPr>
                <w:p w14:paraId="219E681A">
                  <w:pPr>
                    <w:pStyle w:val="9"/>
                    <w:spacing w:line="360" w:lineRule="auto"/>
                    <w:ind w:firstLine="0" w:firstLineChars="0"/>
                    <w:jc w:val="center"/>
                    <w:rPr>
                      <w:rFonts w:ascii="Times New Roman" w:hAnsi="Times New Roman" w:eastAsia="宋体" w:cs="Times New Roman"/>
                      <w:kern w:val="2"/>
                      <w:sz w:val="21"/>
                      <w:szCs w:val="21"/>
                      <w:lang w:val="en-US" w:eastAsia="zh-CN" w:bidi="ar"/>
                    </w:rPr>
                  </w:pPr>
                  <w:r>
                    <w:rPr>
                      <w:rFonts w:hint="eastAsia"/>
                      <w:szCs w:val="21"/>
                      <w:lang w:val="en-US" w:eastAsia="zh-CN"/>
                    </w:rPr>
                    <w:t>喷胶固化</w:t>
                  </w:r>
                  <w:r>
                    <w:rPr>
                      <w:rFonts w:hint="eastAsia"/>
                      <w:szCs w:val="21"/>
                      <w:lang w:bidi="ar"/>
                    </w:rPr>
                    <w:t>废气排口</w:t>
                  </w:r>
                </w:p>
              </w:tc>
              <w:tc>
                <w:tcPr>
                  <w:tcW w:w="669" w:type="pct"/>
                  <w:tcBorders>
                    <w:tl2br w:val="nil"/>
                    <w:tr2bl w:val="nil"/>
                  </w:tcBorders>
                  <w:shd w:val="clear"/>
                  <w:vAlign w:val="center"/>
                </w:tcPr>
                <w:p w14:paraId="0F819F89">
                  <w:pPr>
                    <w:widowControl/>
                    <w:jc w:val="center"/>
                    <w:rPr>
                      <w:rFonts w:ascii="Times New Roman" w:hAnsi="Times New Roman" w:eastAsia="宋体" w:cs="Times New Roman"/>
                      <w:kern w:val="2"/>
                      <w:sz w:val="21"/>
                      <w:szCs w:val="21"/>
                      <w:lang w:val="en-US" w:eastAsia="zh-CN" w:bidi="ar"/>
                    </w:rPr>
                  </w:pPr>
                  <w:r>
                    <w:rPr>
                      <w:color w:val="000000"/>
                      <w:kern w:val="0"/>
                      <w:szCs w:val="21"/>
                      <w:lang w:bidi="ar"/>
                    </w:rPr>
                    <w:t>E118°2</w:t>
                  </w:r>
                  <w:r>
                    <w:rPr>
                      <w:rFonts w:hint="eastAsia"/>
                      <w:color w:val="000000"/>
                      <w:kern w:val="0"/>
                      <w:szCs w:val="21"/>
                      <w:lang w:val="en-US" w:eastAsia="zh-CN" w:bidi="ar"/>
                    </w:rPr>
                    <w:t>6</w:t>
                  </w:r>
                  <w:r>
                    <w:rPr>
                      <w:color w:val="000000"/>
                      <w:kern w:val="0"/>
                      <w:szCs w:val="21"/>
                      <w:lang w:bidi="ar"/>
                    </w:rPr>
                    <w:t>′</w:t>
                  </w:r>
                  <w:r>
                    <w:rPr>
                      <w:rFonts w:hint="eastAsia"/>
                      <w:color w:val="000000"/>
                      <w:kern w:val="0"/>
                      <w:szCs w:val="21"/>
                      <w:lang w:bidi="ar"/>
                    </w:rPr>
                    <w:t>52.939</w:t>
                  </w:r>
                  <w:r>
                    <w:rPr>
                      <w:color w:val="000000"/>
                      <w:kern w:val="0"/>
                      <w:szCs w:val="21"/>
                      <w:lang w:bidi="ar"/>
                    </w:rPr>
                    <w:t>″</w:t>
                  </w:r>
                </w:p>
              </w:tc>
              <w:tc>
                <w:tcPr>
                  <w:tcW w:w="682" w:type="pct"/>
                  <w:tcBorders>
                    <w:tl2br w:val="nil"/>
                    <w:tr2bl w:val="nil"/>
                  </w:tcBorders>
                  <w:shd w:val="clear"/>
                  <w:vAlign w:val="center"/>
                </w:tcPr>
                <w:p w14:paraId="7340D7FF">
                  <w:pPr>
                    <w:widowControl/>
                    <w:jc w:val="center"/>
                    <w:rPr>
                      <w:rFonts w:ascii="Times New Roman" w:hAnsi="Times New Roman" w:eastAsia="宋体" w:cs="Times New Roman"/>
                      <w:kern w:val="2"/>
                      <w:sz w:val="21"/>
                      <w:szCs w:val="21"/>
                      <w:lang w:val="en-US" w:eastAsia="zh-CN" w:bidi="ar"/>
                    </w:rPr>
                  </w:pPr>
                  <w:r>
                    <w:rPr>
                      <w:rFonts w:hint="eastAsia"/>
                      <w:color w:val="000000"/>
                      <w:kern w:val="0"/>
                      <w:szCs w:val="21"/>
                      <w:lang w:bidi="ar"/>
                    </w:rPr>
                    <w:t>N31</w:t>
                  </w:r>
                  <w:r>
                    <w:rPr>
                      <w:color w:val="000000"/>
                      <w:kern w:val="0"/>
                      <w:szCs w:val="21"/>
                      <w:lang w:bidi="ar"/>
                    </w:rPr>
                    <w:t>°2</w:t>
                  </w:r>
                  <w:r>
                    <w:rPr>
                      <w:rFonts w:hint="eastAsia"/>
                      <w:color w:val="000000"/>
                      <w:kern w:val="0"/>
                      <w:szCs w:val="21"/>
                      <w:lang w:val="en-US" w:eastAsia="zh-CN" w:bidi="ar"/>
                    </w:rPr>
                    <w:t>3</w:t>
                  </w:r>
                  <w:r>
                    <w:rPr>
                      <w:color w:val="000000"/>
                      <w:kern w:val="0"/>
                      <w:szCs w:val="21"/>
                      <w:lang w:bidi="ar"/>
                    </w:rPr>
                    <w:t>′</w:t>
                  </w:r>
                  <w:r>
                    <w:rPr>
                      <w:rFonts w:hint="eastAsia"/>
                      <w:color w:val="000000"/>
                      <w:kern w:val="0"/>
                      <w:szCs w:val="21"/>
                      <w:lang w:bidi="ar"/>
                    </w:rPr>
                    <w:t>14.197</w:t>
                  </w:r>
                  <w:r>
                    <w:rPr>
                      <w:color w:val="000000"/>
                      <w:kern w:val="0"/>
                      <w:szCs w:val="21"/>
                      <w:lang w:bidi="ar"/>
                    </w:rPr>
                    <w:t>″</w:t>
                  </w:r>
                </w:p>
              </w:tc>
              <w:tc>
                <w:tcPr>
                  <w:tcW w:w="245" w:type="pct"/>
                  <w:tcBorders>
                    <w:tl2br w:val="nil"/>
                    <w:tr2bl w:val="nil"/>
                  </w:tcBorders>
                  <w:shd w:val="clear"/>
                  <w:vAlign w:val="center"/>
                </w:tcPr>
                <w:p w14:paraId="003BDBE7">
                  <w:pPr>
                    <w:pStyle w:val="9"/>
                    <w:spacing w:line="360" w:lineRule="auto"/>
                    <w:ind w:firstLine="0" w:firstLineChars="0"/>
                    <w:jc w:val="center"/>
                    <w:rPr>
                      <w:rFonts w:ascii="Times New Roman" w:hAnsi="Times New Roman" w:eastAsia="宋体" w:cs="Times New Roman"/>
                      <w:kern w:val="2"/>
                      <w:sz w:val="21"/>
                      <w:szCs w:val="21"/>
                      <w:lang w:val="en-US" w:eastAsia="zh-CN" w:bidi="ar"/>
                    </w:rPr>
                  </w:pPr>
                  <w:r>
                    <w:rPr>
                      <w:rFonts w:hint="eastAsia"/>
                      <w:szCs w:val="21"/>
                      <w:lang w:bidi="ar"/>
                    </w:rPr>
                    <w:t>15</w:t>
                  </w:r>
                </w:p>
              </w:tc>
              <w:tc>
                <w:tcPr>
                  <w:tcW w:w="245" w:type="pct"/>
                  <w:tcBorders>
                    <w:tl2br w:val="nil"/>
                    <w:tr2bl w:val="nil"/>
                  </w:tcBorders>
                  <w:shd w:val="clear"/>
                  <w:vAlign w:val="center"/>
                </w:tcPr>
                <w:p w14:paraId="0FB93F1D">
                  <w:pPr>
                    <w:pStyle w:val="9"/>
                    <w:spacing w:line="360" w:lineRule="auto"/>
                    <w:ind w:firstLine="0" w:firstLineChars="0"/>
                    <w:jc w:val="center"/>
                    <w:rPr>
                      <w:rFonts w:ascii="Times New Roman" w:hAnsi="Times New Roman" w:eastAsia="宋体" w:cs="Times New Roman"/>
                      <w:kern w:val="2"/>
                      <w:sz w:val="21"/>
                      <w:szCs w:val="21"/>
                      <w:lang w:val="en-US" w:eastAsia="zh-CN" w:bidi="ar"/>
                    </w:rPr>
                  </w:pPr>
                  <w:r>
                    <w:rPr>
                      <w:rFonts w:hint="eastAsia"/>
                      <w:szCs w:val="21"/>
                      <w:lang w:bidi="ar"/>
                    </w:rPr>
                    <w:t>0.5</w:t>
                  </w:r>
                </w:p>
              </w:tc>
              <w:tc>
                <w:tcPr>
                  <w:tcW w:w="190" w:type="pct"/>
                  <w:tcBorders>
                    <w:tl2br w:val="nil"/>
                    <w:tr2bl w:val="nil"/>
                  </w:tcBorders>
                  <w:shd w:val="clear"/>
                  <w:vAlign w:val="center"/>
                </w:tcPr>
                <w:p w14:paraId="4A2F45B3">
                  <w:pPr>
                    <w:pStyle w:val="9"/>
                    <w:spacing w:line="360" w:lineRule="auto"/>
                    <w:ind w:firstLine="0" w:firstLineChars="0"/>
                    <w:jc w:val="center"/>
                    <w:rPr>
                      <w:rFonts w:ascii="Times New Roman" w:hAnsi="Times New Roman" w:eastAsia="宋体" w:cs="Times New Roman"/>
                      <w:kern w:val="2"/>
                      <w:sz w:val="21"/>
                      <w:szCs w:val="21"/>
                      <w:lang w:val="en-US" w:eastAsia="zh-CN" w:bidi="ar"/>
                    </w:rPr>
                  </w:pPr>
                  <w:r>
                    <w:rPr>
                      <w:rFonts w:hint="eastAsia"/>
                      <w:szCs w:val="21"/>
                      <w:lang w:bidi="ar"/>
                    </w:rPr>
                    <w:t>25</w:t>
                  </w:r>
                </w:p>
              </w:tc>
              <w:tc>
                <w:tcPr>
                  <w:tcW w:w="281" w:type="pct"/>
                  <w:tcBorders>
                    <w:tl2br w:val="nil"/>
                    <w:tr2bl w:val="nil"/>
                  </w:tcBorders>
                  <w:shd w:val="clear"/>
                  <w:vAlign w:val="center"/>
                </w:tcPr>
                <w:p w14:paraId="7F44DE61">
                  <w:pPr>
                    <w:pStyle w:val="9"/>
                    <w:spacing w:line="360" w:lineRule="auto"/>
                    <w:ind w:firstLine="0" w:firstLineChars="0"/>
                    <w:rPr>
                      <w:rFonts w:ascii="Times New Roman" w:hAnsi="Times New Roman" w:eastAsia="宋体" w:cs="Times New Roman"/>
                      <w:kern w:val="2"/>
                      <w:sz w:val="21"/>
                      <w:szCs w:val="21"/>
                      <w:lang w:val="en-US" w:eastAsia="zh-CN" w:bidi="ar"/>
                    </w:rPr>
                  </w:pPr>
                  <w:r>
                    <w:rPr>
                      <w:rFonts w:hint="eastAsia"/>
                      <w:szCs w:val="21"/>
                      <w:lang w:bidi="ar"/>
                    </w:rPr>
                    <w:t>4800</w:t>
                  </w:r>
                </w:p>
              </w:tc>
              <w:tc>
                <w:tcPr>
                  <w:tcW w:w="293" w:type="pct"/>
                  <w:tcBorders>
                    <w:tl2br w:val="nil"/>
                    <w:tr2bl w:val="nil"/>
                  </w:tcBorders>
                  <w:shd w:val="clear"/>
                  <w:vAlign w:val="center"/>
                </w:tcPr>
                <w:p w14:paraId="0D714721">
                  <w:pPr>
                    <w:pStyle w:val="9"/>
                    <w:spacing w:line="360" w:lineRule="auto"/>
                    <w:ind w:firstLine="0" w:firstLineChars="0"/>
                    <w:jc w:val="center"/>
                    <w:rPr>
                      <w:rFonts w:ascii="Times New Roman" w:hAnsi="Times New Roman" w:eastAsia="宋体" w:cs="Times New Roman"/>
                      <w:kern w:val="2"/>
                      <w:sz w:val="21"/>
                      <w:szCs w:val="21"/>
                      <w:lang w:val="en-US" w:eastAsia="zh-CN" w:bidi="ar"/>
                    </w:rPr>
                  </w:pPr>
                  <w:r>
                    <w:rPr>
                      <w:rFonts w:hint="eastAsia"/>
                      <w:szCs w:val="21"/>
                      <w:lang w:val="en-US" w:eastAsia="zh-CN" w:bidi="ar"/>
                    </w:rPr>
                    <w:t>27.78</w:t>
                  </w:r>
                </w:p>
              </w:tc>
              <w:tc>
                <w:tcPr>
                  <w:tcW w:w="501" w:type="pct"/>
                  <w:tcBorders>
                    <w:tl2br w:val="nil"/>
                    <w:tr2bl w:val="nil"/>
                  </w:tcBorders>
                  <w:shd w:val="clear"/>
                  <w:vAlign w:val="center"/>
                </w:tcPr>
                <w:p w14:paraId="1E4BCF28">
                  <w:pPr>
                    <w:jc w:val="center"/>
                    <w:rPr>
                      <w:rFonts w:ascii="Times New Roman" w:hAnsi="Times New Roman" w:eastAsia="宋体" w:cs="Times New Roman"/>
                      <w:kern w:val="2"/>
                      <w:sz w:val="21"/>
                      <w:szCs w:val="21"/>
                      <w:lang w:val="en-US" w:eastAsia="zh-CN" w:bidi="ar"/>
                    </w:rPr>
                  </w:pPr>
                  <w:r>
                    <w:rPr>
                      <w:rFonts w:hint="eastAsia"/>
                      <w:szCs w:val="21"/>
                    </w:rPr>
                    <w:t>非甲烷总烃</w:t>
                  </w:r>
                </w:p>
              </w:tc>
              <w:tc>
                <w:tcPr>
                  <w:tcW w:w="310" w:type="pct"/>
                  <w:tcBorders>
                    <w:tl2br w:val="nil"/>
                    <w:tr2bl w:val="nil"/>
                  </w:tcBorders>
                  <w:shd w:val="clear"/>
                  <w:vAlign w:val="center"/>
                </w:tcPr>
                <w:p w14:paraId="1E421354">
                  <w:pPr>
                    <w:pStyle w:val="9"/>
                    <w:spacing w:line="360" w:lineRule="auto"/>
                    <w:ind w:firstLine="0" w:firstLineChars="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10</w:t>
                  </w:r>
                </w:p>
              </w:tc>
              <w:tc>
                <w:tcPr>
                  <w:tcW w:w="418" w:type="pct"/>
                  <w:tcBorders>
                    <w:tl2br w:val="nil"/>
                    <w:tr2bl w:val="nil"/>
                  </w:tcBorders>
                  <w:shd w:val="clear"/>
                  <w:vAlign w:val="center"/>
                </w:tcPr>
                <w:p w14:paraId="013841E5">
                  <w:pPr>
                    <w:jc w:val="center"/>
                    <w:rPr>
                      <w:rFonts w:hint="eastAsia" w:ascii="Times New Roman" w:hAnsi="Times New Roman" w:eastAsia="宋体" w:cs="Times New Roman"/>
                      <w:kern w:val="2"/>
                      <w:sz w:val="21"/>
                      <w:szCs w:val="24"/>
                      <w:lang w:val="en-US" w:eastAsia="zh-CN" w:bidi="ar-SA"/>
                    </w:rPr>
                  </w:pPr>
                  <w:r>
                    <w:rPr>
                      <w:rFonts w:hint="eastAsia"/>
                      <w:lang w:val="en-US" w:eastAsia="zh-CN"/>
                    </w:rPr>
                    <w:t>12</w:t>
                  </w:r>
                  <w:r>
                    <w:rPr>
                      <w:rFonts w:hint="eastAsia"/>
                    </w:rPr>
                    <w:t>0</w:t>
                  </w:r>
                </w:p>
              </w:tc>
              <w:tc>
                <w:tcPr>
                  <w:tcW w:w="354" w:type="pct"/>
                  <w:tcBorders>
                    <w:tl2br w:val="nil"/>
                    <w:tr2bl w:val="nil"/>
                  </w:tcBorders>
                  <w:shd w:val="clear"/>
                  <w:vAlign w:val="center"/>
                </w:tcPr>
                <w:p w14:paraId="7A74F037">
                  <w:pPr>
                    <w:pStyle w:val="9"/>
                    <w:spacing w:line="360" w:lineRule="auto"/>
                    <w:ind w:firstLine="0" w:firstLineChars="0"/>
                    <w:rPr>
                      <w:rFonts w:ascii="Times New Roman" w:hAnsi="Times New Roman" w:eastAsia="宋体" w:cs="Times New Roman"/>
                      <w:kern w:val="2"/>
                      <w:sz w:val="21"/>
                      <w:szCs w:val="21"/>
                      <w:lang w:val="en-US" w:eastAsia="zh-CN" w:bidi="ar"/>
                    </w:rPr>
                  </w:pPr>
                  <w:r>
                    <w:rPr>
                      <w:rFonts w:hint="eastAsia" w:ascii="Times New Roman" w:hAnsi="Times New Roman" w:eastAsia="宋体" w:cs="Times New Roman"/>
                      <w:bCs/>
                      <w:kern w:val="2"/>
                      <w:sz w:val="21"/>
                      <w:szCs w:val="21"/>
                      <w:lang w:val="en-US" w:eastAsia="zh-CN" w:bidi="ar-SA"/>
                    </w:rPr>
                    <w:t>《大气污染物综合排放标准》（GB16297-1996）表2</w:t>
                  </w:r>
                </w:p>
              </w:tc>
            </w:tr>
          </w:tbl>
          <w:p w14:paraId="7D0AF707">
            <w:pPr>
              <w:pStyle w:val="9"/>
              <w:ind w:firstLine="0" w:firstLineChars="0"/>
            </w:pPr>
          </w:p>
          <w:p w14:paraId="1F487A12">
            <w:pPr>
              <w:pStyle w:val="9"/>
              <w:ind w:firstLine="0" w:firstLineChars="0"/>
            </w:pPr>
          </w:p>
          <w:p w14:paraId="1FDE34C2">
            <w:pPr>
              <w:pStyle w:val="9"/>
              <w:ind w:firstLine="0" w:firstLineChars="0"/>
            </w:pPr>
          </w:p>
          <w:p w14:paraId="4C05D687">
            <w:pPr>
              <w:pStyle w:val="9"/>
              <w:ind w:firstLine="0" w:firstLineChars="0"/>
            </w:pPr>
          </w:p>
          <w:p w14:paraId="5CF92FEC">
            <w:pPr>
              <w:pStyle w:val="9"/>
              <w:ind w:firstLine="0" w:firstLineChars="0"/>
            </w:pPr>
          </w:p>
          <w:p w14:paraId="404D4DBA">
            <w:pPr>
              <w:pStyle w:val="9"/>
              <w:ind w:firstLine="0" w:firstLineChars="0"/>
            </w:pPr>
          </w:p>
        </w:tc>
      </w:tr>
    </w:tbl>
    <w:p w14:paraId="21A57112">
      <w:pPr>
        <w:adjustRightInd w:val="0"/>
        <w:snapToGrid w:val="0"/>
        <w:rPr>
          <w:bCs/>
          <w:sz w:val="24"/>
        </w:rPr>
        <w:sectPr>
          <w:pgSz w:w="16840" w:h="11907" w:orient="landscape"/>
          <w:pgMar w:top="1531" w:right="1701" w:bottom="1531" w:left="2127" w:header="851" w:footer="851" w:gutter="0"/>
          <w:cols w:space="720" w:num="1"/>
          <w:docGrid w:linePitch="312" w:charSpace="0"/>
        </w:sectPr>
      </w:pPr>
    </w:p>
    <w:tbl>
      <w:tblPr>
        <w:tblStyle w:val="29"/>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87"/>
        <w:gridCol w:w="8694"/>
      </w:tblGrid>
      <w:tr w14:paraId="67F53B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34" w:type="pct"/>
            <w:tcBorders>
              <w:tl2br w:val="nil"/>
              <w:tr2bl w:val="nil"/>
            </w:tcBorders>
            <w:tcMar>
              <w:left w:w="28" w:type="dxa"/>
              <w:right w:w="28" w:type="dxa"/>
            </w:tcMar>
            <w:vAlign w:val="center"/>
          </w:tcPr>
          <w:p w14:paraId="0CD9486F">
            <w:pPr>
              <w:adjustRightInd w:val="0"/>
              <w:snapToGrid w:val="0"/>
              <w:jc w:val="center"/>
              <w:rPr>
                <w:bCs/>
                <w:sz w:val="24"/>
              </w:rPr>
            </w:pPr>
            <w:r>
              <w:rPr>
                <w:bCs/>
                <w:sz w:val="24"/>
              </w:rPr>
              <w:t>运营期环境影响和保护措施</w:t>
            </w:r>
          </w:p>
        </w:tc>
        <w:tc>
          <w:tcPr>
            <w:tcW w:w="4865" w:type="pct"/>
            <w:tcBorders>
              <w:tl2br w:val="nil"/>
              <w:tr2bl w:val="nil"/>
            </w:tcBorders>
            <w:vAlign w:val="center"/>
          </w:tcPr>
          <w:p w14:paraId="7A588950">
            <w:pPr>
              <w:spacing w:line="360" w:lineRule="auto"/>
              <w:ind w:firstLine="482" w:firstLineChars="200"/>
              <w:rPr>
                <w:b/>
                <w:sz w:val="24"/>
                <w:lang w:bidi="ar"/>
              </w:rPr>
            </w:pPr>
            <w:r>
              <w:rPr>
                <w:rFonts w:hint="eastAsia"/>
                <w:b/>
                <w:bCs/>
                <w:sz w:val="24"/>
              </w:rPr>
              <w:t>2</w:t>
            </w:r>
            <w:r>
              <w:rPr>
                <w:b/>
                <w:bCs/>
                <w:sz w:val="24"/>
              </w:rPr>
              <w:t>、</w:t>
            </w:r>
            <w:r>
              <w:rPr>
                <w:b/>
                <w:sz w:val="24"/>
                <w:lang w:bidi="ar"/>
              </w:rPr>
              <w:t>废气</w:t>
            </w:r>
            <w:r>
              <w:rPr>
                <w:rFonts w:hint="eastAsia"/>
                <w:b/>
                <w:sz w:val="24"/>
                <w:lang w:bidi="ar"/>
              </w:rPr>
              <w:t>非正常</w:t>
            </w:r>
            <w:r>
              <w:rPr>
                <w:b/>
                <w:sz w:val="24"/>
                <w:lang w:bidi="ar"/>
              </w:rPr>
              <w:t>排放</w:t>
            </w:r>
          </w:p>
          <w:p w14:paraId="7AF386D3">
            <w:pPr>
              <w:spacing w:line="360" w:lineRule="auto"/>
              <w:ind w:firstLine="480" w:firstLineChars="200"/>
              <w:rPr>
                <w:rFonts w:cs="宋体"/>
                <w:sz w:val="24"/>
              </w:rPr>
            </w:pPr>
            <w:r>
              <w:rPr>
                <w:rFonts w:hint="eastAsia" w:ascii="宋体" w:hAnsi="宋体"/>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453CBC3D">
            <w:pPr>
              <w:spacing w:line="360" w:lineRule="auto"/>
              <w:ind w:firstLine="480" w:firstLineChars="200"/>
              <w:rPr>
                <w:rFonts w:cs="宋体"/>
                <w:sz w:val="24"/>
              </w:rPr>
            </w:pPr>
            <w:r>
              <w:rPr>
                <w:rFonts w:hint="eastAsia" w:ascii="宋体" w:hAnsi="宋体"/>
                <w:sz w:val="24"/>
              </w:rPr>
              <w:t>本项目非正常工况主要包括开、停车，检修；电力供应突然中断；废气处理设施故障。项目非正常工况会引起污染物的非正常排放。本项目非正常工况下情况分析如下：</w:t>
            </w:r>
          </w:p>
          <w:p w14:paraId="5685993A">
            <w:pPr>
              <w:spacing w:line="360" w:lineRule="auto"/>
              <w:ind w:firstLine="480" w:firstLineChars="200"/>
              <w:rPr>
                <w:rFonts w:cs="宋体"/>
                <w:sz w:val="24"/>
              </w:rPr>
            </w:pPr>
            <w:r>
              <w:rPr>
                <w:rFonts w:hint="eastAsia" w:ascii="宋体" w:hAnsi="宋体"/>
                <w:sz w:val="24"/>
              </w:rPr>
              <w:t>（</w:t>
            </w:r>
            <w:r>
              <w:rPr>
                <w:rFonts w:hint="eastAsia"/>
                <w:sz w:val="24"/>
              </w:rPr>
              <w:t>1</w:t>
            </w:r>
            <w:r>
              <w:rPr>
                <w:rFonts w:hint="eastAsia" w:ascii="宋体" w:hAnsi="宋体"/>
                <w:sz w:val="24"/>
              </w:rPr>
              <w:t>）开停车</w:t>
            </w:r>
          </w:p>
          <w:p w14:paraId="0636C42E">
            <w:pPr>
              <w:spacing w:line="360" w:lineRule="auto"/>
              <w:ind w:firstLine="480" w:firstLineChars="200"/>
              <w:rPr>
                <w:rFonts w:cs="宋体"/>
                <w:sz w:val="24"/>
              </w:rPr>
            </w:pPr>
            <w:r>
              <w:rPr>
                <w:rFonts w:hint="eastAsia" w:ascii="宋体" w:hAnsi="宋体"/>
                <w:sz w:val="24"/>
              </w:rPr>
              <w:t>项目计划停车，装置首先要停工，生产装置及环保设施等同步进行检修、维护和保养后，再开工生产。</w:t>
            </w:r>
          </w:p>
          <w:p w14:paraId="2EBC7769">
            <w:pPr>
              <w:spacing w:line="360" w:lineRule="auto"/>
              <w:ind w:firstLine="480" w:firstLineChars="200"/>
              <w:rPr>
                <w:rFonts w:cs="宋体"/>
                <w:sz w:val="24"/>
              </w:rPr>
            </w:pPr>
            <w:r>
              <w:rPr>
                <w:rFonts w:hint="eastAsia" w:ascii="宋体" w:hAnsi="宋体"/>
                <w:sz w:val="24"/>
              </w:rPr>
              <w:t>（</w:t>
            </w:r>
            <w:r>
              <w:rPr>
                <w:rFonts w:hint="eastAsia"/>
                <w:sz w:val="24"/>
              </w:rPr>
              <w:t>2</w:t>
            </w:r>
            <w:r>
              <w:rPr>
                <w:rFonts w:hint="eastAsia" w:ascii="宋体" w:hAnsi="宋体"/>
                <w:sz w:val="24"/>
              </w:rPr>
              <w:t>）设备故障</w:t>
            </w:r>
          </w:p>
          <w:p w14:paraId="3AF8F867">
            <w:pPr>
              <w:spacing w:line="360" w:lineRule="auto"/>
              <w:ind w:firstLine="480" w:firstLineChars="200"/>
              <w:rPr>
                <w:rFonts w:cs="宋体"/>
                <w:sz w:val="24"/>
              </w:rPr>
            </w:pPr>
            <w:r>
              <w:rPr>
                <w:rFonts w:hint="eastAsia" w:ascii="宋体" w:hAnsi="宋体"/>
                <w:sz w:val="24"/>
              </w:rPr>
              <w:t>当生产系统出现故障如停电故障，由于本项目采用双回路供电，出现停电的概率极低，因此出现上述情况的概率较低。</w:t>
            </w:r>
          </w:p>
          <w:p w14:paraId="5F3DD3C9">
            <w:pPr>
              <w:spacing w:line="360" w:lineRule="auto"/>
              <w:ind w:firstLine="480" w:firstLineChars="200"/>
              <w:rPr>
                <w:rFonts w:cs="宋体"/>
                <w:sz w:val="24"/>
              </w:rPr>
            </w:pPr>
            <w:r>
              <w:rPr>
                <w:rFonts w:hint="eastAsia" w:ascii="宋体" w:hAnsi="宋体"/>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0AB17207">
            <w:pPr>
              <w:spacing w:line="360" w:lineRule="auto"/>
              <w:ind w:firstLine="480" w:firstLineChars="200"/>
              <w:rPr>
                <w:rFonts w:cs="宋体"/>
                <w:sz w:val="24"/>
              </w:rPr>
            </w:pPr>
            <w:r>
              <w:rPr>
                <w:rFonts w:hint="eastAsia" w:ascii="宋体" w:hAnsi="宋体"/>
                <w:sz w:val="24"/>
              </w:rPr>
              <w:t>（</w:t>
            </w:r>
            <w:r>
              <w:rPr>
                <w:rFonts w:hint="eastAsia"/>
                <w:sz w:val="24"/>
              </w:rPr>
              <w:t>3</w:t>
            </w:r>
            <w:r>
              <w:rPr>
                <w:rFonts w:hint="eastAsia" w:ascii="宋体" w:hAnsi="宋体"/>
                <w:sz w:val="24"/>
              </w:rPr>
              <w:t>）废气处置效率降低</w:t>
            </w:r>
          </w:p>
          <w:p w14:paraId="72BDD3C9">
            <w:pPr>
              <w:spacing w:line="360" w:lineRule="auto"/>
              <w:ind w:firstLine="480" w:firstLineChars="200"/>
              <w:rPr>
                <w:rFonts w:ascii="宋体" w:hAnsi="宋体"/>
                <w:sz w:val="24"/>
              </w:rPr>
            </w:pPr>
            <w:r>
              <w:rPr>
                <w:rFonts w:hint="eastAsia" w:ascii="宋体" w:hAnsi="宋体"/>
                <w:sz w:val="24"/>
              </w:rPr>
              <w:t>鉴于拟建项目产污主要集中在生产车间，污染物产生种类较少，产生速率较大，故拟建项目非正常工况为配套的废气处理装置处理效率无法达到设计效率时，</w:t>
            </w:r>
            <w:r>
              <w:rPr>
                <w:rFonts w:hint="eastAsia"/>
                <w:sz w:val="24"/>
              </w:rPr>
              <w:t>(</w:t>
            </w:r>
            <w:r>
              <w:rPr>
                <w:rFonts w:hint="eastAsia" w:ascii="宋体" w:hAnsi="宋体"/>
                <w:sz w:val="24"/>
              </w:rPr>
              <w:t>非正常工况年排放时间按</w:t>
            </w:r>
            <w:r>
              <w:rPr>
                <w:rFonts w:hint="eastAsia"/>
                <w:sz w:val="24"/>
              </w:rPr>
              <w:t>1h</w:t>
            </w:r>
            <w:r>
              <w:rPr>
                <w:rFonts w:hint="eastAsia" w:ascii="宋体" w:hAnsi="宋体"/>
                <w:sz w:val="24"/>
              </w:rPr>
              <w:t>时间计算</w:t>
            </w:r>
            <w:r>
              <w:rPr>
                <w:rFonts w:hint="eastAsia"/>
                <w:sz w:val="24"/>
              </w:rPr>
              <w:t>)</w:t>
            </w:r>
            <w:r>
              <w:rPr>
                <w:rFonts w:hint="eastAsia" w:ascii="宋体" w:hAnsi="宋体"/>
                <w:sz w:val="24"/>
              </w:rPr>
              <w:t>，废气在未经有效处理的情况通过排气筒排放，非正常工况下废气排放详见下表。本次评价环评要求企业实定期检查尾气处理装置，严格管理，避免失效工况发生。</w:t>
            </w:r>
          </w:p>
          <w:p w14:paraId="12B5C5E9">
            <w:pPr>
              <w:widowControl/>
              <w:spacing w:before="120" w:beforeLines="50"/>
              <w:jc w:val="center"/>
              <w:rPr>
                <w:rFonts w:ascii="宋体" w:hAnsi="宋体"/>
                <w:b/>
                <w:kern w:val="0"/>
                <w:sz w:val="24"/>
              </w:rPr>
            </w:pPr>
            <w:r>
              <w:rPr>
                <w:rFonts w:ascii="宋体" w:hAnsi="宋体"/>
                <w:b/>
                <w:kern w:val="0"/>
                <w:sz w:val="24"/>
              </w:rPr>
              <w:t>表</w:t>
            </w:r>
            <w:r>
              <w:rPr>
                <w:rFonts w:hint="eastAsia"/>
                <w:b/>
                <w:kern w:val="0"/>
                <w:sz w:val="24"/>
              </w:rPr>
              <w:t>4</w:t>
            </w:r>
            <w:r>
              <w:rPr>
                <w:b/>
                <w:kern w:val="0"/>
                <w:sz w:val="24"/>
              </w:rPr>
              <w:t>-</w:t>
            </w:r>
            <w:r>
              <w:rPr>
                <w:rFonts w:hint="eastAsia"/>
                <w:b/>
                <w:kern w:val="0"/>
                <w:sz w:val="24"/>
              </w:rPr>
              <w:t>6</w:t>
            </w:r>
            <w:r>
              <w:rPr>
                <w:b/>
                <w:kern w:val="0"/>
                <w:sz w:val="24"/>
              </w:rPr>
              <w:t xml:space="preserve"> </w:t>
            </w:r>
            <w:r>
              <w:rPr>
                <w:rFonts w:ascii="宋体" w:hAnsi="宋体"/>
                <w:b/>
                <w:kern w:val="0"/>
                <w:sz w:val="24"/>
              </w:rPr>
              <w:t>本项目非正常工况污染物</w:t>
            </w:r>
            <w:r>
              <w:rPr>
                <w:rFonts w:hint="eastAsia" w:ascii="宋体" w:hAnsi="宋体"/>
                <w:b/>
                <w:kern w:val="0"/>
                <w:sz w:val="24"/>
              </w:rPr>
              <w:t>排放</w:t>
            </w:r>
            <w:r>
              <w:rPr>
                <w:rFonts w:ascii="宋体" w:hAnsi="宋体"/>
                <w:b/>
                <w:kern w:val="0"/>
                <w:sz w:val="24"/>
              </w:rPr>
              <w:t>情况</w:t>
            </w:r>
          </w:p>
          <w:tbl>
            <w:tblPr>
              <w:tblStyle w:val="29"/>
              <w:tblW w:w="855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27"/>
              <w:gridCol w:w="661"/>
              <w:gridCol w:w="836"/>
              <w:gridCol w:w="1156"/>
              <w:gridCol w:w="780"/>
              <w:gridCol w:w="714"/>
              <w:gridCol w:w="729"/>
              <w:gridCol w:w="670"/>
              <w:gridCol w:w="781"/>
              <w:gridCol w:w="730"/>
              <w:gridCol w:w="669"/>
            </w:tblGrid>
            <w:tr w14:paraId="338C7E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493" w:type="pct"/>
                  <w:vMerge w:val="restart"/>
                  <w:tcBorders>
                    <w:tl2br w:val="nil"/>
                    <w:tr2bl w:val="nil"/>
                  </w:tcBorders>
                  <w:vAlign w:val="center"/>
                </w:tcPr>
                <w:p w14:paraId="11E54706">
                  <w:pPr>
                    <w:overflowPunct w:val="0"/>
                    <w:adjustRightInd w:val="0"/>
                    <w:snapToGrid w:val="0"/>
                    <w:ind w:firstLine="4"/>
                    <w:jc w:val="center"/>
                    <w:textAlignment w:val="baseline"/>
                    <w:rPr>
                      <w:b/>
                      <w:kern w:val="0"/>
                      <w:szCs w:val="21"/>
                    </w:rPr>
                  </w:pPr>
                  <w:r>
                    <w:rPr>
                      <w:b/>
                      <w:kern w:val="0"/>
                    </w:rPr>
                    <w:t>排放源</w:t>
                  </w:r>
                </w:p>
                <w:p w14:paraId="264B8A1A">
                  <w:pPr>
                    <w:overflowPunct w:val="0"/>
                    <w:adjustRightInd w:val="0"/>
                    <w:snapToGrid w:val="0"/>
                    <w:ind w:firstLine="4"/>
                    <w:jc w:val="center"/>
                    <w:textAlignment w:val="baseline"/>
                    <w:rPr>
                      <w:b/>
                      <w:kern w:val="0"/>
                    </w:rPr>
                  </w:pPr>
                  <w:r>
                    <w:rPr>
                      <w:b/>
                      <w:kern w:val="0"/>
                    </w:rPr>
                    <w:t>编号</w:t>
                  </w:r>
                </w:p>
              </w:tc>
              <w:tc>
                <w:tcPr>
                  <w:tcW w:w="396" w:type="pct"/>
                  <w:vMerge w:val="restart"/>
                  <w:tcBorders>
                    <w:tl2br w:val="nil"/>
                    <w:tr2bl w:val="nil"/>
                  </w:tcBorders>
                  <w:vAlign w:val="center"/>
                </w:tcPr>
                <w:p w14:paraId="7E479623">
                  <w:pPr>
                    <w:overflowPunct w:val="0"/>
                    <w:adjustRightInd w:val="0"/>
                    <w:snapToGrid w:val="0"/>
                    <w:ind w:firstLine="4"/>
                    <w:jc w:val="center"/>
                    <w:textAlignment w:val="baseline"/>
                    <w:rPr>
                      <w:b/>
                      <w:kern w:val="0"/>
                    </w:rPr>
                  </w:pPr>
                  <w:r>
                    <w:rPr>
                      <w:b/>
                      <w:kern w:val="0"/>
                    </w:rPr>
                    <w:t>污染源</w:t>
                  </w:r>
                </w:p>
              </w:tc>
              <w:tc>
                <w:tcPr>
                  <w:tcW w:w="498" w:type="pct"/>
                  <w:vMerge w:val="restart"/>
                  <w:tcBorders>
                    <w:tl2br w:val="nil"/>
                    <w:tr2bl w:val="nil"/>
                  </w:tcBorders>
                  <w:vAlign w:val="center"/>
                </w:tcPr>
                <w:p w14:paraId="3EA8BF76">
                  <w:pPr>
                    <w:overflowPunct w:val="0"/>
                    <w:adjustRightInd w:val="0"/>
                    <w:snapToGrid w:val="0"/>
                    <w:ind w:firstLine="4"/>
                    <w:jc w:val="center"/>
                    <w:textAlignment w:val="baseline"/>
                    <w:rPr>
                      <w:b/>
                      <w:kern w:val="0"/>
                    </w:rPr>
                  </w:pPr>
                  <w:r>
                    <w:rPr>
                      <w:b/>
                      <w:kern w:val="0"/>
                    </w:rPr>
                    <w:t>污染物</w:t>
                  </w:r>
                </w:p>
                <w:p w14:paraId="2C3D99D8">
                  <w:pPr>
                    <w:overflowPunct w:val="0"/>
                    <w:adjustRightInd w:val="0"/>
                    <w:snapToGrid w:val="0"/>
                    <w:ind w:firstLine="4"/>
                    <w:jc w:val="center"/>
                    <w:textAlignment w:val="baseline"/>
                    <w:rPr>
                      <w:b/>
                      <w:kern w:val="0"/>
                    </w:rPr>
                  </w:pPr>
                  <w:r>
                    <w:rPr>
                      <w:b/>
                      <w:kern w:val="0"/>
                    </w:rPr>
                    <w:t>名称</w:t>
                  </w:r>
                </w:p>
              </w:tc>
              <w:tc>
                <w:tcPr>
                  <w:tcW w:w="685" w:type="pct"/>
                  <w:vMerge w:val="restart"/>
                  <w:tcBorders>
                    <w:tl2br w:val="nil"/>
                    <w:tr2bl w:val="nil"/>
                  </w:tcBorders>
                  <w:vAlign w:val="center"/>
                </w:tcPr>
                <w:p w14:paraId="0D924C2A">
                  <w:pPr>
                    <w:overflowPunct w:val="0"/>
                    <w:adjustRightInd w:val="0"/>
                    <w:snapToGrid w:val="0"/>
                    <w:ind w:firstLine="4"/>
                    <w:jc w:val="center"/>
                    <w:textAlignment w:val="baseline"/>
                    <w:rPr>
                      <w:b/>
                      <w:kern w:val="0"/>
                    </w:rPr>
                  </w:pPr>
                  <w:r>
                    <w:rPr>
                      <w:rFonts w:hint="eastAsia"/>
                      <w:b/>
                      <w:kern w:val="0"/>
                    </w:rPr>
                    <w:t>非正常排放原因</w:t>
                  </w:r>
                </w:p>
              </w:tc>
              <w:tc>
                <w:tcPr>
                  <w:tcW w:w="1251" w:type="pct"/>
                  <w:gridSpan w:val="3"/>
                  <w:tcBorders>
                    <w:tl2br w:val="nil"/>
                    <w:tr2bl w:val="nil"/>
                  </w:tcBorders>
                  <w:vAlign w:val="center"/>
                </w:tcPr>
                <w:p w14:paraId="3DC1E211">
                  <w:pPr>
                    <w:overflowPunct w:val="0"/>
                    <w:adjustRightInd w:val="0"/>
                    <w:snapToGrid w:val="0"/>
                    <w:spacing w:before="40" w:after="60" w:line="240" w:lineRule="atLeast"/>
                    <w:ind w:firstLine="4"/>
                    <w:jc w:val="center"/>
                    <w:textAlignment w:val="baseline"/>
                    <w:rPr>
                      <w:b/>
                      <w:kern w:val="0"/>
                    </w:rPr>
                  </w:pPr>
                  <w:r>
                    <w:rPr>
                      <w:rFonts w:hint="eastAsia"/>
                      <w:b/>
                      <w:kern w:val="0"/>
                    </w:rPr>
                    <w:t>非正常</w:t>
                  </w:r>
                  <w:r>
                    <w:rPr>
                      <w:b/>
                      <w:kern w:val="0"/>
                    </w:rPr>
                    <w:t>排放状况</w:t>
                  </w:r>
                </w:p>
              </w:tc>
              <w:tc>
                <w:tcPr>
                  <w:tcW w:w="1273" w:type="pct"/>
                  <w:gridSpan w:val="3"/>
                  <w:tcBorders>
                    <w:tl2br w:val="nil"/>
                    <w:tr2bl w:val="nil"/>
                  </w:tcBorders>
                  <w:vAlign w:val="center"/>
                </w:tcPr>
                <w:p w14:paraId="5A9C9547">
                  <w:pPr>
                    <w:overflowPunct w:val="0"/>
                    <w:adjustRightInd w:val="0"/>
                    <w:snapToGrid w:val="0"/>
                    <w:spacing w:before="40" w:after="60" w:line="240" w:lineRule="atLeast"/>
                    <w:ind w:firstLine="4"/>
                    <w:jc w:val="center"/>
                    <w:textAlignment w:val="baseline"/>
                    <w:rPr>
                      <w:b/>
                      <w:kern w:val="0"/>
                    </w:rPr>
                  </w:pPr>
                  <w:r>
                    <w:rPr>
                      <w:rFonts w:hint="eastAsia"/>
                      <w:b/>
                      <w:kern w:val="0"/>
                    </w:rPr>
                    <w:t>正常排放状况</w:t>
                  </w:r>
                </w:p>
              </w:tc>
              <w:tc>
                <w:tcPr>
                  <w:tcW w:w="400" w:type="pct"/>
                  <w:vMerge w:val="restart"/>
                  <w:tcBorders>
                    <w:tl2br w:val="nil"/>
                    <w:tr2bl w:val="nil"/>
                  </w:tcBorders>
                  <w:vAlign w:val="center"/>
                </w:tcPr>
                <w:p w14:paraId="04F03644">
                  <w:pPr>
                    <w:overflowPunct w:val="0"/>
                    <w:adjustRightInd w:val="0"/>
                    <w:snapToGrid w:val="0"/>
                    <w:spacing w:before="40" w:after="60" w:line="240" w:lineRule="atLeast"/>
                    <w:ind w:firstLine="4"/>
                    <w:jc w:val="center"/>
                    <w:textAlignment w:val="baseline"/>
                    <w:rPr>
                      <w:b/>
                      <w:kern w:val="0"/>
                    </w:rPr>
                  </w:pPr>
                  <w:r>
                    <w:rPr>
                      <w:rFonts w:hint="eastAsia"/>
                      <w:b/>
                      <w:kern w:val="0"/>
                    </w:rPr>
                    <w:t>频次及持续时间</w:t>
                  </w:r>
                </w:p>
              </w:tc>
            </w:tr>
            <w:tr w14:paraId="6D4AC8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493" w:type="pct"/>
                  <w:vMerge w:val="continue"/>
                  <w:tcBorders>
                    <w:tl2br w:val="nil"/>
                    <w:tr2bl w:val="nil"/>
                  </w:tcBorders>
                  <w:vAlign w:val="center"/>
                </w:tcPr>
                <w:p w14:paraId="0B73507D">
                  <w:pPr>
                    <w:widowControl/>
                    <w:jc w:val="center"/>
                    <w:rPr>
                      <w:b/>
                      <w:kern w:val="0"/>
                      <w:szCs w:val="21"/>
                    </w:rPr>
                  </w:pPr>
                </w:p>
              </w:tc>
              <w:tc>
                <w:tcPr>
                  <w:tcW w:w="396" w:type="pct"/>
                  <w:vMerge w:val="continue"/>
                  <w:tcBorders>
                    <w:tl2br w:val="nil"/>
                    <w:tr2bl w:val="nil"/>
                  </w:tcBorders>
                  <w:vAlign w:val="center"/>
                </w:tcPr>
                <w:p w14:paraId="5B8846A7">
                  <w:pPr>
                    <w:widowControl/>
                    <w:jc w:val="center"/>
                    <w:rPr>
                      <w:b/>
                      <w:kern w:val="0"/>
                      <w:szCs w:val="21"/>
                    </w:rPr>
                  </w:pPr>
                </w:p>
              </w:tc>
              <w:tc>
                <w:tcPr>
                  <w:tcW w:w="498" w:type="pct"/>
                  <w:vMerge w:val="continue"/>
                  <w:tcBorders>
                    <w:tl2br w:val="nil"/>
                    <w:tr2bl w:val="nil"/>
                  </w:tcBorders>
                  <w:vAlign w:val="center"/>
                </w:tcPr>
                <w:p w14:paraId="35B54976">
                  <w:pPr>
                    <w:widowControl/>
                    <w:jc w:val="center"/>
                    <w:rPr>
                      <w:b/>
                      <w:kern w:val="0"/>
                      <w:szCs w:val="21"/>
                    </w:rPr>
                  </w:pPr>
                </w:p>
              </w:tc>
              <w:tc>
                <w:tcPr>
                  <w:tcW w:w="685" w:type="pct"/>
                  <w:vMerge w:val="continue"/>
                  <w:tcBorders>
                    <w:tl2br w:val="nil"/>
                    <w:tr2bl w:val="nil"/>
                  </w:tcBorders>
                  <w:vAlign w:val="center"/>
                </w:tcPr>
                <w:p w14:paraId="77698E8C">
                  <w:pPr>
                    <w:widowControl/>
                    <w:jc w:val="center"/>
                    <w:rPr>
                      <w:b/>
                      <w:kern w:val="0"/>
                      <w:szCs w:val="21"/>
                    </w:rPr>
                  </w:pPr>
                </w:p>
              </w:tc>
              <w:tc>
                <w:tcPr>
                  <w:tcW w:w="388" w:type="pct"/>
                  <w:tcBorders>
                    <w:tl2br w:val="nil"/>
                    <w:tr2bl w:val="nil"/>
                  </w:tcBorders>
                  <w:vAlign w:val="center"/>
                </w:tcPr>
                <w:p w14:paraId="40537823">
                  <w:pPr>
                    <w:widowControl/>
                    <w:ind w:left="-105" w:leftChars="-50" w:right="-105" w:rightChars="-50"/>
                    <w:jc w:val="center"/>
                    <w:rPr>
                      <w:b/>
                      <w:kern w:val="0"/>
                      <w:szCs w:val="21"/>
                    </w:rPr>
                  </w:pPr>
                  <w:r>
                    <w:rPr>
                      <w:rFonts w:hint="eastAsia"/>
                      <w:b/>
                      <w:kern w:val="0"/>
                      <w:szCs w:val="21"/>
                    </w:rPr>
                    <w:t>浓度</w:t>
                  </w:r>
                </w:p>
                <w:p w14:paraId="30F0B2D5">
                  <w:pPr>
                    <w:widowControl/>
                    <w:ind w:left="-105" w:leftChars="-50" w:right="-105" w:rightChars="-50"/>
                    <w:jc w:val="center"/>
                    <w:rPr>
                      <w:b/>
                      <w:kern w:val="0"/>
                    </w:rPr>
                  </w:pPr>
                  <w:r>
                    <w:rPr>
                      <w:b/>
                      <w:kern w:val="0"/>
                      <w:szCs w:val="21"/>
                    </w:rPr>
                    <w:t>mg/m</w:t>
                  </w:r>
                  <w:r>
                    <w:rPr>
                      <w:b/>
                      <w:kern w:val="0"/>
                      <w:szCs w:val="21"/>
                      <w:vertAlign w:val="superscript"/>
                    </w:rPr>
                    <w:t>3</w:t>
                  </w:r>
                </w:p>
              </w:tc>
              <w:tc>
                <w:tcPr>
                  <w:tcW w:w="427" w:type="pct"/>
                  <w:tcBorders>
                    <w:tl2br w:val="nil"/>
                    <w:tr2bl w:val="nil"/>
                  </w:tcBorders>
                  <w:vAlign w:val="center"/>
                </w:tcPr>
                <w:p w14:paraId="29CED7E0">
                  <w:pPr>
                    <w:widowControl/>
                    <w:ind w:left="-105" w:leftChars="-50" w:right="-105" w:rightChars="-50"/>
                    <w:jc w:val="center"/>
                    <w:rPr>
                      <w:b/>
                      <w:kern w:val="0"/>
                    </w:rPr>
                  </w:pPr>
                  <w:r>
                    <w:rPr>
                      <w:rFonts w:hint="eastAsia"/>
                      <w:b/>
                      <w:kern w:val="0"/>
                    </w:rPr>
                    <w:t>速率</w:t>
                  </w:r>
                </w:p>
                <w:p w14:paraId="09A8082C">
                  <w:pPr>
                    <w:widowControl/>
                    <w:jc w:val="center"/>
                    <w:rPr>
                      <w:b/>
                      <w:kern w:val="0"/>
                      <w:szCs w:val="21"/>
                    </w:rPr>
                  </w:pPr>
                  <w:r>
                    <w:rPr>
                      <w:rFonts w:hint="eastAsia"/>
                      <w:b/>
                      <w:kern w:val="0"/>
                    </w:rPr>
                    <w:t>kg/h</w:t>
                  </w:r>
                </w:p>
              </w:tc>
              <w:tc>
                <w:tcPr>
                  <w:tcW w:w="436" w:type="pct"/>
                  <w:tcBorders>
                    <w:tl2br w:val="nil"/>
                    <w:tr2bl w:val="nil"/>
                  </w:tcBorders>
                  <w:vAlign w:val="center"/>
                </w:tcPr>
                <w:p w14:paraId="3057FAFF">
                  <w:pPr>
                    <w:widowControl/>
                    <w:jc w:val="center"/>
                    <w:rPr>
                      <w:b/>
                      <w:kern w:val="0"/>
                      <w:szCs w:val="21"/>
                    </w:rPr>
                  </w:pPr>
                  <w:r>
                    <w:rPr>
                      <w:rFonts w:hint="eastAsia"/>
                      <w:b/>
                      <w:kern w:val="0"/>
                      <w:szCs w:val="21"/>
                    </w:rPr>
                    <w:t>排放量</w:t>
                  </w:r>
                </w:p>
                <w:p w14:paraId="183A7C56">
                  <w:pPr>
                    <w:widowControl/>
                    <w:jc w:val="center"/>
                    <w:rPr>
                      <w:b/>
                      <w:kern w:val="0"/>
                      <w:szCs w:val="21"/>
                    </w:rPr>
                  </w:pPr>
                  <w:r>
                    <w:rPr>
                      <w:rFonts w:hint="eastAsia"/>
                      <w:b/>
                      <w:kern w:val="0"/>
                      <w:szCs w:val="21"/>
                    </w:rPr>
                    <w:t>t/a</w:t>
                  </w:r>
                </w:p>
              </w:tc>
              <w:tc>
                <w:tcPr>
                  <w:tcW w:w="371" w:type="pct"/>
                  <w:tcBorders>
                    <w:tl2br w:val="nil"/>
                    <w:tr2bl w:val="nil"/>
                  </w:tcBorders>
                  <w:vAlign w:val="center"/>
                </w:tcPr>
                <w:p w14:paraId="23807E14">
                  <w:pPr>
                    <w:widowControl/>
                    <w:ind w:left="-105" w:leftChars="-50" w:right="-105" w:rightChars="-50"/>
                    <w:jc w:val="center"/>
                    <w:rPr>
                      <w:b/>
                      <w:kern w:val="0"/>
                      <w:szCs w:val="21"/>
                    </w:rPr>
                  </w:pPr>
                  <w:r>
                    <w:rPr>
                      <w:rFonts w:hint="eastAsia"/>
                      <w:b/>
                      <w:kern w:val="0"/>
                      <w:szCs w:val="21"/>
                    </w:rPr>
                    <w:t>浓度</w:t>
                  </w:r>
                </w:p>
                <w:p w14:paraId="04B43C34">
                  <w:pPr>
                    <w:widowControl/>
                    <w:ind w:left="-105" w:leftChars="-50" w:right="-105" w:rightChars="-50"/>
                    <w:jc w:val="center"/>
                    <w:rPr>
                      <w:b/>
                      <w:kern w:val="0"/>
                    </w:rPr>
                  </w:pPr>
                  <w:r>
                    <w:rPr>
                      <w:b/>
                      <w:kern w:val="0"/>
                      <w:szCs w:val="21"/>
                    </w:rPr>
                    <w:t>mg/m</w:t>
                  </w:r>
                  <w:r>
                    <w:rPr>
                      <w:b/>
                      <w:kern w:val="0"/>
                      <w:szCs w:val="21"/>
                      <w:vertAlign w:val="superscript"/>
                    </w:rPr>
                    <w:t>3</w:t>
                  </w:r>
                </w:p>
              </w:tc>
              <w:tc>
                <w:tcPr>
                  <w:tcW w:w="466" w:type="pct"/>
                  <w:tcBorders>
                    <w:tl2br w:val="nil"/>
                    <w:tr2bl w:val="nil"/>
                  </w:tcBorders>
                  <w:vAlign w:val="center"/>
                </w:tcPr>
                <w:p w14:paraId="3EFB096D">
                  <w:pPr>
                    <w:widowControl/>
                    <w:ind w:left="-105" w:leftChars="-50" w:right="-105" w:rightChars="-50"/>
                    <w:jc w:val="center"/>
                    <w:rPr>
                      <w:b/>
                      <w:kern w:val="0"/>
                    </w:rPr>
                  </w:pPr>
                  <w:r>
                    <w:rPr>
                      <w:rFonts w:hint="eastAsia"/>
                      <w:b/>
                      <w:kern w:val="0"/>
                    </w:rPr>
                    <w:t>速率</w:t>
                  </w:r>
                </w:p>
                <w:p w14:paraId="05ECDA48">
                  <w:pPr>
                    <w:widowControl/>
                    <w:jc w:val="center"/>
                    <w:rPr>
                      <w:b/>
                      <w:kern w:val="0"/>
                      <w:szCs w:val="21"/>
                    </w:rPr>
                  </w:pPr>
                  <w:r>
                    <w:rPr>
                      <w:rFonts w:hint="eastAsia"/>
                      <w:b/>
                      <w:kern w:val="0"/>
                    </w:rPr>
                    <w:t>kg/h</w:t>
                  </w:r>
                </w:p>
              </w:tc>
              <w:tc>
                <w:tcPr>
                  <w:tcW w:w="436" w:type="pct"/>
                  <w:tcBorders>
                    <w:tl2br w:val="nil"/>
                    <w:tr2bl w:val="nil"/>
                  </w:tcBorders>
                  <w:vAlign w:val="center"/>
                </w:tcPr>
                <w:p w14:paraId="73FFCE8C">
                  <w:pPr>
                    <w:widowControl/>
                    <w:jc w:val="center"/>
                    <w:rPr>
                      <w:b/>
                      <w:kern w:val="0"/>
                      <w:szCs w:val="21"/>
                    </w:rPr>
                  </w:pPr>
                  <w:r>
                    <w:rPr>
                      <w:rFonts w:hint="eastAsia"/>
                      <w:b/>
                      <w:kern w:val="0"/>
                      <w:szCs w:val="21"/>
                    </w:rPr>
                    <w:t>排放量</w:t>
                  </w:r>
                </w:p>
                <w:p w14:paraId="3F86F79B">
                  <w:pPr>
                    <w:widowControl/>
                    <w:jc w:val="center"/>
                    <w:rPr>
                      <w:b/>
                      <w:kern w:val="0"/>
                      <w:szCs w:val="21"/>
                    </w:rPr>
                  </w:pPr>
                  <w:r>
                    <w:rPr>
                      <w:rFonts w:hint="eastAsia"/>
                      <w:b/>
                      <w:kern w:val="0"/>
                      <w:szCs w:val="21"/>
                    </w:rPr>
                    <w:t>t/a</w:t>
                  </w:r>
                </w:p>
              </w:tc>
              <w:tc>
                <w:tcPr>
                  <w:tcW w:w="400" w:type="pct"/>
                  <w:vMerge w:val="continue"/>
                  <w:tcBorders>
                    <w:tl2br w:val="nil"/>
                    <w:tr2bl w:val="nil"/>
                  </w:tcBorders>
                  <w:vAlign w:val="center"/>
                </w:tcPr>
                <w:p w14:paraId="371544AC">
                  <w:pPr>
                    <w:widowControl/>
                    <w:jc w:val="center"/>
                    <w:rPr>
                      <w:b/>
                      <w:kern w:val="0"/>
                      <w:szCs w:val="21"/>
                    </w:rPr>
                  </w:pPr>
                </w:p>
              </w:tc>
            </w:tr>
            <w:tr w14:paraId="119B37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97" w:hRule="atLeast"/>
              </w:trPr>
              <w:tc>
                <w:tcPr>
                  <w:tcW w:w="493" w:type="pct"/>
                  <w:vMerge w:val="restart"/>
                  <w:tcBorders>
                    <w:tl2br w:val="nil"/>
                    <w:tr2bl w:val="nil"/>
                  </w:tcBorders>
                  <w:vAlign w:val="center"/>
                </w:tcPr>
                <w:p w14:paraId="011CD3BC">
                  <w:pPr>
                    <w:adjustRightInd w:val="0"/>
                    <w:snapToGrid w:val="0"/>
                    <w:jc w:val="center"/>
                    <w:rPr>
                      <w:szCs w:val="21"/>
                    </w:rPr>
                  </w:pPr>
                  <w:r>
                    <w:rPr>
                      <w:rFonts w:hint="eastAsia"/>
                      <w:szCs w:val="21"/>
                    </w:rPr>
                    <w:t>DA001</w:t>
                  </w:r>
                </w:p>
              </w:tc>
              <w:tc>
                <w:tcPr>
                  <w:tcW w:w="396" w:type="pct"/>
                  <w:vMerge w:val="restart"/>
                  <w:tcBorders>
                    <w:tl2br w:val="nil"/>
                    <w:tr2bl w:val="nil"/>
                  </w:tcBorders>
                  <w:vAlign w:val="center"/>
                </w:tcPr>
                <w:p w14:paraId="3BEBB613">
                  <w:pPr>
                    <w:jc w:val="center"/>
                    <w:rPr>
                      <w:rFonts w:hint="default" w:eastAsia="宋体"/>
                      <w:szCs w:val="21"/>
                      <w:lang w:val="en-US" w:eastAsia="zh-CN"/>
                    </w:rPr>
                  </w:pPr>
                  <w:r>
                    <w:rPr>
                      <w:rFonts w:hint="eastAsia"/>
                      <w:szCs w:val="21"/>
                      <w:lang w:val="en-US" w:eastAsia="zh-CN"/>
                    </w:rPr>
                    <w:t>发泡脱模</w:t>
                  </w:r>
                </w:p>
              </w:tc>
              <w:tc>
                <w:tcPr>
                  <w:tcW w:w="498" w:type="pct"/>
                  <w:tcBorders>
                    <w:tl2br w:val="nil"/>
                    <w:tr2bl w:val="nil"/>
                  </w:tcBorders>
                  <w:vAlign w:val="center"/>
                </w:tcPr>
                <w:p w14:paraId="72F8E74D">
                  <w:pPr>
                    <w:jc w:val="center"/>
                    <w:rPr>
                      <w:szCs w:val="21"/>
                      <w:lang w:bidi="ar"/>
                    </w:rPr>
                  </w:pPr>
                  <w:r>
                    <w:rPr>
                      <w:rFonts w:hint="eastAsia"/>
                      <w:szCs w:val="21"/>
                    </w:rPr>
                    <w:t>非甲烷总烃</w:t>
                  </w:r>
                </w:p>
              </w:tc>
              <w:tc>
                <w:tcPr>
                  <w:tcW w:w="685" w:type="pct"/>
                  <w:vMerge w:val="restart"/>
                  <w:tcBorders>
                    <w:tl2br w:val="nil"/>
                    <w:tr2bl w:val="nil"/>
                  </w:tcBorders>
                  <w:vAlign w:val="center"/>
                </w:tcPr>
                <w:p w14:paraId="0CA83528">
                  <w:pPr>
                    <w:jc w:val="center"/>
                  </w:pPr>
                  <w:r>
                    <w:rPr>
                      <w:rFonts w:hint="eastAsia"/>
                    </w:rPr>
                    <w:t>废气处理设备故障处理效率低或停止工作</w:t>
                  </w:r>
                </w:p>
              </w:tc>
              <w:tc>
                <w:tcPr>
                  <w:tcW w:w="664" w:type="dxa"/>
                  <w:tcBorders>
                    <w:tl2br w:val="nil"/>
                    <w:tr2bl w:val="nil"/>
                  </w:tcBorders>
                  <w:vAlign w:val="center"/>
                </w:tcPr>
                <w:p w14:paraId="77909C55">
                  <w:pPr>
                    <w:keepNext w:val="0"/>
                    <w:keepLines w:val="0"/>
                    <w:pageBreakBefore w:val="0"/>
                    <w:widowControl/>
                    <w:suppressLineNumbers w:val="0"/>
                    <w:kinsoku/>
                    <w:wordWrap/>
                    <w:overflowPunct/>
                    <w:topLinePunct w:val="0"/>
                    <w:autoSpaceDE/>
                    <w:autoSpaceDN/>
                    <w:bidi w:val="0"/>
                    <w:adjustRightInd/>
                    <w:snapToGrid/>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104.282</w:t>
                  </w:r>
                </w:p>
              </w:tc>
              <w:tc>
                <w:tcPr>
                  <w:tcW w:w="731" w:type="dxa"/>
                  <w:tcBorders>
                    <w:tl2br w:val="nil"/>
                    <w:tr2bl w:val="nil"/>
                  </w:tcBorders>
                  <w:vAlign w:val="center"/>
                </w:tcPr>
                <w:p w14:paraId="7DA68D88">
                  <w:pPr>
                    <w:keepNext w:val="0"/>
                    <w:keepLines w:val="0"/>
                    <w:pageBreakBefore w:val="0"/>
                    <w:widowControl/>
                    <w:suppressLineNumbers w:val="0"/>
                    <w:kinsoku/>
                    <w:wordWrap/>
                    <w:overflowPunct/>
                    <w:topLinePunct w:val="0"/>
                    <w:autoSpaceDE/>
                    <w:autoSpaceDN/>
                    <w:bidi w:val="0"/>
                    <w:adjustRightInd/>
                    <w:snapToGrid/>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1.043</w:t>
                  </w:r>
                </w:p>
              </w:tc>
              <w:tc>
                <w:tcPr>
                  <w:tcW w:w="746" w:type="dxa"/>
                  <w:tcBorders>
                    <w:tl2br w:val="nil"/>
                    <w:tr2bl w:val="nil"/>
                  </w:tcBorders>
                  <w:vAlign w:val="center"/>
                </w:tcPr>
                <w:p w14:paraId="18BDA242">
                  <w:pPr>
                    <w:keepNext w:val="0"/>
                    <w:keepLines w:val="0"/>
                    <w:pageBreakBefore w:val="0"/>
                    <w:widowControl/>
                    <w:suppressLineNumbers w:val="0"/>
                    <w:kinsoku/>
                    <w:wordWrap/>
                    <w:overflowPunct/>
                    <w:topLinePunct w:val="0"/>
                    <w:autoSpaceDE/>
                    <w:autoSpaceDN/>
                    <w:bidi w:val="0"/>
                    <w:adjustRightInd/>
                    <w:snapToGrid/>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5.006</w:t>
                  </w:r>
                </w:p>
              </w:tc>
              <w:tc>
                <w:tcPr>
                  <w:tcW w:w="635" w:type="dxa"/>
                  <w:tcBorders>
                    <w:tl2br w:val="nil"/>
                    <w:tr2bl w:val="nil"/>
                  </w:tcBorders>
                  <w:vAlign w:val="center"/>
                </w:tcPr>
                <w:p w14:paraId="4E405DF8">
                  <w:pPr>
                    <w:keepNext w:val="0"/>
                    <w:keepLines w:val="0"/>
                    <w:pageBreakBefore w:val="0"/>
                    <w:widowControl/>
                    <w:suppressLineNumbers w:val="0"/>
                    <w:kinsoku/>
                    <w:wordWrap/>
                    <w:overflowPunct/>
                    <w:topLinePunct w:val="0"/>
                    <w:autoSpaceDE/>
                    <w:autoSpaceDN/>
                    <w:bidi w:val="0"/>
                    <w:adjustRightInd/>
                    <w:snapToGrid/>
                    <w:jc w:val="center"/>
                    <w:textAlignment w:val="center"/>
                  </w:pPr>
                  <w:r>
                    <w:rPr>
                      <w:rFonts w:hint="eastAsia" w:ascii="宋体" w:hAnsi="宋体" w:eastAsia="宋体" w:cs="宋体"/>
                      <w:i w:val="0"/>
                      <w:iCs w:val="0"/>
                      <w:color w:val="000000"/>
                      <w:kern w:val="0"/>
                      <w:sz w:val="22"/>
                      <w:szCs w:val="22"/>
                      <w:u w:val="none"/>
                      <w:lang w:val="en-US" w:eastAsia="zh-CN" w:bidi="ar"/>
                    </w:rPr>
                    <w:t>10.428</w:t>
                  </w:r>
                </w:p>
              </w:tc>
              <w:tc>
                <w:tcPr>
                  <w:tcW w:w="798" w:type="dxa"/>
                  <w:tcBorders>
                    <w:tl2br w:val="nil"/>
                    <w:tr2bl w:val="nil"/>
                  </w:tcBorders>
                  <w:vAlign w:val="center"/>
                </w:tcPr>
                <w:p w14:paraId="0E5E32B2">
                  <w:pPr>
                    <w:keepNext w:val="0"/>
                    <w:keepLines w:val="0"/>
                    <w:pageBreakBefore w:val="0"/>
                    <w:widowControl/>
                    <w:suppressLineNumbers w:val="0"/>
                    <w:kinsoku/>
                    <w:wordWrap/>
                    <w:overflowPunct/>
                    <w:topLinePunct w:val="0"/>
                    <w:autoSpaceDE/>
                    <w:autoSpaceDN/>
                    <w:bidi w:val="0"/>
                    <w:adjustRightInd/>
                    <w:snapToGrid/>
                    <w:jc w:val="center"/>
                    <w:textAlignment w:val="center"/>
                  </w:pPr>
                  <w:r>
                    <w:rPr>
                      <w:rFonts w:hint="eastAsia" w:ascii="宋体" w:hAnsi="宋体" w:eastAsia="宋体" w:cs="宋体"/>
                      <w:i w:val="0"/>
                      <w:iCs w:val="0"/>
                      <w:color w:val="000000"/>
                      <w:kern w:val="0"/>
                      <w:sz w:val="22"/>
                      <w:szCs w:val="22"/>
                      <w:u w:val="none"/>
                      <w:lang w:val="en-US" w:eastAsia="zh-CN" w:bidi="ar"/>
                    </w:rPr>
                    <w:t>0.104</w:t>
                  </w:r>
                </w:p>
              </w:tc>
              <w:tc>
                <w:tcPr>
                  <w:tcW w:w="746" w:type="dxa"/>
                  <w:tcBorders>
                    <w:tl2br w:val="nil"/>
                    <w:tr2bl w:val="nil"/>
                  </w:tcBorders>
                  <w:vAlign w:val="center"/>
                </w:tcPr>
                <w:p w14:paraId="3D30D7C5">
                  <w:pPr>
                    <w:keepNext w:val="0"/>
                    <w:keepLines w:val="0"/>
                    <w:pageBreakBefore w:val="0"/>
                    <w:widowControl/>
                    <w:suppressLineNumbers w:val="0"/>
                    <w:kinsoku/>
                    <w:wordWrap/>
                    <w:overflowPunct/>
                    <w:topLinePunct w:val="0"/>
                    <w:autoSpaceDE/>
                    <w:autoSpaceDN/>
                    <w:bidi w:val="0"/>
                    <w:adjustRightInd/>
                    <w:snapToGrid/>
                    <w:jc w:val="center"/>
                    <w:textAlignment w:val="center"/>
                  </w:pPr>
                  <w:r>
                    <w:rPr>
                      <w:rFonts w:hint="eastAsia" w:ascii="宋体" w:hAnsi="宋体" w:eastAsia="宋体" w:cs="宋体"/>
                      <w:i w:val="0"/>
                      <w:iCs w:val="0"/>
                      <w:color w:val="000000"/>
                      <w:kern w:val="0"/>
                      <w:sz w:val="22"/>
                      <w:szCs w:val="22"/>
                      <w:u w:val="none"/>
                      <w:lang w:val="en-US" w:eastAsia="zh-CN" w:bidi="ar"/>
                    </w:rPr>
                    <w:t>0.500</w:t>
                  </w:r>
                </w:p>
              </w:tc>
              <w:tc>
                <w:tcPr>
                  <w:tcW w:w="400" w:type="pct"/>
                  <w:tcBorders>
                    <w:tl2br w:val="nil"/>
                    <w:tr2bl w:val="nil"/>
                  </w:tcBorders>
                  <w:vAlign w:val="center"/>
                </w:tcPr>
                <w:p w14:paraId="0B977AD1">
                  <w:pPr>
                    <w:jc w:val="center"/>
                  </w:pPr>
                  <w:r>
                    <w:rPr>
                      <w:rFonts w:hint="eastAsia"/>
                    </w:rPr>
                    <w:t>1</w:t>
                  </w:r>
                  <w:r>
                    <w:rPr>
                      <w:rFonts w:hint="eastAsia" w:ascii="宋体" w:hAnsi="宋体"/>
                    </w:rPr>
                    <w:t>次</w:t>
                  </w:r>
                  <w:r>
                    <w:rPr>
                      <w:rFonts w:hint="eastAsia"/>
                    </w:rPr>
                    <w:t>/</w:t>
                  </w:r>
                  <w:r>
                    <w:rPr>
                      <w:rFonts w:hint="eastAsia" w:ascii="宋体" w:hAnsi="宋体"/>
                    </w:rPr>
                    <w:t>年，1h/次</w:t>
                  </w:r>
                </w:p>
              </w:tc>
            </w:tr>
            <w:tr w14:paraId="17152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97" w:hRule="atLeast"/>
              </w:trPr>
              <w:tc>
                <w:tcPr>
                  <w:tcW w:w="493" w:type="pct"/>
                  <w:vMerge w:val="continue"/>
                  <w:tcBorders>
                    <w:tl2br w:val="nil"/>
                    <w:tr2bl w:val="nil"/>
                  </w:tcBorders>
                  <w:vAlign w:val="center"/>
                </w:tcPr>
                <w:p w14:paraId="1BC2AF93">
                  <w:pPr>
                    <w:adjustRightInd w:val="0"/>
                    <w:snapToGrid w:val="0"/>
                    <w:jc w:val="center"/>
                    <w:rPr>
                      <w:szCs w:val="21"/>
                    </w:rPr>
                  </w:pPr>
                </w:p>
              </w:tc>
              <w:tc>
                <w:tcPr>
                  <w:tcW w:w="396" w:type="pct"/>
                  <w:vMerge w:val="continue"/>
                  <w:tcBorders>
                    <w:tl2br w:val="nil"/>
                    <w:tr2bl w:val="nil"/>
                  </w:tcBorders>
                  <w:vAlign w:val="center"/>
                </w:tcPr>
                <w:p w14:paraId="5104E4E5">
                  <w:pPr>
                    <w:jc w:val="center"/>
                    <w:rPr>
                      <w:szCs w:val="21"/>
                    </w:rPr>
                  </w:pPr>
                </w:p>
              </w:tc>
              <w:tc>
                <w:tcPr>
                  <w:tcW w:w="498" w:type="pct"/>
                  <w:tcBorders>
                    <w:tl2br w:val="nil"/>
                    <w:tr2bl w:val="nil"/>
                  </w:tcBorders>
                  <w:vAlign w:val="center"/>
                </w:tcPr>
                <w:p w14:paraId="5BAB9B65">
                  <w:pPr>
                    <w:jc w:val="center"/>
                    <w:rPr>
                      <w:szCs w:val="21"/>
                      <w:lang w:bidi="ar"/>
                    </w:rPr>
                  </w:pPr>
                  <w:r>
                    <w:rPr>
                      <w:rFonts w:hint="eastAsia" w:ascii="Times New Roman" w:hAnsi="Times New Roman" w:eastAsia="宋体" w:cs="Times New Roman"/>
                      <w:color w:val="auto"/>
                      <w:sz w:val="21"/>
                      <w:szCs w:val="21"/>
                      <w:lang w:val="en-US" w:eastAsia="zh-CN"/>
                    </w:rPr>
                    <w:t>PAPI</w:t>
                  </w:r>
                </w:p>
              </w:tc>
              <w:tc>
                <w:tcPr>
                  <w:tcW w:w="685" w:type="pct"/>
                  <w:vMerge w:val="continue"/>
                  <w:tcBorders>
                    <w:tl2br w:val="nil"/>
                    <w:tr2bl w:val="nil"/>
                  </w:tcBorders>
                  <w:vAlign w:val="center"/>
                </w:tcPr>
                <w:p w14:paraId="57C7151A">
                  <w:pPr>
                    <w:jc w:val="center"/>
                  </w:pPr>
                </w:p>
              </w:tc>
              <w:tc>
                <w:tcPr>
                  <w:tcW w:w="664" w:type="dxa"/>
                  <w:tcBorders>
                    <w:tl2br w:val="nil"/>
                    <w:tr2bl w:val="nil"/>
                  </w:tcBorders>
                  <w:vAlign w:val="center"/>
                </w:tcPr>
                <w:p w14:paraId="6FFD7B6A">
                  <w:pPr>
                    <w:keepNext w:val="0"/>
                    <w:keepLines w:val="0"/>
                    <w:pageBreakBefore w:val="0"/>
                    <w:widowControl/>
                    <w:kinsoku/>
                    <w:wordWrap/>
                    <w:overflowPunct/>
                    <w:topLinePunct w:val="0"/>
                    <w:autoSpaceDE/>
                    <w:autoSpaceDN/>
                    <w:bidi w:val="0"/>
                    <w:adjustRightInd/>
                    <w:snapToGrid/>
                    <w:jc w:val="center"/>
                    <w:textAlignment w:val="auto"/>
                    <w:rPr>
                      <w:szCs w:val="21"/>
                    </w:rPr>
                  </w:pPr>
                  <w:r>
                    <w:rPr>
                      <w:rFonts w:hint="eastAsia" w:ascii="Times New Roman" w:hAnsi="Times New Roman" w:eastAsia="宋体" w:cs="Times New Roman"/>
                      <w:szCs w:val="21"/>
                      <w:lang w:val="en-US" w:eastAsia="zh-CN"/>
                    </w:rPr>
                    <w:t>0.455</w:t>
                  </w:r>
                </w:p>
              </w:tc>
              <w:tc>
                <w:tcPr>
                  <w:tcW w:w="731" w:type="dxa"/>
                  <w:tcBorders>
                    <w:tl2br w:val="nil"/>
                    <w:tr2bl w:val="nil"/>
                  </w:tcBorders>
                  <w:vAlign w:val="center"/>
                </w:tcPr>
                <w:p w14:paraId="4346FF90">
                  <w:pPr>
                    <w:keepNext w:val="0"/>
                    <w:keepLines w:val="0"/>
                    <w:pageBreakBefore w:val="0"/>
                    <w:widowControl/>
                    <w:kinsoku/>
                    <w:wordWrap/>
                    <w:overflowPunct/>
                    <w:topLinePunct w:val="0"/>
                    <w:autoSpaceDE/>
                    <w:autoSpaceDN/>
                    <w:bidi w:val="0"/>
                    <w:adjustRightInd/>
                    <w:snapToGrid/>
                    <w:jc w:val="center"/>
                    <w:textAlignment w:val="auto"/>
                    <w:rPr>
                      <w:szCs w:val="21"/>
                    </w:rPr>
                  </w:pPr>
                  <w:r>
                    <w:rPr>
                      <w:rFonts w:hint="eastAsia" w:ascii="Times New Roman" w:hAnsi="Times New Roman" w:eastAsia="宋体" w:cs="Times New Roman"/>
                      <w:szCs w:val="21"/>
                      <w:lang w:val="en-US" w:eastAsia="zh-CN"/>
                    </w:rPr>
                    <w:t>0.005</w:t>
                  </w:r>
                </w:p>
              </w:tc>
              <w:tc>
                <w:tcPr>
                  <w:tcW w:w="746" w:type="dxa"/>
                  <w:tcBorders>
                    <w:tl2br w:val="nil"/>
                    <w:tr2bl w:val="nil"/>
                  </w:tcBorders>
                  <w:vAlign w:val="center"/>
                </w:tcPr>
                <w:p w14:paraId="577D328F">
                  <w:pPr>
                    <w:keepNext w:val="0"/>
                    <w:keepLines w:val="0"/>
                    <w:pageBreakBefore w:val="0"/>
                    <w:widowControl/>
                    <w:kinsoku/>
                    <w:wordWrap/>
                    <w:overflowPunct/>
                    <w:topLinePunct w:val="0"/>
                    <w:autoSpaceDE/>
                    <w:autoSpaceDN/>
                    <w:bidi w:val="0"/>
                    <w:adjustRightInd/>
                    <w:snapToGrid/>
                    <w:jc w:val="center"/>
                    <w:textAlignment w:val="auto"/>
                    <w:rPr>
                      <w:szCs w:val="21"/>
                    </w:rPr>
                  </w:pPr>
                  <w:r>
                    <w:rPr>
                      <w:rFonts w:hint="eastAsia" w:ascii="Times New Roman" w:hAnsi="Times New Roman" w:eastAsia="宋体" w:cs="Times New Roman"/>
                      <w:szCs w:val="21"/>
                      <w:lang w:val="en-US" w:eastAsia="zh-CN"/>
                    </w:rPr>
                    <w:t>0.022</w:t>
                  </w:r>
                </w:p>
              </w:tc>
              <w:tc>
                <w:tcPr>
                  <w:tcW w:w="635" w:type="dxa"/>
                  <w:tcBorders>
                    <w:tl2br w:val="nil"/>
                    <w:tr2bl w:val="nil"/>
                  </w:tcBorders>
                  <w:vAlign w:val="center"/>
                </w:tcPr>
                <w:p w14:paraId="3F5BC392">
                  <w:pPr>
                    <w:keepNext w:val="0"/>
                    <w:keepLines w:val="0"/>
                    <w:pageBreakBefore w:val="0"/>
                    <w:widowControl/>
                    <w:kinsoku/>
                    <w:wordWrap/>
                    <w:overflowPunct/>
                    <w:topLinePunct w:val="0"/>
                    <w:autoSpaceDE/>
                    <w:autoSpaceDN/>
                    <w:bidi w:val="0"/>
                    <w:adjustRightInd/>
                    <w:snapToGrid/>
                    <w:jc w:val="center"/>
                    <w:textAlignment w:val="auto"/>
                    <w:rPr>
                      <w:kern w:val="0"/>
                      <w:szCs w:val="21"/>
                      <w:lang w:bidi="ar"/>
                    </w:rPr>
                  </w:pPr>
                  <w:r>
                    <w:rPr>
                      <w:rFonts w:hint="eastAsia" w:ascii="Times New Roman" w:hAnsi="Times New Roman" w:eastAsia="宋体" w:cs="Times New Roman"/>
                      <w:szCs w:val="21"/>
                      <w:lang w:val="en-US" w:eastAsia="zh-CN"/>
                    </w:rPr>
                    <w:t>0.046</w:t>
                  </w:r>
                </w:p>
              </w:tc>
              <w:tc>
                <w:tcPr>
                  <w:tcW w:w="798" w:type="dxa"/>
                  <w:tcBorders>
                    <w:tl2br w:val="nil"/>
                    <w:tr2bl w:val="nil"/>
                  </w:tcBorders>
                  <w:vAlign w:val="center"/>
                </w:tcPr>
                <w:p w14:paraId="68E0CB69">
                  <w:pPr>
                    <w:keepNext w:val="0"/>
                    <w:keepLines w:val="0"/>
                    <w:pageBreakBefore w:val="0"/>
                    <w:widowControl/>
                    <w:kinsoku/>
                    <w:wordWrap/>
                    <w:overflowPunct/>
                    <w:topLinePunct w:val="0"/>
                    <w:autoSpaceDE/>
                    <w:autoSpaceDN/>
                    <w:bidi w:val="0"/>
                    <w:adjustRightInd/>
                    <w:snapToGrid/>
                    <w:jc w:val="center"/>
                    <w:textAlignment w:val="auto"/>
                    <w:rPr>
                      <w:kern w:val="0"/>
                      <w:szCs w:val="21"/>
                      <w:lang w:bidi="ar"/>
                    </w:rPr>
                  </w:pPr>
                  <w:r>
                    <w:rPr>
                      <w:rFonts w:hint="eastAsia" w:ascii="Times New Roman" w:hAnsi="Times New Roman" w:eastAsia="宋体" w:cs="Times New Roman"/>
                      <w:szCs w:val="21"/>
                      <w:lang w:val="en-US" w:eastAsia="zh-CN"/>
                    </w:rPr>
                    <w:t>0.000</w:t>
                  </w:r>
                </w:p>
              </w:tc>
              <w:tc>
                <w:tcPr>
                  <w:tcW w:w="746" w:type="dxa"/>
                  <w:tcBorders>
                    <w:tl2br w:val="nil"/>
                    <w:tr2bl w:val="nil"/>
                  </w:tcBorders>
                  <w:vAlign w:val="center"/>
                </w:tcPr>
                <w:p w14:paraId="33C07287">
                  <w:pPr>
                    <w:keepNext w:val="0"/>
                    <w:keepLines w:val="0"/>
                    <w:pageBreakBefore w:val="0"/>
                    <w:widowControl/>
                    <w:kinsoku/>
                    <w:wordWrap/>
                    <w:overflowPunct/>
                    <w:topLinePunct w:val="0"/>
                    <w:autoSpaceDE/>
                    <w:autoSpaceDN/>
                    <w:bidi w:val="0"/>
                    <w:adjustRightInd/>
                    <w:snapToGrid/>
                    <w:jc w:val="center"/>
                    <w:textAlignment w:val="auto"/>
                    <w:rPr>
                      <w:kern w:val="0"/>
                      <w:szCs w:val="21"/>
                      <w:lang w:bidi="ar"/>
                    </w:rPr>
                  </w:pPr>
                  <w:r>
                    <w:rPr>
                      <w:rFonts w:hint="eastAsia" w:ascii="Times New Roman" w:hAnsi="Times New Roman" w:eastAsia="宋体" w:cs="Times New Roman"/>
                      <w:szCs w:val="21"/>
                      <w:lang w:val="en-US" w:eastAsia="zh-CN"/>
                    </w:rPr>
                    <w:t>0.002</w:t>
                  </w:r>
                </w:p>
              </w:tc>
              <w:tc>
                <w:tcPr>
                  <w:tcW w:w="400" w:type="pct"/>
                  <w:tcBorders>
                    <w:tl2br w:val="nil"/>
                    <w:tr2bl w:val="nil"/>
                  </w:tcBorders>
                  <w:vAlign w:val="center"/>
                </w:tcPr>
                <w:p w14:paraId="46A1C6A1">
                  <w:pPr>
                    <w:jc w:val="center"/>
                  </w:pPr>
                  <w:r>
                    <w:rPr>
                      <w:rFonts w:hint="eastAsia"/>
                    </w:rPr>
                    <w:t>1</w:t>
                  </w:r>
                  <w:r>
                    <w:rPr>
                      <w:rFonts w:hint="eastAsia" w:ascii="宋体" w:hAnsi="宋体"/>
                    </w:rPr>
                    <w:t>次</w:t>
                  </w:r>
                  <w:r>
                    <w:rPr>
                      <w:rFonts w:hint="eastAsia"/>
                    </w:rPr>
                    <w:t>/</w:t>
                  </w:r>
                  <w:r>
                    <w:rPr>
                      <w:rFonts w:hint="eastAsia" w:ascii="宋体" w:hAnsi="宋体"/>
                    </w:rPr>
                    <w:t>年，1h/次</w:t>
                  </w:r>
                </w:p>
              </w:tc>
            </w:tr>
            <w:tr w14:paraId="685AD9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97" w:hRule="atLeast"/>
              </w:trPr>
              <w:tc>
                <w:tcPr>
                  <w:tcW w:w="493" w:type="pct"/>
                  <w:tcBorders>
                    <w:tl2br w:val="nil"/>
                    <w:tr2bl w:val="nil"/>
                  </w:tcBorders>
                  <w:vAlign w:val="center"/>
                </w:tcPr>
                <w:p w14:paraId="44491B32">
                  <w:pPr>
                    <w:adjustRightInd w:val="0"/>
                    <w:snapToGrid w:val="0"/>
                    <w:jc w:val="center"/>
                    <w:rPr>
                      <w:rFonts w:hint="eastAsia" w:eastAsia="宋体"/>
                      <w:szCs w:val="21"/>
                      <w:lang w:val="en-US" w:eastAsia="zh-CN"/>
                    </w:rPr>
                  </w:pPr>
                  <w:r>
                    <w:rPr>
                      <w:rFonts w:hint="eastAsia"/>
                      <w:szCs w:val="21"/>
                    </w:rPr>
                    <w:t>DA00</w:t>
                  </w:r>
                  <w:r>
                    <w:rPr>
                      <w:rFonts w:hint="eastAsia"/>
                      <w:szCs w:val="21"/>
                      <w:lang w:val="en-US" w:eastAsia="zh-CN"/>
                    </w:rPr>
                    <w:t>2</w:t>
                  </w:r>
                </w:p>
              </w:tc>
              <w:tc>
                <w:tcPr>
                  <w:tcW w:w="396" w:type="pct"/>
                  <w:tcBorders>
                    <w:tl2br w:val="nil"/>
                    <w:tr2bl w:val="nil"/>
                  </w:tcBorders>
                  <w:vAlign w:val="center"/>
                </w:tcPr>
                <w:p w14:paraId="57494A49">
                  <w:pPr>
                    <w:jc w:val="center"/>
                    <w:rPr>
                      <w:rFonts w:hint="default" w:eastAsia="宋体"/>
                      <w:szCs w:val="21"/>
                      <w:lang w:val="en-US" w:eastAsia="zh-CN"/>
                    </w:rPr>
                  </w:pPr>
                  <w:r>
                    <w:rPr>
                      <w:rFonts w:hint="eastAsia"/>
                      <w:szCs w:val="21"/>
                      <w:lang w:val="en-US" w:eastAsia="zh-CN"/>
                    </w:rPr>
                    <w:t>喷胶固化</w:t>
                  </w:r>
                </w:p>
              </w:tc>
              <w:tc>
                <w:tcPr>
                  <w:tcW w:w="498" w:type="pct"/>
                  <w:tcBorders>
                    <w:tl2br w:val="nil"/>
                    <w:tr2bl w:val="nil"/>
                  </w:tcBorders>
                  <w:vAlign w:val="center"/>
                </w:tcPr>
                <w:p w14:paraId="48CCEA85">
                  <w:pPr>
                    <w:jc w:val="center"/>
                    <w:rPr>
                      <w:bCs/>
                      <w:szCs w:val="21"/>
                    </w:rPr>
                  </w:pPr>
                  <w:r>
                    <w:rPr>
                      <w:rFonts w:hint="eastAsia"/>
                      <w:szCs w:val="21"/>
                    </w:rPr>
                    <w:t>非甲烷总烃</w:t>
                  </w:r>
                </w:p>
              </w:tc>
              <w:tc>
                <w:tcPr>
                  <w:tcW w:w="685" w:type="pct"/>
                  <w:vMerge w:val="continue"/>
                  <w:tcBorders>
                    <w:tl2br w:val="nil"/>
                    <w:tr2bl w:val="nil"/>
                  </w:tcBorders>
                  <w:vAlign w:val="center"/>
                </w:tcPr>
                <w:p w14:paraId="081CE81E">
                  <w:pPr>
                    <w:jc w:val="center"/>
                  </w:pPr>
                </w:p>
              </w:tc>
              <w:tc>
                <w:tcPr>
                  <w:tcW w:w="664" w:type="dxa"/>
                  <w:tcBorders>
                    <w:tl2br w:val="nil"/>
                    <w:tr2bl w:val="nil"/>
                  </w:tcBorders>
                  <w:vAlign w:val="center"/>
                </w:tcPr>
                <w:p w14:paraId="5D18EEF7">
                  <w:pPr>
                    <w:keepNext w:val="0"/>
                    <w:keepLines w:val="0"/>
                    <w:pageBreakBefore w:val="0"/>
                    <w:widowControl/>
                    <w:kinsoku/>
                    <w:wordWrap/>
                    <w:overflowPunct/>
                    <w:topLinePunct w:val="0"/>
                    <w:autoSpaceDE/>
                    <w:autoSpaceDN/>
                    <w:bidi w:val="0"/>
                    <w:adjustRightInd/>
                    <w:snapToGrid/>
                    <w:jc w:val="center"/>
                    <w:textAlignment w:val="auto"/>
                    <w:rPr>
                      <w:rFonts w:hint="eastAsia"/>
                      <w:szCs w:val="21"/>
                    </w:rPr>
                  </w:pPr>
                  <w:r>
                    <w:rPr>
                      <w:rFonts w:hint="eastAsia" w:ascii="Times New Roman" w:hAnsi="Times New Roman" w:eastAsia="宋体" w:cs="Times New Roman"/>
                      <w:szCs w:val="21"/>
                      <w:lang w:val="en-US" w:eastAsia="zh-CN"/>
                    </w:rPr>
                    <w:t>14.31</w:t>
                  </w:r>
                </w:p>
              </w:tc>
              <w:tc>
                <w:tcPr>
                  <w:tcW w:w="731" w:type="dxa"/>
                  <w:tcBorders>
                    <w:tl2br w:val="nil"/>
                    <w:tr2bl w:val="nil"/>
                  </w:tcBorders>
                  <w:vAlign w:val="center"/>
                </w:tcPr>
                <w:p w14:paraId="3CDDF5D8">
                  <w:pPr>
                    <w:keepNext w:val="0"/>
                    <w:keepLines w:val="0"/>
                    <w:pageBreakBefore w:val="0"/>
                    <w:widowControl/>
                    <w:kinsoku/>
                    <w:wordWrap/>
                    <w:overflowPunct/>
                    <w:topLinePunct w:val="0"/>
                    <w:autoSpaceDE/>
                    <w:autoSpaceDN/>
                    <w:bidi w:val="0"/>
                    <w:adjustRightInd/>
                    <w:snapToGrid/>
                    <w:jc w:val="center"/>
                    <w:textAlignment w:val="auto"/>
                    <w:rPr>
                      <w:rFonts w:hint="eastAsia"/>
                      <w:szCs w:val="21"/>
                    </w:rPr>
                  </w:pPr>
                  <w:r>
                    <w:rPr>
                      <w:rFonts w:hint="eastAsia" w:ascii="Times New Roman" w:hAnsi="Times New Roman" w:eastAsia="宋体" w:cs="Times New Roman"/>
                      <w:szCs w:val="21"/>
                      <w:lang w:val="en-US" w:eastAsia="zh-CN"/>
                    </w:rPr>
                    <w:t>0.143</w:t>
                  </w:r>
                </w:p>
              </w:tc>
              <w:tc>
                <w:tcPr>
                  <w:tcW w:w="746" w:type="dxa"/>
                  <w:tcBorders>
                    <w:tl2br w:val="nil"/>
                    <w:tr2bl w:val="nil"/>
                  </w:tcBorders>
                  <w:vAlign w:val="center"/>
                </w:tcPr>
                <w:p w14:paraId="1D7A11B4">
                  <w:pPr>
                    <w:keepNext w:val="0"/>
                    <w:keepLines w:val="0"/>
                    <w:pageBreakBefore w:val="0"/>
                    <w:widowControl/>
                    <w:kinsoku/>
                    <w:wordWrap/>
                    <w:overflowPunct/>
                    <w:topLinePunct w:val="0"/>
                    <w:autoSpaceDE/>
                    <w:autoSpaceDN/>
                    <w:bidi w:val="0"/>
                    <w:adjustRightInd/>
                    <w:snapToGrid/>
                    <w:jc w:val="center"/>
                    <w:textAlignment w:val="auto"/>
                    <w:rPr>
                      <w:rFonts w:hint="eastAsia"/>
                      <w:szCs w:val="21"/>
                    </w:rPr>
                  </w:pPr>
                  <w:r>
                    <w:rPr>
                      <w:rFonts w:hint="eastAsia" w:ascii="Times New Roman" w:hAnsi="Times New Roman" w:eastAsia="宋体" w:cs="Times New Roman"/>
                      <w:szCs w:val="21"/>
                      <w:lang w:val="en-US" w:eastAsia="zh-CN"/>
                    </w:rPr>
                    <w:t>0.</w:t>
                  </w:r>
                  <w:r>
                    <w:rPr>
                      <w:rFonts w:hint="eastAsia" w:ascii="宋体" w:hAnsi="宋体" w:eastAsia="宋体" w:cs="宋体"/>
                      <w:i w:val="0"/>
                      <w:iCs w:val="0"/>
                      <w:color w:val="000000"/>
                      <w:kern w:val="0"/>
                      <w:sz w:val="22"/>
                      <w:szCs w:val="22"/>
                      <w:u w:val="none"/>
                      <w:lang w:val="en-US" w:eastAsia="zh-CN" w:bidi="ar"/>
                    </w:rPr>
                    <w:t>68</w:t>
                  </w:r>
                  <w:r>
                    <w:rPr>
                      <w:rFonts w:hint="eastAsia" w:ascii="Times New Roman" w:hAnsi="Times New Roman" w:eastAsia="宋体" w:cs="Times New Roman"/>
                      <w:szCs w:val="21"/>
                      <w:lang w:val="en-US" w:eastAsia="zh-CN"/>
                    </w:rPr>
                    <w:t>7</w:t>
                  </w:r>
                </w:p>
              </w:tc>
              <w:tc>
                <w:tcPr>
                  <w:tcW w:w="635" w:type="dxa"/>
                  <w:tcBorders>
                    <w:tl2br w:val="nil"/>
                    <w:tr2bl w:val="nil"/>
                  </w:tcBorders>
                  <w:vAlign w:val="center"/>
                </w:tcPr>
                <w:p w14:paraId="224F1E2C">
                  <w:pPr>
                    <w:keepNext w:val="0"/>
                    <w:keepLines w:val="0"/>
                    <w:pageBreakBefore w:val="0"/>
                    <w:widowControl/>
                    <w:kinsoku/>
                    <w:wordWrap/>
                    <w:overflowPunct/>
                    <w:topLinePunct w:val="0"/>
                    <w:autoSpaceDE/>
                    <w:autoSpaceDN/>
                    <w:bidi w:val="0"/>
                    <w:adjustRightInd/>
                    <w:snapToGrid/>
                    <w:jc w:val="center"/>
                    <w:textAlignment w:val="auto"/>
                    <w:rPr>
                      <w:rFonts w:hint="eastAsia"/>
                      <w:kern w:val="0"/>
                      <w:szCs w:val="21"/>
                      <w:lang w:bidi="ar"/>
                    </w:rPr>
                  </w:pPr>
                  <w:r>
                    <w:rPr>
                      <w:rFonts w:hint="eastAsia" w:ascii="Times New Roman" w:hAnsi="Times New Roman" w:eastAsia="宋体" w:cs="Times New Roman"/>
                      <w:szCs w:val="21"/>
                      <w:lang w:val="en-US" w:eastAsia="zh-CN"/>
                    </w:rPr>
                    <w:t>1.38</w:t>
                  </w:r>
                </w:p>
              </w:tc>
              <w:tc>
                <w:tcPr>
                  <w:tcW w:w="798" w:type="dxa"/>
                  <w:tcBorders>
                    <w:tl2br w:val="nil"/>
                    <w:tr2bl w:val="nil"/>
                  </w:tcBorders>
                  <w:vAlign w:val="center"/>
                </w:tcPr>
                <w:p w14:paraId="3447B2B1">
                  <w:pPr>
                    <w:keepNext w:val="0"/>
                    <w:keepLines w:val="0"/>
                    <w:pageBreakBefore w:val="0"/>
                    <w:widowControl/>
                    <w:kinsoku/>
                    <w:wordWrap/>
                    <w:overflowPunct/>
                    <w:topLinePunct w:val="0"/>
                    <w:autoSpaceDE/>
                    <w:autoSpaceDN/>
                    <w:bidi w:val="0"/>
                    <w:adjustRightInd/>
                    <w:snapToGrid/>
                    <w:jc w:val="center"/>
                    <w:textAlignment w:val="auto"/>
                    <w:rPr>
                      <w:rFonts w:hint="eastAsia"/>
                      <w:kern w:val="0"/>
                      <w:szCs w:val="21"/>
                      <w:lang w:bidi="ar"/>
                    </w:rPr>
                  </w:pPr>
                  <w:r>
                    <w:rPr>
                      <w:rFonts w:hint="eastAsia" w:ascii="Times New Roman" w:hAnsi="Times New Roman" w:eastAsia="宋体" w:cs="Times New Roman"/>
                      <w:szCs w:val="21"/>
                      <w:lang w:val="en-US" w:eastAsia="zh-CN"/>
                    </w:rPr>
                    <w:t>0.0138</w:t>
                  </w:r>
                </w:p>
              </w:tc>
              <w:tc>
                <w:tcPr>
                  <w:tcW w:w="746" w:type="dxa"/>
                  <w:tcBorders>
                    <w:tl2br w:val="nil"/>
                    <w:tr2bl w:val="nil"/>
                  </w:tcBorders>
                  <w:vAlign w:val="center"/>
                </w:tcPr>
                <w:p w14:paraId="66DE7E78">
                  <w:pPr>
                    <w:keepNext w:val="0"/>
                    <w:keepLines w:val="0"/>
                    <w:pageBreakBefore w:val="0"/>
                    <w:widowControl/>
                    <w:kinsoku/>
                    <w:wordWrap/>
                    <w:overflowPunct/>
                    <w:topLinePunct w:val="0"/>
                    <w:autoSpaceDE/>
                    <w:autoSpaceDN/>
                    <w:bidi w:val="0"/>
                    <w:adjustRightInd/>
                    <w:snapToGrid/>
                    <w:jc w:val="center"/>
                    <w:textAlignment w:val="auto"/>
                    <w:rPr>
                      <w:rFonts w:hint="eastAsia"/>
                      <w:kern w:val="0"/>
                      <w:szCs w:val="21"/>
                      <w:lang w:bidi="ar"/>
                    </w:rPr>
                  </w:pPr>
                  <w:r>
                    <w:rPr>
                      <w:rFonts w:hint="eastAsia" w:ascii="Times New Roman" w:hAnsi="Times New Roman" w:eastAsia="宋体" w:cs="Times New Roman"/>
                      <w:szCs w:val="21"/>
                      <w:lang w:val="en-US" w:eastAsia="zh-CN"/>
                    </w:rPr>
                    <w:t>0.254</w:t>
                  </w:r>
                </w:p>
              </w:tc>
              <w:tc>
                <w:tcPr>
                  <w:tcW w:w="400" w:type="pct"/>
                  <w:tcBorders>
                    <w:tl2br w:val="nil"/>
                    <w:tr2bl w:val="nil"/>
                  </w:tcBorders>
                  <w:vAlign w:val="center"/>
                </w:tcPr>
                <w:p w14:paraId="50F0F226">
                  <w:pPr>
                    <w:jc w:val="center"/>
                    <w:rPr>
                      <w:rFonts w:hint="eastAsia"/>
                    </w:rPr>
                  </w:pPr>
                  <w:r>
                    <w:rPr>
                      <w:rFonts w:hint="eastAsia"/>
                    </w:rPr>
                    <w:t>1</w:t>
                  </w:r>
                  <w:r>
                    <w:rPr>
                      <w:rFonts w:hint="eastAsia" w:ascii="宋体" w:hAnsi="宋体"/>
                    </w:rPr>
                    <w:t>次</w:t>
                  </w:r>
                  <w:r>
                    <w:rPr>
                      <w:rFonts w:hint="eastAsia"/>
                    </w:rPr>
                    <w:t>/</w:t>
                  </w:r>
                  <w:r>
                    <w:rPr>
                      <w:rFonts w:hint="eastAsia" w:ascii="宋体" w:hAnsi="宋体"/>
                    </w:rPr>
                    <w:t>年，1h/次</w:t>
                  </w:r>
                </w:p>
              </w:tc>
            </w:tr>
          </w:tbl>
          <w:p w14:paraId="7F46A8BC">
            <w:pPr>
              <w:pStyle w:val="9"/>
              <w:spacing w:line="360" w:lineRule="auto"/>
              <w:ind w:firstLine="480"/>
              <w:rPr>
                <w:sz w:val="24"/>
                <w:lang w:bidi="ar"/>
              </w:rPr>
            </w:pPr>
            <w:r>
              <w:rPr>
                <w:rFonts w:hint="eastAsia"/>
                <w:sz w:val="24"/>
                <w:lang w:bidi="ar"/>
              </w:rPr>
              <w:t>建设单位应加强环保设备的运行管理，严格控制废气非正常排放，并采取以下措施：</w:t>
            </w:r>
          </w:p>
          <w:p w14:paraId="0A8095AA">
            <w:pPr>
              <w:pStyle w:val="9"/>
              <w:spacing w:line="360" w:lineRule="auto"/>
              <w:ind w:firstLine="480"/>
              <w:rPr>
                <w:sz w:val="24"/>
                <w:lang w:bidi="ar"/>
              </w:rPr>
            </w:pPr>
            <w:r>
              <w:rPr>
                <w:rFonts w:hint="eastAsia"/>
                <w:sz w:val="24"/>
                <w:lang w:bidi="ar"/>
              </w:rPr>
              <w:t>①制定环保设备例行检查制度，加强定期维护保养，发现风机故障、损坏或排风管道破损时，应立即对设备或管道进行维修。</w:t>
            </w:r>
          </w:p>
          <w:p w14:paraId="7C45DE56">
            <w:pPr>
              <w:pStyle w:val="9"/>
              <w:spacing w:line="360" w:lineRule="auto"/>
              <w:ind w:firstLine="480"/>
              <w:rPr>
                <w:sz w:val="24"/>
                <w:lang w:bidi="ar"/>
              </w:rPr>
            </w:pPr>
            <w:r>
              <w:rPr>
                <w:rFonts w:hint="eastAsia"/>
                <w:sz w:val="24"/>
                <w:lang w:bidi="ar"/>
              </w:rPr>
              <w:t>②定期检修废气治理设施，确保净化效率符合要求。</w:t>
            </w:r>
          </w:p>
          <w:p w14:paraId="67AE237A">
            <w:pPr>
              <w:pStyle w:val="9"/>
              <w:spacing w:line="360" w:lineRule="auto"/>
              <w:ind w:firstLine="480"/>
              <w:rPr>
                <w:sz w:val="24"/>
                <w:lang w:bidi="ar"/>
              </w:rPr>
            </w:pPr>
            <w:r>
              <w:rPr>
                <w:rFonts w:hint="eastAsia"/>
                <w:sz w:val="24"/>
                <w:lang w:bidi="ar"/>
              </w:rPr>
              <w:t>③设环保管理专员，对环保管理人员及技术人员进行岗位培训，委托具有专业资质的环境检测单位对项目排放的各类废气污染物进行定期监测。</w:t>
            </w:r>
          </w:p>
          <w:p w14:paraId="2DAF504E">
            <w:pPr>
              <w:pStyle w:val="9"/>
              <w:spacing w:line="360" w:lineRule="auto"/>
              <w:ind w:firstLine="482"/>
              <w:rPr>
                <w:sz w:val="24"/>
              </w:rPr>
            </w:pPr>
            <w:r>
              <w:rPr>
                <w:rFonts w:hint="eastAsia"/>
                <w:b/>
                <w:bCs/>
                <w:sz w:val="24"/>
                <w:lang w:bidi="ar"/>
              </w:rPr>
              <w:t>3、</w:t>
            </w:r>
            <w:r>
              <w:rPr>
                <w:b/>
                <w:bCs/>
                <w:sz w:val="24"/>
              </w:rPr>
              <w:t>废气污染防治措施可行性分析</w:t>
            </w:r>
          </w:p>
          <w:p w14:paraId="61A3E274">
            <w:pPr>
              <w:adjustRightInd w:val="0"/>
              <w:spacing w:line="360" w:lineRule="auto"/>
              <w:ind w:firstLine="480" w:firstLineChars="200"/>
              <w:rPr>
                <w:color w:val="000000" w:themeColor="text1"/>
                <w:kern w:val="0"/>
                <w:sz w:val="24"/>
                <w14:textFill>
                  <w14:solidFill>
                    <w14:schemeClr w14:val="tx1"/>
                  </w14:solidFill>
                </w14:textFill>
              </w:rPr>
            </w:pPr>
            <w:r>
              <w:rPr>
                <w:rFonts w:hint="eastAsia"/>
                <w:sz w:val="24"/>
              </w:rPr>
              <w:t>参考</w:t>
            </w:r>
            <w:r>
              <w:rPr>
                <w:rFonts w:hint="eastAsia"/>
                <w:color w:val="000000" w:themeColor="text1"/>
                <w:kern w:val="0"/>
                <w:sz w:val="24"/>
                <w14:textFill>
                  <w14:solidFill>
                    <w14:schemeClr w14:val="tx1"/>
                  </w14:solidFill>
                </w14:textFill>
              </w:rPr>
              <w:t>《</w:t>
            </w:r>
            <w:bookmarkStart w:id="6" w:name="_Hlk133243207"/>
            <w:r>
              <w:rPr>
                <w:rFonts w:hint="eastAsia"/>
                <w:color w:val="000000" w:themeColor="text1"/>
                <w:kern w:val="0"/>
                <w:sz w:val="24"/>
                <w14:textFill>
                  <w14:solidFill>
                    <w14:schemeClr w14:val="tx1"/>
                  </w14:solidFill>
                </w14:textFill>
              </w:rPr>
              <w:t>排污许可证申请与核发技术规范 橡胶和塑料制品工业》（HJ1122-2-2020</w:t>
            </w:r>
            <w:bookmarkEnd w:id="6"/>
            <w:r>
              <w:rPr>
                <w:rFonts w:hint="eastAsia"/>
                <w:color w:val="000000" w:themeColor="text1"/>
                <w:kern w:val="0"/>
                <w:sz w:val="24"/>
                <w14:textFill>
                  <w14:solidFill>
                    <w14:schemeClr w14:val="tx1"/>
                  </w14:solidFill>
                </w14:textFill>
              </w:rPr>
              <w:t>）中建议采取的末端治理措施见下表。</w:t>
            </w:r>
          </w:p>
          <w:p w14:paraId="7A906AAA">
            <w:pPr>
              <w:tabs>
                <w:tab w:val="left" w:pos="3980"/>
              </w:tabs>
              <w:spacing w:line="360" w:lineRule="auto"/>
              <w:jc w:val="center"/>
              <w:rPr>
                <w:rFonts w:cs="宋体"/>
                <w:b/>
                <w:color w:val="000000" w:themeColor="text1"/>
                <w:kern w:val="0"/>
                <w:sz w:val="24"/>
                <w:lang w:val="zh-CN"/>
                <w14:textFill>
                  <w14:solidFill>
                    <w14:schemeClr w14:val="tx1"/>
                  </w14:solidFill>
                </w14:textFill>
              </w:rPr>
            </w:pPr>
            <w:r>
              <w:rPr>
                <w:rFonts w:hint="eastAsia" w:cs="宋体"/>
                <w:b/>
                <w:color w:val="000000" w:themeColor="text1"/>
                <w:kern w:val="0"/>
                <w:sz w:val="24"/>
                <w:lang w:val="zh-CN"/>
                <w14:textFill>
                  <w14:solidFill>
                    <w14:schemeClr w14:val="tx1"/>
                  </w14:solidFill>
                </w14:textFill>
              </w:rPr>
              <w:t>表4-</w:t>
            </w:r>
            <w:r>
              <w:rPr>
                <w:rFonts w:hint="eastAsia" w:cs="宋体"/>
                <w:b/>
                <w:color w:val="000000" w:themeColor="text1"/>
                <w:kern w:val="0"/>
                <w:sz w:val="24"/>
                <w14:textFill>
                  <w14:solidFill>
                    <w14:schemeClr w14:val="tx1"/>
                  </w14:solidFill>
                </w14:textFill>
              </w:rPr>
              <w:t>7</w:t>
            </w:r>
            <w:r>
              <w:rPr>
                <w:rFonts w:hint="eastAsia" w:cs="宋体"/>
                <w:b/>
                <w:color w:val="000000" w:themeColor="text1"/>
                <w:kern w:val="0"/>
                <w:sz w:val="24"/>
                <w:lang w:val="zh-CN"/>
                <w14:textFill>
                  <w14:solidFill>
                    <w14:schemeClr w14:val="tx1"/>
                  </w14:solidFill>
                </w14:textFill>
              </w:rPr>
              <w:t xml:space="preserve"> 废气治理可行性分析一览表</w:t>
            </w:r>
          </w:p>
          <w:tbl>
            <w:tblPr>
              <w:tblStyle w:val="29"/>
              <w:tblW w:w="8523" w:type="dxa"/>
              <w:jc w:val="center"/>
              <w:tblLayout w:type="autofit"/>
              <w:tblCellMar>
                <w:top w:w="0" w:type="dxa"/>
                <w:left w:w="108" w:type="dxa"/>
                <w:bottom w:w="0" w:type="dxa"/>
                <w:right w:w="108" w:type="dxa"/>
              </w:tblCellMar>
            </w:tblPr>
            <w:tblGrid>
              <w:gridCol w:w="2453"/>
              <w:gridCol w:w="1599"/>
              <w:gridCol w:w="1410"/>
              <w:gridCol w:w="3061"/>
            </w:tblGrid>
            <w:tr w14:paraId="1B1C9B35">
              <w:tblPrEx>
                <w:tblCellMar>
                  <w:top w:w="0" w:type="dxa"/>
                  <w:left w:w="108" w:type="dxa"/>
                  <w:bottom w:w="0" w:type="dxa"/>
                  <w:right w:w="108" w:type="dxa"/>
                </w:tblCellMar>
              </w:tblPrEx>
              <w:trPr>
                <w:trHeight w:val="369" w:hRule="atLeast"/>
                <w:jc w:val="center"/>
              </w:trPr>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F03F">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产排污环节</w:t>
                  </w:r>
                </w:p>
              </w:tc>
              <w:tc>
                <w:tcPr>
                  <w:tcW w:w="1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388A6">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污染物种类</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3CAF">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过程控制技术</w:t>
                  </w:r>
                </w:p>
              </w:tc>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DCC4">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可行技术</w:t>
                  </w:r>
                </w:p>
              </w:tc>
            </w:tr>
            <w:tr w14:paraId="49452F52">
              <w:tblPrEx>
                <w:tblCellMar>
                  <w:top w:w="0" w:type="dxa"/>
                  <w:left w:w="108" w:type="dxa"/>
                  <w:bottom w:w="0" w:type="dxa"/>
                  <w:right w:w="108" w:type="dxa"/>
                </w:tblCellMar>
              </w:tblPrEx>
              <w:trPr>
                <w:trHeight w:val="369" w:hRule="atLeast"/>
                <w:jc w:val="center"/>
              </w:trPr>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BFBFD">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塑料薄膜制造,塑料板、管、型材制造,塑料丝、绳及编制品制造,泡沫塑料制造,塑料包装箱及容器制造,日用塑料制品制造,人造草坪制造,塑料零件及其他塑料制品制造废气</w:t>
                  </w:r>
                </w:p>
              </w:tc>
              <w:tc>
                <w:tcPr>
                  <w:tcW w:w="1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6B2AA">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非甲烷总烃</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79FE">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溶剂替代密闭过程密闭场所局部收集</w:t>
                  </w:r>
                </w:p>
              </w:tc>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0E0B">
                  <w:pPr>
                    <w:widowControl/>
                    <w:spacing w:line="240" w:lineRule="atLeast"/>
                    <w:jc w:val="center"/>
                    <w:textAlignment w:val="center"/>
                    <w:rPr>
                      <w:rFonts w:ascii="宋体" w:hAnsi="宋体" w:cs="宋体"/>
                      <w:color w:val="000000"/>
                      <w:szCs w:val="21"/>
                    </w:rPr>
                  </w:pPr>
                  <w:r>
                    <w:rPr>
                      <w:rFonts w:ascii="宋体" w:hAnsi="宋体" w:cs="宋体"/>
                      <w:color w:val="000000"/>
                      <w:kern w:val="0"/>
                      <w:szCs w:val="21"/>
                      <w:lang w:bidi="ar"/>
                    </w:rPr>
                    <w:t>喷淋</w:t>
                  </w:r>
                  <w:r>
                    <w:rPr>
                      <w:rFonts w:hint="eastAsia" w:ascii="宋体" w:hAnsi="宋体" w:cs="宋体"/>
                      <w:color w:val="000000"/>
                      <w:kern w:val="0"/>
                      <w:szCs w:val="21"/>
                      <w:lang w:bidi="ar"/>
                    </w:rPr>
                    <w:t>；</w:t>
                  </w:r>
                  <w:r>
                    <w:rPr>
                      <w:rFonts w:ascii="宋体" w:hAnsi="宋体" w:cs="宋体"/>
                      <w:color w:val="000000"/>
                      <w:kern w:val="0"/>
                      <w:szCs w:val="21"/>
                      <w:lang w:bidi="ar"/>
                    </w:rPr>
                    <w:t>吸附</w:t>
                  </w:r>
                  <w:r>
                    <w:rPr>
                      <w:rFonts w:hint="eastAsia" w:ascii="宋体" w:hAnsi="宋体" w:cs="宋体"/>
                      <w:color w:val="000000"/>
                      <w:kern w:val="0"/>
                      <w:szCs w:val="21"/>
                      <w:lang w:bidi="ar"/>
                    </w:rPr>
                    <w:t>；</w:t>
                  </w:r>
                  <w:r>
                    <w:rPr>
                      <w:rFonts w:ascii="宋体" w:hAnsi="宋体" w:cs="宋体"/>
                      <w:color w:val="000000"/>
                      <w:kern w:val="0"/>
                      <w:szCs w:val="21"/>
                      <w:lang w:bidi="ar"/>
                    </w:rPr>
                    <w:t>吸附浓缩+热力燃烧/催化燃烧</w:t>
                  </w:r>
                </w:p>
              </w:tc>
            </w:tr>
          </w:tbl>
          <w:p w14:paraId="35348BAC">
            <w:pPr>
              <w:pStyle w:val="36"/>
              <w:numPr>
                <w:ilvl w:val="1"/>
                <w:numId w:val="0"/>
              </w:numPr>
              <w:spacing w:line="360" w:lineRule="auto"/>
              <w:ind w:firstLine="480" w:firstLineChars="200"/>
              <w:jc w:val="both"/>
            </w:pPr>
            <w:r>
              <w:rPr>
                <w:rFonts w:hint="eastAsia"/>
              </w:rPr>
              <w:t>项目</w:t>
            </w:r>
            <w:r>
              <w:rPr>
                <w:rFonts w:hint="eastAsia"/>
                <w:lang w:eastAsia="zh-CN"/>
              </w:rPr>
              <w:t>吸塑</w:t>
            </w:r>
            <w:r>
              <w:rPr>
                <w:rFonts w:hint="eastAsia"/>
              </w:rPr>
              <w:t>成型的有机废气采用“二级活性炭吸附装”处理。</w:t>
            </w:r>
          </w:p>
          <w:p w14:paraId="31F551F2">
            <w:pPr>
              <w:pStyle w:val="36"/>
              <w:numPr>
                <w:ilvl w:val="1"/>
                <w:numId w:val="0"/>
              </w:numPr>
              <w:spacing w:line="360" w:lineRule="auto"/>
              <w:ind w:firstLine="480" w:firstLineChars="200"/>
              <w:jc w:val="both"/>
            </w:pPr>
            <w:r>
              <w:rPr>
                <w:rFonts w:hint="eastAsia"/>
              </w:rPr>
              <w:t>有机废气净化的方法有直接燃烧法、催化燃烧法、活性炭吸附法、吸收法、冷凝法等。各种方法的主要优缺点见下表。</w:t>
            </w:r>
          </w:p>
          <w:p w14:paraId="7AE9A6E9">
            <w:pPr>
              <w:pStyle w:val="38"/>
              <w:ind w:firstLine="482"/>
              <w:jc w:val="center"/>
              <w:rPr>
                <w:rFonts w:ascii="Times New Roman" w:hAnsi="Times New Roman" w:cs="宋体"/>
                <w:b/>
                <w:snapToGrid/>
                <w:color w:val="000000" w:themeColor="text1"/>
                <w:lang w:val="zh-CN"/>
                <w14:textFill>
                  <w14:solidFill>
                    <w14:schemeClr w14:val="tx1"/>
                  </w14:solidFill>
                </w14:textFill>
              </w:rPr>
            </w:pPr>
            <w:r>
              <w:rPr>
                <w:rFonts w:hint="eastAsia" w:ascii="Times New Roman" w:hAnsi="Times New Roman" w:cs="宋体"/>
                <w:b/>
                <w:snapToGrid/>
                <w:color w:val="000000" w:themeColor="text1"/>
                <w:lang w:val="zh-CN"/>
                <w14:textFill>
                  <w14:solidFill>
                    <w14:schemeClr w14:val="tx1"/>
                  </w14:solidFill>
                </w14:textFill>
              </w:rPr>
              <w:t>表4-</w:t>
            </w:r>
            <w:r>
              <w:rPr>
                <w:rFonts w:hint="eastAsia" w:ascii="Times New Roman" w:hAnsi="Times New Roman" w:cs="宋体"/>
                <w:b/>
                <w:snapToGrid/>
                <w:color w:val="000000" w:themeColor="text1"/>
                <w14:textFill>
                  <w14:solidFill>
                    <w14:schemeClr w14:val="tx1"/>
                  </w14:solidFill>
                </w14:textFill>
              </w:rPr>
              <w:t>8</w:t>
            </w:r>
            <w:r>
              <w:rPr>
                <w:rFonts w:hint="eastAsia" w:ascii="Times New Roman" w:hAnsi="Times New Roman" w:cs="宋体"/>
                <w:b/>
                <w:snapToGrid/>
                <w:color w:val="000000" w:themeColor="text1"/>
                <w:lang w:val="zh-CN"/>
                <w14:textFill>
                  <w14:solidFill>
                    <w14:schemeClr w14:val="tx1"/>
                  </w14:solidFill>
                </w14:textFill>
              </w:rPr>
              <w:t xml:space="preserve">  有机废气主要净化方法比较</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1909"/>
              <w:gridCol w:w="2230"/>
              <w:gridCol w:w="2176"/>
              <w:gridCol w:w="1226"/>
            </w:tblGrid>
            <w:tr w14:paraId="3DB4E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blHeader/>
                <w:jc w:val="center"/>
              </w:trPr>
              <w:tc>
                <w:tcPr>
                  <w:tcW w:w="956" w:type="dxa"/>
                  <w:tcBorders>
                    <w:top w:val="single" w:color="auto" w:sz="4" w:space="0"/>
                    <w:left w:val="single" w:color="auto" w:sz="4" w:space="0"/>
                    <w:bottom w:val="single" w:color="auto" w:sz="4" w:space="0"/>
                    <w:right w:val="single" w:color="auto" w:sz="4" w:space="0"/>
                  </w:tcBorders>
                  <w:vAlign w:val="center"/>
                </w:tcPr>
                <w:p w14:paraId="7D437949">
                  <w:pPr>
                    <w:pStyle w:val="68"/>
                    <w:spacing w:line="240" w:lineRule="atLeast"/>
                    <w:rPr>
                      <w:rFonts w:eastAsia="宋体"/>
                      <w:b/>
                      <w:color w:val="000000"/>
                      <w:sz w:val="21"/>
                      <w:szCs w:val="21"/>
                    </w:rPr>
                  </w:pPr>
                  <w:r>
                    <w:rPr>
                      <w:rFonts w:eastAsia="宋体"/>
                      <w:b/>
                      <w:color w:val="000000"/>
                      <w:sz w:val="21"/>
                      <w:szCs w:val="21"/>
                    </w:rPr>
                    <w:t>方法</w:t>
                  </w:r>
                </w:p>
              </w:tc>
              <w:tc>
                <w:tcPr>
                  <w:tcW w:w="1980" w:type="dxa"/>
                  <w:tcBorders>
                    <w:top w:val="single" w:color="auto" w:sz="4" w:space="0"/>
                    <w:left w:val="single" w:color="auto" w:sz="4" w:space="0"/>
                    <w:bottom w:val="single" w:color="auto" w:sz="4" w:space="0"/>
                    <w:right w:val="single" w:color="auto" w:sz="4" w:space="0"/>
                  </w:tcBorders>
                  <w:vAlign w:val="center"/>
                </w:tcPr>
                <w:p w14:paraId="3BD6F586">
                  <w:pPr>
                    <w:pStyle w:val="68"/>
                    <w:spacing w:line="240" w:lineRule="atLeast"/>
                    <w:rPr>
                      <w:rFonts w:eastAsia="宋体"/>
                      <w:b/>
                      <w:color w:val="000000"/>
                      <w:sz w:val="21"/>
                      <w:szCs w:val="21"/>
                    </w:rPr>
                  </w:pPr>
                  <w:r>
                    <w:rPr>
                      <w:rFonts w:eastAsia="宋体"/>
                      <w:b/>
                      <w:color w:val="000000"/>
                      <w:sz w:val="21"/>
                      <w:szCs w:val="21"/>
                    </w:rPr>
                    <w:t>原理</w:t>
                  </w:r>
                </w:p>
              </w:tc>
              <w:tc>
                <w:tcPr>
                  <w:tcW w:w="2316" w:type="dxa"/>
                  <w:tcBorders>
                    <w:top w:val="single" w:color="auto" w:sz="4" w:space="0"/>
                    <w:left w:val="single" w:color="auto" w:sz="4" w:space="0"/>
                    <w:bottom w:val="single" w:color="auto" w:sz="4" w:space="0"/>
                    <w:right w:val="single" w:color="auto" w:sz="4" w:space="0"/>
                  </w:tcBorders>
                  <w:vAlign w:val="center"/>
                </w:tcPr>
                <w:p w14:paraId="0522AE3D">
                  <w:pPr>
                    <w:pStyle w:val="68"/>
                    <w:spacing w:line="240" w:lineRule="atLeast"/>
                    <w:rPr>
                      <w:rFonts w:eastAsia="宋体"/>
                      <w:b/>
                      <w:color w:val="000000"/>
                      <w:sz w:val="21"/>
                      <w:szCs w:val="21"/>
                    </w:rPr>
                  </w:pPr>
                  <w:r>
                    <w:rPr>
                      <w:rFonts w:eastAsia="宋体"/>
                      <w:b/>
                      <w:color w:val="000000"/>
                      <w:sz w:val="21"/>
                      <w:szCs w:val="21"/>
                    </w:rPr>
                    <w:t>优点</w:t>
                  </w:r>
                </w:p>
              </w:tc>
              <w:tc>
                <w:tcPr>
                  <w:tcW w:w="2265" w:type="dxa"/>
                  <w:tcBorders>
                    <w:top w:val="single" w:color="auto" w:sz="4" w:space="0"/>
                    <w:left w:val="single" w:color="auto" w:sz="4" w:space="0"/>
                    <w:bottom w:val="single" w:color="auto" w:sz="4" w:space="0"/>
                    <w:right w:val="single" w:color="auto" w:sz="4" w:space="0"/>
                  </w:tcBorders>
                  <w:vAlign w:val="center"/>
                </w:tcPr>
                <w:p w14:paraId="55F87AA9">
                  <w:pPr>
                    <w:pStyle w:val="68"/>
                    <w:spacing w:line="240" w:lineRule="atLeast"/>
                    <w:rPr>
                      <w:rFonts w:eastAsia="宋体"/>
                      <w:b/>
                      <w:color w:val="000000"/>
                      <w:sz w:val="21"/>
                      <w:szCs w:val="21"/>
                    </w:rPr>
                  </w:pPr>
                  <w:r>
                    <w:rPr>
                      <w:rFonts w:eastAsia="宋体"/>
                      <w:b/>
                      <w:color w:val="000000"/>
                      <w:sz w:val="21"/>
                      <w:szCs w:val="21"/>
                    </w:rPr>
                    <w:t>缺点</w:t>
                  </w:r>
                </w:p>
              </w:tc>
              <w:tc>
                <w:tcPr>
                  <w:tcW w:w="1260" w:type="dxa"/>
                  <w:tcBorders>
                    <w:top w:val="single" w:color="auto" w:sz="4" w:space="0"/>
                    <w:left w:val="single" w:color="auto" w:sz="4" w:space="0"/>
                    <w:bottom w:val="single" w:color="auto" w:sz="4" w:space="0"/>
                    <w:right w:val="single" w:color="auto" w:sz="4" w:space="0"/>
                  </w:tcBorders>
                  <w:vAlign w:val="center"/>
                </w:tcPr>
                <w:p w14:paraId="1E3454F2">
                  <w:pPr>
                    <w:pStyle w:val="68"/>
                    <w:spacing w:line="240" w:lineRule="atLeast"/>
                    <w:rPr>
                      <w:rFonts w:eastAsia="宋体"/>
                      <w:b/>
                      <w:color w:val="000000"/>
                      <w:sz w:val="21"/>
                      <w:szCs w:val="21"/>
                    </w:rPr>
                  </w:pPr>
                  <w:r>
                    <w:rPr>
                      <w:rFonts w:eastAsia="宋体"/>
                      <w:b/>
                      <w:color w:val="000000"/>
                      <w:sz w:val="21"/>
                      <w:szCs w:val="21"/>
                    </w:rPr>
                    <w:t>适用范围</w:t>
                  </w:r>
                </w:p>
              </w:tc>
            </w:tr>
            <w:tr w14:paraId="7B6F7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14:paraId="3C5EFE97">
                  <w:pPr>
                    <w:pStyle w:val="68"/>
                    <w:spacing w:line="240" w:lineRule="atLeast"/>
                    <w:rPr>
                      <w:rFonts w:eastAsia="宋体"/>
                      <w:color w:val="000000"/>
                      <w:sz w:val="21"/>
                      <w:szCs w:val="21"/>
                    </w:rPr>
                  </w:pPr>
                  <w:r>
                    <w:rPr>
                      <w:rFonts w:eastAsia="宋体"/>
                      <w:color w:val="000000"/>
                      <w:sz w:val="21"/>
                      <w:szCs w:val="21"/>
                    </w:rPr>
                    <w:t>吸附法</w:t>
                  </w:r>
                </w:p>
              </w:tc>
              <w:tc>
                <w:tcPr>
                  <w:tcW w:w="1980" w:type="dxa"/>
                  <w:tcBorders>
                    <w:top w:val="single" w:color="auto" w:sz="4" w:space="0"/>
                    <w:left w:val="single" w:color="auto" w:sz="4" w:space="0"/>
                    <w:bottom w:val="single" w:color="auto" w:sz="4" w:space="0"/>
                    <w:right w:val="single" w:color="auto" w:sz="4" w:space="0"/>
                  </w:tcBorders>
                  <w:vAlign w:val="center"/>
                </w:tcPr>
                <w:p w14:paraId="5AF059D1">
                  <w:pPr>
                    <w:pStyle w:val="68"/>
                    <w:spacing w:line="240" w:lineRule="atLeast"/>
                    <w:rPr>
                      <w:rFonts w:eastAsia="宋体"/>
                      <w:color w:val="000000"/>
                      <w:sz w:val="21"/>
                      <w:szCs w:val="21"/>
                    </w:rPr>
                  </w:pPr>
                  <w:r>
                    <w:rPr>
                      <w:rFonts w:eastAsia="宋体"/>
                      <w:color w:val="000000"/>
                      <w:sz w:val="21"/>
                      <w:szCs w:val="21"/>
                    </w:rPr>
                    <w:t>废气的分子扩散到固体吸附剂表面，有害成分被吸附而达到净化</w:t>
                  </w:r>
                </w:p>
              </w:tc>
              <w:tc>
                <w:tcPr>
                  <w:tcW w:w="2316" w:type="dxa"/>
                  <w:tcBorders>
                    <w:top w:val="single" w:color="auto" w:sz="4" w:space="0"/>
                    <w:left w:val="single" w:color="auto" w:sz="4" w:space="0"/>
                    <w:bottom w:val="single" w:color="auto" w:sz="4" w:space="0"/>
                    <w:right w:val="single" w:color="auto" w:sz="4" w:space="0"/>
                  </w:tcBorders>
                  <w:vAlign w:val="center"/>
                </w:tcPr>
                <w:p w14:paraId="54696983">
                  <w:pPr>
                    <w:pStyle w:val="68"/>
                    <w:spacing w:line="240" w:lineRule="atLeast"/>
                    <w:rPr>
                      <w:rFonts w:eastAsia="宋体"/>
                      <w:color w:val="000000"/>
                      <w:sz w:val="21"/>
                      <w:szCs w:val="21"/>
                    </w:rPr>
                  </w:pPr>
                  <w:r>
                    <w:rPr>
                      <w:rFonts w:eastAsia="宋体"/>
                      <w:color w:val="000000"/>
                      <w:sz w:val="21"/>
                      <w:szCs w:val="21"/>
                    </w:rPr>
                    <w:t>可处理含有低浓度的碳氢化合物和低温废气；溶剂可回收，进行有效利用；处理程度可以控制</w:t>
                  </w:r>
                </w:p>
              </w:tc>
              <w:tc>
                <w:tcPr>
                  <w:tcW w:w="2265" w:type="dxa"/>
                  <w:tcBorders>
                    <w:top w:val="single" w:color="auto" w:sz="4" w:space="0"/>
                    <w:left w:val="single" w:color="auto" w:sz="4" w:space="0"/>
                    <w:bottom w:val="single" w:color="auto" w:sz="4" w:space="0"/>
                    <w:right w:val="single" w:color="auto" w:sz="4" w:space="0"/>
                  </w:tcBorders>
                  <w:vAlign w:val="center"/>
                </w:tcPr>
                <w:p w14:paraId="1096157F">
                  <w:pPr>
                    <w:pStyle w:val="68"/>
                    <w:spacing w:line="240" w:lineRule="atLeast"/>
                    <w:rPr>
                      <w:rFonts w:eastAsia="宋体"/>
                      <w:color w:val="000000"/>
                      <w:sz w:val="21"/>
                      <w:szCs w:val="21"/>
                      <w:vertAlign w:val="superscript"/>
                    </w:rPr>
                  </w:pPr>
                  <w:r>
                    <w:rPr>
                      <w:rFonts w:eastAsia="宋体"/>
                      <w:color w:val="000000"/>
                      <w:sz w:val="21"/>
                      <w:szCs w:val="21"/>
                    </w:rPr>
                    <w:t>活性炭的再生和补充需要花费的费用多；在处理喷漆室废气时要预先除漆雾</w:t>
                  </w:r>
                </w:p>
              </w:tc>
              <w:tc>
                <w:tcPr>
                  <w:tcW w:w="1260" w:type="dxa"/>
                  <w:tcBorders>
                    <w:top w:val="single" w:color="auto" w:sz="4" w:space="0"/>
                    <w:left w:val="single" w:color="auto" w:sz="4" w:space="0"/>
                    <w:bottom w:val="single" w:color="auto" w:sz="4" w:space="0"/>
                    <w:right w:val="single" w:color="auto" w:sz="4" w:space="0"/>
                  </w:tcBorders>
                  <w:vAlign w:val="center"/>
                </w:tcPr>
                <w:p w14:paraId="6905442D">
                  <w:pPr>
                    <w:pStyle w:val="68"/>
                    <w:spacing w:line="240" w:lineRule="atLeast"/>
                    <w:rPr>
                      <w:rFonts w:eastAsia="宋体"/>
                      <w:color w:val="000000"/>
                      <w:sz w:val="21"/>
                      <w:szCs w:val="21"/>
                    </w:rPr>
                  </w:pPr>
                  <w:r>
                    <w:rPr>
                      <w:rFonts w:eastAsia="宋体"/>
                      <w:color w:val="000000"/>
                      <w:sz w:val="21"/>
                      <w:szCs w:val="21"/>
                    </w:rPr>
                    <w:t>适用常温、低浓度、废气量较小时的废气治理</w:t>
                  </w:r>
                </w:p>
              </w:tc>
            </w:tr>
            <w:tr w14:paraId="7C234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14:paraId="43AD8D4B">
                  <w:pPr>
                    <w:pStyle w:val="68"/>
                    <w:spacing w:line="240" w:lineRule="atLeast"/>
                    <w:rPr>
                      <w:rFonts w:eastAsia="宋体"/>
                      <w:color w:val="000000"/>
                      <w:sz w:val="21"/>
                      <w:szCs w:val="21"/>
                    </w:rPr>
                  </w:pPr>
                  <w:r>
                    <w:rPr>
                      <w:rFonts w:eastAsia="宋体"/>
                      <w:color w:val="000000"/>
                      <w:sz w:val="21"/>
                      <w:szCs w:val="21"/>
                    </w:rPr>
                    <w:t>直接</w:t>
                  </w:r>
                </w:p>
                <w:p w14:paraId="7E31398E">
                  <w:pPr>
                    <w:pStyle w:val="68"/>
                    <w:spacing w:line="240" w:lineRule="atLeast"/>
                    <w:rPr>
                      <w:rFonts w:eastAsia="宋体"/>
                      <w:color w:val="000000"/>
                      <w:sz w:val="21"/>
                      <w:szCs w:val="21"/>
                    </w:rPr>
                  </w:pPr>
                  <w:r>
                    <w:rPr>
                      <w:rFonts w:eastAsia="宋体"/>
                      <w:color w:val="000000"/>
                      <w:sz w:val="21"/>
                      <w:szCs w:val="21"/>
                    </w:rPr>
                    <w:t>燃烧法</w:t>
                  </w:r>
                </w:p>
              </w:tc>
              <w:tc>
                <w:tcPr>
                  <w:tcW w:w="1980" w:type="dxa"/>
                  <w:tcBorders>
                    <w:top w:val="single" w:color="auto" w:sz="4" w:space="0"/>
                    <w:left w:val="single" w:color="auto" w:sz="4" w:space="0"/>
                    <w:bottom w:val="single" w:color="auto" w:sz="4" w:space="0"/>
                    <w:right w:val="single" w:color="auto" w:sz="4" w:space="0"/>
                  </w:tcBorders>
                  <w:vAlign w:val="center"/>
                </w:tcPr>
                <w:p w14:paraId="2E51C903">
                  <w:pPr>
                    <w:pStyle w:val="68"/>
                    <w:spacing w:line="240" w:lineRule="atLeast"/>
                    <w:rPr>
                      <w:rFonts w:eastAsia="宋体"/>
                      <w:color w:val="000000"/>
                      <w:sz w:val="21"/>
                      <w:szCs w:val="21"/>
                    </w:rPr>
                  </w:pPr>
                  <w:r>
                    <w:rPr>
                      <w:rFonts w:eastAsia="宋体"/>
                      <w:color w:val="000000"/>
                      <w:sz w:val="21"/>
                      <w:szCs w:val="21"/>
                    </w:rPr>
                    <w:t>废气引入燃烧室与火焰直接接触，使有害物燃烧生成CO</w:t>
                  </w:r>
                  <w:r>
                    <w:rPr>
                      <w:rFonts w:eastAsia="宋体"/>
                      <w:color w:val="000000"/>
                      <w:sz w:val="21"/>
                      <w:szCs w:val="21"/>
                      <w:vertAlign w:val="subscript"/>
                    </w:rPr>
                    <w:t>2</w:t>
                  </w:r>
                  <w:r>
                    <w:rPr>
                      <w:rFonts w:eastAsia="宋体"/>
                      <w:color w:val="000000"/>
                      <w:sz w:val="21"/>
                      <w:szCs w:val="21"/>
                    </w:rPr>
                    <w:t>和H</w:t>
                  </w:r>
                  <w:r>
                    <w:rPr>
                      <w:rFonts w:eastAsia="宋体"/>
                      <w:color w:val="000000"/>
                      <w:sz w:val="21"/>
                      <w:szCs w:val="21"/>
                      <w:vertAlign w:val="subscript"/>
                    </w:rPr>
                    <w:t>2</w:t>
                  </w:r>
                  <w:r>
                    <w:rPr>
                      <w:rFonts w:eastAsia="宋体"/>
                      <w:color w:val="000000"/>
                      <w:sz w:val="21"/>
                      <w:szCs w:val="21"/>
                    </w:rPr>
                    <w:t>O，使废气净化</w:t>
                  </w:r>
                </w:p>
              </w:tc>
              <w:tc>
                <w:tcPr>
                  <w:tcW w:w="2316" w:type="dxa"/>
                  <w:tcBorders>
                    <w:top w:val="single" w:color="auto" w:sz="4" w:space="0"/>
                    <w:left w:val="single" w:color="auto" w:sz="4" w:space="0"/>
                    <w:bottom w:val="single" w:color="auto" w:sz="4" w:space="0"/>
                    <w:right w:val="single" w:color="auto" w:sz="4" w:space="0"/>
                  </w:tcBorders>
                  <w:vAlign w:val="center"/>
                </w:tcPr>
                <w:p w14:paraId="6FB5EBDC">
                  <w:pPr>
                    <w:pStyle w:val="68"/>
                    <w:spacing w:line="240" w:lineRule="atLeast"/>
                    <w:rPr>
                      <w:rFonts w:eastAsia="宋体"/>
                      <w:color w:val="000000"/>
                      <w:sz w:val="21"/>
                      <w:szCs w:val="21"/>
                    </w:rPr>
                  </w:pPr>
                  <w:r>
                    <w:rPr>
                      <w:rFonts w:eastAsia="宋体"/>
                      <w:color w:val="000000"/>
                      <w:sz w:val="21"/>
                      <w:szCs w:val="21"/>
                    </w:rPr>
                    <w:t>燃烧效率高，管理容易；仅烧嘴需经常维护，维护简单；装置占地面积小；不稳定因素少，可靠性高</w:t>
                  </w:r>
                </w:p>
              </w:tc>
              <w:tc>
                <w:tcPr>
                  <w:tcW w:w="2265" w:type="dxa"/>
                  <w:tcBorders>
                    <w:top w:val="single" w:color="auto" w:sz="4" w:space="0"/>
                    <w:left w:val="single" w:color="auto" w:sz="4" w:space="0"/>
                    <w:bottom w:val="single" w:color="auto" w:sz="4" w:space="0"/>
                    <w:right w:val="single" w:color="auto" w:sz="4" w:space="0"/>
                  </w:tcBorders>
                  <w:vAlign w:val="center"/>
                </w:tcPr>
                <w:p w14:paraId="075E86D9">
                  <w:pPr>
                    <w:pStyle w:val="68"/>
                    <w:spacing w:line="240" w:lineRule="atLeast"/>
                    <w:rPr>
                      <w:rFonts w:eastAsia="宋体"/>
                      <w:color w:val="000000"/>
                      <w:sz w:val="21"/>
                      <w:szCs w:val="21"/>
                    </w:rPr>
                  </w:pPr>
                  <w:r>
                    <w:rPr>
                      <w:rFonts w:eastAsia="宋体"/>
                      <w:color w:val="000000"/>
                      <w:sz w:val="21"/>
                      <w:szCs w:val="21"/>
                    </w:rPr>
                    <w:t>处理温度高，需燃料费高；燃烧装置、燃烧室、热回收装置等设备造价高；处理像喷漆室浓度低、风量大的废气不经济</w:t>
                  </w:r>
                </w:p>
              </w:tc>
              <w:tc>
                <w:tcPr>
                  <w:tcW w:w="1260" w:type="dxa"/>
                  <w:tcBorders>
                    <w:top w:val="single" w:color="auto" w:sz="4" w:space="0"/>
                    <w:left w:val="single" w:color="auto" w:sz="4" w:space="0"/>
                    <w:bottom w:val="single" w:color="auto" w:sz="4" w:space="0"/>
                    <w:right w:val="single" w:color="auto" w:sz="4" w:space="0"/>
                  </w:tcBorders>
                  <w:vAlign w:val="center"/>
                </w:tcPr>
                <w:p w14:paraId="45848D61">
                  <w:pPr>
                    <w:pStyle w:val="68"/>
                    <w:spacing w:line="240" w:lineRule="atLeast"/>
                    <w:rPr>
                      <w:rFonts w:eastAsia="宋体"/>
                      <w:color w:val="000000"/>
                      <w:sz w:val="21"/>
                      <w:szCs w:val="21"/>
                    </w:rPr>
                  </w:pPr>
                  <w:r>
                    <w:rPr>
                      <w:rFonts w:eastAsia="宋体"/>
                      <w:color w:val="000000"/>
                      <w:sz w:val="21"/>
                      <w:szCs w:val="21"/>
                    </w:rPr>
                    <w:t>适用于有机溶剂含量高、湿度高的废气治理</w:t>
                  </w:r>
                </w:p>
              </w:tc>
            </w:tr>
            <w:tr w14:paraId="3ABD6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14:paraId="105C3916">
                  <w:pPr>
                    <w:pStyle w:val="68"/>
                    <w:spacing w:line="240" w:lineRule="atLeast"/>
                    <w:rPr>
                      <w:rFonts w:eastAsia="宋体"/>
                      <w:color w:val="000000"/>
                      <w:sz w:val="21"/>
                      <w:szCs w:val="21"/>
                    </w:rPr>
                  </w:pPr>
                  <w:r>
                    <w:rPr>
                      <w:rFonts w:eastAsia="宋体"/>
                      <w:color w:val="000000"/>
                      <w:sz w:val="21"/>
                      <w:szCs w:val="21"/>
                    </w:rPr>
                    <w:t>催化</w:t>
                  </w:r>
                </w:p>
                <w:p w14:paraId="7946270A">
                  <w:pPr>
                    <w:pStyle w:val="68"/>
                    <w:spacing w:line="240" w:lineRule="atLeast"/>
                    <w:rPr>
                      <w:rFonts w:eastAsia="宋体"/>
                      <w:color w:val="000000"/>
                      <w:sz w:val="21"/>
                      <w:szCs w:val="21"/>
                    </w:rPr>
                  </w:pPr>
                  <w:r>
                    <w:rPr>
                      <w:rFonts w:eastAsia="宋体"/>
                      <w:color w:val="000000"/>
                      <w:sz w:val="21"/>
                      <w:szCs w:val="21"/>
                    </w:rPr>
                    <w:t>燃烧法</w:t>
                  </w:r>
                </w:p>
              </w:tc>
              <w:tc>
                <w:tcPr>
                  <w:tcW w:w="1980" w:type="dxa"/>
                  <w:tcBorders>
                    <w:top w:val="single" w:color="auto" w:sz="4" w:space="0"/>
                    <w:left w:val="single" w:color="auto" w:sz="4" w:space="0"/>
                    <w:bottom w:val="single" w:color="auto" w:sz="4" w:space="0"/>
                    <w:right w:val="single" w:color="auto" w:sz="4" w:space="0"/>
                  </w:tcBorders>
                  <w:vAlign w:val="center"/>
                </w:tcPr>
                <w:p w14:paraId="06A92306">
                  <w:pPr>
                    <w:pStyle w:val="68"/>
                    <w:spacing w:line="240" w:lineRule="atLeast"/>
                    <w:rPr>
                      <w:rFonts w:eastAsia="宋体"/>
                      <w:color w:val="000000"/>
                      <w:sz w:val="21"/>
                      <w:szCs w:val="21"/>
                    </w:rPr>
                  </w:pPr>
                  <w:r>
                    <w:rPr>
                      <w:rFonts w:eastAsia="宋体"/>
                      <w:color w:val="000000"/>
                      <w:sz w:val="21"/>
                      <w:szCs w:val="21"/>
                    </w:rPr>
                    <w:t>在催化剂作用下，使有机物废气在引燃点温度以下燃烧生成CO</w:t>
                  </w:r>
                  <w:r>
                    <w:rPr>
                      <w:rFonts w:eastAsia="宋体"/>
                      <w:color w:val="000000"/>
                      <w:sz w:val="21"/>
                      <w:szCs w:val="21"/>
                      <w:vertAlign w:val="subscript"/>
                    </w:rPr>
                    <w:t>2</w:t>
                  </w:r>
                  <w:r>
                    <w:rPr>
                      <w:rFonts w:eastAsia="宋体"/>
                      <w:color w:val="000000"/>
                      <w:sz w:val="21"/>
                      <w:szCs w:val="21"/>
                    </w:rPr>
                    <w:t>和H</w:t>
                  </w:r>
                  <w:r>
                    <w:rPr>
                      <w:rFonts w:eastAsia="宋体"/>
                      <w:color w:val="000000"/>
                      <w:sz w:val="21"/>
                      <w:szCs w:val="21"/>
                      <w:vertAlign w:val="subscript"/>
                    </w:rPr>
                    <w:t>2</w:t>
                  </w:r>
                  <w:r>
                    <w:rPr>
                      <w:rFonts w:eastAsia="宋体"/>
                      <w:color w:val="000000"/>
                      <w:sz w:val="21"/>
                      <w:szCs w:val="21"/>
                    </w:rPr>
                    <w:t>O而被净化</w:t>
                  </w:r>
                </w:p>
              </w:tc>
              <w:tc>
                <w:tcPr>
                  <w:tcW w:w="2316" w:type="dxa"/>
                  <w:tcBorders>
                    <w:top w:val="single" w:color="auto" w:sz="4" w:space="0"/>
                    <w:left w:val="single" w:color="auto" w:sz="4" w:space="0"/>
                    <w:bottom w:val="single" w:color="auto" w:sz="4" w:space="0"/>
                    <w:right w:val="single" w:color="auto" w:sz="4" w:space="0"/>
                  </w:tcBorders>
                  <w:vAlign w:val="center"/>
                </w:tcPr>
                <w:p w14:paraId="248EFBA1">
                  <w:pPr>
                    <w:pStyle w:val="68"/>
                    <w:spacing w:line="240" w:lineRule="atLeast"/>
                    <w:rPr>
                      <w:rFonts w:eastAsia="宋体"/>
                      <w:color w:val="000000"/>
                      <w:sz w:val="21"/>
                      <w:szCs w:val="21"/>
                    </w:rPr>
                  </w:pPr>
                  <w:r>
                    <w:rPr>
                      <w:rFonts w:eastAsia="宋体"/>
                      <w:color w:val="000000"/>
                      <w:sz w:val="21"/>
                      <w:szCs w:val="21"/>
                    </w:rPr>
                    <w:t>与直接燃烧法相比，能在低温下氧化分解，燃料费可省1/2；装置占地面积小；NOx生成少</w:t>
                  </w:r>
                </w:p>
              </w:tc>
              <w:tc>
                <w:tcPr>
                  <w:tcW w:w="2265" w:type="dxa"/>
                  <w:tcBorders>
                    <w:top w:val="single" w:color="auto" w:sz="4" w:space="0"/>
                    <w:left w:val="single" w:color="auto" w:sz="4" w:space="0"/>
                    <w:bottom w:val="single" w:color="auto" w:sz="4" w:space="0"/>
                    <w:right w:val="single" w:color="auto" w:sz="4" w:space="0"/>
                  </w:tcBorders>
                  <w:vAlign w:val="center"/>
                </w:tcPr>
                <w:p w14:paraId="39B883D5">
                  <w:pPr>
                    <w:pStyle w:val="68"/>
                    <w:spacing w:line="240" w:lineRule="atLeast"/>
                    <w:rPr>
                      <w:rFonts w:eastAsia="宋体"/>
                      <w:color w:val="000000"/>
                      <w:sz w:val="21"/>
                      <w:szCs w:val="21"/>
                    </w:rPr>
                  </w:pPr>
                  <w:r>
                    <w:rPr>
                      <w:rFonts w:eastAsia="宋体"/>
                      <w:color w:val="000000"/>
                      <w:sz w:val="21"/>
                      <w:szCs w:val="21"/>
                    </w:rPr>
                    <w:t>催化剂价格高，需考虑催化剂中毒和催化剂寿命；必须进行前处理除去尘埃、漆雾等；催化剂和设备价格高</w:t>
                  </w:r>
                </w:p>
              </w:tc>
              <w:tc>
                <w:tcPr>
                  <w:tcW w:w="1260" w:type="dxa"/>
                  <w:tcBorders>
                    <w:top w:val="single" w:color="auto" w:sz="4" w:space="0"/>
                    <w:left w:val="single" w:color="auto" w:sz="4" w:space="0"/>
                    <w:bottom w:val="single" w:color="auto" w:sz="4" w:space="0"/>
                    <w:right w:val="single" w:color="auto" w:sz="4" w:space="0"/>
                  </w:tcBorders>
                  <w:vAlign w:val="center"/>
                </w:tcPr>
                <w:p w14:paraId="6649C1FE">
                  <w:pPr>
                    <w:pStyle w:val="68"/>
                    <w:spacing w:line="240" w:lineRule="atLeast"/>
                    <w:rPr>
                      <w:rFonts w:eastAsia="宋体"/>
                      <w:color w:val="000000"/>
                      <w:sz w:val="21"/>
                      <w:szCs w:val="21"/>
                    </w:rPr>
                  </w:pPr>
                  <w:r>
                    <w:rPr>
                      <w:rFonts w:eastAsia="宋体"/>
                      <w:color w:val="000000"/>
                      <w:sz w:val="21"/>
                      <w:szCs w:val="21"/>
                    </w:rPr>
                    <w:t>适用于废气温度高、流量小、有机溶剂浓度高、含杂质少的场合</w:t>
                  </w:r>
                </w:p>
              </w:tc>
            </w:tr>
            <w:tr w14:paraId="05317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14:paraId="76FBF3DA">
                  <w:pPr>
                    <w:pStyle w:val="68"/>
                    <w:spacing w:line="240" w:lineRule="atLeast"/>
                    <w:rPr>
                      <w:rFonts w:eastAsia="宋体"/>
                      <w:color w:val="000000"/>
                      <w:sz w:val="21"/>
                      <w:szCs w:val="21"/>
                    </w:rPr>
                  </w:pPr>
                  <w:r>
                    <w:rPr>
                      <w:rFonts w:eastAsia="宋体"/>
                      <w:color w:val="000000"/>
                      <w:sz w:val="21"/>
                      <w:szCs w:val="21"/>
                    </w:rPr>
                    <w:t>吸收法</w:t>
                  </w:r>
                </w:p>
              </w:tc>
              <w:tc>
                <w:tcPr>
                  <w:tcW w:w="1980" w:type="dxa"/>
                  <w:tcBorders>
                    <w:top w:val="single" w:color="auto" w:sz="4" w:space="0"/>
                    <w:left w:val="single" w:color="auto" w:sz="4" w:space="0"/>
                    <w:bottom w:val="single" w:color="auto" w:sz="4" w:space="0"/>
                    <w:right w:val="single" w:color="auto" w:sz="4" w:space="0"/>
                  </w:tcBorders>
                  <w:vAlign w:val="center"/>
                </w:tcPr>
                <w:p w14:paraId="0ABD1407">
                  <w:pPr>
                    <w:pStyle w:val="68"/>
                    <w:spacing w:line="240" w:lineRule="atLeast"/>
                    <w:rPr>
                      <w:rFonts w:eastAsia="宋体"/>
                      <w:color w:val="000000"/>
                      <w:sz w:val="21"/>
                      <w:szCs w:val="21"/>
                    </w:rPr>
                  </w:pPr>
                  <w:r>
                    <w:rPr>
                      <w:rFonts w:eastAsia="宋体"/>
                      <w:color w:val="000000"/>
                      <w:sz w:val="21"/>
                      <w:szCs w:val="21"/>
                    </w:rPr>
                    <w:t>液体作为吸收剂，使废气中有害气体被吸收剂所吸收从而达到净化</w:t>
                  </w:r>
                </w:p>
              </w:tc>
              <w:tc>
                <w:tcPr>
                  <w:tcW w:w="2316" w:type="dxa"/>
                  <w:tcBorders>
                    <w:top w:val="single" w:color="auto" w:sz="4" w:space="0"/>
                    <w:left w:val="single" w:color="auto" w:sz="4" w:space="0"/>
                    <w:bottom w:val="single" w:color="auto" w:sz="4" w:space="0"/>
                    <w:right w:val="single" w:color="auto" w:sz="4" w:space="0"/>
                  </w:tcBorders>
                  <w:vAlign w:val="center"/>
                </w:tcPr>
                <w:p w14:paraId="7BED7CCB">
                  <w:pPr>
                    <w:pStyle w:val="68"/>
                    <w:spacing w:line="240" w:lineRule="atLeast"/>
                    <w:rPr>
                      <w:rFonts w:eastAsia="宋体"/>
                      <w:color w:val="000000"/>
                      <w:sz w:val="21"/>
                      <w:szCs w:val="21"/>
                    </w:rPr>
                  </w:pPr>
                  <w:r>
                    <w:rPr>
                      <w:rFonts w:eastAsia="宋体"/>
                      <w:color w:val="000000"/>
                      <w:sz w:val="21"/>
                      <w:szCs w:val="21"/>
                    </w:rPr>
                    <w:t>设备费用低，运转费用少；无爆炸、火灾等危险，安全性高；适宜处理喷漆室和挥发室排出废气</w:t>
                  </w:r>
                </w:p>
              </w:tc>
              <w:tc>
                <w:tcPr>
                  <w:tcW w:w="2265" w:type="dxa"/>
                  <w:tcBorders>
                    <w:top w:val="single" w:color="auto" w:sz="4" w:space="0"/>
                    <w:left w:val="single" w:color="auto" w:sz="4" w:space="0"/>
                    <w:bottom w:val="single" w:color="auto" w:sz="4" w:space="0"/>
                    <w:right w:val="single" w:color="auto" w:sz="4" w:space="0"/>
                  </w:tcBorders>
                  <w:vAlign w:val="center"/>
                </w:tcPr>
                <w:p w14:paraId="3383BCFE">
                  <w:pPr>
                    <w:pStyle w:val="68"/>
                    <w:spacing w:line="240" w:lineRule="atLeast"/>
                    <w:rPr>
                      <w:rFonts w:eastAsia="宋体"/>
                      <w:color w:val="000000"/>
                      <w:sz w:val="21"/>
                      <w:szCs w:val="21"/>
                    </w:rPr>
                  </w:pPr>
                  <w:r>
                    <w:rPr>
                      <w:rFonts w:eastAsia="宋体"/>
                      <w:color w:val="000000"/>
                      <w:sz w:val="21"/>
                      <w:szCs w:val="21"/>
                    </w:rPr>
                    <w:t>需要对产生废水进行二次处理，对涂料品种有限制</w:t>
                  </w:r>
                </w:p>
              </w:tc>
              <w:tc>
                <w:tcPr>
                  <w:tcW w:w="1260" w:type="dxa"/>
                  <w:tcBorders>
                    <w:top w:val="single" w:color="auto" w:sz="4" w:space="0"/>
                    <w:left w:val="single" w:color="auto" w:sz="4" w:space="0"/>
                    <w:bottom w:val="single" w:color="auto" w:sz="4" w:space="0"/>
                    <w:right w:val="single" w:color="auto" w:sz="4" w:space="0"/>
                  </w:tcBorders>
                  <w:vAlign w:val="center"/>
                </w:tcPr>
                <w:p w14:paraId="20B5E8F8">
                  <w:pPr>
                    <w:pStyle w:val="68"/>
                    <w:spacing w:line="240" w:lineRule="atLeast"/>
                    <w:rPr>
                      <w:rFonts w:eastAsia="宋体"/>
                      <w:color w:val="000000"/>
                      <w:sz w:val="21"/>
                      <w:szCs w:val="21"/>
                    </w:rPr>
                  </w:pPr>
                  <w:r>
                    <w:rPr>
                      <w:rFonts w:eastAsia="宋体"/>
                      <w:color w:val="000000"/>
                      <w:sz w:val="21"/>
                      <w:szCs w:val="21"/>
                    </w:rPr>
                    <w:t>适用于高、低浓度有机废气</w:t>
                  </w:r>
                </w:p>
              </w:tc>
            </w:tr>
            <w:tr w14:paraId="68712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14:paraId="7853A6FE">
                  <w:pPr>
                    <w:pStyle w:val="68"/>
                    <w:spacing w:line="240" w:lineRule="atLeast"/>
                    <w:rPr>
                      <w:rFonts w:eastAsia="宋体"/>
                      <w:color w:val="000000"/>
                      <w:sz w:val="21"/>
                      <w:szCs w:val="21"/>
                    </w:rPr>
                  </w:pPr>
                  <w:r>
                    <w:rPr>
                      <w:rFonts w:eastAsia="宋体"/>
                      <w:color w:val="000000"/>
                      <w:sz w:val="21"/>
                      <w:szCs w:val="21"/>
                    </w:rPr>
                    <w:t>冷凝法</w:t>
                  </w:r>
                </w:p>
              </w:tc>
              <w:tc>
                <w:tcPr>
                  <w:tcW w:w="1980" w:type="dxa"/>
                  <w:tcBorders>
                    <w:top w:val="single" w:color="auto" w:sz="4" w:space="0"/>
                    <w:left w:val="single" w:color="auto" w:sz="4" w:space="0"/>
                    <w:bottom w:val="single" w:color="auto" w:sz="4" w:space="0"/>
                    <w:right w:val="single" w:color="auto" w:sz="4" w:space="0"/>
                  </w:tcBorders>
                  <w:vAlign w:val="center"/>
                </w:tcPr>
                <w:p w14:paraId="170F6DC4">
                  <w:pPr>
                    <w:pStyle w:val="68"/>
                    <w:spacing w:line="240" w:lineRule="atLeast"/>
                    <w:rPr>
                      <w:rFonts w:eastAsia="宋体"/>
                      <w:color w:val="000000"/>
                      <w:sz w:val="21"/>
                      <w:szCs w:val="21"/>
                    </w:rPr>
                  </w:pPr>
                  <w:r>
                    <w:rPr>
                      <w:rFonts w:eastAsia="宋体"/>
                      <w:color w:val="000000"/>
                      <w:sz w:val="21"/>
                      <w:szCs w:val="21"/>
                    </w:rPr>
                    <w:t>降低有害气体的温度，能使其某些成分冷凝成液体的原理</w:t>
                  </w:r>
                </w:p>
              </w:tc>
              <w:tc>
                <w:tcPr>
                  <w:tcW w:w="2316" w:type="dxa"/>
                  <w:tcBorders>
                    <w:top w:val="single" w:color="auto" w:sz="4" w:space="0"/>
                    <w:left w:val="single" w:color="auto" w:sz="4" w:space="0"/>
                    <w:bottom w:val="single" w:color="auto" w:sz="4" w:space="0"/>
                    <w:right w:val="single" w:color="auto" w:sz="4" w:space="0"/>
                  </w:tcBorders>
                  <w:vAlign w:val="center"/>
                </w:tcPr>
                <w:p w14:paraId="79532D00">
                  <w:pPr>
                    <w:pStyle w:val="68"/>
                    <w:spacing w:line="240" w:lineRule="atLeast"/>
                    <w:rPr>
                      <w:rFonts w:eastAsia="宋体"/>
                      <w:color w:val="000000"/>
                      <w:sz w:val="21"/>
                      <w:szCs w:val="21"/>
                    </w:rPr>
                  </w:pPr>
                  <w:r>
                    <w:rPr>
                      <w:rFonts w:eastAsia="宋体"/>
                      <w:color w:val="000000"/>
                      <w:sz w:val="21"/>
                      <w:szCs w:val="21"/>
                    </w:rPr>
                    <w:t>设备、操作条件简单，回收物质纯度高。</w:t>
                  </w:r>
                </w:p>
              </w:tc>
              <w:tc>
                <w:tcPr>
                  <w:tcW w:w="2265" w:type="dxa"/>
                  <w:tcBorders>
                    <w:top w:val="single" w:color="auto" w:sz="4" w:space="0"/>
                    <w:left w:val="single" w:color="auto" w:sz="4" w:space="0"/>
                    <w:bottom w:val="single" w:color="auto" w:sz="4" w:space="0"/>
                    <w:right w:val="single" w:color="auto" w:sz="4" w:space="0"/>
                  </w:tcBorders>
                  <w:vAlign w:val="center"/>
                </w:tcPr>
                <w:p w14:paraId="21F6865F">
                  <w:pPr>
                    <w:pStyle w:val="68"/>
                    <w:spacing w:line="240" w:lineRule="atLeast"/>
                    <w:rPr>
                      <w:rFonts w:eastAsia="宋体"/>
                      <w:color w:val="000000"/>
                      <w:sz w:val="21"/>
                      <w:szCs w:val="21"/>
                    </w:rPr>
                  </w:pPr>
                  <w:r>
                    <w:rPr>
                      <w:rFonts w:eastAsia="宋体"/>
                      <w:color w:val="000000"/>
                      <w:sz w:val="21"/>
                      <w:szCs w:val="21"/>
                    </w:rPr>
                    <w:t>净化效率低，不能达到标准要求</w:t>
                  </w:r>
                </w:p>
              </w:tc>
              <w:tc>
                <w:tcPr>
                  <w:tcW w:w="1260" w:type="dxa"/>
                  <w:tcBorders>
                    <w:top w:val="single" w:color="auto" w:sz="4" w:space="0"/>
                    <w:left w:val="single" w:color="auto" w:sz="4" w:space="0"/>
                    <w:bottom w:val="single" w:color="auto" w:sz="4" w:space="0"/>
                    <w:right w:val="single" w:color="auto" w:sz="4" w:space="0"/>
                  </w:tcBorders>
                  <w:vAlign w:val="center"/>
                </w:tcPr>
                <w:p w14:paraId="1E0A4817">
                  <w:pPr>
                    <w:pStyle w:val="68"/>
                    <w:spacing w:line="240" w:lineRule="atLeast"/>
                    <w:rPr>
                      <w:rFonts w:eastAsia="宋体"/>
                      <w:color w:val="000000"/>
                      <w:sz w:val="21"/>
                      <w:szCs w:val="21"/>
                    </w:rPr>
                  </w:pPr>
                  <w:r>
                    <w:rPr>
                      <w:rFonts w:eastAsia="宋体"/>
                      <w:color w:val="000000"/>
                      <w:sz w:val="21"/>
                      <w:szCs w:val="21"/>
                    </w:rPr>
                    <w:t>适用于组分单一的高浓度有机废气</w:t>
                  </w:r>
                </w:p>
              </w:tc>
            </w:tr>
          </w:tbl>
          <w:p w14:paraId="22E4E722">
            <w:pPr>
              <w:pStyle w:val="38"/>
              <w:jc w:val="both"/>
              <w:rPr>
                <w:rFonts w:ascii="Times New Roman" w:hAnsi="Times New Roman" w:cs="宋体"/>
                <w:b/>
                <w:snapToGrid/>
                <w:color w:val="000000" w:themeColor="text1"/>
                <w14:textFill>
                  <w14:solidFill>
                    <w14:schemeClr w14:val="tx1"/>
                  </w14:solidFill>
                </w14:textFill>
              </w:rPr>
            </w:pPr>
            <w:r>
              <w:rPr>
                <w:rFonts w:hint="eastAsia"/>
                <w:color w:val="000000"/>
              </w:rPr>
              <w:t>以上处理措施各有优缺点，适用于不同的情况。经分析，如采用直接燃烧法、催化燃 烧法、成本过高；冷凝法净化效率低，不能达到标准要求；吸收法需对废水二次处理。结合工程特点，有机废气经过“两级活性炭”装置进行吸附处理。</w:t>
            </w:r>
          </w:p>
          <w:p w14:paraId="517D5612">
            <w:pPr>
              <w:pStyle w:val="36"/>
              <w:numPr>
                <w:ilvl w:val="1"/>
                <w:numId w:val="0"/>
              </w:numPr>
              <w:spacing w:line="360" w:lineRule="auto"/>
              <w:ind w:firstLine="480" w:firstLineChars="200"/>
              <w:jc w:val="both"/>
            </w:pPr>
            <w:r>
              <w:rPr>
                <w:rFonts w:hint="eastAsia"/>
              </w:rPr>
              <w:t>活性炭吸附原理：活性炭是一种很细小的炭粒,有很大的表面积，而且炭粒中还有更细小的孔——毛细管。这种毛细管具有很强的吸附能力,由于炭粒的表面积很大，所以能与气体（有机废气）充分接触,当这些气体（有机废气）碰到毛细管就被吸附，起净化作用。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气体混合物分离，净化后的气体高空排放。</w:t>
            </w:r>
          </w:p>
          <w:p w14:paraId="1EBC4DAC">
            <w:pPr>
              <w:tabs>
                <w:tab w:val="left" w:pos="1077"/>
              </w:tabs>
              <w:spacing w:line="360" w:lineRule="auto"/>
              <w:ind w:firstLine="480" w:firstLineChars="200"/>
              <w:rPr>
                <w:color w:val="000000"/>
                <w:kern w:val="0"/>
                <w:sz w:val="24"/>
              </w:rPr>
            </w:pPr>
            <w:r>
              <w:rPr>
                <w:rFonts w:hint="eastAsia"/>
                <w:color w:val="000000"/>
                <w:kern w:val="0"/>
                <w:sz w:val="24"/>
              </w:rPr>
              <w:t>本项目利用“二级活性炭吸附装置”处理有机废气，为国内较为普遍的有机废气处理方式，现有的管理经验较为丰富，企业可以节省大量管理维护培训费用，活性炭吸附装置运行稳定，维护简单。</w:t>
            </w:r>
          </w:p>
          <w:p w14:paraId="4B23F14E">
            <w:pPr>
              <w:tabs>
                <w:tab w:val="left" w:pos="1077"/>
              </w:tabs>
              <w:spacing w:line="360" w:lineRule="auto"/>
              <w:ind w:firstLine="420" w:firstLineChars="200"/>
              <w:rPr>
                <w:color w:val="000000"/>
                <w:kern w:val="0"/>
                <w:sz w:val="24"/>
              </w:rPr>
            </w:pPr>
            <w:r>
              <w:rPr>
                <w:color w:val="000000" w:themeColor="text1"/>
                <w14:textFill>
                  <w14:solidFill>
                    <w14:schemeClr w14:val="tx1"/>
                  </w14:solidFill>
                </w14:textFill>
              </w:rPr>
              <w:drawing>
                <wp:inline distT="0" distB="0" distL="114300" distR="114300">
                  <wp:extent cx="4791075" cy="2333625"/>
                  <wp:effectExtent l="0" t="0" r="9525" b="9525"/>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14"/>
                          <a:stretch>
                            <a:fillRect/>
                          </a:stretch>
                        </pic:blipFill>
                        <pic:spPr>
                          <a:xfrm>
                            <a:off x="0" y="0"/>
                            <a:ext cx="4791075" cy="2333625"/>
                          </a:xfrm>
                          <a:prstGeom prst="rect">
                            <a:avLst/>
                          </a:prstGeom>
                          <a:noFill/>
                          <a:ln>
                            <a:noFill/>
                          </a:ln>
                        </pic:spPr>
                      </pic:pic>
                    </a:graphicData>
                  </a:graphic>
                </wp:inline>
              </w:drawing>
            </w:r>
          </w:p>
          <w:p w14:paraId="2E284848">
            <w:pPr>
              <w:tabs>
                <w:tab w:val="left" w:pos="1077"/>
              </w:tabs>
              <w:spacing w:line="360" w:lineRule="auto"/>
              <w:jc w:val="center"/>
              <w:rPr>
                <w:b/>
                <w:bCs/>
                <w:color w:val="000000"/>
                <w:kern w:val="0"/>
                <w:sz w:val="24"/>
              </w:rPr>
            </w:pPr>
            <w:r>
              <w:rPr>
                <w:rFonts w:hint="eastAsia"/>
                <w:b/>
                <w:bCs/>
                <w:color w:val="000000"/>
                <w:kern w:val="0"/>
                <w:sz w:val="24"/>
              </w:rPr>
              <w:t>图4-1  活性炭吸附箱</w:t>
            </w:r>
          </w:p>
          <w:p w14:paraId="3B5BF8E5">
            <w:pPr>
              <w:pStyle w:val="2"/>
              <w:spacing w:line="360" w:lineRule="auto"/>
              <w:ind w:firstLine="720" w:firstLineChars="300"/>
              <w:rPr>
                <w:sz w:val="24"/>
              </w:rPr>
            </w:pPr>
            <w:r>
              <w:rPr>
                <w:rFonts w:hint="eastAsia"/>
                <w:sz w:val="24"/>
              </w:rPr>
              <w:t>活性炭吸附装置在设计时，应根据《吸附法工业有机废气治理工程技术规范》（HJ2026-2013），满足以下控制要求：</w:t>
            </w:r>
          </w:p>
          <w:p w14:paraId="5DB7A253">
            <w:pPr>
              <w:widowControl/>
              <w:ind w:firstLine="482" w:firstLineChars="200"/>
              <w:jc w:val="center"/>
              <w:rPr>
                <w:sz w:val="24"/>
              </w:rPr>
            </w:pPr>
            <w:r>
              <w:rPr>
                <w:rFonts w:hint="eastAsia"/>
                <w:b/>
                <w:bCs/>
                <w:color w:val="000000" w:themeColor="text1"/>
                <w:kern w:val="0"/>
                <w:sz w:val="24"/>
                <w14:textFill>
                  <w14:solidFill>
                    <w14:schemeClr w14:val="tx1"/>
                  </w14:solidFill>
                </w14:textFill>
              </w:rPr>
              <w:t>表 4-9 活性炭吸附装置设计控制参数一览表</w:t>
            </w:r>
          </w:p>
          <w:tbl>
            <w:tblPr>
              <w:tblStyle w:val="29"/>
              <w:tblpPr w:leftFromText="181" w:rightFromText="181" w:vertAnchor="text" w:horzAnchor="page" w:tblpX="103" w:tblpY="1"/>
              <w:tblOverlap w:val="never"/>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3"/>
              <w:gridCol w:w="1838"/>
              <w:gridCol w:w="5664"/>
            </w:tblGrid>
            <w:tr w14:paraId="73A6E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409" w:type="pct"/>
                  <w:vAlign w:val="center"/>
                </w:tcPr>
                <w:p w14:paraId="4A9DF544">
                  <w:pPr>
                    <w:pStyle w:val="71"/>
                    <w:spacing w:before="24"/>
                    <w:ind w:left="210" w:leftChars="100" w:right="532"/>
                    <w:jc w:val="center"/>
                    <w:rPr>
                      <w:b/>
                    </w:rPr>
                  </w:pPr>
                  <w:r>
                    <w:rPr>
                      <w:b/>
                    </w:rPr>
                    <w:t>序号</w:t>
                  </w:r>
                </w:p>
              </w:tc>
              <w:tc>
                <w:tcPr>
                  <w:tcW w:w="1165" w:type="pct"/>
                  <w:vAlign w:val="center"/>
                </w:tcPr>
                <w:p w14:paraId="6482A900">
                  <w:pPr>
                    <w:pStyle w:val="71"/>
                    <w:spacing w:before="24"/>
                    <w:ind w:left="303" w:right="306"/>
                    <w:jc w:val="center"/>
                    <w:rPr>
                      <w:b/>
                    </w:rPr>
                  </w:pPr>
                  <w:r>
                    <w:rPr>
                      <w:b/>
                    </w:rPr>
                    <w:t>项目</w:t>
                  </w:r>
                </w:p>
              </w:tc>
              <w:tc>
                <w:tcPr>
                  <w:tcW w:w="3424" w:type="pct"/>
                  <w:vAlign w:val="center"/>
                </w:tcPr>
                <w:p w14:paraId="4E8C07B7">
                  <w:pPr>
                    <w:pStyle w:val="71"/>
                    <w:spacing w:before="24"/>
                    <w:ind w:left="343" w:right="344"/>
                    <w:jc w:val="center"/>
                    <w:rPr>
                      <w:b/>
                    </w:rPr>
                  </w:pPr>
                  <w:r>
                    <w:rPr>
                      <w:b/>
                    </w:rPr>
                    <w:t>控制要求</w:t>
                  </w:r>
                </w:p>
              </w:tc>
            </w:tr>
            <w:tr w14:paraId="4D06FC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9" w:type="pct"/>
                  <w:vAlign w:val="center"/>
                </w:tcPr>
                <w:p w14:paraId="73315D4D">
                  <w:pPr>
                    <w:pStyle w:val="71"/>
                    <w:spacing w:before="6"/>
                    <w:jc w:val="center"/>
                    <w:rPr>
                      <w:b/>
                      <w:sz w:val="15"/>
                    </w:rPr>
                  </w:pPr>
                </w:p>
                <w:p w14:paraId="40276981">
                  <w:pPr>
                    <w:pStyle w:val="71"/>
                    <w:ind w:left="2"/>
                    <w:jc w:val="center"/>
                  </w:pPr>
                  <w:r>
                    <w:rPr>
                      <w:w w:val="99"/>
                    </w:rPr>
                    <w:t>1</w:t>
                  </w:r>
                </w:p>
              </w:tc>
              <w:tc>
                <w:tcPr>
                  <w:tcW w:w="1165" w:type="pct"/>
                  <w:vMerge w:val="restart"/>
                  <w:vAlign w:val="center"/>
                </w:tcPr>
                <w:p w14:paraId="2DE378E8">
                  <w:pPr>
                    <w:pStyle w:val="71"/>
                    <w:spacing w:before="1"/>
                    <w:ind w:firstLine="420" w:firstLineChars="200"/>
                    <w:jc w:val="both"/>
                  </w:pPr>
                  <w:r>
                    <w:t>预处理要求</w:t>
                  </w:r>
                </w:p>
              </w:tc>
              <w:tc>
                <w:tcPr>
                  <w:tcW w:w="3424" w:type="pct"/>
                  <w:vAlign w:val="center"/>
                </w:tcPr>
                <w:p w14:paraId="4C98C121">
                  <w:pPr>
                    <w:pStyle w:val="71"/>
                    <w:spacing w:before="23" w:line="297" w:lineRule="auto"/>
                    <w:ind w:left="2832" w:right="108" w:hanging="2724"/>
                    <w:jc w:val="center"/>
                  </w:pPr>
                  <w:r>
                    <w:t xml:space="preserve">颗粒物浓度超过 </w:t>
                  </w:r>
                  <w:r>
                    <w:rPr>
                      <w:rFonts w:eastAsia="Times New Roman"/>
                    </w:rPr>
                    <w:t>1mg/m</w:t>
                  </w:r>
                  <w:r>
                    <w:rPr>
                      <w:rFonts w:eastAsia="Times New Roman"/>
                      <w:position w:val="7"/>
                      <w:sz w:val="13"/>
                    </w:rPr>
                    <w:t xml:space="preserve">3 </w:t>
                  </w:r>
                  <w:r>
                    <w:t>时，采用过滤或洗涤措施进行预处理</w:t>
                  </w:r>
                </w:p>
              </w:tc>
            </w:tr>
            <w:tr w14:paraId="388C6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409" w:type="pct"/>
                  <w:vAlign w:val="center"/>
                </w:tcPr>
                <w:p w14:paraId="237C1700">
                  <w:pPr>
                    <w:pStyle w:val="71"/>
                    <w:spacing w:before="31"/>
                    <w:ind w:left="2"/>
                    <w:jc w:val="center"/>
                  </w:pPr>
                  <w:r>
                    <w:rPr>
                      <w:w w:val="99"/>
                    </w:rPr>
                    <w:t>2</w:t>
                  </w:r>
                </w:p>
              </w:tc>
              <w:tc>
                <w:tcPr>
                  <w:tcW w:w="1165" w:type="pct"/>
                  <w:vMerge w:val="continue"/>
                  <w:tcBorders>
                    <w:top w:val="nil"/>
                  </w:tcBorders>
                  <w:vAlign w:val="center"/>
                </w:tcPr>
                <w:p w14:paraId="65BE3A1F">
                  <w:pPr>
                    <w:jc w:val="center"/>
                    <w:rPr>
                      <w:sz w:val="2"/>
                      <w:szCs w:val="2"/>
                    </w:rPr>
                  </w:pPr>
                </w:p>
              </w:tc>
              <w:tc>
                <w:tcPr>
                  <w:tcW w:w="3424" w:type="pct"/>
                  <w:vAlign w:val="center"/>
                </w:tcPr>
                <w:p w14:paraId="3A257A60">
                  <w:pPr>
                    <w:pStyle w:val="71"/>
                    <w:spacing w:before="24"/>
                    <w:ind w:left="343" w:right="347"/>
                    <w:jc w:val="center"/>
                  </w:pPr>
                  <w:r>
                    <w:t xml:space="preserve">进气温度高于 </w:t>
                  </w:r>
                  <w:r>
                    <w:rPr>
                      <w:rFonts w:eastAsia="Times New Roman"/>
                    </w:rPr>
                    <w:t>40</w:t>
                  </w:r>
                  <w:r>
                    <w:t>℃时，采取稀释或冷凝降温进行预处理</w:t>
                  </w:r>
                </w:p>
              </w:tc>
            </w:tr>
            <w:tr w14:paraId="16B5A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409" w:type="pct"/>
                  <w:vAlign w:val="center"/>
                </w:tcPr>
                <w:p w14:paraId="79CD01E3">
                  <w:pPr>
                    <w:pStyle w:val="71"/>
                    <w:spacing w:before="31"/>
                    <w:ind w:left="2"/>
                    <w:jc w:val="center"/>
                  </w:pPr>
                  <w:r>
                    <w:rPr>
                      <w:w w:val="99"/>
                    </w:rPr>
                    <w:t>3</w:t>
                  </w:r>
                </w:p>
              </w:tc>
              <w:tc>
                <w:tcPr>
                  <w:tcW w:w="1165" w:type="pct"/>
                  <w:vMerge w:val="continue"/>
                  <w:tcBorders>
                    <w:top w:val="nil"/>
                  </w:tcBorders>
                  <w:vAlign w:val="center"/>
                </w:tcPr>
                <w:p w14:paraId="75679305">
                  <w:pPr>
                    <w:jc w:val="center"/>
                    <w:rPr>
                      <w:sz w:val="2"/>
                      <w:szCs w:val="2"/>
                    </w:rPr>
                  </w:pPr>
                </w:p>
              </w:tc>
              <w:tc>
                <w:tcPr>
                  <w:tcW w:w="3424" w:type="pct"/>
                  <w:vAlign w:val="center"/>
                </w:tcPr>
                <w:p w14:paraId="61CD3376">
                  <w:pPr>
                    <w:pStyle w:val="71"/>
                    <w:spacing w:before="24"/>
                    <w:ind w:left="343" w:right="344"/>
                    <w:jc w:val="center"/>
                  </w:pPr>
                  <w:r>
                    <w:t>过滤材料两端设置压差计，对过滤材料及时更换</w:t>
                  </w:r>
                </w:p>
              </w:tc>
            </w:tr>
            <w:tr w14:paraId="77386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409" w:type="pct"/>
                  <w:vAlign w:val="center"/>
                </w:tcPr>
                <w:p w14:paraId="1BF19167">
                  <w:pPr>
                    <w:pStyle w:val="71"/>
                    <w:spacing w:before="7"/>
                    <w:jc w:val="center"/>
                    <w:rPr>
                      <w:b/>
                      <w:sz w:val="15"/>
                    </w:rPr>
                  </w:pPr>
                </w:p>
                <w:p w14:paraId="3A624AE7">
                  <w:pPr>
                    <w:pStyle w:val="71"/>
                    <w:ind w:left="2"/>
                    <w:jc w:val="center"/>
                  </w:pPr>
                  <w:r>
                    <w:rPr>
                      <w:w w:val="99"/>
                    </w:rPr>
                    <w:t>4</w:t>
                  </w:r>
                </w:p>
              </w:tc>
              <w:tc>
                <w:tcPr>
                  <w:tcW w:w="1165" w:type="pct"/>
                  <w:vAlign w:val="center"/>
                </w:tcPr>
                <w:p w14:paraId="5FBC83CD">
                  <w:pPr>
                    <w:pStyle w:val="71"/>
                    <w:spacing w:before="24" w:line="297" w:lineRule="auto"/>
                    <w:ind w:left="639" w:right="195" w:hanging="444"/>
                    <w:jc w:val="center"/>
                  </w:pPr>
                  <w:r>
                    <w:t>吸附材质要求</w:t>
                  </w:r>
                </w:p>
              </w:tc>
              <w:tc>
                <w:tcPr>
                  <w:tcW w:w="3424" w:type="pct"/>
                  <w:vAlign w:val="center"/>
                </w:tcPr>
                <w:p w14:paraId="043FD7A1">
                  <w:pPr>
                    <w:pStyle w:val="71"/>
                    <w:spacing w:before="190"/>
                    <w:ind w:left="343" w:right="343"/>
                    <w:jc w:val="center"/>
                    <w:rPr>
                      <w:rFonts w:eastAsia="Times New Roman"/>
                    </w:rPr>
                  </w:pPr>
                  <w:r>
                    <w:t xml:space="preserve">蜂窝活性炭的比表面积 </w:t>
                  </w:r>
                  <w:r>
                    <w:rPr>
                      <w:rFonts w:eastAsia="Times New Roman"/>
                    </w:rPr>
                    <w:t xml:space="preserve">BET </w:t>
                  </w:r>
                  <w:r>
                    <w:t xml:space="preserve">不低于 </w:t>
                  </w:r>
                  <w:r>
                    <w:rPr>
                      <w:rFonts w:eastAsia="Times New Roman"/>
                    </w:rPr>
                    <w:t>750m</w:t>
                  </w:r>
                  <w:r>
                    <w:rPr>
                      <w:rFonts w:eastAsia="Times New Roman"/>
                      <w:position w:val="7"/>
                      <w:sz w:val="13"/>
                    </w:rPr>
                    <w:t>2</w:t>
                  </w:r>
                  <w:r>
                    <w:rPr>
                      <w:rFonts w:eastAsia="Times New Roman"/>
                    </w:rPr>
                    <w:t>/g</w:t>
                  </w:r>
                </w:p>
              </w:tc>
            </w:tr>
            <w:tr w14:paraId="5610A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409" w:type="pct"/>
                  <w:vAlign w:val="center"/>
                </w:tcPr>
                <w:p w14:paraId="2D34E84F">
                  <w:pPr>
                    <w:pStyle w:val="71"/>
                    <w:spacing w:before="31"/>
                    <w:ind w:left="2"/>
                    <w:jc w:val="center"/>
                  </w:pPr>
                  <w:r>
                    <w:rPr>
                      <w:w w:val="99"/>
                    </w:rPr>
                    <w:t>5</w:t>
                  </w:r>
                </w:p>
              </w:tc>
              <w:tc>
                <w:tcPr>
                  <w:tcW w:w="1165" w:type="pct"/>
                  <w:vAlign w:val="center"/>
                </w:tcPr>
                <w:p w14:paraId="3F484A2F">
                  <w:pPr>
                    <w:pStyle w:val="71"/>
                    <w:spacing w:before="24"/>
                    <w:ind w:left="303" w:right="306"/>
                    <w:jc w:val="center"/>
                  </w:pPr>
                  <w:r>
                    <w:t>工艺参数</w:t>
                  </w:r>
                </w:p>
              </w:tc>
              <w:tc>
                <w:tcPr>
                  <w:tcW w:w="3424" w:type="pct"/>
                  <w:vAlign w:val="center"/>
                </w:tcPr>
                <w:p w14:paraId="1591D9C9">
                  <w:pPr>
                    <w:pStyle w:val="71"/>
                    <w:spacing w:before="24"/>
                    <w:ind w:left="343" w:right="344"/>
                    <w:jc w:val="center"/>
                    <w:rPr>
                      <w:rFonts w:eastAsia="Times New Roman"/>
                    </w:rPr>
                  </w:pPr>
                  <w:r>
                    <w:t xml:space="preserve">采用蜂窝状吸附剂时，吸附装置空气流速宜低于 </w:t>
                  </w:r>
                  <w:r>
                    <w:rPr>
                      <w:rFonts w:eastAsia="Times New Roman"/>
                    </w:rPr>
                    <w:t>1.2m/s</w:t>
                  </w:r>
                </w:p>
              </w:tc>
            </w:tr>
            <w:tr w14:paraId="293B7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409" w:type="pct"/>
                  <w:vAlign w:val="center"/>
                </w:tcPr>
                <w:p w14:paraId="308F74DE">
                  <w:pPr>
                    <w:pStyle w:val="71"/>
                    <w:spacing w:before="31"/>
                    <w:ind w:left="2"/>
                    <w:jc w:val="center"/>
                  </w:pPr>
                  <w:r>
                    <w:rPr>
                      <w:w w:val="99"/>
                    </w:rPr>
                    <w:t>6</w:t>
                  </w:r>
                </w:p>
              </w:tc>
              <w:tc>
                <w:tcPr>
                  <w:tcW w:w="1165" w:type="pct"/>
                  <w:vAlign w:val="center"/>
                </w:tcPr>
                <w:p w14:paraId="64F3D778">
                  <w:pPr>
                    <w:pStyle w:val="71"/>
                    <w:spacing w:before="25"/>
                    <w:ind w:left="303" w:right="306"/>
                    <w:jc w:val="center"/>
                  </w:pPr>
                  <w:r>
                    <w:t>净化效率</w:t>
                  </w:r>
                </w:p>
              </w:tc>
              <w:tc>
                <w:tcPr>
                  <w:tcW w:w="3424" w:type="pct"/>
                  <w:vAlign w:val="center"/>
                </w:tcPr>
                <w:p w14:paraId="188139A1">
                  <w:pPr>
                    <w:pStyle w:val="71"/>
                    <w:spacing w:before="25"/>
                    <w:ind w:left="343" w:right="343"/>
                    <w:jc w:val="center"/>
                    <w:rPr>
                      <w:rFonts w:eastAsia="Times New Roman"/>
                    </w:rPr>
                  </w:pPr>
                  <w:r>
                    <w:t xml:space="preserve">吸附装置的净化效率不得低于 </w:t>
                  </w:r>
                  <w:r>
                    <w:rPr>
                      <w:rFonts w:eastAsia="Times New Roman"/>
                    </w:rPr>
                    <w:t>90%</w:t>
                  </w:r>
                </w:p>
              </w:tc>
            </w:tr>
          </w:tbl>
          <w:p w14:paraId="43A106AD">
            <w:pPr>
              <w:widowControl/>
              <w:spacing w:line="360" w:lineRule="auto"/>
              <w:ind w:firstLine="480" w:firstLineChars="200"/>
              <w:jc w:val="left"/>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本项目利用“两级活性炭吸附装置”（蜂窝式碘值 800 以上）处理有机废气，为国内较为普遍的有机废气处理方式，现有的管理经验较为丰富，企业可以节省大量管理维护培费用，活性炭吸附装置运行稳定，维护简单。</w:t>
            </w:r>
          </w:p>
          <w:p w14:paraId="486D297A">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二级</w:t>
            </w:r>
            <w:r>
              <w:rPr>
                <w:color w:val="000000" w:themeColor="text1"/>
                <w:sz w:val="24"/>
                <w14:textFill>
                  <w14:solidFill>
                    <w14:schemeClr w14:val="tx1"/>
                  </w14:solidFill>
                </w14:textFill>
              </w:rPr>
              <w:t>活性炭吸附装置</w:t>
            </w:r>
            <w:r>
              <w:rPr>
                <w:rFonts w:hint="eastAsia"/>
                <w:color w:val="000000" w:themeColor="text1"/>
                <w:sz w:val="24"/>
                <w14:textFill>
                  <w14:solidFill>
                    <w14:schemeClr w14:val="tx1"/>
                  </w14:solidFill>
                </w14:textFill>
              </w:rPr>
              <w:t>对非甲烷总烃净化</w:t>
            </w:r>
            <w:r>
              <w:rPr>
                <w:color w:val="000000" w:themeColor="text1"/>
                <w:sz w:val="24"/>
                <w14:textFill>
                  <w14:solidFill>
                    <w14:schemeClr w14:val="tx1"/>
                  </w14:solidFill>
                </w14:textFill>
              </w:rPr>
              <w:t>效率为</w:t>
            </w:r>
            <w:r>
              <w:rPr>
                <w:rFonts w:hint="eastAsia"/>
                <w:color w:val="000000" w:themeColor="text1"/>
                <w:sz w:val="24"/>
                <w14:textFill>
                  <w14:solidFill>
                    <w14:schemeClr w14:val="tx1"/>
                  </w14:solidFill>
                </w14:textFill>
              </w:rPr>
              <w:t>90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有机废气经处理后非甲烷总烃的排放速率和排放浓度可满足</w:t>
            </w:r>
            <w:r>
              <w:rPr>
                <w:rFonts w:hint="eastAsia"/>
                <w:color w:val="000000" w:themeColor="text1"/>
                <w:sz w:val="24"/>
                <w:lang w:eastAsia="zh-CN"/>
                <w14:textFill>
                  <w14:solidFill>
                    <w14:schemeClr w14:val="tx1"/>
                  </w14:solidFill>
                </w14:textFill>
              </w:rPr>
              <w:t>安徽省地方标准《固定源挥发性有机物综合排放标准第6部分：其他行业》（DB34/4812.6-2024）表1中的大气污染物排放限值，</w:t>
            </w:r>
            <w:r>
              <w:rPr>
                <w:rFonts w:hint="eastAsia" w:ascii="Times New Roman" w:hAnsi="Times New Roman" w:eastAsia="宋体" w:cs="Times New Roman"/>
                <w:color w:val="auto"/>
                <w:sz w:val="24"/>
                <w:lang w:val="en-US" w:eastAsia="zh-CN"/>
              </w:rPr>
              <w:t>PAPI</w:t>
            </w:r>
            <w:r>
              <w:rPr>
                <w:rFonts w:hint="eastAsia"/>
                <w:color w:val="000000" w:themeColor="text1"/>
                <w:sz w:val="24"/>
                <w14:textFill>
                  <w14:solidFill>
                    <w14:schemeClr w14:val="tx1"/>
                  </w14:solidFill>
                </w14:textFill>
              </w:rPr>
              <w:t>排放速率和排放浓度可满足</w:t>
            </w:r>
            <w:r>
              <w:rPr>
                <w:rFonts w:hint="eastAsia" w:ascii="Times New Roman" w:hAnsi="Times New Roman" w:eastAsia="宋体" w:cs="Times New Roman"/>
                <w:color w:val="auto"/>
                <w:sz w:val="24"/>
                <w:lang w:val="en-US" w:eastAsia="zh-CN"/>
              </w:rPr>
              <w:t>《合成树脂工业污染物排放标准》（GB31572-2015）表5</w:t>
            </w:r>
            <w:r>
              <w:rPr>
                <w:color w:val="000000" w:themeColor="text1"/>
                <w:szCs w:val="21"/>
                <w:lang w:bidi="ar"/>
                <w14:textFill>
                  <w14:solidFill>
                    <w14:schemeClr w14:val="tx1"/>
                  </w14:solidFill>
                </w14:textFill>
              </w:rPr>
              <w:t>中限值要求</w:t>
            </w:r>
            <w:r>
              <w:rPr>
                <w:rFonts w:hint="eastAsia"/>
                <w:color w:val="000000" w:themeColor="text1"/>
                <w:sz w:val="24"/>
                <w14:textFill>
                  <w14:solidFill>
                    <w14:schemeClr w14:val="tx1"/>
                  </w14:solidFill>
                </w14:textFill>
              </w:rPr>
              <w:t>。</w:t>
            </w:r>
          </w:p>
          <w:p w14:paraId="6515F7FE">
            <w:pPr>
              <w:pStyle w:val="2"/>
              <w:spacing w:line="360" w:lineRule="auto"/>
              <w:ind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综合上述，本项目有机废气采取的集气罩+</w:t>
            </w:r>
            <w:r>
              <w:rPr>
                <w:rFonts w:hint="eastAsia"/>
                <w:bCs/>
                <w:color w:val="000000" w:themeColor="text1"/>
                <w:sz w:val="24"/>
                <w14:textFill>
                  <w14:solidFill>
                    <w14:schemeClr w14:val="tx1"/>
                  </w14:solidFill>
                </w14:textFill>
              </w:rPr>
              <w:t>二级活性炭装置</w:t>
            </w:r>
            <w:r>
              <w:rPr>
                <w:rFonts w:hint="eastAsia" w:ascii="宋体" w:hAnsi="宋体" w:cs="宋体"/>
                <w:color w:val="000000" w:themeColor="text1"/>
                <w:sz w:val="24"/>
                <w14:textFill>
                  <w14:solidFill>
                    <w14:schemeClr w14:val="tx1"/>
                  </w14:solidFill>
                </w14:textFill>
              </w:rPr>
              <w:t>治理措施为可行技术。</w:t>
            </w:r>
          </w:p>
          <w:p w14:paraId="682A8D3C">
            <w:pPr>
              <w:adjustRightInd w:val="0"/>
              <w:snapToGrid w:val="0"/>
              <w:spacing w:line="360" w:lineRule="auto"/>
              <w:ind w:firstLine="482" w:firstLineChars="200"/>
              <w:rPr>
                <w:b/>
                <w:bCs/>
                <w:sz w:val="24"/>
              </w:rPr>
            </w:pPr>
            <w:r>
              <w:rPr>
                <w:rFonts w:hint="eastAsia"/>
                <w:b/>
                <w:bCs/>
                <w:sz w:val="24"/>
                <w:lang w:val="en-US" w:eastAsia="zh-CN"/>
              </w:rPr>
              <w:t>4</w:t>
            </w:r>
            <w:r>
              <w:rPr>
                <w:b/>
                <w:bCs/>
                <w:sz w:val="24"/>
              </w:rPr>
              <w:t>、大气环境影响分析</w:t>
            </w:r>
          </w:p>
          <w:p w14:paraId="7F9E685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rPr>
            </w:pPr>
            <w:r>
              <w:rPr>
                <w:rFonts w:hint="eastAsia" w:cs="宋体"/>
                <w:sz w:val="24"/>
              </w:rPr>
              <w:t>根据《</w:t>
            </w:r>
            <w:r>
              <w:rPr>
                <w:rFonts w:hint="eastAsia" w:cs="宋体"/>
                <w:sz w:val="24"/>
                <w:lang w:eastAsia="zh-CN"/>
              </w:rPr>
              <w:t>2023 年芜湖市生态环境状况公报</w:t>
            </w:r>
            <w:r>
              <w:rPr>
                <w:rFonts w:hint="eastAsia" w:cs="宋体"/>
                <w:sz w:val="24"/>
              </w:rPr>
              <w:t>》，项目所在区域为环境空气“达标区”。本项目位于工业园区，</w:t>
            </w:r>
            <w:r>
              <w:rPr>
                <w:rFonts w:hint="eastAsia"/>
                <w:sz w:val="24"/>
              </w:rPr>
              <w:t>项目</w:t>
            </w:r>
            <w:r>
              <w:rPr>
                <w:rFonts w:hint="eastAsia"/>
                <w:sz w:val="24"/>
                <w:lang w:val="en-US" w:eastAsia="zh-CN"/>
              </w:rPr>
              <w:t>500m范围内无环境敏感点</w:t>
            </w:r>
            <w:r>
              <w:rPr>
                <w:rFonts w:hint="eastAsia"/>
                <w:sz w:val="24"/>
              </w:rPr>
              <w:t>。另外，</w:t>
            </w:r>
            <w:r>
              <w:rPr>
                <w:rFonts w:hint="eastAsia" w:ascii="Times New Roman" w:hAnsi="Times New Roman" w:eastAsia="宋体" w:cs="Times New Roman"/>
                <w:sz w:val="24"/>
              </w:rPr>
              <w:t>本项目</w:t>
            </w:r>
            <w:r>
              <w:rPr>
                <w:rFonts w:hint="default" w:ascii="Times New Roman" w:hAnsi="Times New Roman" w:eastAsia="宋体" w:cs="Times New Roman"/>
                <w:sz w:val="24"/>
                <w:lang w:eastAsia="zh-CN"/>
              </w:rPr>
              <w:t>发泡废气</w:t>
            </w:r>
            <w:r>
              <w:rPr>
                <w:rFonts w:hint="eastAsia" w:ascii="Times New Roman" w:hAnsi="Times New Roman" w:eastAsia="宋体" w:cs="Times New Roman"/>
                <w:sz w:val="24"/>
                <w:lang w:val="en-US" w:eastAsia="zh-CN"/>
              </w:rPr>
              <w:t>和脱模废气</w:t>
            </w:r>
            <w:r>
              <w:rPr>
                <w:rFonts w:hint="default" w:ascii="Times New Roman" w:hAnsi="Times New Roman" w:eastAsia="宋体" w:cs="Times New Roman"/>
                <w:sz w:val="24"/>
                <w:lang w:eastAsia="zh-CN"/>
              </w:rPr>
              <w:t>收集后进入两级活性炭吸附装置处理后由15米高排气筒（DA00</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eastAsia="zh-CN"/>
              </w:rPr>
              <w:t>）排放</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喷胶固化</w:t>
            </w:r>
            <w:r>
              <w:rPr>
                <w:rFonts w:hint="eastAsia" w:ascii="Times New Roman" w:hAnsi="Times New Roman" w:eastAsia="宋体" w:cs="Times New Roman"/>
                <w:sz w:val="24"/>
                <w:lang w:val="zh-CN" w:eastAsia="zh-CN"/>
              </w:rPr>
              <w:t>废气</w:t>
            </w:r>
            <w:r>
              <w:rPr>
                <w:rFonts w:hint="eastAsia" w:ascii="Times New Roman" w:hAnsi="Times New Roman" w:eastAsia="宋体" w:cs="Times New Roman"/>
                <w:sz w:val="24"/>
                <w:lang w:eastAsia="zh-CN"/>
              </w:rPr>
              <w:t>通过</w:t>
            </w:r>
            <w:r>
              <w:rPr>
                <w:rFonts w:hint="eastAsia" w:ascii="Times New Roman" w:hAnsi="Times New Roman" w:eastAsia="宋体" w:cs="Times New Roman"/>
                <w:sz w:val="24"/>
                <w:lang w:val="en-US" w:eastAsia="zh-CN"/>
              </w:rPr>
              <w:t>集气罩收集后，经“过滤棉+二级活性炭吸附装置”处理+15m高排气筒（DA002）</w:t>
            </w:r>
            <w:r>
              <w:rPr>
                <w:rFonts w:hint="eastAsia" w:ascii="Times New Roman" w:hAnsi="Times New Roman" w:eastAsia="宋体" w:cs="Times New Roman"/>
                <w:sz w:val="24"/>
              </w:rPr>
              <w:t>。</w:t>
            </w:r>
            <w:r>
              <w:rPr>
                <w:rFonts w:hint="eastAsia" w:ascii="Times New Roman" w:hAnsi="Times New Roman" w:eastAsia="宋体" w:cs="Times New Roman"/>
                <w:sz w:val="24"/>
                <w:lang w:eastAsia="zh-CN"/>
              </w:rPr>
              <w:t>发泡废气</w:t>
            </w:r>
            <w:r>
              <w:rPr>
                <w:rFonts w:hint="eastAsia" w:ascii="Times New Roman" w:hAnsi="Times New Roman" w:eastAsia="宋体" w:cs="Times New Roman"/>
                <w:sz w:val="24"/>
                <w:lang w:val="en-US" w:eastAsia="zh-CN"/>
              </w:rPr>
              <w:t>和脱模废气产生的</w:t>
            </w:r>
            <w:r>
              <w:rPr>
                <w:rFonts w:hint="eastAsia" w:ascii="Times New Roman" w:hAnsi="Times New Roman" w:eastAsia="宋体" w:cs="Times New Roman"/>
                <w:sz w:val="24"/>
                <w:lang w:eastAsia="zh-CN"/>
              </w:rPr>
              <w:t>非甲烷总烃</w:t>
            </w:r>
            <w:r>
              <w:rPr>
                <w:rFonts w:hint="eastAsia" w:ascii="Times New Roman" w:hAnsi="Times New Roman" w:eastAsia="宋体" w:cs="Times New Roman"/>
                <w:sz w:val="24"/>
                <w:lang w:val="en-US" w:eastAsia="zh-CN"/>
              </w:rPr>
              <w:t>排放满足</w:t>
            </w:r>
            <w:r>
              <w:rPr>
                <w:rFonts w:hint="eastAsia" w:ascii="Times New Roman" w:hAnsi="Times New Roman" w:eastAsia="宋体" w:cs="Times New Roman"/>
                <w:sz w:val="24"/>
              </w:rPr>
              <w:t>安徽省地方标准《固定源挥发性有机物综合排放标准第6部分：其他行业》（DB34/4812.6-2024）表1中的大气污染物排放限值</w:t>
            </w:r>
            <w:r>
              <w:rPr>
                <w:rFonts w:hint="eastAsia" w:ascii="Times New Roman" w:hAnsi="Times New Roman" w:eastAsia="宋体" w:cs="Times New Roman"/>
                <w:sz w:val="24"/>
                <w:lang w:eastAsia="zh-CN"/>
              </w:rPr>
              <w:t>要求；发泡废气</w:t>
            </w:r>
            <w:r>
              <w:rPr>
                <w:rFonts w:hint="eastAsia" w:ascii="Times New Roman" w:hAnsi="Times New Roman" w:eastAsia="宋体" w:cs="Times New Roman"/>
                <w:sz w:val="24"/>
                <w:lang w:val="en-US" w:eastAsia="zh-CN"/>
              </w:rPr>
              <w:t>产生的PAPI排放满足《合成树脂工业污染物排放标准》（GB31572-2015）表5</w:t>
            </w:r>
            <w:r>
              <w:rPr>
                <w:rFonts w:hint="eastAsia" w:ascii="Times New Roman" w:hAnsi="Times New Roman" w:eastAsia="宋体" w:cs="Times New Roman"/>
                <w:sz w:val="24"/>
                <w:lang w:eastAsia="zh-CN"/>
              </w:rPr>
              <w:t>中限值要求；</w:t>
            </w:r>
            <w:r>
              <w:rPr>
                <w:rFonts w:hint="eastAsia"/>
                <w:kern w:val="0"/>
                <w:sz w:val="24"/>
                <w:lang w:val="en-US" w:eastAsia="zh-CN"/>
              </w:rPr>
              <w:t>喷胶固化废气产</w:t>
            </w:r>
            <w:r>
              <w:rPr>
                <w:rFonts w:hint="eastAsia" w:ascii="Times New Roman" w:hAnsi="Times New Roman" w:eastAsia="宋体" w:cs="Times New Roman"/>
                <w:sz w:val="24"/>
                <w:lang w:val="en-US" w:eastAsia="zh-CN"/>
              </w:rPr>
              <w:t>生的非甲烷总烃排放满足《大气污染物综合排放标准》（GB16297-1996）中表2中二级标准限值</w:t>
            </w:r>
            <w:r>
              <w:rPr>
                <w:rFonts w:hint="eastAsia" w:ascii="Times New Roman" w:hAnsi="Times New Roman" w:eastAsia="宋体" w:cs="Times New Roman"/>
                <w:sz w:val="24"/>
                <w:lang w:eastAsia="zh-CN"/>
              </w:rPr>
              <w:t>要求</w:t>
            </w:r>
            <w:r>
              <w:rPr>
                <w:rFonts w:hint="eastAsia" w:ascii="Times New Roman" w:hAnsi="Times New Roman" w:eastAsia="宋体" w:cs="Times New Roman"/>
                <w:sz w:val="24"/>
                <w:lang w:val="en-US" w:eastAsia="zh-CN"/>
              </w:rPr>
              <w:t>。</w:t>
            </w:r>
          </w:p>
          <w:p w14:paraId="7F71549E">
            <w:pPr>
              <w:adjustRightInd w:val="0"/>
              <w:snapToGrid w:val="0"/>
              <w:spacing w:line="360" w:lineRule="auto"/>
              <w:ind w:firstLine="480" w:firstLineChars="200"/>
              <w:rPr>
                <w:sz w:val="24"/>
              </w:rPr>
            </w:pPr>
            <w:r>
              <w:rPr>
                <w:sz w:val="24"/>
              </w:rPr>
              <w:t>综上所述，经采取可行的废气治理措施后，本项目废气可达标排放，对区域大气环境的影响较小。</w:t>
            </w:r>
          </w:p>
          <w:p w14:paraId="26A6B4E0">
            <w:pPr>
              <w:adjustRightInd w:val="0"/>
              <w:snapToGrid w:val="0"/>
              <w:spacing w:line="360" w:lineRule="auto"/>
              <w:ind w:firstLine="482" w:firstLineChars="200"/>
              <w:jc w:val="left"/>
              <w:rPr>
                <w:b/>
                <w:sz w:val="24"/>
              </w:rPr>
            </w:pPr>
            <w:r>
              <w:rPr>
                <w:b/>
                <w:sz w:val="24"/>
              </w:rPr>
              <w:t>二、废水</w:t>
            </w:r>
            <w:r>
              <w:rPr>
                <w:rFonts w:hint="eastAsia"/>
                <w:b/>
                <w:sz w:val="24"/>
              </w:rPr>
              <w:t>环境影响和保护措施</w:t>
            </w:r>
          </w:p>
          <w:p w14:paraId="689C8755">
            <w:pPr>
              <w:adjustRightInd w:val="0"/>
              <w:snapToGrid w:val="0"/>
              <w:spacing w:line="360" w:lineRule="auto"/>
              <w:ind w:firstLine="482" w:firstLineChars="200"/>
              <w:jc w:val="left"/>
              <w:rPr>
                <w:b/>
                <w:sz w:val="24"/>
              </w:rPr>
            </w:pPr>
            <w:r>
              <w:rPr>
                <w:rFonts w:hint="eastAsia"/>
                <w:b/>
                <w:sz w:val="24"/>
              </w:rPr>
              <w:t>1、</w:t>
            </w:r>
            <w:r>
              <w:rPr>
                <w:b/>
                <w:sz w:val="24"/>
              </w:rPr>
              <w:t>废水</w:t>
            </w:r>
            <w:r>
              <w:rPr>
                <w:rFonts w:hint="eastAsia"/>
                <w:b/>
                <w:sz w:val="24"/>
              </w:rPr>
              <w:t>污染源分析</w:t>
            </w:r>
          </w:p>
          <w:p w14:paraId="3B87B409">
            <w:pPr>
              <w:autoSpaceDE w:val="0"/>
              <w:autoSpaceDN w:val="0"/>
              <w:snapToGrid w:val="0"/>
              <w:spacing w:line="360" w:lineRule="auto"/>
              <w:ind w:firstLine="480"/>
              <w:rPr>
                <w:sz w:val="24"/>
              </w:rPr>
            </w:pPr>
            <w:r>
              <w:rPr>
                <w:rFonts w:hint="eastAsia"/>
                <w:sz w:val="24"/>
              </w:rPr>
              <w:t>本项目无生产废水外排</w:t>
            </w:r>
            <w:r>
              <w:rPr>
                <w:rFonts w:hint="eastAsia" w:cs="宋体"/>
                <w:sz w:val="24"/>
              </w:rPr>
              <w:t>，</w:t>
            </w:r>
            <w:r>
              <w:rPr>
                <w:rFonts w:hint="eastAsia"/>
                <w:sz w:val="24"/>
              </w:rPr>
              <w:t>生活污水经化粪池处理后接入市政管网排入城东污水处理厂处理。项目废水产生量见“二、建设项目工程分析”的“</w:t>
            </w:r>
            <w:r>
              <w:rPr>
                <w:sz w:val="24"/>
              </w:rPr>
              <w:t>7</w:t>
            </w:r>
            <w:r>
              <w:rPr>
                <w:rFonts w:hint="eastAsia"/>
                <w:sz w:val="24"/>
              </w:rPr>
              <w:t>、公用工程”章节。</w:t>
            </w:r>
          </w:p>
          <w:p w14:paraId="1708C400">
            <w:pPr>
              <w:spacing w:line="360" w:lineRule="auto"/>
              <w:ind w:firstLine="360" w:firstLineChars="150"/>
              <w:rPr>
                <w:kern w:val="0"/>
                <w:sz w:val="24"/>
              </w:rPr>
            </w:pPr>
            <w:r>
              <w:rPr>
                <w:rFonts w:hint="eastAsia"/>
                <w:sz w:val="24"/>
              </w:rPr>
              <w:t>生活污水</w:t>
            </w:r>
            <w:r>
              <w:rPr>
                <w:sz w:val="24"/>
              </w:rPr>
              <w:t>产生</w:t>
            </w:r>
            <w:r>
              <w:rPr>
                <w:rFonts w:hint="eastAsia"/>
                <w:sz w:val="24"/>
              </w:rPr>
              <w:t>及排放</w:t>
            </w:r>
            <w:r>
              <w:rPr>
                <w:sz w:val="24"/>
              </w:rPr>
              <w:t>情况详见</w:t>
            </w:r>
            <w:r>
              <w:rPr>
                <w:rFonts w:hint="eastAsia"/>
                <w:kern w:val="0"/>
                <w:sz w:val="24"/>
              </w:rPr>
              <w:t>下表。</w:t>
            </w:r>
          </w:p>
          <w:p w14:paraId="22555A5F">
            <w:pPr>
              <w:spacing w:line="360" w:lineRule="auto"/>
              <w:jc w:val="center"/>
              <w:rPr>
                <w:rFonts w:ascii="宋体" w:hAnsi="宋体"/>
                <w:b/>
                <w:bCs/>
                <w:sz w:val="24"/>
              </w:rPr>
            </w:pPr>
            <w:r>
              <w:rPr>
                <w:rFonts w:hint="eastAsia" w:ascii="宋体" w:hAnsi="宋体"/>
                <w:b/>
                <w:bCs/>
                <w:sz w:val="24"/>
              </w:rPr>
              <w:t>表</w:t>
            </w:r>
            <w:r>
              <w:rPr>
                <w:b/>
                <w:bCs/>
                <w:sz w:val="24"/>
              </w:rPr>
              <w:t>4</w:t>
            </w:r>
            <w:r>
              <w:rPr>
                <w:rFonts w:hint="eastAsia"/>
                <w:b/>
                <w:bCs/>
                <w:sz w:val="24"/>
              </w:rPr>
              <w:t>-10</w:t>
            </w:r>
            <w:r>
              <w:rPr>
                <w:b/>
                <w:bCs/>
                <w:sz w:val="24"/>
              </w:rPr>
              <w:t xml:space="preserve">  </w:t>
            </w:r>
            <w:r>
              <w:rPr>
                <w:rFonts w:hint="eastAsia" w:ascii="宋体" w:hAnsi="宋体"/>
                <w:b/>
                <w:bCs/>
                <w:sz w:val="24"/>
              </w:rPr>
              <w:t>废水主要污染物产排核算表</w:t>
            </w:r>
          </w:p>
          <w:tbl>
            <w:tblPr>
              <w:tblStyle w:val="29"/>
              <w:tblW w:w="4997" w:type="pct"/>
              <w:jc w:val="center"/>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60"/>
              <w:gridCol w:w="727"/>
              <w:gridCol w:w="956"/>
              <w:gridCol w:w="711"/>
              <w:gridCol w:w="448"/>
              <w:gridCol w:w="797"/>
              <w:gridCol w:w="956"/>
              <w:gridCol w:w="782"/>
              <w:gridCol w:w="734"/>
              <w:gridCol w:w="956"/>
              <w:gridCol w:w="736"/>
            </w:tblGrid>
            <w:tr w14:paraId="23E3588C">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58" w:hRule="atLeast"/>
                <w:jc w:val="center"/>
              </w:trPr>
              <w:tc>
                <w:tcPr>
                  <w:tcW w:w="390" w:type="pct"/>
                  <w:vMerge w:val="restart"/>
                  <w:tcBorders>
                    <w:tl2br w:val="nil"/>
                    <w:tr2bl w:val="nil"/>
                  </w:tcBorders>
                  <w:vAlign w:val="center"/>
                </w:tcPr>
                <w:p w14:paraId="4913BEF1">
                  <w:pPr>
                    <w:adjustRightInd w:val="0"/>
                    <w:spacing w:line="320" w:lineRule="exact"/>
                    <w:jc w:val="center"/>
                    <w:rPr>
                      <w:b/>
                      <w:szCs w:val="21"/>
                    </w:rPr>
                  </w:pPr>
                  <w:r>
                    <w:rPr>
                      <w:b/>
                      <w:szCs w:val="21"/>
                    </w:rPr>
                    <w:t>污染源名称</w:t>
                  </w:r>
                </w:p>
              </w:tc>
              <w:tc>
                <w:tcPr>
                  <w:tcW w:w="430" w:type="pct"/>
                  <w:vMerge w:val="restart"/>
                  <w:tcBorders>
                    <w:tl2br w:val="nil"/>
                    <w:tr2bl w:val="nil"/>
                  </w:tcBorders>
                  <w:tcMar>
                    <w:left w:w="28" w:type="dxa"/>
                    <w:right w:w="28" w:type="dxa"/>
                  </w:tcMar>
                  <w:vAlign w:val="center"/>
                </w:tcPr>
                <w:p w14:paraId="6F369666">
                  <w:pPr>
                    <w:adjustRightInd w:val="0"/>
                    <w:spacing w:line="320" w:lineRule="exact"/>
                    <w:jc w:val="center"/>
                    <w:rPr>
                      <w:b/>
                      <w:szCs w:val="21"/>
                    </w:rPr>
                  </w:pPr>
                  <w:r>
                    <w:rPr>
                      <w:b/>
                      <w:szCs w:val="21"/>
                    </w:rPr>
                    <w:t>污染物</w:t>
                  </w:r>
                </w:p>
              </w:tc>
              <w:tc>
                <w:tcPr>
                  <w:tcW w:w="983" w:type="pct"/>
                  <w:gridSpan w:val="2"/>
                  <w:tcBorders>
                    <w:tl2br w:val="nil"/>
                    <w:tr2bl w:val="nil"/>
                  </w:tcBorders>
                  <w:tcMar>
                    <w:left w:w="28" w:type="dxa"/>
                    <w:right w:w="28" w:type="dxa"/>
                  </w:tcMar>
                  <w:vAlign w:val="center"/>
                </w:tcPr>
                <w:p w14:paraId="0D07AE08">
                  <w:pPr>
                    <w:adjustRightInd w:val="0"/>
                    <w:spacing w:line="320" w:lineRule="exact"/>
                    <w:jc w:val="center"/>
                    <w:rPr>
                      <w:b/>
                      <w:szCs w:val="21"/>
                    </w:rPr>
                  </w:pPr>
                  <w:r>
                    <w:rPr>
                      <w:b/>
                      <w:szCs w:val="21"/>
                    </w:rPr>
                    <w:t>污染物产生情况</w:t>
                  </w:r>
                </w:p>
              </w:tc>
              <w:tc>
                <w:tcPr>
                  <w:tcW w:w="265" w:type="pct"/>
                  <w:vMerge w:val="restart"/>
                  <w:tcBorders>
                    <w:tl2br w:val="nil"/>
                    <w:tr2bl w:val="nil"/>
                  </w:tcBorders>
                  <w:tcMar>
                    <w:left w:w="28" w:type="dxa"/>
                    <w:right w:w="28" w:type="dxa"/>
                  </w:tcMar>
                  <w:vAlign w:val="center"/>
                </w:tcPr>
                <w:p w14:paraId="58F191A5">
                  <w:pPr>
                    <w:adjustRightInd w:val="0"/>
                    <w:spacing w:line="320" w:lineRule="exact"/>
                    <w:jc w:val="center"/>
                    <w:rPr>
                      <w:b/>
                      <w:szCs w:val="21"/>
                    </w:rPr>
                  </w:pPr>
                  <w:r>
                    <w:rPr>
                      <w:b/>
                      <w:szCs w:val="21"/>
                    </w:rPr>
                    <w:t>治理措施</w:t>
                  </w:r>
                </w:p>
              </w:tc>
              <w:tc>
                <w:tcPr>
                  <w:tcW w:w="1496" w:type="pct"/>
                  <w:gridSpan w:val="3"/>
                  <w:tcBorders>
                    <w:tl2br w:val="nil"/>
                    <w:tr2bl w:val="nil"/>
                  </w:tcBorders>
                  <w:tcMar>
                    <w:left w:w="28" w:type="dxa"/>
                    <w:right w:w="28" w:type="dxa"/>
                  </w:tcMar>
                  <w:vAlign w:val="center"/>
                </w:tcPr>
                <w:p w14:paraId="688C46E1">
                  <w:pPr>
                    <w:adjustRightInd w:val="0"/>
                    <w:spacing w:line="320" w:lineRule="exact"/>
                    <w:jc w:val="center"/>
                    <w:rPr>
                      <w:b/>
                      <w:szCs w:val="21"/>
                    </w:rPr>
                  </w:pPr>
                  <w:r>
                    <w:rPr>
                      <w:b/>
                      <w:szCs w:val="21"/>
                    </w:rPr>
                    <w:t>处理后污染物情况</w:t>
                  </w:r>
                </w:p>
              </w:tc>
              <w:tc>
                <w:tcPr>
                  <w:tcW w:w="1432" w:type="pct"/>
                  <w:gridSpan w:val="3"/>
                  <w:tcBorders>
                    <w:tl2br w:val="nil"/>
                    <w:tr2bl w:val="nil"/>
                  </w:tcBorders>
                  <w:tcMar>
                    <w:left w:w="28" w:type="dxa"/>
                    <w:right w:w="28" w:type="dxa"/>
                  </w:tcMar>
                  <w:vAlign w:val="center"/>
                </w:tcPr>
                <w:p w14:paraId="643A13D0">
                  <w:pPr>
                    <w:adjustRightInd w:val="0"/>
                    <w:spacing w:line="320" w:lineRule="exact"/>
                    <w:jc w:val="center"/>
                    <w:rPr>
                      <w:b/>
                      <w:szCs w:val="21"/>
                    </w:rPr>
                  </w:pPr>
                  <w:r>
                    <w:rPr>
                      <w:rFonts w:hint="eastAsia"/>
                      <w:b/>
                      <w:szCs w:val="21"/>
                    </w:rPr>
                    <w:t>污水</w:t>
                  </w:r>
                  <w:r>
                    <w:rPr>
                      <w:b/>
                      <w:szCs w:val="21"/>
                    </w:rPr>
                    <w:t>处理厂处理后排放</w:t>
                  </w:r>
                </w:p>
              </w:tc>
            </w:tr>
            <w:tr w14:paraId="6A1582C1">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194" w:hRule="atLeast"/>
                <w:jc w:val="center"/>
              </w:trPr>
              <w:tc>
                <w:tcPr>
                  <w:tcW w:w="390" w:type="pct"/>
                  <w:vMerge w:val="continue"/>
                  <w:tcBorders>
                    <w:tl2br w:val="nil"/>
                    <w:tr2bl w:val="nil"/>
                  </w:tcBorders>
                  <w:vAlign w:val="center"/>
                </w:tcPr>
                <w:p w14:paraId="66E0F479">
                  <w:pPr>
                    <w:adjustRightInd w:val="0"/>
                    <w:spacing w:line="320" w:lineRule="exact"/>
                    <w:jc w:val="center"/>
                    <w:rPr>
                      <w:b/>
                      <w:szCs w:val="21"/>
                    </w:rPr>
                  </w:pPr>
                </w:p>
              </w:tc>
              <w:tc>
                <w:tcPr>
                  <w:tcW w:w="430" w:type="pct"/>
                  <w:vMerge w:val="continue"/>
                  <w:tcBorders>
                    <w:tl2br w:val="nil"/>
                    <w:tr2bl w:val="nil"/>
                  </w:tcBorders>
                  <w:tcMar>
                    <w:left w:w="28" w:type="dxa"/>
                    <w:right w:w="28" w:type="dxa"/>
                  </w:tcMar>
                  <w:vAlign w:val="center"/>
                </w:tcPr>
                <w:p w14:paraId="026CCC46">
                  <w:pPr>
                    <w:adjustRightInd w:val="0"/>
                    <w:spacing w:line="320" w:lineRule="exact"/>
                    <w:jc w:val="center"/>
                    <w:rPr>
                      <w:b/>
                      <w:szCs w:val="21"/>
                    </w:rPr>
                  </w:pPr>
                </w:p>
              </w:tc>
              <w:tc>
                <w:tcPr>
                  <w:tcW w:w="563" w:type="pct"/>
                  <w:tcBorders>
                    <w:tl2br w:val="nil"/>
                    <w:tr2bl w:val="nil"/>
                  </w:tcBorders>
                  <w:tcMar>
                    <w:left w:w="28" w:type="dxa"/>
                    <w:right w:w="28" w:type="dxa"/>
                  </w:tcMar>
                  <w:vAlign w:val="center"/>
                </w:tcPr>
                <w:p w14:paraId="4E2875FE">
                  <w:pPr>
                    <w:adjustRightInd w:val="0"/>
                    <w:spacing w:line="320" w:lineRule="exact"/>
                    <w:jc w:val="center"/>
                    <w:rPr>
                      <w:b/>
                      <w:szCs w:val="21"/>
                    </w:rPr>
                  </w:pPr>
                  <w:r>
                    <w:rPr>
                      <w:b/>
                      <w:szCs w:val="21"/>
                    </w:rPr>
                    <w:t>浓度</w:t>
                  </w:r>
                </w:p>
                <w:p w14:paraId="2E697C7B">
                  <w:pPr>
                    <w:adjustRightInd w:val="0"/>
                    <w:spacing w:line="320" w:lineRule="exact"/>
                    <w:jc w:val="center"/>
                    <w:rPr>
                      <w:b/>
                      <w:szCs w:val="21"/>
                    </w:rPr>
                  </w:pPr>
                  <w:r>
                    <w:rPr>
                      <w:b/>
                      <w:szCs w:val="21"/>
                    </w:rPr>
                    <w:t>（mg/L）</w:t>
                  </w:r>
                </w:p>
              </w:tc>
              <w:tc>
                <w:tcPr>
                  <w:tcW w:w="420" w:type="pct"/>
                  <w:tcBorders>
                    <w:tl2br w:val="nil"/>
                    <w:tr2bl w:val="nil"/>
                  </w:tcBorders>
                  <w:tcMar>
                    <w:left w:w="28" w:type="dxa"/>
                    <w:right w:w="28" w:type="dxa"/>
                  </w:tcMar>
                  <w:vAlign w:val="center"/>
                </w:tcPr>
                <w:p w14:paraId="5CB194CC">
                  <w:pPr>
                    <w:adjustRightInd w:val="0"/>
                    <w:spacing w:line="320" w:lineRule="exact"/>
                    <w:jc w:val="center"/>
                    <w:rPr>
                      <w:b/>
                      <w:szCs w:val="21"/>
                    </w:rPr>
                  </w:pPr>
                  <w:r>
                    <w:rPr>
                      <w:b/>
                      <w:szCs w:val="21"/>
                    </w:rPr>
                    <w:t>产生量</w:t>
                  </w:r>
                </w:p>
                <w:p w14:paraId="377A8597">
                  <w:pPr>
                    <w:adjustRightInd w:val="0"/>
                    <w:spacing w:line="320" w:lineRule="exact"/>
                    <w:jc w:val="center"/>
                    <w:rPr>
                      <w:b/>
                      <w:szCs w:val="21"/>
                    </w:rPr>
                  </w:pPr>
                  <w:r>
                    <w:rPr>
                      <w:b/>
                      <w:szCs w:val="21"/>
                    </w:rPr>
                    <w:t>（t/a）</w:t>
                  </w:r>
                </w:p>
              </w:tc>
              <w:tc>
                <w:tcPr>
                  <w:tcW w:w="265" w:type="pct"/>
                  <w:vMerge w:val="continue"/>
                  <w:tcBorders>
                    <w:tl2br w:val="nil"/>
                    <w:tr2bl w:val="nil"/>
                  </w:tcBorders>
                  <w:tcMar>
                    <w:left w:w="28" w:type="dxa"/>
                    <w:right w:w="28" w:type="dxa"/>
                  </w:tcMar>
                  <w:vAlign w:val="center"/>
                </w:tcPr>
                <w:p w14:paraId="1B966C3A">
                  <w:pPr>
                    <w:adjustRightInd w:val="0"/>
                    <w:spacing w:line="320" w:lineRule="exact"/>
                    <w:jc w:val="center"/>
                    <w:rPr>
                      <w:b/>
                      <w:szCs w:val="21"/>
                    </w:rPr>
                  </w:pPr>
                </w:p>
              </w:tc>
              <w:tc>
                <w:tcPr>
                  <w:tcW w:w="471" w:type="pct"/>
                  <w:tcBorders>
                    <w:tl2br w:val="nil"/>
                    <w:tr2bl w:val="nil"/>
                  </w:tcBorders>
                  <w:tcMar>
                    <w:left w:w="28" w:type="dxa"/>
                    <w:right w:w="28" w:type="dxa"/>
                  </w:tcMar>
                  <w:vAlign w:val="center"/>
                </w:tcPr>
                <w:p w14:paraId="0485C154">
                  <w:pPr>
                    <w:adjustRightInd w:val="0"/>
                    <w:spacing w:line="320" w:lineRule="exact"/>
                    <w:jc w:val="center"/>
                    <w:rPr>
                      <w:b/>
                      <w:szCs w:val="21"/>
                    </w:rPr>
                  </w:pPr>
                  <w:r>
                    <w:rPr>
                      <w:b/>
                      <w:szCs w:val="21"/>
                    </w:rPr>
                    <w:t>污染物</w:t>
                  </w:r>
                </w:p>
              </w:tc>
              <w:tc>
                <w:tcPr>
                  <w:tcW w:w="563" w:type="pct"/>
                  <w:tcBorders>
                    <w:tl2br w:val="nil"/>
                    <w:tr2bl w:val="nil"/>
                  </w:tcBorders>
                  <w:tcMar>
                    <w:left w:w="28" w:type="dxa"/>
                    <w:right w:w="28" w:type="dxa"/>
                  </w:tcMar>
                  <w:vAlign w:val="center"/>
                </w:tcPr>
                <w:p w14:paraId="128F5F22">
                  <w:pPr>
                    <w:adjustRightInd w:val="0"/>
                    <w:spacing w:line="320" w:lineRule="exact"/>
                    <w:jc w:val="center"/>
                    <w:rPr>
                      <w:b/>
                      <w:szCs w:val="21"/>
                    </w:rPr>
                  </w:pPr>
                  <w:r>
                    <w:rPr>
                      <w:b/>
                      <w:szCs w:val="21"/>
                    </w:rPr>
                    <w:t>浓度</w:t>
                  </w:r>
                </w:p>
                <w:p w14:paraId="06B28859">
                  <w:pPr>
                    <w:adjustRightInd w:val="0"/>
                    <w:spacing w:line="320" w:lineRule="exact"/>
                    <w:jc w:val="center"/>
                    <w:rPr>
                      <w:b/>
                      <w:szCs w:val="21"/>
                    </w:rPr>
                  </w:pPr>
                  <w:r>
                    <w:rPr>
                      <w:b/>
                      <w:szCs w:val="21"/>
                    </w:rPr>
                    <w:t>（mg/L）</w:t>
                  </w:r>
                </w:p>
              </w:tc>
              <w:tc>
                <w:tcPr>
                  <w:tcW w:w="461" w:type="pct"/>
                  <w:tcBorders>
                    <w:tl2br w:val="nil"/>
                    <w:tr2bl w:val="nil"/>
                  </w:tcBorders>
                  <w:tcMar>
                    <w:left w:w="28" w:type="dxa"/>
                    <w:right w:w="28" w:type="dxa"/>
                  </w:tcMar>
                  <w:vAlign w:val="center"/>
                </w:tcPr>
                <w:p w14:paraId="535ABF87">
                  <w:pPr>
                    <w:adjustRightInd w:val="0"/>
                    <w:spacing w:line="320" w:lineRule="exact"/>
                    <w:jc w:val="center"/>
                    <w:rPr>
                      <w:b/>
                      <w:szCs w:val="21"/>
                    </w:rPr>
                  </w:pPr>
                  <w:r>
                    <w:rPr>
                      <w:b/>
                      <w:szCs w:val="21"/>
                    </w:rPr>
                    <w:t>排放量</w:t>
                  </w:r>
                </w:p>
                <w:p w14:paraId="4063D4B7">
                  <w:pPr>
                    <w:adjustRightInd w:val="0"/>
                    <w:spacing w:line="320" w:lineRule="exact"/>
                    <w:jc w:val="center"/>
                    <w:rPr>
                      <w:b/>
                      <w:szCs w:val="21"/>
                    </w:rPr>
                  </w:pPr>
                  <w:r>
                    <w:rPr>
                      <w:b/>
                      <w:szCs w:val="21"/>
                    </w:rPr>
                    <w:t>（t/a）</w:t>
                  </w:r>
                </w:p>
              </w:tc>
              <w:tc>
                <w:tcPr>
                  <w:tcW w:w="434" w:type="pct"/>
                  <w:tcBorders>
                    <w:tl2br w:val="nil"/>
                    <w:tr2bl w:val="nil"/>
                  </w:tcBorders>
                  <w:tcMar>
                    <w:left w:w="28" w:type="dxa"/>
                    <w:right w:w="28" w:type="dxa"/>
                  </w:tcMar>
                  <w:vAlign w:val="center"/>
                </w:tcPr>
                <w:p w14:paraId="459D4F10">
                  <w:pPr>
                    <w:adjustRightInd w:val="0"/>
                    <w:spacing w:line="320" w:lineRule="exact"/>
                    <w:jc w:val="center"/>
                    <w:rPr>
                      <w:b/>
                      <w:szCs w:val="21"/>
                    </w:rPr>
                  </w:pPr>
                  <w:r>
                    <w:rPr>
                      <w:b/>
                      <w:szCs w:val="21"/>
                    </w:rPr>
                    <w:t>污染物</w:t>
                  </w:r>
                </w:p>
              </w:tc>
              <w:tc>
                <w:tcPr>
                  <w:tcW w:w="563" w:type="pct"/>
                  <w:tcBorders>
                    <w:tl2br w:val="nil"/>
                    <w:tr2bl w:val="nil"/>
                  </w:tcBorders>
                  <w:tcMar>
                    <w:left w:w="28" w:type="dxa"/>
                    <w:right w:w="28" w:type="dxa"/>
                  </w:tcMar>
                  <w:vAlign w:val="center"/>
                </w:tcPr>
                <w:p w14:paraId="7355C29A">
                  <w:pPr>
                    <w:adjustRightInd w:val="0"/>
                    <w:spacing w:line="320" w:lineRule="exact"/>
                    <w:jc w:val="center"/>
                    <w:rPr>
                      <w:b/>
                      <w:szCs w:val="21"/>
                    </w:rPr>
                  </w:pPr>
                  <w:r>
                    <w:rPr>
                      <w:b/>
                      <w:szCs w:val="21"/>
                    </w:rPr>
                    <w:t>浓度（mg/L）</w:t>
                  </w:r>
                </w:p>
              </w:tc>
              <w:tc>
                <w:tcPr>
                  <w:tcW w:w="435" w:type="pct"/>
                  <w:tcBorders>
                    <w:tl2br w:val="nil"/>
                    <w:tr2bl w:val="nil"/>
                  </w:tcBorders>
                  <w:tcMar>
                    <w:left w:w="28" w:type="dxa"/>
                    <w:right w:w="28" w:type="dxa"/>
                  </w:tcMar>
                  <w:vAlign w:val="center"/>
                </w:tcPr>
                <w:p w14:paraId="1EE29093">
                  <w:pPr>
                    <w:adjustRightInd w:val="0"/>
                    <w:spacing w:line="320" w:lineRule="exact"/>
                    <w:jc w:val="center"/>
                    <w:rPr>
                      <w:b/>
                      <w:szCs w:val="21"/>
                    </w:rPr>
                  </w:pPr>
                  <w:r>
                    <w:rPr>
                      <w:b/>
                      <w:szCs w:val="21"/>
                    </w:rPr>
                    <w:t>排放量（t/a）</w:t>
                  </w:r>
                </w:p>
              </w:tc>
            </w:tr>
            <w:tr w14:paraId="5C3EE1F3">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90" w:type="pct"/>
                  <w:vMerge w:val="restart"/>
                  <w:tcBorders>
                    <w:tl2br w:val="nil"/>
                    <w:tr2bl w:val="nil"/>
                  </w:tcBorders>
                  <w:vAlign w:val="center"/>
                </w:tcPr>
                <w:p w14:paraId="71457F55">
                  <w:pPr>
                    <w:adjustRightInd w:val="0"/>
                    <w:spacing w:line="320" w:lineRule="exact"/>
                    <w:jc w:val="center"/>
                    <w:rPr>
                      <w:szCs w:val="21"/>
                    </w:rPr>
                  </w:pPr>
                  <w:r>
                    <w:rPr>
                      <w:szCs w:val="21"/>
                    </w:rPr>
                    <w:t>生活污水</w:t>
                  </w:r>
                </w:p>
              </w:tc>
              <w:tc>
                <w:tcPr>
                  <w:tcW w:w="430" w:type="pct"/>
                  <w:tcBorders>
                    <w:tl2br w:val="nil"/>
                    <w:tr2bl w:val="nil"/>
                  </w:tcBorders>
                  <w:tcMar>
                    <w:left w:w="28" w:type="dxa"/>
                    <w:right w:w="28" w:type="dxa"/>
                  </w:tcMar>
                  <w:vAlign w:val="center"/>
                </w:tcPr>
                <w:p w14:paraId="6792B153">
                  <w:pPr>
                    <w:adjustRightInd w:val="0"/>
                    <w:spacing w:line="320" w:lineRule="exact"/>
                    <w:jc w:val="center"/>
                    <w:rPr>
                      <w:szCs w:val="21"/>
                    </w:rPr>
                  </w:pPr>
                  <w:r>
                    <w:rPr>
                      <w:szCs w:val="21"/>
                    </w:rPr>
                    <w:t>水量</w:t>
                  </w:r>
                </w:p>
              </w:tc>
              <w:tc>
                <w:tcPr>
                  <w:tcW w:w="563" w:type="pct"/>
                  <w:tcBorders>
                    <w:tl2br w:val="nil"/>
                    <w:tr2bl w:val="nil"/>
                  </w:tcBorders>
                  <w:tcMar>
                    <w:left w:w="28" w:type="dxa"/>
                    <w:right w:w="28" w:type="dxa"/>
                  </w:tcMar>
                  <w:vAlign w:val="center"/>
                </w:tcPr>
                <w:p w14:paraId="128FA1FD">
                  <w:pPr>
                    <w:adjustRightInd w:val="0"/>
                    <w:spacing w:line="320" w:lineRule="exact"/>
                    <w:jc w:val="center"/>
                    <w:rPr>
                      <w:szCs w:val="21"/>
                    </w:rPr>
                  </w:pPr>
                  <w:r>
                    <w:rPr>
                      <w:szCs w:val="21"/>
                    </w:rPr>
                    <w:t>/</w:t>
                  </w:r>
                </w:p>
              </w:tc>
              <w:tc>
                <w:tcPr>
                  <w:tcW w:w="420" w:type="pct"/>
                  <w:tcBorders>
                    <w:tl2br w:val="nil"/>
                    <w:tr2bl w:val="nil"/>
                  </w:tcBorders>
                  <w:tcMar>
                    <w:left w:w="28" w:type="dxa"/>
                    <w:right w:w="28" w:type="dxa"/>
                  </w:tcMar>
                  <w:vAlign w:val="center"/>
                </w:tcPr>
                <w:p w14:paraId="12F50CE9">
                  <w:pPr>
                    <w:adjustRightInd w:val="0"/>
                    <w:spacing w:line="320" w:lineRule="exact"/>
                    <w:jc w:val="center"/>
                    <w:rPr>
                      <w:rFonts w:hint="default" w:eastAsia="宋体"/>
                      <w:szCs w:val="21"/>
                      <w:lang w:val="en-US" w:eastAsia="zh-CN"/>
                    </w:rPr>
                  </w:pPr>
                  <w:r>
                    <w:rPr>
                      <w:rFonts w:hint="eastAsia"/>
                      <w:szCs w:val="21"/>
                      <w:lang w:val="en-US" w:eastAsia="zh-CN"/>
                    </w:rPr>
                    <w:t>600</w:t>
                  </w:r>
                </w:p>
              </w:tc>
              <w:tc>
                <w:tcPr>
                  <w:tcW w:w="265" w:type="pct"/>
                  <w:vMerge w:val="restart"/>
                  <w:tcBorders>
                    <w:tl2br w:val="nil"/>
                    <w:tr2bl w:val="nil"/>
                  </w:tcBorders>
                  <w:tcMar>
                    <w:left w:w="28" w:type="dxa"/>
                    <w:right w:w="28" w:type="dxa"/>
                  </w:tcMar>
                  <w:vAlign w:val="center"/>
                </w:tcPr>
                <w:p w14:paraId="79052029">
                  <w:pPr>
                    <w:adjustRightInd w:val="0"/>
                    <w:spacing w:line="320" w:lineRule="exact"/>
                    <w:jc w:val="center"/>
                    <w:rPr>
                      <w:szCs w:val="21"/>
                    </w:rPr>
                  </w:pPr>
                  <w:r>
                    <w:rPr>
                      <w:szCs w:val="21"/>
                    </w:rPr>
                    <w:t>化粪池</w:t>
                  </w:r>
                </w:p>
              </w:tc>
              <w:tc>
                <w:tcPr>
                  <w:tcW w:w="471" w:type="pct"/>
                  <w:tcBorders>
                    <w:tl2br w:val="nil"/>
                    <w:tr2bl w:val="nil"/>
                  </w:tcBorders>
                  <w:tcMar>
                    <w:left w:w="28" w:type="dxa"/>
                    <w:right w:w="28" w:type="dxa"/>
                  </w:tcMar>
                  <w:vAlign w:val="center"/>
                </w:tcPr>
                <w:p w14:paraId="70BF3E62">
                  <w:pPr>
                    <w:adjustRightInd w:val="0"/>
                    <w:spacing w:line="320" w:lineRule="exact"/>
                    <w:jc w:val="center"/>
                    <w:rPr>
                      <w:szCs w:val="21"/>
                    </w:rPr>
                  </w:pPr>
                  <w:r>
                    <w:rPr>
                      <w:szCs w:val="21"/>
                    </w:rPr>
                    <w:t>水量</w:t>
                  </w:r>
                </w:p>
              </w:tc>
              <w:tc>
                <w:tcPr>
                  <w:tcW w:w="563" w:type="pct"/>
                  <w:tcBorders>
                    <w:tl2br w:val="nil"/>
                    <w:tr2bl w:val="nil"/>
                  </w:tcBorders>
                  <w:tcMar>
                    <w:left w:w="28" w:type="dxa"/>
                    <w:right w:w="28" w:type="dxa"/>
                  </w:tcMar>
                  <w:vAlign w:val="center"/>
                </w:tcPr>
                <w:p w14:paraId="5E99B8F1">
                  <w:pPr>
                    <w:adjustRightInd w:val="0"/>
                    <w:spacing w:line="320" w:lineRule="exact"/>
                    <w:jc w:val="center"/>
                    <w:rPr>
                      <w:szCs w:val="21"/>
                    </w:rPr>
                  </w:pPr>
                  <w:r>
                    <w:rPr>
                      <w:szCs w:val="21"/>
                    </w:rPr>
                    <w:t>/</w:t>
                  </w:r>
                </w:p>
              </w:tc>
              <w:tc>
                <w:tcPr>
                  <w:tcW w:w="461" w:type="pct"/>
                  <w:tcBorders>
                    <w:tl2br w:val="nil"/>
                    <w:tr2bl w:val="nil"/>
                  </w:tcBorders>
                  <w:tcMar>
                    <w:left w:w="28" w:type="dxa"/>
                    <w:right w:w="28" w:type="dxa"/>
                  </w:tcMar>
                  <w:vAlign w:val="center"/>
                </w:tcPr>
                <w:p w14:paraId="6403D043">
                  <w:pPr>
                    <w:adjustRightInd w:val="0"/>
                    <w:spacing w:line="320" w:lineRule="exact"/>
                    <w:jc w:val="center"/>
                    <w:rPr>
                      <w:szCs w:val="21"/>
                    </w:rPr>
                  </w:pPr>
                  <w:r>
                    <w:rPr>
                      <w:rFonts w:hint="eastAsia"/>
                      <w:szCs w:val="21"/>
                    </w:rPr>
                    <w:t>180</w:t>
                  </w:r>
                </w:p>
              </w:tc>
              <w:tc>
                <w:tcPr>
                  <w:tcW w:w="434" w:type="pct"/>
                  <w:tcBorders>
                    <w:tl2br w:val="nil"/>
                    <w:tr2bl w:val="nil"/>
                  </w:tcBorders>
                  <w:tcMar>
                    <w:left w:w="28" w:type="dxa"/>
                    <w:right w:w="28" w:type="dxa"/>
                  </w:tcMar>
                  <w:vAlign w:val="center"/>
                </w:tcPr>
                <w:p w14:paraId="1908D71B">
                  <w:pPr>
                    <w:adjustRightInd w:val="0"/>
                    <w:spacing w:line="320" w:lineRule="exact"/>
                    <w:jc w:val="center"/>
                    <w:rPr>
                      <w:szCs w:val="21"/>
                    </w:rPr>
                  </w:pPr>
                  <w:r>
                    <w:rPr>
                      <w:szCs w:val="21"/>
                    </w:rPr>
                    <w:t>水量</w:t>
                  </w:r>
                </w:p>
              </w:tc>
              <w:tc>
                <w:tcPr>
                  <w:tcW w:w="563" w:type="pct"/>
                  <w:tcBorders>
                    <w:tl2br w:val="nil"/>
                    <w:tr2bl w:val="nil"/>
                  </w:tcBorders>
                  <w:tcMar>
                    <w:left w:w="28" w:type="dxa"/>
                    <w:right w:w="28" w:type="dxa"/>
                  </w:tcMar>
                  <w:vAlign w:val="center"/>
                </w:tcPr>
                <w:p w14:paraId="7355B390">
                  <w:pPr>
                    <w:adjustRightInd w:val="0"/>
                    <w:spacing w:line="320" w:lineRule="exact"/>
                    <w:jc w:val="center"/>
                    <w:rPr>
                      <w:b/>
                      <w:bCs/>
                      <w:szCs w:val="21"/>
                    </w:rPr>
                  </w:pPr>
                  <w:r>
                    <w:rPr>
                      <w:szCs w:val="21"/>
                    </w:rPr>
                    <w:t>/</w:t>
                  </w:r>
                </w:p>
              </w:tc>
              <w:tc>
                <w:tcPr>
                  <w:tcW w:w="435" w:type="pct"/>
                  <w:tcBorders>
                    <w:tl2br w:val="nil"/>
                    <w:tr2bl w:val="nil"/>
                  </w:tcBorders>
                  <w:tcMar>
                    <w:left w:w="28" w:type="dxa"/>
                    <w:right w:w="28" w:type="dxa"/>
                  </w:tcMar>
                  <w:vAlign w:val="center"/>
                </w:tcPr>
                <w:p w14:paraId="16298594">
                  <w:pPr>
                    <w:adjustRightInd w:val="0"/>
                    <w:spacing w:line="320" w:lineRule="exact"/>
                    <w:jc w:val="center"/>
                    <w:rPr>
                      <w:b/>
                      <w:bCs/>
                      <w:szCs w:val="21"/>
                    </w:rPr>
                  </w:pPr>
                  <w:r>
                    <w:rPr>
                      <w:rFonts w:hint="eastAsia"/>
                      <w:szCs w:val="21"/>
                    </w:rPr>
                    <w:t>180</w:t>
                  </w:r>
                </w:p>
              </w:tc>
            </w:tr>
            <w:tr w14:paraId="1F135A03">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295" w:hRule="atLeast"/>
                <w:jc w:val="center"/>
              </w:trPr>
              <w:tc>
                <w:tcPr>
                  <w:tcW w:w="390" w:type="pct"/>
                  <w:vMerge w:val="continue"/>
                  <w:tcBorders>
                    <w:tl2br w:val="nil"/>
                    <w:tr2bl w:val="nil"/>
                  </w:tcBorders>
                  <w:vAlign w:val="center"/>
                </w:tcPr>
                <w:p w14:paraId="5BF10426">
                  <w:pPr>
                    <w:adjustRightInd w:val="0"/>
                    <w:spacing w:line="320" w:lineRule="exact"/>
                    <w:jc w:val="center"/>
                    <w:rPr>
                      <w:szCs w:val="21"/>
                    </w:rPr>
                  </w:pPr>
                </w:p>
              </w:tc>
              <w:tc>
                <w:tcPr>
                  <w:tcW w:w="430" w:type="pct"/>
                  <w:tcBorders>
                    <w:tl2br w:val="nil"/>
                    <w:tr2bl w:val="nil"/>
                  </w:tcBorders>
                  <w:tcMar>
                    <w:left w:w="28" w:type="dxa"/>
                    <w:right w:w="28" w:type="dxa"/>
                  </w:tcMar>
                  <w:vAlign w:val="center"/>
                </w:tcPr>
                <w:p w14:paraId="49930717">
                  <w:pPr>
                    <w:adjustRightInd w:val="0"/>
                    <w:spacing w:line="320" w:lineRule="exact"/>
                    <w:jc w:val="center"/>
                    <w:rPr>
                      <w:szCs w:val="21"/>
                    </w:rPr>
                  </w:pPr>
                  <w:r>
                    <w:rPr>
                      <w:rFonts w:hint="eastAsia"/>
                      <w:szCs w:val="21"/>
                    </w:rPr>
                    <w:t>PH</w:t>
                  </w:r>
                </w:p>
              </w:tc>
              <w:tc>
                <w:tcPr>
                  <w:tcW w:w="563" w:type="pct"/>
                  <w:tcBorders>
                    <w:tl2br w:val="nil"/>
                    <w:tr2bl w:val="nil"/>
                  </w:tcBorders>
                  <w:tcMar>
                    <w:left w:w="28" w:type="dxa"/>
                    <w:right w:w="28" w:type="dxa"/>
                  </w:tcMar>
                  <w:vAlign w:val="center"/>
                </w:tcPr>
                <w:p w14:paraId="42AFFE89">
                  <w:pPr>
                    <w:adjustRightInd w:val="0"/>
                    <w:spacing w:line="320" w:lineRule="exact"/>
                    <w:jc w:val="center"/>
                    <w:rPr>
                      <w:szCs w:val="21"/>
                    </w:rPr>
                  </w:pPr>
                  <w:r>
                    <w:rPr>
                      <w:rFonts w:hint="eastAsia"/>
                      <w:szCs w:val="21"/>
                    </w:rPr>
                    <w:t>6-9</w:t>
                  </w:r>
                </w:p>
              </w:tc>
              <w:tc>
                <w:tcPr>
                  <w:tcW w:w="420" w:type="pct"/>
                  <w:tcBorders>
                    <w:tl2br w:val="nil"/>
                    <w:tr2bl w:val="nil"/>
                  </w:tcBorders>
                  <w:tcMar>
                    <w:left w:w="28" w:type="dxa"/>
                    <w:right w:w="28" w:type="dxa"/>
                  </w:tcMar>
                  <w:vAlign w:val="center"/>
                </w:tcPr>
                <w:p w14:paraId="5CE8D11E">
                  <w:pPr>
                    <w:adjustRightInd w:val="0"/>
                    <w:spacing w:line="320" w:lineRule="exact"/>
                    <w:jc w:val="center"/>
                    <w:rPr>
                      <w:szCs w:val="21"/>
                    </w:rPr>
                  </w:pPr>
                  <w:r>
                    <w:rPr>
                      <w:rFonts w:hint="eastAsia"/>
                      <w:szCs w:val="21"/>
                    </w:rPr>
                    <w:t>/</w:t>
                  </w:r>
                </w:p>
              </w:tc>
              <w:tc>
                <w:tcPr>
                  <w:tcW w:w="265" w:type="pct"/>
                  <w:vMerge w:val="continue"/>
                  <w:tcBorders>
                    <w:tl2br w:val="nil"/>
                    <w:tr2bl w:val="nil"/>
                  </w:tcBorders>
                  <w:tcMar>
                    <w:left w:w="28" w:type="dxa"/>
                    <w:right w:w="28" w:type="dxa"/>
                  </w:tcMar>
                  <w:vAlign w:val="center"/>
                </w:tcPr>
                <w:p w14:paraId="41E83246">
                  <w:pPr>
                    <w:adjustRightInd w:val="0"/>
                    <w:spacing w:line="320" w:lineRule="exact"/>
                    <w:jc w:val="center"/>
                    <w:rPr>
                      <w:szCs w:val="21"/>
                    </w:rPr>
                  </w:pPr>
                </w:p>
              </w:tc>
              <w:tc>
                <w:tcPr>
                  <w:tcW w:w="471" w:type="pct"/>
                  <w:tcBorders>
                    <w:tl2br w:val="nil"/>
                    <w:tr2bl w:val="nil"/>
                  </w:tcBorders>
                  <w:tcMar>
                    <w:left w:w="28" w:type="dxa"/>
                    <w:right w:w="28" w:type="dxa"/>
                  </w:tcMar>
                  <w:vAlign w:val="center"/>
                </w:tcPr>
                <w:p w14:paraId="7A247F89">
                  <w:pPr>
                    <w:adjustRightInd w:val="0"/>
                    <w:spacing w:line="320" w:lineRule="exact"/>
                    <w:jc w:val="center"/>
                    <w:rPr>
                      <w:szCs w:val="21"/>
                    </w:rPr>
                  </w:pPr>
                  <w:r>
                    <w:rPr>
                      <w:rFonts w:hint="eastAsia"/>
                      <w:szCs w:val="21"/>
                    </w:rPr>
                    <w:t>PH</w:t>
                  </w:r>
                </w:p>
              </w:tc>
              <w:tc>
                <w:tcPr>
                  <w:tcW w:w="563" w:type="pct"/>
                  <w:tcBorders>
                    <w:tl2br w:val="nil"/>
                    <w:tr2bl w:val="nil"/>
                  </w:tcBorders>
                  <w:tcMar>
                    <w:left w:w="28" w:type="dxa"/>
                    <w:right w:w="28" w:type="dxa"/>
                  </w:tcMar>
                  <w:vAlign w:val="center"/>
                </w:tcPr>
                <w:p w14:paraId="20E2677B">
                  <w:pPr>
                    <w:adjustRightInd w:val="0"/>
                    <w:spacing w:line="320" w:lineRule="exact"/>
                    <w:jc w:val="center"/>
                    <w:rPr>
                      <w:szCs w:val="21"/>
                    </w:rPr>
                  </w:pPr>
                  <w:r>
                    <w:rPr>
                      <w:rFonts w:hint="eastAsia"/>
                      <w:szCs w:val="21"/>
                    </w:rPr>
                    <w:t>6-9</w:t>
                  </w:r>
                </w:p>
              </w:tc>
              <w:tc>
                <w:tcPr>
                  <w:tcW w:w="461" w:type="pct"/>
                  <w:tcBorders>
                    <w:tl2br w:val="nil"/>
                    <w:tr2bl w:val="nil"/>
                  </w:tcBorders>
                  <w:tcMar>
                    <w:left w:w="28" w:type="dxa"/>
                    <w:right w:w="28" w:type="dxa"/>
                  </w:tcMar>
                  <w:vAlign w:val="center"/>
                </w:tcPr>
                <w:p w14:paraId="03FC63C2">
                  <w:pPr>
                    <w:adjustRightInd w:val="0"/>
                    <w:spacing w:line="320" w:lineRule="exact"/>
                    <w:jc w:val="center"/>
                    <w:rPr>
                      <w:szCs w:val="21"/>
                    </w:rPr>
                  </w:pPr>
                  <w:r>
                    <w:rPr>
                      <w:rFonts w:hint="eastAsia"/>
                      <w:szCs w:val="21"/>
                    </w:rPr>
                    <w:t>/</w:t>
                  </w:r>
                </w:p>
              </w:tc>
              <w:tc>
                <w:tcPr>
                  <w:tcW w:w="434" w:type="pct"/>
                  <w:tcBorders>
                    <w:tl2br w:val="nil"/>
                    <w:tr2bl w:val="nil"/>
                  </w:tcBorders>
                  <w:tcMar>
                    <w:left w:w="28" w:type="dxa"/>
                    <w:right w:w="28" w:type="dxa"/>
                  </w:tcMar>
                  <w:vAlign w:val="center"/>
                </w:tcPr>
                <w:p w14:paraId="2E46743D">
                  <w:pPr>
                    <w:adjustRightInd w:val="0"/>
                    <w:spacing w:line="320" w:lineRule="exact"/>
                    <w:jc w:val="center"/>
                    <w:rPr>
                      <w:szCs w:val="21"/>
                    </w:rPr>
                  </w:pPr>
                  <w:r>
                    <w:rPr>
                      <w:rFonts w:hint="eastAsia"/>
                      <w:szCs w:val="21"/>
                    </w:rPr>
                    <w:t>PH</w:t>
                  </w:r>
                </w:p>
              </w:tc>
              <w:tc>
                <w:tcPr>
                  <w:tcW w:w="563" w:type="pct"/>
                  <w:tcBorders>
                    <w:tl2br w:val="nil"/>
                    <w:tr2bl w:val="nil"/>
                  </w:tcBorders>
                  <w:tcMar>
                    <w:left w:w="28" w:type="dxa"/>
                    <w:right w:w="28" w:type="dxa"/>
                  </w:tcMar>
                  <w:vAlign w:val="center"/>
                </w:tcPr>
                <w:p w14:paraId="4D4F9629">
                  <w:pPr>
                    <w:adjustRightInd w:val="0"/>
                    <w:spacing w:line="320" w:lineRule="exact"/>
                    <w:jc w:val="center"/>
                    <w:rPr>
                      <w:szCs w:val="21"/>
                    </w:rPr>
                  </w:pPr>
                  <w:r>
                    <w:rPr>
                      <w:rFonts w:hint="eastAsia"/>
                      <w:szCs w:val="21"/>
                    </w:rPr>
                    <w:t>6-9</w:t>
                  </w:r>
                </w:p>
              </w:tc>
              <w:tc>
                <w:tcPr>
                  <w:tcW w:w="435" w:type="pct"/>
                  <w:tcBorders>
                    <w:tl2br w:val="nil"/>
                    <w:tr2bl w:val="nil"/>
                  </w:tcBorders>
                  <w:tcMar>
                    <w:left w:w="28" w:type="dxa"/>
                    <w:right w:w="28" w:type="dxa"/>
                  </w:tcMar>
                  <w:vAlign w:val="center"/>
                </w:tcPr>
                <w:p w14:paraId="6945A319">
                  <w:pPr>
                    <w:adjustRightInd w:val="0"/>
                    <w:spacing w:line="320" w:lineRule="exact"/>
                    <w:jc w:val="center"/>
                    <w:rPr>
                      <w:szCs w:val="21"/>
                    </w:rPr>
                  </w:pPr>
                  <w:r>
                    <w:rPr>
                      <w:rFonts w:hint="eastAsia"/>
                      <w:szCs w:val="21"/>
                    </w:rPr>
                    <w:t>/</w:t>
                  </w:r>
                </w:p>
              </w:tc>
            </w:tr>
            <w:tr w14:paraId="0C2A41B8">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390" w:type="pct"/>
                  <w:vMerge w:val="continue"/>
                  <w:tcBorders>
                    <w:tl2br w:val="nil"/>
                    <w:tr2bl w:val="nil"/>
                  </w:tcBorders>
                  <w:vAlign w:val="center"/>
                </w:tcPr>
                <w:p w14:paraId="1B3B9DE9">
                  <w:pPr>
                    <w:adjustRightInd w:val="0"/>
                    <w:spacing w:line="320" w:lineRule="exact"/>
                    <w:jc w:val="center"/>
                    <w:rPr>
                      <w:szCs w:val="21"/>
                    </w:rPr>
                  </w:pPr>
                </w:p>
              </w:tc>
              <w:tc>
                <w:tcPr>
                  <w:tcW w:w="430" w:type="pct"/>
                  <w:tcBorders>
                    <w:tl2br w:val="nil"/>
                    <w:tr2bl w:val="nil"/>
                  </w:tcBorders>
                  <w:tcMar>
                    <w:left w:w="28" w:type="dxa"/>
                    <w:right w:w="28" w:type="dxa"/>
                  </w:tcMar>
                  <w:vAlign w:val="center"/>
                </w:tcPr>
                <w:p w14:paraId="387C9DF0">
                  <w:pPr>
                    <w:adjustRightInd w:val="0"/>
                    <w:spacing w:line="320" w:lineRule="exact"/>
                    <w:jc w:val="center"/>
                    <w:rPr>
                      <w:szCs w:val="21"/>
                    </w:rPr>
                  </w:pPr>
                  <w:r>
                    <w:rPr>
                      <w:szCs w:val="21"/>
                    </w:rPr>
                    <w:t>COD</w:t>
                  </w:r>
                </w:p>
              </w:tc>
              <w:tc>
                <w:tcPr>
                  <w:tcW w:w="563" w:type="pct"/>
                  <w:tcBorders>
                    <w:tl2br w:val="nil"/>
                    <w:tr2bl w:val="nil"/>
                  </w:tcBorders>
                  <w:tcMar>
                    <w:left w:w="28" w:type="dxa"/>
                    <w:right w:w="28" w:type="dxa"/>
                  </w:tcMar>
                  <w:vAlign w:val="center"/>
                </w:tcPr>
                <w:p w14:paraId="12BA7CDC">
                  <w:pPr>
                    <w:adjustRightInd w:val="0"/>
                    <w:spacing w:line="320" w:lineRule="exact"/>
                    <w:jc w:val="center"/>
                    <w:rPr>
                      <w:szCs w:val="21"/>
                    </w:rPr>
                  </w:pPr>
                  <w:r>
                    <w:rPr>
                      <w:szCs w:val="21"/>
                    </w:rPr>
                    <w:t>300</w:t>
                  </w:r>
                </w:p>
              </w:tc>
              <w:tc>
                <w:tcPr>
                  <w:tcW w:w="711" w:type="dxa"/>
                  <w:tcBorders>
                    <w:tl2br w:val="nil"/>
                    <w:tr2bl w:val="nil"/>
                  </w:tcBorders>
                  <w:tcMar>
                    <w:left w:w="28" w:type="dxa"/>
                    <w:right w:w="28" w:type="dxa"/>
                  </w:tcMar>
                  <w:vAlign w:val="center"/>
                </w:tcPr>
                <w:p w14:paraId="2D17CC0A">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0.18</w:t>
                  </w:r>
                </w:p>
              </w:tc>
              <w:tc>
                <w:tcPr>
                  <w:tcW w:w="265" w:type="pct"/>
                  <w:vMerge w:val="continue"/>
                  <w:tcBorders>
                    <w:tl2br w:val="nil"/>
                    <w:tr2bl w:val="nil"/>
                  </w:tcBorders>
                  <w:tcMar>
                    <w:left w:w="28" w:type="dxa"/>
                    <w:right w:w="28" w:type="dxa"/>
                  </w:tcMar>
                  <w:vAlign w:val="center"/>
                </w:tcPr>
                <w:p w14:paraId="2A682CDE">
                  <w:pPr>
                    <w:adjustRightInd w:val="0"/>
                    <w:spacing w:line="320" w:lineRule="exact"/>
                    <w:jc w:val="center"/>
                    <w:rPr>
                      <w:szCs w:val="21"/>
                    </w:rPr>
                  </w:pPr>
                </w:p>
              </w:tc>
              <w:tc>
                <w:tcPr>
                  <w:tcW w:w="471" w:type="pct"/>
                  <w:tcBorders>
                    <w:tl2br w:val="nil"/>
                    <w:tr2bl w:val="nil"/>
                  </w:tcBorders>
                  <w:tcMar>
                    <w:left w:w="28" w:type="dxa"/>
                    <w:right w:w="28" w:type="dxa"/>
                  </w:tcMar>
                  <w:vAlign w:val="center"/>
                </w:tcPr>
                <w:p w14:paraId="07670D66">
                  <w:pPr>
                    <w:adjustRightInd w:val="0"/>
                    <w:spacing w:line="320" w:lineRule="exact"/>
                    <w:jc w:val="center"/>
                    <w:rPr>
                      <w:szCs w:val="21"/>
                    </w:rPr>
                  </w:pPr>
                  <w:r>
                    <w:rPr>
                      <w:szCs w:val="21"/>
                    </w:rPr>
                    <w:t>COD</w:t>
                  </w:r>
                </w:p>
              </w:tc>
              <w:tc>
                <w:tcPr>
                  <w:tcW w:w="563" w:type="pct"/>
                  <w:tcBorders>
                    <w:tl2br w:val="nil"/>
                    <w:tr2bl w:val="nil"/>
                  </w:tcBorders>
                  <w:tcMar>
                    <w:left w:w="28" w:type="dxa"/>
                    <w:right w:w="28" w:type="dxa"/>
                  </w:tcMar>
                  <w:vAlign w:val="center"/>
                </w:tcPr>
                <w:p w14:paraId="7D66C3E9">
                  <w:pPr>
                    <w:adjustRightInd w:val="0"/>
                    <w:spacing w:line="320" w:lineRule="exact"/>
                    <w:jc w:val="center"/>
                    <w:rPr>
                      <w:szCs w:val="21"/>
                    </w:rPr>
                  </w:pPr>
                  <w:r>
                    <w:rPr>
                      <w:szCs w:val="21"/>
                    </w:rPr>
                    <w:t>2</w:t>
                  </w:r>
                  <w:r>
                    <w:rPr>
                      <w:rFonts w:hint="eastAsia"/>
                      <w:szCs w:val="21"/>
                    </w:rPr>
                    <w:t>55</w:t>
                  </w:r>
                </w:p>
              </w:tc>
              <w:tc>
                <w:tcPr>
                  <w:tcW w:w="782" w:type="dxa"/>
                  <w:tcBorders>
                    <w:tl2br w:val="nil"/>
                    <w:tr2bl w:val="nil"/>
                  </w:tcBorders>
                  <w:tcMar>
                    <w:left w:w="28" w:type="dxa"/>
                    <w:right w:w="28" w:type="dxa"/>
                  </w:tcMar>
                  <w:vAlign w:val="center"/>
                </w:tcPr>
                <w:p w14:paraId="463BCEF7">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0.153</w:t>
                  </w:r>
                </w:p>
              </w:tc>
              <w:tc>
                <w:tcPr>
                  <w:tcW w:w="434" w:type="pct"/>
                  <w:tcBorders>
                    <w:tl2br w:val="nil"/>
                    <w:tr2bl w:val="nil"/>
                  </w:tcBorders>
                  <w:tcMar>
                    <w:left w:w="28" w:type="dxa"/>
                    <w:right w:w="28" w:type="dxa"/>
                  </w:tcMar>
                  <w:vAlign w:val="center"/>
                </w:tcPr>
                <w:p w14:paraId="40E53829">
                  <w:pPr>
                    <w:adjustRightInd w:val="0"/>
                    <w:spacing w:line="320" w:lineRule="exact"/>
                    <w:jc w:val="center"/>
                    <w:rPr>
                      <w:szCs w:val="21"/>
                    </w:rPr>
                  </w:pPr>
                  <w:r>
                    <w:rPr>
                      <w:szCs w:val="21"/>
                    </w:rPr>
                    <w:t>COD</w:t>
                  </w:r>
                </w:p>
              </w:tc>
              <w:tc>
                <w:tcPr>
                  <w:tcW w:w="563" w:type="pct"/>
                  <w:tcBorders>
                    <w:tl2br w:val="nil"/>
                    <w:tr2bl w:val="nil"/>
                  </w:tcBorders>
                  <w:tcMar>
                    <w:left w:w="28" w:type="dxa"/>
                    <w:right w:w="28" w:type="dxa"/>
                  </w:tcMar>
                  <w:vAlign w:val="center"/>
                </w:tcPr>
                <w:p w14:paraId="74DE9D88">
                  <w:pPr>
                    <w:spacing w:line="320" w:lineRule="exact"/>
                    <w:jc w:val="center"/>
                    <w:rPr>
                      <w:szCs w:val="21"/>
                    </w:rPr>
                  </w:pPr>
                  <w:r>
                    <w:rPr>
                      <w:szCs w:val="21"/>
                    </w:rPr>
                    <w:t>50</w:t>
                  </w:r>
                </w:p>
              </w:tc>
              <w:tc>
                <w:tcPr>
                  <w:tcW w:w="736" w:type="dxa"/>
                  <w:tcBorders>
                    <w:tl2br w:val="nil"/>
                    <w:tr2bl w:val="nil"/>
                  </w:tcBorders>
                  <w:tcMar>
                    <w:left w:w="28" w:type="dxa"/>
                    <w:right w:w="28" w:type="dxa"/>
                  </w:tcMar>
                  <w:vAlign w:val="center"/>
                </w:tcPr>
                <w:p w14:paraId="1EC4AB4B">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0.03</w:t>
                  </w:r>
                </w:p>
              </w:tc>
            </w:tr>
            <w:tr w14:paraId="015E01B3">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58" w:hRule="atLeast"/>
                <w:jc w:val="center"/>
              </w:trPr>
              <w:tc>
                <w:tcPr>
                  <w:tcW w:w="390" w:type="pct"/>
                  <w:vMerge w:val="continue"/>
                  <w:tcBorders>
                    <w:tl2br w:val="nil"/>
                    <w:tr2bl w:val="nil"/>
                  </w:tcBorders>
                  <w:vAlign w:val="center"/>
                </w:tcPr>
                <w:p w14:paraId="01A97246">
                  <w:pPr>
                    <w:adjustRightInd w:val="0"/>
                    <w:spacing w:line="320" w:lineRule="exact"/>
                    <w:jc w:val="center"/>
                    <w:rPr>
                      <w:szCs w:val="21"/>
                    </w:rPr>
                  </w:pPr>
                </w:p>
              </w:tc>
              <w:tc>
                <w:tcPr>
                  <w:tcW w:w="430" w:type="pct"/>
                  <w:tcBorders>
                    <w:tl2br w:val="nil"/>
                    <w:tr2bl w:val="nil"/>
                  </w:tcBorders>
                  <w:tcMar>
                    <w:left w:w="28" w:type="dxa"/>
                    <w:right w:w="28" w:type="dxa"/>
                  </w:tcMar>
                  <w:vAlign w:val="center"/>
                </w:tcPr>
                <w:p w14:paraId="6F99AF21">
                  <w:pPr>
                    <w:adjustRightInd w:val="0"/>
                    <w:spacing w:line="320" w:lineRule="exact"/>
                    <w:jc w:val="center"/>
                    <w:rPr>
                      <w:szCs w:val="21"/>
                    </w:rPr>
                  </w:pPr>
                  <w:r>
                    <w:rPr>
                      <w:szCs w:val="21"/>
                    </w:rPr>
                    <w:t>BOD</w:t>
                  </w:r>
                  <w:r>
                    <w:rPr>
                      <w:szCs w:val="21"/>
                      <w:vertAlign w:val="subscript"/>
                    </w:rPr>
                    <w:t>5</w:t>
                  </w:r>
                </w:p>
              </w:tc>
              <w:tc>
                <w:tcPr>
                  <w:tcW w:w="563" w:type="pct"/>
                  <w:tcBorders>
                    <w:tl2br w:val="nil"/>
                    <w:tr2bl w:val="nil"/>
                  </w:tcBorders>
                  <w:tcMar>
                    <w:left w:w="28" w:type="dxa"/>
                    <w:right w:w="28" w:type="dxa"/>
                  </w:tcMar>
                  <w:vAlign w:val="center"/>
                </w:tcPr>
                <w:p w14:paraId="039FD3A0">
                  <w:pPr>
                    <w:adjustRightInd w:val="0"/>
                    <w:spacing w:line="320" w:lineRule="exact"/>
                    <w:jc w:val="center"/>
                    <w:rPr>
                      <w:szCs w:val="21"/>
                    </w:rPr>
                  </w:pPr>
                  <w:r>
                    <w:rPr>
                      <w:szCs w:val="21"/>
                    </w:rPr>
                    <w:t>150</w:t>
                  </w:r>
                </w:p>
              </w:tc>
              <w:tc>
                <w:tcPr>
                  <w:tcW w:w="711" w:type="dxa"/>
                  <w:tcBorders>
                    <w:tl2br w:val="nil"/>
                    <w:tr2bl w:val="nil"/>
                  </w:tcBorders>
                  <w:tcMar>
                    <w:left w:w="28" w:type="dxa"/>
                    <w:right w:w="28" w:type="dxa"/>
                  </w:tcMar>
                  <w:vAlign w:val="center"/>
                </w:tcPr>
                <w:p w14:paraId="55874A3B">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0.09</w:t>
                  </w:r>
                </w:p>
              </w:tc>
              <w:tc>
                <w:tcPr>
                  <w:tcW w:w="265" w:type="pct"/>
                  <w:vMerge w:val="continue"/>
                  <w:tcBorders>
                    <w:tl2br w:val="nil"/>
                    <w:tr2bl w:val="nil"/>
                  </w:tcBorders>
                  <w:tcMar>
                    <w:left w:w="28" w:type="dxa"/>
                    <w:right w:w="28" w:type="dxa"/>
                  </w:tcMar>
                  <w:vAlign w:val="center"/>
                </w:tcPr>
                <w:p w14:paraId="1FC4F7BA">
                  <w:pPr>
                    <w:adjustRightInd w:val="0"/>
                    <w:spacing w:line="320" w:lineRule="exact"/>
                    <w:jc w:val="center"/>
                    <w:rPr>
                      <w:szCs w:val="21"/>
                    </w:rPr>
                  </w:pPr>
                </w:p>
              </w:tc>
              <w:tc>
                <w:tcPr>
                  <w:tcW w:w="471" w:type="pct"/>
                  <w:tcBorders>
                    <w:tl2br w:val="nil"/>
                    <w:tr2bl w:val="nil"/>
                  </w:tcBorders>
                  <w:tcMar>
                    <w:left w:w="28" w:type="dxa"/>
                    <w:right w:w="28" w:type="dxa"/>
                  </w:tcMar>
                  <w:vAlign w:val="center"/>
                </w:tcPr>
                <w:p w14:paraId="2BFB753D">
                  <w:pPr>
                    <w:adjustRightInd w:val="0"/>
                    <w:spacing w:line="320" w:lineRule="exact"/>
                    <w:jc w:val="center"/>
                    <w:rPr>
                      <w:szCs w:val="21"/>
                    </w:rPr>
                  </w:pPr>
                  <w:r>
                    <w:rPr>
                      <w:szCs w:val="21"/>
                    </w:rPr>
                    <w:t>BOD</w:t>
                  </w:r>
                  <w:r>
                    <w:rPr>
                      <w:szCs w:val="21"/>
                      <w:vertAlign w:val="subscript"/>
                    </w:rPr>
                    <w:t>5</w:t>
                  </w:r>
                </w:p>
              </w:tc>
              <w:tc>
                <w:tcPr>
                  <w:tcW w:w="563" w:type="pct"/>
                  <w:tcBorders>
                    <w:tl2br w:val="nil"/>
                    <w:tr2bl w:val="nil"/>
                  </w:tcBorders>
                  <w:tcMar>
                    <w:left w:w="28" w:type="dxa"/>
                    <w:right w:w="28" w:type="dxa"/>
                  </w:tcMar>
                  <w:vAlign w:val="center"/>
                </w:tcPr>
                <w:p w14:paraId="193C093D">
                  <w:pPr>
                    <w:adjustRightInd w:val="0"/>
                    <w:spacing w:line="320" w:lineRule="exact"/>
                    <w:jc w:val="center"/>
                    <w:rPr>
                      <w:szCs w:val="21"/>
                    </w:rPr>
                  </w:pPr>
                  <w:r>
                    <w:rPr>
                      <w:szCs w:val="21"/>
                    </w:rPr>
                    <w:t>1</w:t>
                  </w:r>
                  <w:r>
                    <w:rPr>
                      <w:rFonts w:hint="eastAsia"/>
                      <w:szCs w:val="21"/>
                    </w:rPr>
                    <w:t>37</w:t>
                  </w:r>
                </w:p>
              </w:tc>
              <w:tc>
                <w:tcPr>
                  <w:tcW w:w="782" w:type="dxa"/>
                  <w:tcBorders>
                    <w:tl2br w:val="nil"/>
                    <w:tr2bl w:val="nil"/>
                  </w:tcBorders>
                  <w:tcMar>
                    <w:left w:w="28" w:type="dxa"/>
                    <w:right w:w="28" w:type="dxa"/>
                  </w:tcMar>
                  <w:vAlign w:val="center"/>
                </w:tcPr>
                <w:p w14:paraId="598FD8D9">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0.082</w:t>
                  </w:r>
                </w:p>
              </w:tc>
              <w:tc>
                <w:tcPr>
                  <w:tcW w:w="434" w:type="pct"/>
                  <w:tcBorders>
                    <w:tl2br w:val="nil"/>
                    <w:tr2bl w:val="nil"/>
                  </w:tcBorders>
                  <w:tcMar>
                    <w:left w:w="28" w:type="dxa"/>
                    <w:right w:w="28" w:type="dxa"/>
                  </w:tcMar>
                  <w:vAlign w:val="center"/>
                </w:tcPr>
                <w:p w14:paraId="40BD9A2E">
                  <w:pPr>
                    <w:adjustRightInd w:val="0"/>
                    <w:spacing w:line="320" w:lineRule="exact"/>
                    <w:jc w:val="center"/>
                    <w:rPr>
                      <w:szCs w:val="21"/>
                    </w:rPr>
                  </w:pPr>
                  <w:r>
                    <w:rPr>
                      <w:szCs w:val="21"/>
                    </w:rPr>
                    <w:t>BOD</w:t>
                  </w:r>
                  <w:r>
                    <w:rPr>
                      <w:szCs w:val="21"/>
                      <w:vertAlign w:val="subscript"/>
                    </w:rPr>
                    <w:t>5</w:t>
                  </w:r>
                </w:p>
              </w:tc>
              <w:tc>
                <w:tcPr>
                  <w:tcW w:w="563" w:type="pct"/>
                  <w:tcBorders>
                    <w:tl2br w:val="nil"/>
                    <w:tr2bl w:val="nil"/>
                  </w:tcBorders>
                  <w:tcMar>
                    <w:left w:w="28" w:type="dxa"/>
                    <w:right w:w="28" w:type="dxa"/>
                  </w:tcMar>
                  <w:vAlign w:val="center"/>
                </w:tcPr>
                <w:p w14:paraId="5A70D88C">
                  <w:pPr>
                    <w:spacing w:line="320" w:lineRule="exact"/>
                    <w:jc w:val="center"/>
                    <w:rPr>
                      <w:szCs w:val="21"/>
                    </w:rPr>
                  </w:pPr>
                  <w:r>
                    <w:rPr>
                      <w:szCs w:val="21"/>
                    </w:rPr>
                    <w:t>10</w:t>
                  </w:r>
                </w:p>
              </w:tc>
              <w:tc>
                <w:tcPr>
                  <w:tcW w:w="736" w:type="dxa"/>
                  <w:tcBorders>
                    <w:tl2br w:val="nil"/>
                    <w:tr2bl w:val="nil"/>
                  </w:tcBorders>
                  <w:tcMar>
                    <w:left w:w="28" w:type="dxa"/>
                    <w:right w:w="28" w:type="dxa"/>
                  </w:tcMar>
                  <w:vAlign w:val="center"/>
                </w:tcPr>
                <w:p w14:paraId="479EA707">
                  <w:pPr>
                    <w:keepNext w:val="0"/>
                    <w:keepLines w:val="0"/>
                    <w:widowControl/>
                    <w:suppressLineNumbers w:val="0"/>
                    <w:jc w:val="center"/>
                    <w:textAlignment w:val="center"/>
                  </w:pPr>
                  <w:r>
                    <w:rPr>
                      <w:rFonts w:hint="default" w:ascii="Times New Roman" w:hAnsi="Times New Roman" w:eastAsia="宋体" w:cs="Times New Roman"/>
                      <w:i w:val="0"/>
                      <w:iCs w:val="0"/>
                      <w:color w:val="000000"/>
                      <w:kern w:val="0"/>
                      <w:sz w:val="21"/>
                      <w:szCs w:val="21"/>
                      <w:u w:val="none"/>
                      <w:lang w:val="en-US" w:eastAsia="zh-CN" w:bidi="ar"/>
                    </w:rPr>
                    <w:t>0.006</w:t>
                  </w:r>
                </w:p>
              </w:tc>
            </w:tr>
            <w:tr w14:paraId="1C1CC5A6">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58" w:hRule="atLeast"/>
                <w:jc w:val="center"/>
              </w:trPr>
              <w:tc>
                <w:tcPr>
                  <w:tcW w:w="390" w:type="pct"/>
                  <w:vMerge w:val="continue"/>
                  <w:tcBorders>
                    <w:tl2br w:val="nil"/>
                    <w:tr2bl w:val="nil"/>
                  </w:tcBorders>
                  <w:vAlign w:val="center"/>
                </w:tcPr>
                <w:p w14:paraId="6B54B576">
                  <w:pPr>
                    <w:adjustRightInd w:val="0"/>
                    <w:spacing w:line="320" w:lineRule="exact"/>
                    <w:jc w:val="center"/>
                    <w:rPr>
                      <w:szCs w:val="21"/>
                    </w:rPr>
                  </w:pPr>
                </w:p>
              </w:tc>
              <w:tc>
                <w:tcPr>
                  <w:tcW w:w="430" w:type="pct"/>
                  <w:tcBorders>
                    <w:tl2br w:val="nil"/>
                    <w:tr2bl w:val="nil"/>
                  </w:tcBorders>
                  <w:tcMar>
                    <w:left w:w="28" w:type="dxa"/>
                    <w:right w:w="28" w:type="dxa"/>
                  </w:tcMar>
                  <w:vAlign w:val="center"/>
                </w:tcPr>
                <w:p w14:paraId="103A978E">
                  <w:pPr>
                    <w:adjustRightInd w:val="0"/>
                    <w:spacing w:line="320" w:lineRule="exact"/>
                    <w:jc w:val="center"/>
                    <w:rPr>
                      <w:szCs w:val="21"/>
                    </w:rPr>
                  </w:pPr>
                  <w:r>
                    <w:rPr>
                      <w:szCs w:val="21"/>
                    </w:rPr>
                    <w:t>SS</w:t>
                  </w:r>
                </w:p>
              </w:tc>
              <w:tc>
                <w:tcPr>
                  <w:tcW w:w="563" w:type="pct"/>
                  <w:tcBorders>
                    <w:tl2br w:val="nil"/>
                    <w:tr2bl w:val="nil"/>
                  </w:tcBorders>
                  <w:tcMar>
                    <w:left w:w="28" w:type="dxa"/>
                    <w:right w:w="28" w:type="dxa"/>
                  </w:tcMar>
                  <w:vAlign w:val="center"/>
                </w:tcPr>
                <w:p w14:paraId="72C8364B">
                  <w:pPr>
                    <w:adjustRightInd w:val="0"/>
                    <w:spacing w:line="320" w:lineRule="exact"/>
                    <w:jc w:val="center"/>
                    <w:rPr>
                      <w:szCs w:val="21"/>
                    </w:rPr>
                  </w:pPr>
                  <w:r>
                    <w:rPr>
                      <w:szCs w:val="21"/>
                    </w:rPr>
                    <w:t>200</w:t>
                  </w:r>
                </w:p>
              </w:tc>
              <w:tc>
                <w:tcPr>
                  <w:tcW w:w="711" w:type="dxa"/>
                  <w:tcBorders>
                    <w:tl2br w:val="nil"/>
                    <w:tr2bl w:val="nil"/>
                  </w:tcBorders>
                  <w:tcMar>
                    <w:left w:w="28" w:type="dxa"/>
                    <w:right w:w="28" w:type="dxa"/>
                  </w:tcMar>
                  <w:vAlign w:val="center"/>
                </w:tcPr>
                <w:p w14:paraId="42BCF91E">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0.12</w:t>
                  </w:r>
                </w:p>
              </w:tc>
              <w:tc>
                <w:tcPr>
                  <w:tcW w:w="265" w:type="pct"/>
                  <w:vMerge w:val="continue"/>
                  <w:tcBorders>
                    <w:tl2br w:val="nil"/>
                    <w:tr2bl w:val="nil"/>
                  </w:tcBorders>
                  <w:tcMar>
                    <w:left w:w="28" w:type="dxa"/>
                    <w:right w:w="28" w:type="dxa"/>
                  </w:tcMar>
                  <w:vAlign w:val="center"/>
                </w:tcPr>
                <w:p w14:paraId="2734E3A1">
                  <w:pPr>
                    <w:adjustRightInd w:val="0"/>
                    <w:spacing w:line="320" w:lineRule="exact"/>
                    <w:jc w:val="center"/>
                    <w:rPr>
                      <w:szCs w:val="21"/>
                    </w:rPr>
                  </w:pPr>
                </w:p>
              </w:tc>
              <w:tc>
                <w:tcPr>
                  <w:tcW w:w="471" w:type="pct"/>
                  <w:tcBorders>
                    <w:tl2br w:val="nil"/>
                    <w:tr2bl w:val="nil"/>
                  </w:tcBorders>
                  <w:tcMar>
                    <w:left w:w="28" w:type="dxa"/>
                    <w:right w:w="28" w:type="dxa"/>
                  </w:tcMar>
                  <w:vAlign w:val="center"/>
                </w:tcPr>
                <w:p w14:paraId="198F06F9">
                  <w:pPr>
                    <w:adjustRightInd w:val="0"/>
                    <w:spacing w:line="320" w:lineRule="exact"/>
                    <w:jc w:val="center"/>
                    <w:rPr>
                      <w:szCs w:val="21"/>
                    </w:rPr>
                  </w:pPr>
                  <w:r>
                    <w:rPr>
                      <w:szCs w:val="21"/>
                    </w:rPr>
                    <w:t>SS</w:t>
                  </w:r>
                </w:p>
              </w:tc>
              <w:tc>
                <w:tcPr>
                  <w:tcW w:w="563" w:type="pct"/>
                  <w:tcBorders>
                    <w:tl2br w:val="nil"/>
                    <w:tr2bl w:val="nil"/>
                  </w:tcBorders>
                  <w:tcMar>
                    <w:left w:w="28" w:type="dxa"/>
                    <w:right w:w="28" w:type="dxa"/>
                  </w:tcMar>
                  <w:vAlign w:val="center"/>
                </w:tcPr>
                <w:p w14:paraId="56E124B4">
                  <w:pPr>
                    <w:adjustRightInd w:val="0"/>
                    <w:spacing w:line="320" w:lineRule="exact"/>
                    <w:jc w:val="center"/>
                    <w:rPr>
                      <w:szCs w:val="21"/>
                    </w:rPr>
                  </w:pPr>
                  <w:r>
                    <w:rPr>
                      <w:szCs w:val="21"/>
                    </w:rPr>
                    <w:t>1</w:t>
                  </w:r>
                  <w:r>
                    <w:rPr>
                      <w:rFonts w:hint="eastAsia"/>
                      <w:szCs w:val="21"/>
                    </w:rPr>
                    <w:t>4</w:t>
                  </w:r>
                  <w:r>
                    <w:rPr>
                      <w:szCs w:val="21"/>
                    </w:rPr>
                    <w:t>0</w:t>
                  </w:r>
                </w:p>
              </w:tc>
              <w:tc>
                <w:tcPr>
                  <w:tcW w:w="782" w:type="dxa"/>
                  <w:tcBorders>
                    <w:tl2br w:val="nil"/>
                    <w:tr2bl w:val="nil"/>
                  </w:tcBorders>
                  <w:tcMar>
                    <w:left w:w="28" w:type="dxa"/>
                    <w:right w:w="28" w:type="dxa"/>
                  </w:tcMar>
                  <w:vAlign w:val="center"/>
                </w:tcPr>
                <w:p w14:paraId="3B722B6F">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0.084</w:t>
                  </w:r>
                </w:p>
              </w:tc>
              <w:tc>
                <w:tcPr>
                  <w:tcW w:w="434" w:type="pct"/>
                  <w:tcBorders>
                    <w:tl2br w:val="nil"/>
                    <w:tr2bl w:val="nil"/>
                  </w:tcBorders>
                  <w:tcMar>
                    <w:left w:w="28" w:type="dxa"/>
                    <w:right w:w="28" w:type="dxa"/>
                  </w:tcMar>
                  <w:vAlign w:val="center"/>
                </w:tcPr>
                <w:p w14:paraId="01D6A71B">
                  <w:pPr>
                    <w:adjustRightInd w:val="0"/>
                    <w:spacing w:line="320" w:lineRule="exact"/>
                    <w:jc w:val="center"/>
                    <w:rPr>
                      <w:szCs w:val="21"/>
                    </w:rPr>
                  </w:pPr>
                  <w:r>
                    <w:rPr>
                      <w:szCs w:val="21"/>
                    </w:rPr>
                    <w:t>SS</w:t>
                  </w:r>
                </w:p>
              </w:tc>
              <w:tc>
                <w:tcPr>
                  <w:tcW w:w="563" w:type="pct"/>
                  <w:tcBorders>
                    <w:tl2br w:val="nil"/>
                    <w:tr2bl w:val="nil"/>
                  </w:tcBorders>
                  <w:tcMar>
                    <w:left w:w="28" w:type="dxa"/>
                    <w:right w:w="28" w:type="dxa"/>
                  </w:tcMar>
                  <w:vAlign w:val="center"/>
                </w:tcPr>
                <w:p w14:paraId="7BB2C6D8">
                  <w:pPr>
                    <w:spacing w:line="320" w:lineRule="exact"/>
                    <w:jc w:val="center"/>
                    <w:rPr>
                      <w:szCs w:val="21"/>
                    </w:rPr>
                  </w:pPr>
                  <w:r>
                    <w:rPr>
                      <w:szCs w:val="21"/>
                    </w:rPr>
                    <w:t>10</w:t>
                  </w:r>
                </w:p>
              </w:tc>
              <w:tc>
                <w:tcPr>
                  <w:tcW w:w="736" w:type="dxa"/>
                  <w:tcBorders>
                    <w:tl2br w:val="nil"/>
                    <w:tr2bl w:val="nil"/>
                  </w:tcBorders>
                  <w:tcMar>
                    <w:left w:w="28" w:type="dxa"/>
                    <w:right w:w="28" w:type="dxa"/>
                  </w:tcMar>
                  <w:vAlign w:val="center"/>
                </w:tcPr>
                <w:p w14:paraId="2E061422">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0.006</w:t>
                  </w:r>
                </w:p>
              </w:tc>
            </w:tr>
            <w:tr w14:paraId="3240529A">
              <w:tblPrEx>
                <w:tblBorders>
                  <w:top w:val="single" w:color="auto" w:sz="12" w:space="0"/>
                  <w:left w:val="dotted" w:color="auto" w:sz="4" w:space="0"/>
                  <w:bottom w:val="single" w:color="auto" w:sz="12" w:space="0"/>
                  <w:right w:val="dotted" w:color="auto" w:sz="4" w:space="0"/>
                  <w:insideH w:val="single" w:color="auto" w:sz="6" w:space="0"/>
                  <w:insideV w:val="single" w:color="auto" w:sz="6" w:space="0"/>
                </w:tblBorders>
                <w:tblCellMar>
                  <w:top w:w="0" w:type="dxa"/>
                  <w:left w:w="108" w:type="dxa"/>
                  <w:bottom w:w="0" w:type="dxa"/>
                  <w:right w:w="108" w:type="dxa"/>
                </w:tblCellMar>
              </w:tblPrEx>
              <w:trPr>
                <w:trHeight w:val="62" w:hRule="atLeast"/>
                <w:jc w:val="center"/>
              </w:trPr>
              <w:tc>
                <w:tcPr>
                  <w:tcW w:w="390" w:type="pct"/>
                  <w:vMerge w:val="continue"/>
                  <w:tcBorders>
                    <w:tl2br w:val="nil"/>
                    <w:tr2bl w:val="nil"/>
                  </w:tcBorders>
                  <w:vAlign w:val="center"/>
                </w:tcPr>
                <w:p w14:paraId="54D0C688">
                  <w:pPr>
                    <w:adjustRightInd w:val="0"/>
                    <w:spacing w:line="320" w:lineRule="exact"/>
                    <w:jc w:val="center"/>
                    <w:rPr>
                      <w:szCs w:val="21"/>
                    </w:rPr>
                  </w:pPr>
                </w:p>
              </w:tc>
              <w:tc>
                <w:tcPr>
                  <w:tcW w:w="430" w:type="pct"/>
                  <w:tcBorders>
                    <w:tl2br w:val="nil"/>
                    <w:tr2bl w:val="nil"/>
                  </w:tcBorders>
                  <w:tcMar>
                    <w:left w:w="28" w:type="dxa"/>
                    <w:right w:w="28" w:type="dxa"/>
                  </w:tcMar>
                  <w:vAlign w:val="center"/>
                </w:tcPr>
                <w:p w14:paraId="36F488A0">
                  <w:pPr>
                    <w:adjustRightInd w:val="0"/>
                    <w:spacing w:line="320" w:lineRule="exact"/>
                    <w:jc w:val="center"/>
                    <w:rPr>
                      <w:szCs w:val="21"/>
                    </w:rPr>
                  </w:pPr>
                  <w:r>
                    <w:rPr>
                      <w:szCs w:val="21"/>
                    </w:rPr>
                    <w:t>氨氮</w:t>
                  </w:r>
                </w:p>
              </w:tc>
              <w:tc>
                <w:tcPr>
                  <w:tcW w:w="563" w:type="pct"/>
                  <w:tcBorders>
                    <w:tl2br w:val="nil"/>
                    <w:tr2bl w:val="nil"/>
                  </w:tcBorders>
                  <w:tcMar>
                    <w:left w:w="28" w:type="dxa"/>
                    <w:right w:w="28" w:type="dxa"/>
                  </w:tcMar>
                  <w:vAlign w:val="center"/>
                </w:tcPr>
                <w:p w14:paraId="6072BE26">
                  <w:pPr>
                    <w:adjustRightInd w:val="0"/>
                    <w:spacing w:line="320" w:lineRule="exact"/>
                    <w:jc w:val="center"/>
                    <w:rPr>
                      <w:szCs w:val="21"/>
                    </w:rPr>
                  </w:pPr>
                  <w:r>
                    <w:rPr>
                      <w:szCs w:val="21"/>
                    </w:rPr>
                    <w:t>25</w:t>
                  </w:r>
                </w:p>
              </w:tc>
              <w:tc>
                <w:tcPr>
                  <w:tcW w:w="711" w:type="dxa"/>
                  <w:tcBorders>
                    <w:tl2br w:val="nil"/>
                    <w:tr2bl w:val="nil"/>
                  </w:tcBorders>
                  <w:tcMar>
                    <w:left w:w="28" w:type="dxa"/>
                    <w:right w:w="28" w:type="dxa"/>
                  </w:tcMar>
                  <w:vAlign w:val="center"/>
                </w:tcPr>
                <w:p w14:paraId="67E78B94">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0.015</w:t>
                  </w:r>
                </w:p>
              </w:tc>
              <w:tc>
                <w:tcPr>
                  <w:tcW w:w="265" w:type="pct"/>
                  <w:vMerge w:val="continue"/>
                  <w:tcBorders>
                    <w:tl2br w:val="nil"/>
                    <w:tr2bl w:val="nil"/>
                  </w:tcBorders>
                  <w:tcMar>
                    <w:left w:w="28" w:type="dxa"/>
                    <w:right w:w="28" w:type="dxa"/>
                  </w:tcMar>
                  <w:vAlign w:val="center"/>
                </w:tcPr>
                <w:p w14:paraId="19817416">
                  <w:pPr>
                    <w:adjustRightInd w:val="0"/>
                    <w:spacing w:line="320" w:lineRule="exact"/>
                    <w:jc w:val="center"/>
                    <w:rPr>
                      <w:szCs w:val="21"/>
                    </w:rPr>
                  </w:pPr>
                </w:p>
              </w:tc>
              <w:tc>
                <w:tcPr>
                  <w:tcW w:w="471" w:type="pct"/>
                  <w:tcBorders>
                    <w:tl2br w:val="nil"/>
                    <w:tr2bl w:val="nil"/>
                  </w:tcBorders>
                  <w:tcMar>
                    <w:left w:w="28" w:type="dxa"/>
                    <w:right w:w="28" w:type="dxa"/>
                  </w:tcMar>
                  <w:vAlign w:val="center"/>
                </w:tcPr>
                <w:p w14:paraId="1D39643B">
                  <w:pPr>
                    <w:adjustRightInd w:val="0"/>
                    <w:spacing w:line="320" w:lineRule="exact"/>
                    <w:jc w:val="center"/>
                    <w:rPr>
                      <w:szCs w:val="21"/>
                    </w:rPr>
                  </w:pPr>
                  <w:r>
                    <w:rPr>
                      <w:szCs w:val="21"/>
                    </w:rPr>
                    <w:t>氨氮</w:t>
                  </w:r>
                </w:p>
              </w:tc>
              <w:tc>
                <w:tcPr>
                  <w:tcW w:w="563" w:type="pct"/>
                  <w:tcBorders>
                    <w:tl2br w:val="nil"/>
                    <w:tr2bl w:val="nil"/>
                  </w:tcBorders>
                  <w:tcMar>
                    <w:left w:w="28" w:type="dxa"/>
                    <w:right w:w="28" w:type="dxa"/>
                  </w:tcMar>
                  <w:vAlign w:val="center"/>
                </w:tcPr>
                <w:p w14:paraId="1D5153CB">
                  <w:pPr>
                    <w:adjustRightInd w:val="0"/>
                    <w:spacing w:line="320" w:lineRule="exact"/>
                    <w:jc w:val="center"/>
                    <w:rPr>
                      <w:szCs w:val="21"/>
                    </w:rPr>
                  </w:pPr>
                  <w:r>
                    <w:rPr>
                      <w:szCs w:val="21"/>
                    </w:rPr>
                    <w:t>2</w:t>
                  </w:r>
                  <w:r>
                    <w:rPr>
                      <w:rFonts w:hint="eastAsia"/>
                      <w:szCs w:val="21"/>
                    </w:rPr>
                    <w:t>4</w:t>
                  </w:r>
                </w:p>
              </w:tc>
              <w:tc>
                <w:tcPr>
                  <w:tcW w:w="782" w:type="dxa"/>
                  <w:tcBorders>
                    <w:tl2br w:val="nil"/>
                    <w:tr2bl w:val="nil"/>
                  </w:tcBorders>
                  <w:tcMar>
                    <w:left w:w="28" w:type="dxa"/>
                    <w:right w:w="28" w:type="dxa"/>
                  </w:tcMar>
                  <w:vAlign w:val="center"/>
                </w:tcPr>
                <w:p w14:paraId="04DF6DAE">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0.014</w:t>
                  </w:r>
                </w:p>
              </w:tc>
              <w:tc>
                <w:tcPr>
                  <w:tcW w:w="434" w:type="pct"/>
                  <w:tcBorders>
                    <w:tl2br w:val="nil"/>
                    <w:tr2bl w:val="nil"/>
                  </w:tcBorders>
                  <w:tcMar>
                    <w:left w:w="28" w:type="dxa"/>
                    <w:right w:w="28" w:type="dxa"/>
                  </w:tcMar>
                  <w:vAlign w:val="center"/>
                </w:tcPr>
                <w:p w14:paraId="50EF8557">
                  <w:pPr>
                    <w:adjustRightInd w:val="0"/>
                    <w:spacing w:line="320" w:lineRule="exact"/>
                    <w:jc w:val="center"/>
                    <w:rPr>
                      <w:szCs w:val="21"/>
                    </w:rPr>
                  </w:pPr>
                  <w:r>
                    <w:rPr>
                      <w:szCs w:val="21"/>
                    </w:rPr>
                    <w:t>氨氮</w:t>
                  </w:r>
                </w:p>
              </w:tc>
              <w:tc>
                <w:tcPr>
                  <w:tcW w:w="563" w:type="pct"/>
                  <w:tcBorders>
                    <w:tl2br w:val="nil"/>
                    <w:tr2bl w:val="nil"/>
                  </w:tcBorders>
                  <w:tcMar>
                    <w:left w:w="28" w:type="dxa"/>
                    <w:right w:w="28" w:type="dxa"/>
                  </w:tcMar>
                  <w:vAlign w:val="center"/>
                </w:tcPr>
                <w:p w14:paraId="4780564F">
                  <w:pPr>
                    <w:spacing w:line="320" w:lineRule="exact"/>
                    <w:jc w:val="center"/>
                    <w:rPr>
                      <w:szCs w:val="21"/>
                    </w:rPr>
                  </w:pPr>
                  <w:r>
                    <w:rPr>
                      <w:rFonts w:hint="eastAsia"/>
                      <w:szCs w:val="21"/>
                    </w:rPr>
                    <w:t>5</w:t>
                  </w:r>
                </w:p>
              </w:tc>
              <w:tc>
                <w:tcPr>
                  <w:tcW w:w="736" w:type="dxa"/>
                  <w:tcBorders>
                    <w:tl2br w:val="nil"/>
                    <w:tr2bl w:val="nil"/>
                  </w:tcBorders>
                  <w:tcMar>
                    <w:left w:w="28" w:type="dxa"/>
                    <w:right w:w="28" w:type="dxa"/>
                  </w:tcMar>
                  <w:vAlign w:val="center"/>
                </w:tcPr>
                <w:p w14:paraId="60F2A07E">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0.003</w:t>
                  </w:r>
                </w:p>
              </w:tc>
            </w:tr>
          </w:tbl>
          <w:p w14:paraId="3F4FA00B">
            <w:pPr>
              <w:autoSpaceDE w:val="0"/>
              <w:autoSpaceDN w:val="0"/>
              <w:adjustRightInd w:val="0"/>
              <w:spacing w:line="460" w:lineRule="exact"/>
              <w:ind w:firstLine="723" w:firstLineChars="300"/>
              <w:rPr>
                <w:rFonts w:cs="宋体"/>
                <w:b/>
                <w:bCs/>
                <w:sz w:val="24"/>
              </w:rPr>
            </w:pPr>
            <w:r>
              <w:rPr>
                <w:rFonts w:hint="eastAsia" w:cs="宋体"/>
                <w:b/>
                <w:bCs/>
                <w:sz w:val="24"/>
              </w:rPr>
              <w:t>2、水环境影响分析</w:t>
            </w:r>
          </w:p>
          <w:p w14:paraId="269A9836">
            <w:pPr>
              <w:adjustRightInd w:val="0"/>
              <w:spacing w:line="460" w:lineRule="exact"/>
              <w:ind w:firstLine="482"/>
              <w:rPr>
                <w:b/>
                <w:sz w:val="24"/>
              </w:rPr>
            </w:pPr>
            <w:r>
              <w:rPr>
                <w:rFonts w:hint="eastAsia"/>
                <w:bCs/>
                <w:sz w:val="24"/>
              </w:rPr>
              <w:t>（1）污水排放去向</w:t>
            </w:r>
          </w:p>
          <w:p w14:paraId="46B085AB">
            <w:pPr>
              <w:spacing w:line="46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项目所在区域污水属于</w:t>
            </w:r>
            <w:r>
              <w:rPr>
                <w:rFonts w:hint="eastAsia"/>
                <w:color w:val="000000" w:themeColor="text1"/>
                <w:sz w:val="24"/>
                <w14:textFill>
                  <w14:solidFill>
                    <w14:schemeClr w14:val="tx1"/>
                  </w14:solidFill>
                </w14:textFill>
              </w:rPr>
              <w:t>城东污水处理厂</w:t>
            </w:r>
            <w:r>
              <w:rPr>
                <w:color w:val="000000" w:themeColor="text1"/>
                <w:sz w:val="24"/>
                <w14:textFill>
                  <w14:solidFill>
                    <w14:schemeClr w14:val="tx1"/>
                  </w14:solidFill>
                </w14:textFill>
              </w:rPr>
              <w:t>收水范围，项目污水排入</w:t>
            </w:r>
            <w:r>
              <w:rPr>
                <w:rFonts w:hint="eastAsia"/>
                <w:color w:val="000000" w:themeColor="text1"/>
                <w:sz w:val="24"/>
                <w14:textFill>
                  <w14:solidFill>
                    <w14:schemeClr w14:val="tx1"/>
                  </w14:solidFill>
                </w14:textFill>
              </w:rPr>
              <w:t>城东污水处理厂。</w:t>
            </w:r>
            <w:r>
              <w:rPr>
                <w:color w:val="000000" w:themeColor="text1"/>
                <w:sz w:val="24"/>
                <w14:textFill>
                  <w14:solidFill>
                    <w14:schemeClr w14:val="tx1"/>
                  </w14:solidFill>
                </w14:textFill>
              </w:rPr>
              <w:t xml:space="preserve"> </w:t>
            </w:r>
          </w:p>
          <w:p w14:paraId="13362A4D">
            <w:pPr>
              <w:spacing w:line="46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color w:val="000000" w:themeColor="text1"/>
                <w:sz w:val="24"/>
                <w14:textFill>
                  <w14:solidFill>
                    <w14:schemeClr w14:val="tx1"/>
                  </w14:solidFill>
                </w14:textFill>
              </w:rPr>
              <w:t>产生的</w:t>
            </w:r>
            <w:r>
              <w:rPr>
                <w:rFonts w:hint="eastAsia"/>
                <w:color w:val="000000" w:themeColor="text1"/>
                <w:sz w:val="24"/>
                <w14:textFill>
                  <w14:solidFill>
                    <w14:schemeClr w14:val="tx1"/>
                  </w14:solidFill>
                </w14:textFill>
              </w:rPr>
              <w:t>生活</w:t>
            </w:r>
            <w:r>
              <w:rPr>
                <w:color w:val="000000" w:themeColor="text1"/>
                <w:sz w:val="24"/>
                <w14:textFill>
                  <w14:solidFill>
                    <w14:schemeClr w14:val="tx1"/>
                  </w14:solidFill>
                </w14:textFill>
              </w:rPr>
              <w:t>污水</w:t>
            </w:r>
            <w:r>
              <w:rPr>
                <w:rFonts w:hint="eastAsia"/>
                <w:color w:val="000000" w:themeColor="text1"/>
                <w:sz w:val="24"/>
                <w14:textFill>
                  <w14:solidFill>
                    <w14:schemeClr w14:val="tx1"/>
                  </w14:solidFill>
                </w14:textFill>
              </w:rPr>
              <w:t>经</w:t>
            </w:r>
            <w:r>
              <w:rPr>
                <w:color w:val="000000" w:themeColor="text1"/>
                <w:sz w:val="24"/>
                <w14:textFill>
                  <w14:solidFill>
                    <w14:schemeClr w14:val="tx1"/>
                  </w14:solidFill>
                </w14:textFill>
              </w:rPr>
              <w:t>化粪池预处理后</w:t>
            </w:r>
            <w:r>
              <w:rPr>
                <w:rFonts w:hint="eastAsia"/>
                <w:color w:val="000000" w:themeColor="text1"/>
                <w:sz w:val="24"/>
                <w14:textFill>
                  <w14:solidFill>
                    <w14:schemeClr w14:val="tx1"/>
                  </w14:solidFill>
                </w14:textFill>
              </w:rPr>
              <w:t>，</w:t>
            </w:r>
            <w:r>
              <w:rPr>
                <w:rStyle w:val="32"/>
                <w:rFonts w:hint="eastAsia"/>
                <w:b w:val="0"/>
                <w:color w:val="000000" w:themeColor="text1"/>
                <w:sz w:val="24"/>
                <w14:textFill>
                  <w14:solidFill>
                    <w14:schemeClr w14:val="tx1"/>
                  </w14:solidFill>
                </w14:textFill>
              </w:rPr>
              <w:t>经由规范化污水接管口，</w:t>
            </w:r>
            <w:r>
              <w:rPr>
                <w:color w:val="000000" w:themeColor="text1"/>
                <w:sz w:val="24"/>
                <w14:textFill>
                  <w14:solidFill>
                    <w14:schemeClr w14:val="tx1"/>
                  </w14:solidFill>
                </w14:textFill>
              </w:rPr>
              <w:t>排入开发区污水管网，</w:t>
            </w:r>
            <w:r>
              <w:rPr>
                <w:rFonts w:hint="eastAsia"/>
                <w:color w:val="000000" w:themeColor="text1"/>
                <w:sz w:val="24"/>
                <w14:textFill>
                  <w14:solidFill>
                    <w14:schemeClr w14:val="tx1"/>
                  </w14:solidFill>
                </w14:textFill>
              </w:rPr>
              <w:t>进入城东污水处理厂进行处理，污水</w:t>
            </w:r>
            <w:r>
              <w:rPr>
                <w:color w:val="000000" w:themeColor="text1"/>
                <w:sz w:val="24"/>
                <w14:textFill>
                  <w14:solidFill>
                    <w14:schemeClr w14:val="tx1"/>
                  </w14:solidFill>
                </w14:textFill>
              </w:rPr>
              <w:t>经</w:t>
            </w:r>
            <w:r>
              <w:rPr>
                <w:rFonts w:hint="eastAsia"/>
                <w:color w:val="000000" w:themeColor="text1"/>
                <w:sz w:val="24"/>
                <w14:textFill>
                  <w14:solidFill>
                    <w14:schemeClr w14:val="tx1"/>
                  </w14:solidFill>
                </w14:textFill>
              </w:rPr>
              <w:t>城东污水处理厂</w:t>
            </w:r>
            <w:r>
              <w:rPr>
                <w:color w:val="000000" w:themeColor="text1"/>
                <w:sz w:val="24"/>
                <w14:textFill>
                  <w14:solidFill>
                    <w14:schemeClr w14:val="tx1"/>
                  </w14:solidFill>
                </w14:textFill>
              </w:rPr>
              <w:t>处理达到《城镇污水处理厂污染物排放标准》（GB18918-2002）一级</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标准后排入</w:t>
            </w:r>
            <w:r>
              <w:rPr>
                <w:rFonts w:hint="eastAsia"/>
                <w:color w:val="000000" w:themeColor="text1"/>
                <w:sz w:val="24"/>
                <w14:textFill>
                  <w14:solidFill>
                    <w14:schemeClr w14:val="tx1"/>
                  </w14:solidFill>
                </w14:textFill>
              </w:rPr>
              <w:t>青弋江</w:t>
            </w:r>
            <w:r>
              <w:rPr>
                <w:color w:val="000000" w:themeColor="text1"/>
                <w:sz w:val="24"/>
                <w14:textFill>
                  <w14:solidFill>
                    <w14:schemeClr w14:val="tx1"/>
                  </w14:solidFill>
                </w14:textFill>
              </w:rPr>
              <w:t>。</w:t>
            </w:r>
          </w:p>
          <w:p w14:paraId="302610D5">
            <w:pPr>
              <w:pStyle w:val="9"/>
              <w:ind w:firstLine="482"/>
              <w:jc w:val="center"/>
              <w:rPr>
                <w:color w:val="000000" w:themeColor="text1"/>
                <w:sz w:val="24"/>
                <w14:textFill>
                  <w14:solidFill>
                    <w14:schemeClr w14:val="tx1"/>
                  </w14:solidFill>
                </w14:textFill>
              </w:rPr>
            </w:pPr>
            <w:r>
              <w:rPr>
                <w:rFonts w:cs="宋体"/>
                <w:b/>
                <w:color w:val="000000" w:themeColor="text1"/>
                <w:sz w:val="24"/>
                <w14:textFill>
                  <w14:solidFill>
                    <w14:schemeClr w14:val="tx1"/>
                  </w14:solidFill>
                </w14:textFill>
              </w:rPr>
              <w:t>表4-</w:t>
            </w:r>
            <w:r>
              <w:rPr>
                <w:rFonts w:hint="eastAsia" w:cs="宋体"/>
                <w:b/>
                <w:color w:val="000000" w:themeColor="text1"/>
                <w:sz w:val="24"/>
                <w14:textFill>
                  <w14:solidFill>
                    <w14:schemeClr w14:val="tx1"/>
                  </w14:solidFill>
                </w14:textFill>
              </w:rPr>
              <w:t xml:space="preserve">11 </w:t>
            </w:r>
            <w:r>
              <w:rPr>
                <w:rFonts w:cs="宋体"/>
                <w:b/>
                <w:color w:val="000000" w:themeColor="text1"/>
                <w:sz w:val="24"/>
                <w14:textFill>
                  <w14:solidFill>
                    <w14:schemeClr w14:val="tx1"/>
                  </w14:solidFill>
                </w14:textFill>
              </w:rPr>
              <w:t xml:space="preserve"> 废水类别、污染物及污染治理设施信息表</w:t>
            </w:r>
          </w:p>
          <w:tbl>
            <w:tblPr>
              <w:tblStyle w:val="29"/>
              <w:tblW w:w="4997"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Layout w:type="autofit"/>
              <w:tblCellMar>
                <w:top w:w="15" w:type="dxa"/>
                <w:left w:w="15" w:type="dxa"/>
                <w:bottom w:w="15" w:type="dxa"/>
                <w:right w:w="15" w:type="dxa"/>
              </w:tblCellMar>
            </w:tblPr>
            <w:tblGrid>
              <w:gridCol w:w="625"/>
              <w:gridCol w:w="1086"/>
              <w:gridCol w:w="1374"/>
              <w:gridCol w:w="976"/>
              <w:gridCol w:w="835"/>
              <w:gridCol w:w="832"/>
              <w:gridCol w:w="881"/>
              <w:gridCol w:w="1060"/>
              <w:gridCol w:w="794"/>
            </w:tblGrid>
            <w:tr w14:paraId="25504BC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32" w:hRule="atLeast"/>
                <w:jc w:val="center"/>
              </w:trPr>
              <w:tc>
                <w:tcPr>
                  <w:tcW w:w="369" w:type="pct"/>
                  <w:vMerge w:val="restart"/>
                  <w:tcBorders>
                    <w:tl2br w:val="nil"/>
                    <w:tr2bl w:val="nil"/>
                  </w:tcBorders>
                  <w:shd w:val="clear" w:color="auto" w:fill="auto"/>
                  <w:tcMar>
                    <w:top w:w="36" w:type="dxa"/>
                    <w:left w:w="60" w:type="dxa"/>
                    <w:bottom w:w="36" w:type="dxa"/>
                    <w:right w:w="60" w:type="dxa"/>
                  </w:tcMar>
                  <w:vAlign w:val="center"/>
                </w:tcPr>
                <w:p w14:paraId="72D8FB4D">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废水类别</w:t>
                  </w:r>
                </w:p>
              </w:tc>
              <w:tc>
                <w:tcPr>
                  <w:tcW w:w="641" w:type="pct"/>
                  <w:vMerge w:val="restart"/>
                  <w:tcBorders>
                    <w:tl2br w:val="nil"/>
                    <w:tr2bl w:val="nil"/>
                  </w:tcBorders>
                  <w:shd w:val="clear" w:color="auto" w:fill="auto"/>
                  <w:tcMar>
                    <w:top w:w="36" w:type="dxa"/>
                    <w:left w:w="60" w:type="dxa"/>
                    <w:bottom w:w="36" w:type="dxa"/>
                    <w:right w:w="60" w:type="dxa"/>
                  </w:tcMar>
                  <w:vAlign w:val="center"/>
                </w:tcPr>
                <w:p w14:paraId="2BAA898A">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污染物种类</w:t>
                  </w:r>
                </w:p>
              </w:tc>
              <w:tc>
                <w:tcPr>
                  <w:tcW w:w="1387" w:type="pct"/>
                  <w:gridSpan w:val="2"/>
                  <w:tcBorders>
                    <w:tl2br w:val="nil"/>
                    <w:tr2bl w:val="nil"/>
                  </w:tcBorders>
                  <w:shd w:val="clear" w:color="auto" w:fill="auto"/>
                  <w:tcMar>
                    <w:top w:w="36" w:type="dxa"/>
                    <w:left w:w="60" w:type="dxa"/>
                    <w:bottom w:w="36" w:type="dxa"/>
                    <w:right w:w="60" w:type="dxa"/>
                  </w:tcMar>
                  <w:vAlign w:val="center"/>
                </w:tcPr>
                <w:p w14:paraId="118475D6">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污染治理设施</w:t>
                  </w:r>
                </w:p>
              </w:tc>
              <w:tc>
                <w:tcPr>
                  <w:tcW w:w="493" w:type="pct"/>
                  <w:vMerge w:val="restart"/>
                  <w:tcBorders>
                    <w:tl2br w:val="nil"/>
                    <w:tr2bl w:val="nil"/>
                  </w:tcBorders>
                  <w:shd w:val="clear" w:color="auto" w:fill="auto"/>
                  <w:tcMar>
                    <w:top w:w="36" w:type="dxa"/>
                    <w:left w:w="60" w:type="dxa"/>
                    <w:bottom w:w="36" w:type="dxa"/>
                    <w:right w:w="60" w:type="dxa"/>
                  </w:tcMar>
                  <w:vAlign w:val="center"/>
                </w:tcPr>
                <w:p w14:paraId="1F5707CD">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排放去向</w:t>
                  </w:r>
                </w:p>
              </w:tc>
              <w:tc>
                <w:tcPr>
                  <w:tcW w:w="491" w:type="pct"/>
                  <w:vMerge w:val="restart"/>
                  <w:tcBorders>
                    <w:tl2br w:val="nil"/>
                    <w:tr2bl w:val="nil"/>
                  </w:tcBorders>
                  <w:shd w:val="clear" w:color="auto" w:fill="auto"/>
                  <w:tcMar>
                    <w:top w:w="36" w:type="dxa"/>
                    <w:left w:w="60" w:type="dxa"/>
                    <w:bottom w:w="36" w:type="dxa"/>
                    <w:right w:w="60" w:type="dxa"/>
                  </w:tcMar>
                  <w:vAlign w:val="center"/>
                </w:tcPr>
                <w:p w14:paraId="781631AD">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排放方式</w:t>
                  </w:r>
                </w:p>
              </w:tc>
              <w:tc>
                <w:tcPr>
                  <w:tcW w:w="520" w:type="pct"/>
                  <w:vMerge w:val="restart"/>
                  <w:tcBorders>
                    <w:tl2br w:val="nil"/>
                    <w:tr2bl w:val="nil"/>
                  </w:tcBorders>
                  <w:shd w:val="clear" w:color="auto" w:fill="auto"/>
                  <w:tcMar>
                    <w:top w:w="36" w:type="dxa"/>
                    <w:left w:w="60" w:type="dxa"/>
                    <w:bottom w:w="36" w:type="dxa"/>
                    <w:right w:w="60" w:type="dxa"/>
                  </w:tcMar>
                  <w:vAlign w:val="center"/>
                </w:tcPr>
                <w:p w14:paraId="3856C5D1">
                  <w:pPr>
                    <w:adjustRightInd w:val="0"/>
                    <w:spacing w:line="320" w:lineRule="exact"/>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排放口编号</w:t>
                  </w:r>
                </w:p>
              </w:tc>
              <w:tc>
                <w:tcPr>
                  <w:tcW w:w="626" w:type="pct"/>
                  <w:vMerge w:val="restart"/>
                  <w:tcBorders>
                    <w:tl2br w:val="nil"/>
                    <w:tr2bl w:val="nil"/>
                  </w:tcBorders>
                  <w:shd w:val="clear" w:color="auto" w:fill="auto"/>
                  <w:tcMar>
                    <w:top w:w="36" w:type="dxa"/>
                    <w:left w:w="60" w:type="dxa"/>
                    <w:bottom w:w="36" w:type="dxa"/>
                    <w:right w:w="60" w:type="dxa"/>
                  </w:tcMar>
                  <w:vAlign w:val="center"/>
                </w:tcPr>
                <w:p w14:paraId="4330E84E">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排放口设置是否符合要求</w:t>
                  </w:r>
                </w:p>
              </w:tc>
              <w:tc>
                <w:tcPr>
                  <w:tcW w:w="469" w:type="pct"/>
                  <w:vMerge w:val="restart"/>
                  <w:tcBorders>
                    <w:tl2br w:val="nil"/>
                    <w:tr2bl w:val="nil"/>
                  </w:tcBorders>
                  <w:shd w:val="clear" w:color="auto" w:fill="auto"/>
                  <w:tcMar>
                    <w:top w:w="36" w:type="dxa"/>
                    <w:left w:w="60" w:type="dxa"/>
                    <w:bottom w:w="36" w:type="dxa"/>
                    <w:right w:w="60" w:type="dxa"/>
                  </w:tcMar>
                  <w:vAlign w:val="center"/>
                </w:tcPr>
                <w:p w14:paraId="310D036C">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排放口类型</w:t>
                  </w:r>
                </w:p>
              </w:tc>
            </w:tr>
            <w:tr w14:paraId="3129306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369" w:type="pct"/>
                  <w:vMerge w:val="continue"/>
                  <w:tcBorders>
                    <w:tl2br w:val="nil"/>
                    <w:tr2bl w:val="nil"/>
                  </w:tcBorders>
                  <w:shd w:val="clear" w:color="auto" w:fill="auto"/>
                  <w:tcMar>
                    <w:top w:w="36" w:type="dxa"/>
                    <w:left w:w="60" w:type="dxa"/>
                    <w:bottom w:w="36" w:type="dxa"/>
                    <w:right w:w="60" w:type="dxa"/>
                  </w:tcMar>
                  <w:vAlign w:val="center"/>
                </w:tcPr>
                <w:p w14:paraId="4F142177">
                  <w:pPr>
                    <w:adjustRightInd w:val="0"/>
                    <w:spacing w:line="320" w:lineRule="exact"/>
                    <w:jc w:val="center"/>
                    <w:rPr>
                      <w:color w:val="000000" w:themeColor="text1"/>
                      <w:szCs w:val="21"/>
                      <w14:textFill>
                        <w14:solidFill>
                          <w14:schemeClr w14:val="tx1"/>
                        </w14:solidFill>
                      </w14:textFill>
                    </w:rPr>
                  </w:pPr>
                </w:p>
              </w:tc>
              <w:tc>
                <w:tcPr>
                  <w:tcW w:w="641" w:type="pct"/>
                  <w:vMerge w:val="continue"/>
                  <w:tcBorders>
                    <w:tl2br w:val="nil"/>
                    <w:tr2bl w:val="nil"/>
                  </w:tcBorders>
                  <w:shd w:val="clear" w:color="auto" w:fill="F5F3F4"/>
                  <w:tcMar>
                    <w:top w:w="36" w:type="dxa"/>
                    <w:left w:w="60" w:type="dxa"/>
                    <w:bottom w:w="36" w:type="dxa"/>
                    <w:right w:w="60" w:type="dxa"/>
                  </w:tcMar>
                  <w:vAlign w:val="center"/>
                </w:tcPr>
                <w:p w14:paraId="1790C353">
                  <w:pPr>
                    <w:adjustRightInd w:val="0"/>
                    <w:spacing w:line="320" w:lineRule="exact"/>
                    <w:jc w:val="center"/>
                    <w:rPr>
                      <w:color w:val="000000" w:themeColor="text1"/>
                      <w:szCs w:val="21"/>
                      <w14:textFill>
                        <w14:solidFill>
                          <w14:schemeClr w14:val="tx1"/>
                        </w14:solidFill>
                      </w14:textFill>
                    </w:rPr>
                  </w:pPr>
                </w:p>
              </w:tc>
              <w:tc>
                <w:tcPr>
                  <w:tcW w:w="811" w:type="pct"/>
                  <w:tcBorders>
                    <w:tl2br w:val="nil"/>
                    <w:tr2bl w:val="nil"/>
                  </w:tcBorders>
                  <w:shd w:val="clear" w:color="auto" w:fill="auto"/>
                  <w:tcMar>
                    <w:top w:w="36" w:type="dxa"/>
                    <w:left w:w="60" w:type="dxa"/>
                    <w:bottom w:w="36" w:type="dxa"/>
                    <w:right w:w="60" w:type="dxa"/>
                  </w:tcMar>
                  <w:vAlign w:val="center"/>
                </w:tcPr>
                <w:p w14:paraId="08F5CEF8">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污染治理设施工艺</w:t>
                  </w:r>
                </w:p>
              </w:tc>
              <w:tc>
                <w:tcPr>
                  <w:tcW w:w="576" w:type="pct"/>
                  <w:tcBorders>
                    <w:tl2br w:val="nil"/>
                    <w:tr2bl w:val="nil"/>
                  </w:tcBorders>
                  <w:shd w:val="clear" w:color="auto" w:fill="auto"/>
                  <w:tcMar>
                    <w:top w:w="36" w:type="dxa"/>
                    <w:left w:w="60" w:type="dxa"/>
                    <w:bottom w:w="36" w:type="dxa"/>
                    <w:right w:w="60" w:type="dxa"/>
                  </w:tcMar>
                  <w:vAlign w:val="center"/>
                </w:tcPr>
                <w:p w14:paraId="2794785A">
                  <w:pPr>
                    <w:adjustRightInd w:val="0"/>
                    <w:spacing w:line="3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是否为可行技术</w:t>
                  </w:r>
                </w:p>
              </w:tc>
              <w:tc>
                <w:tcPr>
                  <w:tcW w:w="493" w:type="pct"/>
                  <w:vMerge w:val="continue"/>
                  <w:tcBorders>
                    <w:tl2br w:val="nil"/>
                    <w:tr2bl w:val="nil"/>
                  </w:tcBorders>
                  <w:shd w:val="clear" w:color="auto" w:fill="F5F3F4"/>
                  <w:tcMar>
                    <w:top w:w="36" w:type="dxa"/>
                    <w:left w:w="60" w:type="dxa"/>
                    <w:bottom w:w="36" w:type="dxa"/>
                    <w:right w:w="60" w:type="dxa"/>
                  </w:tcMar>
                  <w:vAlign w:val="center"/>
                </w:tcPr>
                <w:p w14:paraId="101D7774">
                  <w:pPr>
                    <w:adjustRightInd w:val="0"/>
                    <w:spacing w:line="320" w:lineRule="exact"/>
                    <w:jc w:val="center"/>
                    <w:rPr>
                      <w:b/>
                      <w:bCs/>
                      <w:color w:val="000000" w:themeColor="text1"/>
                      <w:szCs w:val="21"/>
                      <w14:textFill>
                        <w14:solidFill>
                          <w14:schemeClr w14:val="tx1"/>
                        </w14:solidFill>
                      </w14:textFill>
                    </w:rPr>
                  </w:pPr>
                </w:p>
              </w:tc>
              <w:tc>
                <w:tcPr>
                  <w:tcW w:w="491" w:type="pct"/>
                  <w:vMerge w:val="continue"/>
                  <w:tcBorders>
                    <w:tl2br w:val="nil"/>
                    <w:tr2bl w:val="nil"/>
                  </w:tcBorders>
                  <w:shd w:val="clear" w:color="auto" w:fill="F5F3F4"/>
                  <w:tcMar>
                    <w:top w:w="36" w:type="dxa"/>
                    <w:left w:w="60" w:type="dxa"/>
                    <w:bottom w:w="36" w:type="dxa"/>
                    <w:right w:w="60" w:type="dxa"/>
                  </w:tcMar>
                  <w:vAlign w:val="center"/>
                </w:tcPr>
                <w:p w14:paraId="126858DD">
                  <w:pPr>
                    <w:adjustRightInd w:val="0"/>
                    <w:spacing w:line="320" w:lineRule="exact"/>
                    <w:jc w:val="center"/>
                    <w:rPr>
                      <w:color w:val="000000" w:themeColor="text1"/>
                      <w:szCs w:val="21"/>
                      <w14:textFill>
                        <w14:solidFill>
                          <w14:schemeClr w14:val="tx1"/>
                        </w14:solidFill>
                      </w14:textFill>
                    </w:rPr>
                  </w:pPr>
                </w:p>
              </w:tc>
              <w:tc>
                <w:tcPr>
                  <w:tcW w:w="520" w:type="pct"/>
                  <w:vMerge w:val="continue"/>
                  <w:tcBorders>
                    <w:tl2br w:val="nil"/>
                    <w:tr2bl w:val="nil"/>
                  </w:tcBorders>
                  <w:shd w:val="clear" w:color="auto" w:fill="F5F3F4"/>
                  <w:tcMar>
                    <w:top w:w="36" w:type="dxa"/>
                    <w:left w:w="60" w:type="dxa"/>
                    <w:bottom w:w="36" w:type="dxa"/>
                    <w:right w:w="60" w:type="dxa"/>
                  </w:tcMar>
                  <w:vAlign w:val="center"/>
                </w:tcPr>
                <w:p w14:paraId="44116E9C">
                  <w:pPr>
                    <w:adjustRightInd w:val="0"/>
                    <w:spacing w:line="320" w:lineRule="exact"/>
                    <w:jc w:val="center"/>
                    <w:rPr>
                      <w:color w:val="000000" w:themeColor="text1"/>
                      <w:szCs w:val="21"/>
                      <w14:textFill>
                        <w14:solidFill>
                          <w14:schemeClr w14:val="tx1"/>
                        </w14:solidFill>
                      </w14:textFill>
                    </w:rPr>
                  </w:pPr>
                </w:p>
              </w:tc>
              <w:tc>
                <w:tcPr>
                  <w:tcW w:w="626" w:type="pct"/>
                  <w:vMerge w:val="continue"/>
                  <w:tcBorders>
                    <w:tl2br w:val="nil"/>
                    <w:tr2bl w:val="nil"/>
                  </w:tcBorders>
                  <w:shd w:val="clear" w:color="auto" w:fill="F5F3F4"/>
                  <w:tcMar>
                    <w:top w:w="36" w:type="dxa"/>
                    <w:left w:w="60" w:type="dxa"/>
                    <w:bottom w:w="36" w:type="dxa"/>
                    <w:right w:w="60" w:type="dxa"/>
                  </w:tcMar>
                  <w:vAlign w:val="center"/>
                </w:tcPr>
                <w:p w14:paraId="294A438D">
                  <w:pPr>
                    <w:adjustRightInd w:val="0"/>
                    <w:spacing w:line="320" w:lineRule="exact"/>
                    <w:jc w:val="center"/>
                    <w:rPr>
                      <w:color w:val="000000" w:themeColor="text1"/>
                      <w:szCs w:val="21"/>
                      <w14:textFill>
                        <w14:solidFill>
                          <w14:schemeClr w14:val="tx1"/>
                        </w14:solidFill>
                      </w14:textFill>
                    </w:rPr>
                  </w:pPr>
                </w:p>
              </w:tc>
              <w:tc>
                <w:tcPr>
                  <w:tcW w:w="469" w:type="pct"/>
                  <w:vMerge w:val="continue"/>
                  <w:tcBorders>
                    <w:tl2br w:val="nil"/>
                    <w:tr2bl w:val="nil"/>
                  </w:tcBorders>
                  <w:shd w:val="clear" w:color="auto" w:fill="F5F3F4"/>
                  <w:tcMar>
                    <w:top w:w="36" w:type="dxa"/>
                    <w:left w:w="60" w:type="dxa"/>
                    <w:bottom w:w="36" w:type="dxa"/>
                    <w:right w:w="60" w:type="dxa"/>
                  </w:tcMar>
                  <w:vAlign w:val="center"/>
                </w:tcPr>
                <w:p w14:paraId="1E049B70">
                  <w:pPr>
                    <w:adjustRightInd w:val="0"/>
                    <w:spacing w:line="320" w:lineRule="exact"/>
                    <w:jc w:val="center"/>
                    <w:rPr>
                      <w:color w:val="000000" w:themeColor="text1"/>
                      <w:szCs w:val="21"/>
                      <w14:textFill>
                        <w14:solidFill>
                          <w14:schemeClr w14:val="tx1"/>
                        </w14:solidFill>
                      </w14:textFill>
                    </w:rPr>
                  </w:pPr>
                </w:p>
              </w:tc>
            </w:tr>
            <w:tr w14:paraId="46499C5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369" w:type="pct"/>
                  <w:vMerge w:val="restart"/>
                  <w:tcBorders>
                    <w:tl2br w:val="nil"/>
                    <w:tr2bl w:val="nil"/>
                  </w:tcBorders>
                  <w:shd w:val="clear" w:color="auto" w:fill="FFFFFF"/>
                  <w:tcMar>
                    <w:top w:w="36" w:type="dxa"/>
                    <w:left w:w="60" w:type="dxa"/>
                    <w:bottom w:w="36" w:type="dxa"/>
                    <w:right w:w="60" w:type="dxa"/>
                  </w:tcMar>
                  <w:vAlign w:val="center"/>
                </w:tcPr>
                <w:p w14:paraId="052A95F1">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641" w:type="pct"/>
                  <w:tcBorders>
                    <w:tl2br w:val="nil"/>
                    <w:tr2bl w:val="nil"/>
                  </w:tcBorders>
                  <w:shd w:val="clear" w:color="auto" w:fill="FFFFFF"/>
                  <w:tcMar>
                    <w:top w:w="36" w:type="dxa"/>
                    <w:left w:w="60" w:type="dxa"/>
                    <w:bottom w:w="36" w:type="dxa"/>
                    <w:right w:w="60" w:type="dxa"/>
                  </w:tcMar>
                  <w:vAlign w:val="center"/>
                </w:tcPr>
                <w:p w14:paraId="1307DB41">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811" w:type="pct"/>
                  <w:vMerge w:val="restart"/>
                  <w:tcBorders>
                    <w:tl2br w:val="nil"/>
                    <w:tr2bl w:val="nil"/>
                  </w:tcBorders>
                  <w:shd w:val="clear" w:color="auto" w:fill="FFFFFF"/>
                  <w:tcMar>
                    <w:top w:w="36" w:type="dxa"/>
                    <w:left w:w="60" w:type="dxa"/>
                    <w:bottom w:w="36" w:type="dxa"/>
                    <w:right w:w="60" w:type="dxa"/>
                  </w:tcMar>
                  <w:vAlign w:val="center"/>
                </w:tcPr>
                <w:p w14:paraId="5D0C33C6">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化粪池</w:t>
                  </w:r>
                </w:p>
              </w:tc>
              <w:tc>
                <w:tcPr>
                  <w:tcW w:w="576" w:type="pct"/>
                  <w:vMerge w:val="restart"/>
                  <w:tcBorders>
                    <w:tl2br w:val="nil"/>
                    <w:tr2bl w:val="nil"/>
                  </w:tcBorders>
                  <w:shd w:val="clear" w:color="auto" w:fill="FFFFFF"/>
                  <w:tcMar>
                    <w:top w:w="36" w:type="dxa"/>
                    <w:left w:w="60" w:type="dxa"/>
                    <w:bottom w:w="36" w:type="dxa"/>
                    <w:right w:w="60" w:type="dxa"/>
                  </w:tcMar>
                  <w:vAlign w:val="center"/>
                </w:tcPr>
                <w:p w14:paraId="04D82B3E">
                  <w:pPr>
                    <w:adjustRightInd w:val="0"/>
                    <w:spacing w:line="32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493" w:type="pct"/>
                  <w:vMerge w:val="restart"/>
                  <w:tcBorders>
                    <w:tl2br w:val="nil"/>
                    <w:tr2bl w:val="nil"/>
                  </w:tcBorders>
                  <w:shd w:val="clear" w:color="auto" w:fill="FFFFFF"/>
                  <w:tcMar>
                    <w:top w:w="36" w:type="dxa"/>
                    <w:left w:w="60" w:type="dxa"/>
                    <w:bottom w:w="36" w:type="dxa"/>
                    <w:right w:w="60" w:type="dxa"/>
                  </w:tcMar>
                  <w:vAlign w:val="center"/>
                </w:tcPr>
                <w:p w14:paraId="18C371EA">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进入城市污水处理厂</w:t>
                  </w:r>
                </w:p>
              </w:tc>
              <w:tc>
                <w:tcPr>
                  <w:tcW w:w="491" w:type="pct"/>
                  <w:vMerge w:val="restart"/>
                  <w:tcBorders>
                    <w:tl2br w:val="nil"/>
                    <w:tr2bl w:val="nil"/>
                  </w:tcBorders>
                  <w:shd w:val="clear" w:color="auto" w:fill="FFFFFF"/>
                  <w:tcMar>
                    <w:top w:w="36" w:type="dxa"/>
                    <w:left w:w="60" w:type="dxa"/>
                    <w:bottom w:w="36" w:type="dxa"/>
                    <w:right w:w="60" w:type="dxa"/>
                  </w:tcMar>
                  <w:vAlign w:val="center"/>
                </w:tcPr>
                <w:p w14:paraId="2716221B">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间接排放</w:t>
                  </w:r>
                </w:p>
              </w:tc>
              <w:tc>
                <w:tcPr>
                  <w:tcW w:w="520" w:type="pct"/>
                  <w:vMerge w:val="restart"/>
                  <w:tcBorders>
                    <w:tl2br w:val="nil"/>
                    <w:tr2bl w:val="nil"/>
                  </w:tcBorders>
                  <w:shd w:val="clear" w:color="auto" w:fill="FFFFFF"/>
                  <w:tcMar>
                    <w:top w:w="36" w:type="dxa"/>
                    <w:left w:w="60" w:type="dxa"/>
                    <w:bottom w:w="36" w:type="dxa"/>
                    <w:right w:w="60" w:type="dxa"/>
                  </w:tcMar>
                  <w:vAlign w:val="center"/>
                </w:tcPr>
                <w:p w14:paraId="02D2C6FA">
                  <w:pPr>
                    <w:adjustRightInd w:val="0"/>
                    <w:spacing w:line="32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tc>
              <w:tc>
                <w:tcPr>
                  <w:tcW w:w="626" w:type="pct"/>
                  <w:vMerge w:val="restart"/>
                  <w:tcBorders>
                    <w:tl2br w:val="nil"/>
                    <w:tr2bl w:val="nil"/>
                  </w:tcBorders>
                  <w:shd w:val="clear" w:color="auto" w:fill="FFFFFF"/>
                  <w:tcMar>
                    <w:top w:w="36" w:type="dxa"/>
                    <w:left w:w="60" w:type="dxa"/>
                    <w:bottom w:w="36" w:type="dxa"/>
                    <w:right w:w="60" w:type="dxa"/>
                  </w:tcMar>
                  <w:vAlign w:val="center"/>
                </w:tcPr>
                <w:p w14:paraId="3E271F4B">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w:t>
                  </w:r>
                </w:p>
              </w:tc>
              <w:tc>
                <w:tcPr>
                  <w:tcW w:w="469" w:type="pct"/>
                  <w:vMerge w:val="restart"/>
                  <w:tcBorders>
                    <w:tl2br w:val="nil"/>
                    <w:tr2bl w:val="nil"/>
                  </w:tcBorders>
                  <w:shd w:val="clear" w:color="auto" w:fill="FFFFFF"/>
                  <w:tcMar>
                    <w:top w:w="36" w:type="dxa"/>
                    <w:left w:w="60" w:type="dxa"/>
                    <w:bottom w:w="36" w:type="dxa"/>
                    <w:right w:w="60" w:type="dxa"/>
                  </w:tcMar>
                  <w:vAlign w:val="center"/>
                </w:tcPr>
                <w:p w14:paraId="1AC2824C">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r w14:paraId="25DCD36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170" w:hRule="atLeast"/>
                <w:jc w:val="center"/>
              </w:trPr>
              <w:tc>
                <w:tcPr>
                  <w:tcW w:w="369" w:type="pct"/>
                  <w:vMerge w:val="continue"/>
                  <w:tcBorders>
                    <w:tl2br w:val="nil"/>
                    <w:tr2bl w:val="nil"/>
                  </w:tcBorders>
                  <w:shd w:val="clear" w:color="auto" w:fill="FFFFFF"/>
                  <w:tcMar>
                    <w:top w:w="36" w:type="dxa"/>
                    <w:left w:w="60" w:type="dxa"/>
                    <w:bottom w:w="36" w:type="dxa"/>
                    <w:right w:w="60" w:type="dxa"/>
                  </w:tcMar>
                  <w:vAlign w:val="center"/>
                </w:tcPr>
                <w:p w14:paraId="045FAF72">
                  <w:pPr>
                    <w:adjustRightInd w:val="0"/>
                    <w:spacing w:line="320" w:lineRule="exact"/>
                    <w:jc w:val="center"/>
                    <w:rPr>
                      <w:color w:val="000000" w:themeColor="text1"/>
                      <w14:textFill>
                        <w14:solidFill>
                          <w14:schemeClr w14:val="tx1"/>
                        </w14:solidFill>
                      </w14:textFill>
                    </w:rPr>
                  </w:pPr>
                </w:p>
              </w:tc>
              <w:tc>
                <w:tcPr>
                  <w:tcW w:w="641" w:type="pct"/>
                  <w:tcBorders>
                    <w:tl2br w:val="nil"/>
                    <w:tr2bl w:val="nil"/>
                  </w:tcBorders>
                  <w:shd w:val="clear" w:color="auto" w:fill="FFFFFF"/>
                  <w:tcMar>
                    <w:top w:w="36" w:type="dxa"/>
                    <w:left w:w="60" w:type="dxa"/>
                    <w:bottom w:w="36" w:type="dxa"/>
                    <w:right w:w="60" w:type="dxa"/>
                  </w:tcMar>
                  <w:vAlign w:val="center"/>
                </w:tcPr>
                <w:p w14:paraId="4F5A6FA9">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811" w:type="pct"/>
                  <w:vMerge w:val="continue"/>
                  <w:tcBorders>
                    <w:tl2br w:val="nil"/>
                    <w:tr2bl w:val="nil"/>
                  </w:tcBorders>
                  <w:shd w:val="clear" w:color="auto" w:fill="FFFFFF"/>
                  <w:tcMar>
                    <w:top w:w="36" w:type="dxa"/>
                    <w:left w:w="60" w:type="dxa"/>
                    <w:bottom w:w="36" w:type="dxa"/>
                    <w:right w:w="60" w:type="dxa"/>
                  </w:tcMar>
                  <w:vAlign w:val="center"/>
                </w:tcPr>
                <w:p w14:paraId="53E6B2DE">
                  <w:pPr>
                    <w:adjustRightInd w:val="0"/>
                    <w:spacing w:line="320" w:lineRule="exact"/>
                    <w:jc w:val="center"/>
                    <w:rPr>
                      <w:color w:val="000000" w:themeColor="text1"/>
                      <w:szCs w:val="21"/>
                      <w14:textFill>
                        <w14:solidFill>
                          <w14:schemeClr w14:val="tx1"/>
                        </w14:solidFill>
                      </w14:textFill>
                    </w:rPr>
                  </w:pPr>
                </w:p>
              </w:tc>
              <w:tc>
                <w:tcPr>
                  <w:tcW w:w="576" w:type="pct"/>
                  <w:vMerge w:val="continue"/>
                  <w:tcBorders>
                    <w:tl2br w:val="nil"/>
                    <w:tr2bl w:val="nil"/>
                  </w:tcBorders>
                  <w:shd w:val="clear" w:color="auto" w:fill="FFFFFF"/>
                  <w:tcMar>
                    <w:top w:w="36" w:type="dxa"/>
                    <w:left w:w="60" w:type="dxa"/>
                    <w:bottom w:w="36" w:type="dxa"/>
                    <w:right w:w="60" w:type="dxa"/>
                  </w:tcMar>
                  <w:vAlign w:val="center"/>
                </w:tcPr>
                <w:p w14:paraId="5A737264">
                  <w:pPr>
                    <w:adjustRightInd w:val="0"/>
                    <w:spacing w:line="320" w:lineRule="exact"/>
                    <w:jc w:val="center"/>
                    <w:rPr>
                      <w:color w:val="000000" w:themeColor="text1"/>
                      <w:szCs w:val="21"/>
                      <w14:textFill>
                        <w14:solidFill>
                          <w14:schemeClr w14:val="tx1"/>
                        </w14:solidFill>
                      </w14:textFill>
                    </w:rPr>
                  </w:pPr>
                </w:p>
              </w:tc>
              <w:tc>
                <w:tcPr>
                  <w:tcW w:w="493" w:type="pct"/>
                  <w:vMerge w:val="continue"/>
                  <w:tcBorders>
                    <w:tl2br w:val="nil"/>
                    <w:tr2bl w:val="nil"/>
                  </w:tcBorders>
                  <w:shd w:val="clear" w:color="auto" w:fill="FFFFFF"/>
                  <w:tcMar>
                    <w:top w:w="36" w:type="dxa"/>
                    <w:left w:w="60" w:type="dxa"/>
                    <w:bottom w:w="36" w:type="dxa"/>
                    <w:right w:w="60" w:type="dxa"/>
                  </w:tcMar>
                  <w:vAlign w:val="center"/>
                </w:tcPr>
                <w:p w14:paraId="700B9C7C">
                  <w:pPr>
                    <w:adjustRightInd w:val="0"/>
                    <w:spacing w:line="320" w:lineRule="exact"/>
                    <w:jc w:val="center"/>
                    <w:rPr>
                      <w:color w:val="000000" w:themeColor="text1"/>
                      <w:szCs w:val="21"/>
                      <w14:textFill>
                        <w14:solidFill>
                          <w14:schemeClr w14:val="tx1"/>
                        </w14:solidFill>
                      </w14:textFill>
                    </w:rPr>
                  </w:pPr>
                </w:p>
              </w:tc>
              <w:tc>
                <w:tcPr>
                  <w:tcW w:w="491" w:type="pct"/>
                  <w:vMerge w:val="continue"/>
                  <w:tcBorders>
                    <w:tl2br w:val="nil"/>
                    <w:tr2bl w:val="nil"/>
                  </w:tcBorders>
                  <w:shd w:val="clear" w:color="auto" w:fill="FFFFFF"/>
                  <w:tcMar>
                    <w:top w:w="36" w:type="dxa"/>
                    <w:left w:w="60" w:type="dxa"/>
                    <w:bottom w:w="36" w:type="dxa"/>
                    <w:right w:w="60" w:type="dxa"/>
                  </w:tcMar>
                  <w:vAlign w:val="center"/>
                </w:tcPr>
                <w:p w14:paraId="6D30A65F">
                  <w:pPr>
                    <w:adjustRightInd w:val="0"/>
                    <w:spacing w:line="320" w:lineRule="exact"/>
                    <w:jc w:val="center"/>
                    <w:rPr>
                      <w:color w:val="000000" w:themeColor="text1"/>
                      <w:szCs w:val="21"/>
                      <w14:textFill>
                        <w14:solidFill>
                          <w14:schemeClr w14:val="tx1"/>
                        </w14:solidFill>
                      </w14:textFill>
                    </w:rPr>
                  </w:pPr>
                </w:p>
              </w:tc>
              <w:tc>
                <w:tcPr>
                  <w:tcW w:w="520" w:type="pct"/>
                  <w:vMerge w:val="continue"/>
                  <w:tcBorders>
                    <w:tl2br w:val="nil"/>
                    <w:tr2bl w:val="nil"/>
                  </w:tcBorders>
                  <w:shd w:val="clear" w:color="auto" w:fill="FFFFFF"/>
                  <w:tcMar>
                    <w:top w:w="36" w:type="dxa"/>
                    <w:left w:w="60" w:type="dxa"/>
                    <w:bottom w:w="36" w:type="dxa"/>
                    <w:right w:w="60" w:type="dxa"/>
                  </w:tcMar>
                  <w:vAlign w:val="center"/>
                </w:tcPr>
                <w:p w14:paraId="0568E40E">
                  <w:pPr>
                    <w:adjustRightInd w:val="0"/>
                    <w:spacing w:line="320" w:lineRule="exact"/>
                    <w:jc w:val="center"/>
                    <w:rPr>
                      <w:color w:val="000000" w:themeColor="text1"/>
                      <w:szCs w:val="21"/>
                      <w14:textFill>
                        <w14:solidFill>
                          <w14:schemeClr w14:val="tx1"/>
                        </w14:solidFill>
                      </w14:textFill>
                    </w:rPr>
                  </w:pPr>
                </w:p>
              </w:tc>
              <w:tc>
                <w:tcPr>
                  <w:tcW w:w="626" w:type="pct"/>
                  <w:vMerge w:val="continue"/>
                  <w:tcBorders>
                    <w:tl2br w:val="nil"/>
                    <w:tr2bl w:val="nil"/>
                  </w:tcBorders>
                  <w:shd w:val="clear" w:color="auto" w:fill="FFFFFF"/>
                  <w:tcMar>
                    <w:top w:w="36" w:type="dxa"/>
                    <w:left w:w="60" w:type="dxa"/>
                    <w:bottom w:w="36" w:type="dxa"/>
                    <w:right w:w="60" w:type="dxa"/>
                  </w:tcMar>
                  <w:vAlign w:val="center"/>
                </w:tcPr>
                <w:p w14:paraId="7C6B9691">
                  <w:pPr>
                    <w:adjustRightInd w:val="0"/>
                    <w:spacing w:line="320" w:lineRule="exact"/>
                    <w:jc w:val="center"/>
                    <w:rPr>
                      <w:color w:val="000000" w:themeColor="text1"/>
                      <w:szCs w:val="21"/>
                      <w14:textFill>
                        <w14:solidFill>
                          <w14:schemeClr w14:val="tx1"/>
                        </w14:solidFill>
                      </w14:textFill>
                    </w:rPr>
                  </w:pPr>
                </w:p>
              </w:tc>
              <w:tc>
                <w:tcPr>
                  <w:tcW w:w="469" w:type="pct"/>
                  <w:vMerge w:val="continue"/>
                  <w:tcBorders>
                    <w:tl2br w:val="nil"/>
                    <w:tr2bl w:val="nil"/>
                  </w:tcBorders>
                  <w:shd w:val="clear" w:color="auto" w:fill="FFFFFF"/>
                  <w:tcMar>
                    <w:top w:w="36" w:type="dxa"/>
                    <w:left w:w="60" w:type="dxa"/>
                    <w:bottom w:w="36" w:type="dxa"/>
                    <w:right w:w="60" w:type="dxa"/>
                  </w:tcMar>
                  <w:vAlign w:val="center"/>
                </w:tcPr>
                <w:p w14:paraId="182CB2A8">
                  <w:pPr>
                    <w:adjustRightInd w:val="0"/>
                    <w:spacing w:line="320" w:lineRule="exact"/>
                    <w:jc w:val="center"/>
                    <w:rPr>
                      <w:color w:val="000000" w:themeColor="text1"/>
                      <w:szCs w:val="21"/>
                      <w14:textFill>
                        <w14:solidFill>
                          <w14:schemeClr w14:val="tx1"/>
                        </w14:solidFill>
                      </w14:textFill>
                    </w:rPr>
                  </w:pPr>
                </w:p>
              </w:tc>
            </w:tr>
            <w:tr w14:paraId="3319FAF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170" w:hRule="atLeast"/>
                <w:jc w:val="center"/>
              </w:trPr>
              <w:tc>
                <w:tcPr>
                  <w:tcW w:w="369" w:type="pct"/>
                  <w:vMerge w:val="continue"/>
                  <w:tcBorders>
                    <w:tl2br w:val="nil"/>
                    <w:tr2bl w:val="nil"/>
                  </w:tcBorders>
                  <w:shd w:val="clear" w:color="auto" w:fill="FFFFFF"/>
                  <w:tcMar>
                    <w:top w:w="36" w:type="dxa"/>
                    <w:left w:w="60" w:type="dxa"/>
                    <w:bottom w:w="36" w:type="dxa"/>
                    <w:right w:w="60" w:type="dxa"/>
                  </w:tcMar>
                  <w:vAlign w:val="center"/>
                </w:tcPr>
                <w:p w14:paraId="231D27EA">
                  <w:pPr>
                    <w:adjustRightInd w:val="0"/>
                    <w:spacing w:line="320" w:lineRule="exact"/>
                    <w:jc w:val="center"/>
                    <w:rPr>
                      <w:color w:val="000000" w:themeColor="text1"/>
                      <w:szCs w:val="21"/>
                      <w14:textFill>
                        <w14:solidFill>
                          <w14:schemeClr w14:val="tx1"/>
                        </w14:solidFill>
                      </w14:textFill>
                    </w:rPr>
                  </w:pPr>
                </w:p>
              </w:tc>
              <w:tc>
                <w:tcPr>
                  <w:tcW w:w="641" w:type="pct"/>
                  <w:tcBorders>
                    <w:tl2br w:val="nil"/>
                    <w:tr2bl w:val="nil"/>
                  </w:tcBorders>
                  <w:shd w:val="clear" w:color="auto" w:fill="FFFFFF"/>
                  <w:tcMar>
                    <w:top w:w="36" w:type="dxa"/>
                    <w:left w:w="60" w:type="dxa"/>
                    <w:bottom w:w="36" w:type="dxa"/>
                    <w:right w:w="60" w:type="dxa"/>
                  </w:tcMar>
                  <w:vAlign w:val="center"/>
                </w:tcPr>
                <w:p w14:paraId="116C5E1A">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811" w:type="pct"/>
                  <w:vMerge w:val="continue"/>
                  <w:tcBorders>
                    <w:tl2br w:val="nil"/>
                    <w:tr2bl w:val="nil"/>
                  </w:tcBorders>
                  <w:shd w:val="clear" w:color="auto" w:fill="FFFFFF"/>
                  <w:tcMar>
                    <w:top w:w="36" w:type="dxa"/>
                    <w:left w:w="60" w:type="dxa"/>
                    <w:bottom w:w="36" w:type="dxa"/>
                    <w:right w:w="60" w:type="dxa"/>
                  </w:tcMar>
                  <w:vAlign w:val="center"/>
                </w:tcPr>
                <w:p w14:paraId="655C6A33">
                  <w:pPr>
                    <w:adjustRightInd w:val="0"/>
                    <w:spacing w:line="320" w:lineRule="exact"/>
                    <w:jc w:val="center"/>
                    <w:rPr>
                      <w:color w:val="000000" w:themeColor="text1"/>
                      <w:szCs w:val="21"/>
                      <w14:textFill>
                        <w14:solidFill>
                          <w14:schemeClr w14:val="tx1"/>
                        </w14:solidFill>
                      </w14:textFill>
                    </w:rPr>
                  </w:pPr>
                </w:p>
              </w:tc>
              <w:tc>
                <w:tcPr>
                  <w:tcW w:w="576" w:type="pct"/>
                  <w:vMerge w:val="continue"/>
                  <w:tcBorders>
                    <w:tl2br w:val="nil"/>
                    <w:tr2bl w:val="nil"/>
                  </w:tcBorders>
                  <w:shd w:val="clear" w:color="auto" w:fill="FFFFFF"/>
                  <w:tcMar>
                    <w:top w:w="36" w:type="dxa"/>
                    <w:left w:w="60" w:type="dxa"/>
                    <w:bottom w:w="36" w:type="dxa"/>
                    <w:right w:w="60" w:type="dxa"/>
                  </w:tcMar>
                  <w:vAlign w:val="center"/>
                </w:tcPr>
                <w:p w14:paraId="4AEE3D86">
                  <w:pPr>
                    <w:adjustRightInd w:val="0"/>
                    <w:spacing w:line="320" w:lineRule="exact"/>
                    <w:jc w:val="center"/>
                    <w:rPr>
                      <w:color w:val="000000" w:themeColor="text1"/>
                      <w:szCs w:val="21"/>
                      <w14:textFill>
                        <w14:solidFill>
                          <w14:schemeClr w14:val="tx1"/>
                        </w14:solidFill>
                      </w14:textFill>
                    </w:rPr>
                  </w:pPr>
                </w:p>
              </w:tc>
              <w:tc>
                <w:tcPr>
                  <w:tcW w:w="493" w:type="pct"/>
                  <w:vMerge w:val="continue"/>
                  <w:tcBorders>
                    <w:tl2br w:val="nil"/>
                    <w:tr2bl w:val="nil"/>
                  </w:tcBorders>
                  <w:shd w:val="clear" w:color="auto" w:fill="FFFFFF"/>
                  <w:tcMar>
                    <w:top w:w="36" w:type="dxa"/>
                    <w:left w:w="60" w:type="dxa"/>
                    <w:bottom w:w="36" w:type="dxa"/>
                    <w:right w:w="60" w:type="dxa"/>
                  </w:tcMar>
                  <w:vAlign w:val="center"/>
                </w:tcPr>
                <w:p w14:paraId="6C2A1041">
                  <w:pPr>
                    <w:adjustRightInd w:val="0"/>
                    <w:spacing w:line="320" w:lineRule="exact"/>
                    <w:jc w:val="center"/>
                    <w:rPr>
                      <w:color w:val="000000" w:themeColor="text1"/>
                      <w:szCs w:val="21"/>
                      <w14:textFill>
                        <w14:solidFill>
                          <w14:schemeClr w14:val="tx1"/>
                        </w14:solidFill>
                      </w14:textFill>
                    </w:rPr>
                  </w:pPr>
                </w:p>
              </w:tc>
              <w:tc>
                <w:tcPr>
                  <w:tcW w:w="491" w:type="pct"/>
                  <w:vMerge w:val="continue"/>
                  <w:tcBorders>
                    <w:tl2br w:val="nil"/>
                    <w:tr2bl w:val="nil"/>
                  </w:tcBorders>
                  <w:shd w:val="clear" w:color="auto" w:fill="FFFFFF"/>
                  <w:tcMar>
                    <w:top w:w="36" w:type="dxa"/>
                    <w:left w:w="60" w:type="dxa"/>
                    <w:bottom w:w="36" w:type="dxa"/>
                    <w:right w:w="60" w:type="dxa"/>
                  </w:tcMar>
                  <w:vAlign w:val="center"/>
                </w:tcPr>
                <w:p w14:paraId="4F0ECC5C">
                  <w:pPr>
                    <w:adjustRightInd w:val="0"/>
                    <w:spacing w:line="320" w:lineRule="exact"/>
                    <w:jc w:val="center"/>
                    <w:rPr>
                      <w:color w:val="000000" w:themeColor="text1"/>
                      <w:szCs w:val="21"/>
                      <w14:textFill>
                        <w14:solidFill>
                          <w14:schemeClr w14:val="tx1"/>
                        </w14:solidFill>
                      </w14:textFill>
                    </w:rPr>
                  </w:pPr>
                </w:p>
              </w:tc>
              <w:tc>
                <w:tcPr>
                  <w:tcW w:w="520" w:type="pct"/>
                  <w:vMerge w:val="continue"/>
                  <w:tcBorders>
                    <w:tl2br w:val="nil"/>
                    <w:tr2bl w:val="nil"/>
                  </w:tcBorders>
                  <w:shd w:val="clear" w:color="auto" w:fill="FFFFFF"/>
                  <w:tcMar>
                    <w:top w:w="36" w:type="dxa"/>
                    <w:left w:w="60" w:type="dxa"/>
                    <w:bottom w:w="36" w:type="dxa"/>
                    <w:right w:w="60" w:type="dxa"/>
                  </w:tcMar>
                  <w:vAlign w:val="center"/>
                </w:tcPr>
                <w:p w14:paraId="236F9493">
                  <w:pPr>
                    <w:adjustRightInd w:val="0"/>
                    <w:spacing w:line="320" w:lineRule="exact"/>
                    <w:jc w:val="center"/>
                    <w:rPr>
                      <w:color w:val="000000" w:themeColor="text1"/>
                      <w:szCs w:val="21"/>
                      <w14:textFill>
                        <w14:solidFill>
                          <w14:schemeClr w14:val="tx1"/>
                        </w14:solidFill>
                      </w14:textFill>
                    </w:rPr>
                  </w:pPr>
                </w:p>
              </w:tc>
              <w:tc>
                <w:tcPr>
                  <w:tcW w:w="626" w:type="pct"/>
                  <w:vMerge w:val="continue"/>
                  <w:tcBorders>
                    <w:tl2br w:val="nil"/>
                    <w:tr2bl w:val="nil"/>
                  </w:tcBorders>
                  <w:shd w:val="clear" w:color="auto" w:fill="FFFFFF"/>
                  <w:tcMar>
                    <w:top w:w="36" w:type="dxa"/>
                    <w:left w:w="60" w:type="dxa"/>
                    <w:bottom w:w="36" w:type="dxa"/>
                    <w:right w:w="60" w:type="dxa"/>
                  </w:tcMar>
                  <w:vAlign w:val="center"/>
                </w:tcPr>
                <w:p w14:paraId="0F9207C5">
                  <w:pPr>
                    <w:adjustRightInd w:val="0"/>
                    <w:spacing w:line="320" w:lineRule="exact"/>
                    <w:jc w:val="center"/>
                    <w:rPr>
                      <w:color w:val="000000" w:themeColor="text1"/>
                      <w:szCs w:val="21"/>
                      <w14:textFill>
                        <w14:solidFill>
                          <w14:schemeClr w14:val="tx1"/>
                        </w14:solidFill>
                      </w14:textFill>
                    </w:rPr>
                  </w:pPr>
                </w:p>
              </w:tc>
              <w:tc>
                <w:tcPr>
                  <w:tcW w:w="469" w:type="pct"/>
                  <w:vMerge w:val="continue"/>
                  <w:tcBorders>
                    <w:tl2br w:val="nil"/>
                    <w:tr2bl w:val="nil"/>
                  </w:tcBorders>
                  <w:shd w:val="clear" w:color="auto" w:fill="FFFFFF"/>
                  <w:tcMar>
                    <w:top w:w="36" w:type="dxa"/>
                    <w:left w:w="60" w:type="dxa"/>
                    <w:bottom w:w="36" w:type="dxa"/>
                    <w:right w:w="60" w:type="dxa"/>
                  </w:tcMar>
                  <w:vAlign w:val="center"/>
                </w:tcPr>
                <w:p w14:paraId="0F09F479">
                  <w:pPr>
                    <w:adjustRightInd w:val="0"/>
                    <w:spacing w:line="320" w:lineRule="exact"/>
                    <w:jc w:val="center"/>
                    <w:rPr>
                      <w:color w:val="000000" w:themeColor="text1"/>
                      <w:szCs w:val="21"/>
                      <w14:textFill>
                        <w14:solidFill>
                          <w14:schemeClr w14:val="tx1"/>
                        </w14:solidFill>
                      </w14:textFill>
                    </w:rPr>
                  </w:pPr>
                </w:p>
              </w:tc>
            </w:tr>
            <w:tr w14:paraId="3773872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170" w:hRule="atLeast"/>
                <w:jc w:val="center"/>
              </w:trPr>
              <w:tc>
                <w:tcPr>
                  <w:tcW w:w="369" w:type="pct"/>
                  <w:vMerge w:val="continue"/>
                  <w:tcBorders>
                    <w:tl2br w:val="nil"/>
                    <w:tr2bl w:val="nil"/>
                  </w:tcBorders>
                  <w:shd w:val="clear" w:color="auto" w:fill="FFFFFF"/>
                  <w:tcMar>
                    <w:top w:w="36" w:type="dxa"/>
                    <w:left w:w="60" w:type="dxa"/>
                    <w:bottom w:w="36" w:type="dxa"/>
                    <w:right w:w="60" w:type="dxa"/>
                  </w:tcMar>
                  <w:vAlign w:val="center"/>
                </w:tcPr>
                <w:p w14:paraId="7573DB08">
                  <w:pPr>
                    <w:adjustRightInd w:val="0"/>
                    <w:spacing w:line="320" w:lineRule="exact"/>
                    <w:jc w:val="center"/>
                    <w:rPr>
                      <w:color w:val="000000" w:themeColor="text1"/>
                      <w:szCs w:val="21"/>
                      <w14:textFill>
                        <w14:solidFill>
                          <w14:schemeClr w14:val="tx1"/>
                        </w14:solidFill>
                      </w14:textFill>
                    </w:rPr>
                  </w:pPr>
                </w:p>
              </w:tc>
              <w:tc>
                <w:tcPr>
                  <w:tcW w:w="641" w:type="pct"/>
                  <w:tcBorders>
                    <w:tl2br w:val="nil"/>
                    <w:tr2bl w:val="nil"/>
                  </w:tcBorders>
                  <w:shd w:val="clear" w:color="auto" w:fill="FFFFFF"/>
                  <w:tcMar>
                    <w:top w:w="36" w:type="dxa"/>
                    <w:left w:w="60" w:type="dxa"/>
                    <w:bottom w:w="36" w:type="dxa"/>
                    <w:right w:w="60" w:type="dxa"/>
                  </w:tcMar>
                  <w:vAlign w:val="center"/>
                </w:tcPr>
                <w:p w14:paraId="2DB83E0B">
                  <w:pPr>
                    <w:adjustRightInd w:val="0"/>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811" w:type="pct"/>
                  <w:vMerge w:val="continue"/>
                  <w:tcBorders>
                    <w:tl2br w:val="nil"/>
                    <w:tr2bl w:val="nil"/>
                  </w:tcBorders>
                  <w:shd w:val="clear" w:color="auto" w:fill="FFFFFF"/>
                  <w:tcMar>
                    <w:top w:w="36" w:type="dxa"/>
                    <w:left w:w="60" w:type="dxa"/>
                    <w:bottom w:w="36" w:type="dxa"/>
                    <w:right w:w="60" w:type="dxa"/>
                  </w:tcMar>
                  <w:vAlign w:val="center"/>
                </w:tcPr>
                <w:p w14:paraId="1AEE9570">
                  <w:pPr>
                    <w:adjustRightInd w:val="0"/>
                    <w:spacing w:line="320" w:lineRule="exact"/>
                    <w:jc w:val="center"/>
                    <w:rPr>
                      <w:color w:val="000000" w:themeColor="text1"/>
                      <w:szCs w:val="21"/>
                      <w14:textFill>
                        <w14:solidFill>
                          <w14:schemeClr w14:val="tx1"/>
                        </w14:solidFill>
                      </w14:textFill>
                    </w:rPr>
                  </w:pPr>
                </w:p>
              </w:tc>
              <w:tc>
                <w:tcPr>
                  <w:tcW w:w="576" w:type="pct"/>
                  <w:vMerge w:val="continue"/>
                  <w:tcBorders>
                    <w:tl2br w:val="nil"/>
                    <w:tr2bl w:val="nil"/>
                  </w:tcBorders>
                  <w:shd w:val="clear" w:color="auto" w:fill="FFFFFF"/>
                  <w:tcMar>
                    <w:top w:w="36" w:type="dxa"/>
                    <w:left w:w="60" w:type="dxa"/>
                    <w:bottom w:w="36" w:type="dxa"/>
                    <w:right w:w="60" w:type="dxa"/>
                  </w:tcMar>
                  <w:vAlign w:val="center"/>
                </w:tcPr>
                <w:p w14:paraId="22330E18">
                  <w:pPr>
                    <w:adjustRightInd w:val="0"/>
                    <w:spacing w:line="320" w:lineRule="exact"/>
                    <w:jc w:val="center"/>
                    <w:rPr>
                      <w:color w:val="000000" w:themeColor="text1"/>
                      <w:szCs w:val="21"/>
                      <w14:textFill>
                        <w14:solidFill>
                          <w14:schemeClr w14:val="tx1"/>
                        </w14:solidFill>
                      </w14:textFill>
                    </w:rPr>
                  </w:pPr>
                </w:p>
              </w:tc>
              <w:tc>
                <w:tcPr>
                  <w:tcW w:w="493" w:type="pct"/>
                  <w:vMerge w:val="continue"/>
                  <w:tcBorders>
                    <w:tl2br w:val="nil"/>
                    <w:tr2bl w:val="nil"/>
                  </w:tcBorders>
                  <w:shd w:val="clear" w:color="auto" w:fill="FFFFFF"/>
                  <w:tcMar>
                    <w:top w:w="36" w:type="dxa"/>
                    <w:left w:w="60" w:type="dxa"/>
                    <w:bottom w:w="36" w:type="dxa"/>
                    <w:right w:w="60" w:type="dxa"/>
                  </w:tcMar>
                  <w:vAlign w:val="center"/>
                </w:tcPr>
                <w:p w14:paraId="50390BD9">
                  <w:pPr>
                    <w:adjustRightInd w:val="0"/>
                    <w:spacing w:line="320" w:lineRule="exact"/>
                    <w:jc w:val="center"/>
                    <w:rPr>
                      <w:color w:val="000000" w:themeColor="text1"/>
                      <w:szCs w:val="21"/>
                      <w14:textFill>
                        <w14:solidFill>
                          <w14:schemeClr w14:val="tx1"/>
                        </w14:solidFill>
                      </w14:textFill>
                    </w:rPr>
                  </w:pPr>
                </w:p>
              </w:tc>
              <w:tc>
                <w:tcPr>
                  <w:tcW w:w="491" w:type="pct"/>
                  <w:vMerge w:val="continue"/>
                  <w:tcBorders>
                    <w:tl2br w:val="nil"/>
                    <w:tr2bl w:val="nil"/>
                  </w:tcBorders>
                  <w:shd w:val="clear" w:color="auto" w:fill="FFFFFF"/>
                  <w:tcMar>
                    <w:top w:w="36" w:type="dxa"/>
                    <w:left w:w="60" w:type="dxa"/>
                    <w:bottom w:w="36" w:type="dxa"/>
                    <w:right w:w="60" w:type="dxa"/>
                  </w:tcMar>
                  <w:vAlign w:val="center"/>
                </w:tcPr>
                <w:p w14:paraId="1883A212">
                  <w:pPr>
                    <w:adjustRightInd w:val="0"/>
                    <w:spacing w:line="320" w:lineRule="exact"/>
                    <w:jc w:val="center"/>
                    <w:rPr>
                      <w:color w:val="000000" w:themeColor="text1"/>
                      <w:szCs w:val="21"/>
                      <w14:textFill>
                        <w14:solidFill>
                          <w14:schemeClr w14:val="tx1"/>
                        </w14:solidFill>
                      </w14:textFill>
                    </w:rPr>
                  </w:pPr>
                </w:p>
              </w:tc>
              <w:tc>
                <w:tcPr>
                  <w:tcW w:w="520" w:type="pct"/>
                  <w:vMerge w:val="continue"/>
                  <w:tcBorders>
                    <w:tl2br w:val="nil"/>
                    <w:tr2bl w:val="nil"/>
                  </w:tcBorders>
                  <w:shd w:val="clear" w:color="auto" w:fill="FFFFFF"/>
                  <w:tcMar>
                    <w:top w:w="36" w:type="dxa"/>
                    <w:left w:w="60" w:type="dxa"/>
                    <w:bottom w:w="36" w:type="dxa"/>
                    <w:right w:w="60" w:type="dxa"/>
                  </w:tcMar>
                  <w:vAlign w:val="center"/>
                </w:tcPr>
                <w:p w14:paraId="24703B31">
                  <w:pPr>
                    <w:adjustRightInd w:val="0"/>
                    <w:spacing w:line="320" w:lineRule="exact"/>
                    <w:jc w:val="center"/>
                    <w:rPr>
                      <w:color w:val="000000" w:themeColor="text1"/>
                      <w:szCs w:val="21"/>
                      <w14:textFill>
                        <w14:solidFill>
                          <w14:schemeClr w14:val="tx1"/>
                        </w14:solidFill>
                      </w14:textFill>
                    </w:rPr>
                  </w:pPr>
                </w:p>
              </w:tc>
              <w:tc>
                <w:tcPr>
                  <w:tcW w:w="626" w:type="pct"/>
                  <w:vMerge w:val="continue"/>
                  <w:tcBorders>
                    <w:tl2br w:val="nil"/>
                    <w:tr2bl w:val="nil"/>
                  </w:tcBorders>
                  <w:shd w:val="clear" w:color="auto" w:fill="FFFFFF"/>
                  <w:tcMar>
                    <w:top w:w="36" w:type="dxa"/>
                    <w:left w:w="60" w:type="dxa"/>
                    <w:bottom w:w="36" w:type="dxa"/>
                    <w:right w:w="60" w:type="dxa"/>
                  </w:tcMar>
                  <w:vAlign w:val="center"/>
                </w:tcPr>
                <w:p w14:paraId="09324A8A">
                  <w:pPr>
                    <w:adjustRightInd w:val="0"/>
                    <w:spacing w:line="320" w:lineRule="exact"/>
                    <w:jc w:val="center"/>
                    <w:rPr>
                      <w:color w:val="000000" w:themeColor="text1"/>
                      <w:szCs w:val="21"/>
                      <w14:textFill>
                        <w14:solidFill>
                          <w14:schemeClr w14:val="tx1"/>
                        </w14:solidFill>
                      </w14:textFill>
                    </w:rPr>
                  </w:pPr>
                </w:p>
              </w:tc>
              <w:tc>
                <w:tcPr>
                  <w:tcW w:w="469" w:type="pct"/>
                  <w:vMerge w:val="continue"/>
                  <w:tcBorders>
                    <w:tl2br w:val="nil"/>
                    <w:tr2bl w:val="nil"/>
                  </w:tcBorders>
                  <w:shd w:val="clear" w:color="auto" w:fill="FFFFFF"/>
                  <w:tcMar>
                    <w:top w:w="36" w:type="dxa"/>
                    <w:left w:w="60" w:type="dxa"/>
                    <w:bottom w:w="36" w:type="dxa"/>
                    <w:right w:w="60" w:type="dxa"/>
                  </w:tcMar>
                  <w:vAlign w:val="center"/>
                </w:tcPr>
                <w:p w14:paraId="63F240D7">
                  <w:pPr>
                    <w:adjustRightInd w:val="0"/>
                    <w:spacing w:line="320" w:lineRule="exact"/>
                    <w:jc w:val="center"/>
                    <w:rPr>
                      <w:color w:val="000000" w:themeColor="text1"/>
                      <w:szCs w:val="21"/>
                      <w14:textFill>
                        <w14:solidFill>
                          <w14:schemeClr w14:val="tx1"/>
                        </w14:solidFill>
                      </w14:textFill>
                    </w:rPr>
                  </w:pPr>
                </w:p>
              </w:tc>
            </w:tr>
          </w:tbl>
          <w:p w14:paraId="5E7D4E0A">
            <w:pPr>
              <w:pStyle w:val="9"/>
              <w:ind w:firstLine="0" w:firstLineChars="0"/>
              <w:rPr>
                <w:color w:val="000000" w:themeColor="text1"/>
                <w:sz w:val="24"/>
                <w14:textFill>
                  <w14:solidFill>
                    <w14:schemeClr w14:val="tx1"/>
                  </w14:solidFill>
                </w14:textFill>
              </w:rPr>
            </w:pPr>
          </w:p>
          <w:p w14:paraId="0A461524">
            <w:pPr>
              <w:pStyle w:val="9"/>
              <w:ind w:firstLine="482"/>
              <w:jc w:val="center"/>
              <w:rPr>
                <w:rFonts w:cs="宋体"/>
                <w:b/>
                <w:sz w:val="24"/>
              </w:rPr>
            </w:pPr>
            <w:r>
              <w:rPr>
                <w:rFonts w:cs="宋体"/>
                <w:b/>
                <w:sz w:val="24"/>
              </w:rPr>
              <w:t>表4-</w:t>
            </w:r>
            <w:r>
              <w:rPr>
                <w:rFonts w:hint="eastAsia" w:cs="宋体"/>
                <w:b/>
                <w:sz w:val="24"/>
              </w:rPr>
              <w:t xml:space="preserve">12 </w:t>
            </w:r>
            <w:r>
              <w:rPr>
                <w:rFonts w:cs="宋体"/>
                <w:b/>
                <w:sz w:val="24"/>
              </w:rPr>
              <w:t xml:space="preserve"> 废水间接排放口基本情况</w:t>
            </w:r>
          </w:p>
          <w:tbl>
            <w:tblPr>
              <w:tblStyle w:val="29"/>
              <w:tblW w:w="8652"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Layout w:type="autofit"/>
              <w:tblCellMar>
                <w:top w:w="15" w:type="dxa"/>
                <w:left w:w="15" w:type="dxa"/>
                <w:bottom w:w="15" w:type="dxa"/>
                <w:right w:w="15" w:type="dxa"/>
              </w:tblCellMar>
            </w:tblPr>
            <w:tblGrid>
              <w:gridCol w:w="823"/>
              <w:gridCol w:w="783"/>
              <w:gridCol w:w="833"/>
              <w:gridCol w:w="800"/>
              <w:gridCol w:w="1200"/>
              <w:gridCol w:w="1183"/>
              <w:gridCol w:w="831"/>
              <w:gridCol w:w="2199"/>
            </w:tblGrid>
            <w:tr w14:paraId="4FC22CA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13" w:hRule="atLeast"/>
                <w:jc w:val="center"/>
              </w:trPr>
              <w:tc>
                <w:tcPr>
                  <w:tcW w:w="823" w:type="dxa"/>
                  <w:vMerge w:val="restart"/>
                  <w:tcBorders>
                    <w:top w:val="single" w:color="auto" w:sz="4" w:space="0"/>
                    <w:left w:val="single" w:color="auto" w:sz="0" w:space="0"/>
                    <w:tl2br w:val="nil"/>
                    <w:tr2bl w:val="nil"/>
                  </w:tcBorders>
                  <w:shd w:val="clear" w:color="auto" w:fill="auto"/>
                  <w:tcMar>
                    <w:top w:w="36" w:type="dxa"/>
                    <w:left w:w="60" w:type="dxa"/>
                    <w:bottom w:w="36" w:type="dxa"/>
                    <w:right w:w="60" w:type="dxa"/>
                  </w:tcMar>
                  <w:vAlign w:val="center"/>
                </w:tcPr>
                <w:p w14:paraId="6F097A24">
                  <w:pPr>
                    <w:adjustRightInd w:val="0"/>
                    <w:spacing w:line="320" w:lineRule="exact"/>
                    <w:jc w:val="center"/>
                    <w:rPr>
                      <w:b/>
                      <w:bCs/>
                      <w:szCs w:val="21"/>
                    </w:rPr>
                  </w:pPr>
                  <w:r>
                    <w:rPr>
                      <w:b/>
                      <w:bCs/>
                      <w:szCs w:val="21"/>
                    </w:rPr>
                    <w:t>排放口编号</w:t>
                  </w:r>
                </w:p>
              </w:tc>
              <w:tc>
                <w:tcPr>
                  <w:tcW w:w="783"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65DEDF35">
                  <w:pPr>
                    <w:adjustRightInd w:val="0"/>
                    <w:spacing w:line="320" w:lineRule="exact"/>
                    <w:jc w:val="center"/>
                    <w:rPr>
                      <w:b/>
                      <w:bCs/>
                      <w:szCs w:val="21"/>
                    </w:rPr>
                  </w:pPr>
                  <w:r>
                    <w:rPr>
                      <w:b/>
                      <w:bCs/>
                      <w:szCs w:val="21"/>
                    </w:rPr>
                    <w:t>排放口名称</w:t>
                  </w:r>
                </w:p>
              </w:tc>
              <w:tc>
                <w:tcPr>
                  <w:tcW w:w="1633" w:type="dxa"/>
                  <w:gridSpan w:val="2"/>
                  <w:tcBorders>
                    <w:top w:val="single" w:color="auto" w:sz="4" w:space="0"/>
                    <w:tl2br w:val="nil"/>
                    <w:tr2bl w:val="nil"/>
                  </w:tcBorders>
                  <w:shd w:val="clear" w:color="auto" w:fill="auto"/>
                  <w:tcMar>
                    <w:top w:w="36" w:type="dxa"/>
                    <w:left w:w="60" w:type="dxa"/>
                    <w:bottom w:w="36" w:type="dxa"/>
                    <w:right w:w="60" w:type="dxa"/>
                  </w:tcMar>
                  <w:vAlign w:val="center"/>
                </w:tcPr>
                <w:p w14:paraId="49500793">
                  <w:pPr>
                    <w:adjustRightInd w:val="0"/>
                    <w:spacing w:line="320" w:lineRule="exact"/>
                    <w:jc w:val="center"/>
                    <w:rPr>
                      <w:b/>
                      <w:bCs/>
                      <w:szCs w:val="21"/>
                    </w:rPr>
                  </w:pPr>
                  <w:r>
                    <w:rPr>
                      <w:b/>
                      <w:bCs/>
                      <w:szCs w:val="21"/>
                    </w:rPr>
                    <w:t>排放口地理坐标</w:t>
                  </w:r>
                </w:p>
              </w:tc>
              <w:tc>
                <w:tcPr>
                  <w:tcW w:w="1200"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67CFBC23">
                  <w:pPr>
                    <w:adjustRightInd w:val="0"/>
                    <w:spacing w:line="320" w:lineRule="exact"/>
                    <w:jc w:val="center"/>
                    <w:rPr>
                      <w:b/>
                      <w:bCs/>
                      <w:szCs w:val="21"/>
                    </w:rPr>
                  </w:pPr>
                  <w:r>
                    <w:rPr>
                      <w:rFonts w:hint="eastAsia"/>
                      <w:b/>
                      <w:bCs/>
                      <w:szCs w:val="21"/>
                    </w:rPr>
                    <w:t xml:space="preserve"> </w:t>
                  </w:r>
                  <w:r>
                    <w:rPr>
                      <w:b/>
                      <w:bCs/>
                      <w:szCs w:val="21"/>
                    </w:rPr>
                    <w:t>排放去向</w:t>
                  </w:r>
                </w:p>
              </w:tc>
              <w:tc>
                <w:tcPr>
                  <w:tcW w:w="1183"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5A649D8B">
                  <w:pPr>
                    <w:adjustRightInd w:val="0"/>
                    <w:spacing w:line="320" w:lineRule="exact"/>
                    <w:jc w:val="center"/>
                    <w:rPr>
                      <w:b/>
                      <w:bCs/>
                      <w:szCs w:val="21"/>
                    </w:rPr>
                  </w:pPr>
                  <w:r>
                    <w:rPr>
                      <w:b/>
                      <w:bCs/>
                      <w:szCs w:val="21"/>
                    </w:rPr>
                    <w:t>排放规律</w:t>
                  </w:r>
                </w:p>
              </w:tc>
              <w:tc>
                <w:tcPr>
                  <w:tcW w:w="831"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1CCE3D0B">
                  <w:pPr>
                    <w:adjustRightInd w:val="0"/>
                    <w:spacing w:line="320" w:lineRule="exact"/>
                    <w:jc w:val="center"/>
                    <w:rPr>
                      <w:b/>
                      <w:bCs/>
                      <w:szCs w:val="21"/>
                    </w:rPr>
                  </w:pPr>
                  <w:r>
                    <w:rPr>
                      <w:b/>
                      <w:bCs/>
                      <w:szCs w:val="21"/>
                    </w:rPr>
                    <w:t>间歇排放时段</w:t>
                  </w:r>
                </w:p>
              </w:tc>
              <w:tc>
                <w:tcPr>
                  <w:tcW w:w="2199" w:type="dxa"/>
                  <w:vMerge w:val="restart"/>
                  <w:tcBorders>
                    <w:top w:val="single" w:color="auto" w:sz="4" w:space="0"/>
                    <w:right w:val="single" w:color="auto" w:sz="4" w:space="0"/>
                    <w:tl2br w:val="nil"/>
                    <w:tr2bl w:val="nil"/>
                  </w:tcBorders>
                  <w:shd w:val="clear" w:color="auto" w:fill="auto"/>
                  <w:tcMar>
                    <w:top w:w="36" w:type="dxa"/>
                    <w:left w:w="60" w:type="dxa"/>
                    <w:bottom w:w="36" w:type="dxa"/>
                    <w:right w:w="60" w:type="dxa"/>
                  </w:tcMar>
                  <w:vAlign w:val="center"/>
                </w:tcPr>
                <w:p w14:paraId="3BAF4284">
                  <w:pPr>
                    <w:adjustRightInd w:val="0"/>
                    <w:spacing w:line="320" w:lineRule="exact"/>
                    <w:jc w:val="center"/>
                    <w:rPr>
                      <w:b/>
                      <w:bCs/>
                      <w:szCs w:val="21"/>
                    </w:rPr>
                  </w:pPr>
                  <w:r>
                    <w:rPr>
                      <w:b/>
                      <w:bCs/>
                      <w:szCs w:val="21"/>
                    </w:rPr>
                    <w:t>排放标准</w:t>
                  </w:r>
                </w:p>
              </w:tc>
            </w:tr>
            <w:tr w14:paraId="116B2C7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823" w:type="dxa"/>
                  <w:vMerge w:val="continue"/>
                  <w:tcBorders>
                    <w:left w:val="single" w:color="auto" w:sz="4" w:space="0"/>
                    <w:tl2br w:val="nil"/>
                    <w:tr2bl w:val="nil"/>
                  </w:tcBorders>
                  <w:shd w:val="clear" w:color="auto" w:fill="auto"/>
                  <w:tcMar>
                    <w:top w:w="36" w:type="dxa"/>
                    <w:left w:w="60" w:type="dxa"/>
                    <w:bottom w:w="36" w:type="dxa"/>
                    <w:right w:w="60" w:type="dxa"/>
                  </w:tcMar>
                  <w:vAlign w:val="center"/>
                </w:tcPr>
                <w:p w14:paraId="71DAB8B0">
                  <w:pPr>
                    <w:adjustRightInd w:val="0"/>
                    <w:spacing w:line="320" w:lineRule="exact"/>
                    <w:jc w:val="center"/>
                    <w:rPr>
                      <w:szCs w:val="21"/>
                    </w:rPr>
                  </w:pPr>
                </w:p>
              </w:tc>
              <w:tc>
                <w:tcPr>
                  <w:tcW w:w="783" w:type="dxa"/>
                  <w:vMerge w:val="continue"/>
                  <w:tcBorders>
                    <w:tl2br w:val="nil"/>
                    <w:tr2bl w:val="nil"/>
                  </w:tcBorders>
                  <w:shd w:val="clear" w:color="auto" w:fill="auto"/>
                  <w:tcMar>
                    <w:top w:w="36" w:type="dxa"/>
                    <w:left w:w="60" w:type="dxa"/>
                    <w:bottom w:w="36" w:type="dxa"/>
                    <w:right w:w="60" w:type="dxa"/>
                  </w:tcMar>
                  <w:vAlign w:val="center"/>
                </w:tcPr>
                <w:p w14:paraId="00C4F069">
                  <w:pPr>
                    <w:adjustRightInd w:val="0"/>
                    <w:spacing w:line="320" w:lineRule="exact"/>
                    <w:jc w:val="center"/>
                    <w:rPr>
                      <w:szCs w:val="21"/>
                    </w:rPr>
                  </w:pPr>
                </w:p>
              </w:tc>
              <w:tc>
                <w:tcPr>
                  <w:tcW w:w="833" w:type="dxa"/>
                  <w:tcBorders>
                    <w:tl2br w:val="nil"/>
                    <w:tr2bl w:val="nil"/>
                  </w:tcBorders>
                  <w:shd w:val="clear" w:color="auto" w:fill="auto"/>
                  <w:tcMar>
                    <w:top w:w="36" w:type="dxa"/>
                    <w:left w:w="60" w:type="dxa"/>
                    <w:bottom w:w="36" w:type="dxa"/>
                    <w:right w:w="60" w:type="dxa"/>
                  </w:tcMar>
                  <w:vAlign w:val="center"/>
                </w:tcPr>
                <w:p w14:paraId="0128A1B2">
                  <w:pPr>
                    <w:adjustRightInd w:val="0"/>
                    <w:spacing w:line="320" w:lineRule="exact"/>
                    <w:jc w:val="center"/>
                    <w:rPr>
                      <w:b/>
                      <w:bCs/>
                      <w:szCs w:val="21"/>
                    </w:rPr>
                  </w:pPr>
                  <w:r>
                    <w:rPr>
                      <w:b/>
                      <w:bCs/>
                      <w:szCs w:val="21"/>
                    </w:rPr>
                    <w:t>经度</w:t>
                  </w:r>
                </w:p>
              </w:tc>
              <w:tc>
                <w:tcPr>
                  <w:tcW w:w="800" w:type="dxa"/>
                  <w:tcBorders>
                    <w:tl2br w:val="nil"/>
                    <w:tr2bl w:val="nil"/>
                  </w:tcBorders>
                  <w:shd w:val="clear" w:color="auto" w:fill="auto"/>
                  <w:tcMar>
                    <w:top w:w="36" w:type="dxa"/>
                    <w:left w:w="60" w:type="dxa"/>
                    <w:bottom w:w="36" w:type="dxa"/>
                    <w:right w:w="60" w:type="dxa"/>
                  </w:tcMar>
                  <w:vAlign w:val="center"/>
                </w:tcPr>
                <w:p w14:paraId="1DDE77EE">
                  <w:pPr>
                    <w:adjustRightInd w:val="0"/>
                    <w:spacing w:line="320" w:lineRule="exact"/>
                    <w:jc w:val="center"/>
                    <w:rPr>
                      <w:b/>
                      <w:bCs/>
                      <w:szCs w:val="21"/>
                    </w:rPr>
                  </w:pPr>
                  <w:r>
                    <w:rPr>
                      <w:b/>
                      <w:bCs/>
                      <w:szCs w:val="21"/>
                    </w:rPr>
                    <w:t>纬度</w:t>
                  </w:r>
                </w:p>
              </w:tc>
              <w:tc>
                <w:tcPr>
                  <w:tcW w:w="1200" w:type="dxa"/>
                  <w:vMerge w:val="continue"/>
                  <w:tcBorders>
                    <w:tl2br w:val="nil"/>
                    <w:tr2bl w:val="nil"/>
                  </w:tcBorders>
                  <w:shd w:val="clear" w:color="auto" w:fill="auto"/>
                  <w:tcMar>
                    <w:top w:w="36" w:type="dxa"/>
                    <w:left w:w="60" w:type="dxa"/>
                    <w:bottom w:w="36" w:type="dxa"/>
                    <w:right w:w="60" w:type="dxa"/>
                  </w:tcMar>
                  <w:vAlign w:val="center"/>
                </w:tcPr>
                <w:p w14:paraId="5BD4392B">
                  <w:pPr>
                    <w:adjustRightInd w:val="0"/>
                    <w:spacing w:line="320" w:lineRule="exact"/>
                    <w:jc w:val="center"/>
                    <w:rPr>
                      <w:szCs w:val="21"/>
                    </w:rPr>
                  </w:pPr>
                </w:p>
              </w:tc>
              <w:tc>
                <w:tcPr>
                  <w:tcW w:w="1183" w:type="dxa"/>
                  <w:vMerge w:val="continue"/>
                  <w:tcBorders>
                    <w:tl2br w:val="nil"/>
                    <w:tr2bl w:val="nil"/>
                  </w:tcBorders>
                  <w:shd w:val="clear" w:color="auto" w:fill="auto"/>
                  <w:tcMar>
                    <w:top w:w="36" w:type="dxa"/>
                    <w:left w:w="60" w:type="dxa"/>
                    <w:bottom w:w="36" w:type="dxa"/>
                    <w:right w:w="60" w:type="dxa"/>
                  </w:tcMar>
                  <w:vAlign w:val="center"/>
                </w:tcPr>
                <w:p w14:paraId="31FCBFC4">
                  <w:pPr>
                    <w:adjustRightInd w:val="0"/>
                    <w:spacing w:line="320" w:lineRule="exact"/>
                    <w:jc w:val="center"/>
                    <w:rPr>
                      <w:szCs w:val="21"/>
                    </w:rPr>
                  </w:pPr>
                </w:p>
              </w:tc>
              <w:tc>
                <w:tcPr>
                  <w:tcW w:w="831" w:type="dxa"/>
                  <w:vMerge w:val="continue"/>
                  <w:tcBorders>
                    <w:tl2br w:val="nil"/>
                    <w:tr2bl w:val="nil"/>
                  </w:tcBorders>
                  <w:shd w:val="clear" w:color="auto" w:fill="auto"/>
                  <w:tcMar>
                    <w:top w:w="36" w:type="dxa"/>
                    <w:left w:w="60" w:type="dxa"/>
                    <w:bottom w:w="36" w:type="dxa"/>
                    <w:right w:w="60" w:type="dxa"/>
                  </w:tcMar>
                  <w:vAlign w:val="center"/>
                </w:tcPr>
                <w:p w14:paraId="6BB56A90">
                  <w:pPr>
                    <w:adjustRightInd w:val="0"/>
                    <w:spacing w:line="320" w:lineRule="exact"/>
                    <w:jc w:val="center"/>
                    <w:rPr>
                      <w:szCs w:val="21"/>
                    </w:rPr>
                  </w:pPr>
                </w:p>
              </w:tc>
              <w:tc>
                <w:tcPr>
                  <w:tcW w:w="2199" w:type="dxa"/>
                  <w:vMerge w:val="continue"/>
                  <w:tcBorders>
                    <w:right w:val="single" w:color="auto" w:sz="4" w:space="0"/>
                    <w:tl2br w:val="nil"/>
                    <w:tr2bl w:val="nil"/>
                  </w:tcBorders>
                  <w:shd w:val="clear" w:color="auto" w:fill="auto"/>
                  <w:tcMar>
                    <w:top w:w="36" w:type="dxa"/>
                    <w:left w:w="60" w:type="dxa"/>
                    <w:bottom w:w="36" w:type="dxa"/>
                    <w:right w:w="60" w:type="dxa"/>
                  </w:tcMar>
                  <w:vAlign w:val="center"/>
                </w:tcPr>
                <w:p w14:paraId="3D16E51D">
                  <w:pPr>
                    <w:adjustRightInd w:val="0"/>
                    <w:spacing w:line="320" w:lineRule="exact"/>
                    <w:jc w:val="center"/>
                    <w:rPr>
                      <w:szCs w:val="21"/>
                    </w:rPr>
                  </w:pPr>
                </w:p>
              </w:tc>
            </w:tr>
            <w:tr w14:paraId="5C5DE6D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1684" w:hRule="atLeast"/>
                <w:jc w:val="center"/>
              </w:trPr>
              <w:tc>
                <w:tcPr>
                  <w:tcW w:w="823" w:type="dxa"/>
                  <w:tcBorders>
                    <w:left w:val="single" w:color="auto" w:sz="4" w:space="0"/>
                    <w:bottom w:val="single" w:color="auto" w:sz="4" w:space="0"/>
                    <w:tl2br w:val="nil"/>
                    <w:tr2bl w:val="nil"/>
                  </w:tcBorders>
                  <w:shd w:val="clear" w:color="auto" w:fill="FFFFFF"/>
                  <w:tcMar>
                    <w:top w:w="36" w:type="dxa"/>
                    <w:left w:w="60" w:type="dxa"/>
                    <w:bottom w:w="36" w:type="dxa"/>
                    <w:right w:w="60" w:type="dxa"/>
                  </w:tcMar>
                  <w:vAlign w:val="center"/>
                </w:tcPr>
                <w:p w14:paraId="5F9EF4CF">
                  <w:pPr>
                    <w:adjustRightInd w:val="0"/>
                    <w:spacing w:line="320" w:lineRule="exact"/>
                    <w:jc w:val="center"/>
                    <w:rPr>
                      <w:szCs w:val="21"/>
                    </w:rPr>
                  </w:pPr>
                  <w:r>
                    <w:rPr>
                      <w:szCs w:val="21"/>
                    </w:rPr>
                    <w:t>DW001</w:t>
                  </w:r>
                </w:p>
              </w:tc>
              <w:tc>
                <w:tcPr>
                  <w:tcW w:w="783" w:type="dxa"/>
                  <w:tcBorders>
                    <w:bottom w:val="single" w:color="auto" w:sz="4" w:space="0"/>
                    <w:tl2br w:val="nil"/>
                    <w:tr2bl w:val="nil"/>
                  </w:tcBorders>
                  <w:shd w:val="clear" w:color="auto" w:fill="FFFFFF"/>
                  <w:tcMar>
                    <w:top w:w="36" w:type="dxa"/>
                    <w:left w:w="60" w:type="dxa"/>
                    <w:bottom w:w="36" w:type="dxa"/>
                    <w:right w:w="60" w:type="dxa"/>
                  </w:tcMar>
                  <w:vAlign w:val="center"/>
                </w:tcPr>
                <w:p w14:paraId="597A4870">
                  <w:pPr>
                    <w:adjustRightInd w:val="0"/>
                    <w:spacing w:line="320" w:lineRule="exact"/>
                    <w:jc w:val="center"/>
                    <w:rPr>
                      <w:szCs w:val="21"/>
                    </w:rPr>
                  </w:pPr>
                  <w:r>
                    <w:rPr>
                      <w:szCs w:val="21"/>
                    </w:rPr>
                    <w:t>污水排放口</w:t>
                  </w:r>
                </w:p>
              </w:tc>
              <w:tc>
                <w:tcPr>
                  <w:tcW w:w="833" w:type="dxa"/>
                  <w:tcBorders>
                    <w:bottom w:val="single" w:color="auto" w:sz="4" w:space="0"/>
                    <w:tl2br w:val="nil"/>
                    <w:tr2bl w:val="nil"/>
                  </w:tcBorders>
                  <w:shd w:val="clear" w:color="auto" w:fill="FFFFFF"/>
                  <w:tcMar>
                    <w:top w:w="36" w:type="dxa"/>
                    <w:left w:w="60" w:type="dxa"/>
                    <w:bottom w:w="36" w:type="dxa"/>
                    <w:right w:w="60" w:type="dxa"/>
                  </w:tcMar>
                  <w:vAlign w:val="center"/>
                </w:tcPr>
                <w:p w14:paraId="6723F95E">
                  <w:pPr>
                    <w:adjustRightInd w:val="0"/>
                    <w:spacing w:line="320" w:lineRule="exact"/>
                    <w:jc w:val="center"/>
                    <w:rPr>
                      <w:szCs w:val="21"/>
                    </w:rPr>
                  </w:pPr>
                  <w:r>
                    <w:rPr>
                      <w:szCs w:val="21"/>
                    </w:rPr>
                    <w:t>118度</w:t>
                  </w:r>
                  <w:r>
                    <w:rPr>
                      <w:rFonts w:hint="eastAsia"/>
                      <w:szCs w:val="21"/>
                    </w:rPr>
                    <w:t>2</w:t>
                  </w:r>
                  <w:r>
                    <w:rPr>
                      <w:rFonts w:hint="eastAsia"/>
                      <w:szCs w:val="21"/>
                      <w:lang w:val="en-US" w:eastAsia="zh-CN"/>
                    </w:rPr>
                    <w:t>6</w:t>
                  </w:r>
                  <w:r>
                    <w:rPr>
                      <w:szCs w:val="21"/>
                    </w:rPr>
                    <w:t>分</w:t>
                  </w:r>
                  <w:r>
                    <w:rPr>
                      <w:rFonts w:hint="eastAsia"/>
                      <w:szCs w:val="21"/>
                    </w:rPr>
                    <w:t>51.8</w:t>
                  </w:r>
                  <w:r>
                    <w:rPr>
                      <w:rFonts w:hint="eastAsia"/>
                      <w:szCs w:val="21"/>
                      <w:lang w:val="en-US" w:eastAsia="zh-CN"/>
                    </w:rPr>
                    <w:t>2</w:t>
                  </w:r>
                  <w:r>
                    <w:rPr>
                      <w:szCs w:val="21"/>
                    </w:rPr>
                    <w:t>秒</w:t>
                  </w:r>
                </w:p>
              </w:tc>
              <w:tc>
                <w:tcPr>
                  <w:tcW w:w="800" w:type="dxa"/>
                  <w:tcBorders>
                    <w:bottom w:val="single" w:color="auto" w:sz="4" w:space="0"/>
                    <w:tl2br w:val="nil"/>
                    <w:tr2bl w:val="nil"/>
                  </w:tcBorders>
                  <w:shd w:val="clear" w:color="auto" w:fill="FFFFFF"/>
                  <w:tcMar>
                    <w:top w:w="36" w:type="dxa"/>
                    <w:left w:w="60" w:type="dxa"/>
                    <w:bottom w:w="36" w:type="dxa"/>
                    <w:right w:w="60" w:type="dxa"/>
                  </w:tcMar>
                  <w:vAlign w:val="center"/>
                </w:tcPr>
                <w:p w14:paraId="1369B59B">
                  <w:pPr>
                    <w:adjustRightInd w:val="0"/>
                    <w:spacing w:line="320" w:lineRule="exact"/>
                    <w:jc w:val="center"/>
                    <w:rPr>
                      <w:szCs w:val="21"/>
                    </w:rPr>
                  </w:pPr>
                  <w:r>
                    <w:rPr>
                      <w:szCs w:val="21"/>
                    </w:rPr>
                    <w:t>31度</w:t>
                  </w:r>
                  <w:r>
                    <w:rPr>
                      <w:rFonts w:hint="eastAsia"/>
                      <w:szCs w:val="21"/>
                    </w:rPr>
                    <w:t>2</w:t>
                  </w:r>
                  <w:r>
                    <w:rPr>
                      <w:rFonts w:hint="eastAsia"/>
                      <w:szCs w:val="21"/>
                      <w:lang w:val="en-US" w:eastAsia="zh-CN"/>
                    </w:rPr>
                    <w:t>3</w:t>
                  </w:r>
                  <w:r>
                    <w:rPr>
                      <w:szCs w:val="21"/>
                    </w:rPr>
                    <w:t>分</w:t>
                  </w:r>
                  <w:r>
                    <w:rPr>
                      <w:rFonts w:hint="eastAsia"/>
                      <w:szCs w:val="21"/>
                    </w:rPr>
                    <w:t>12.88</w:t>
                  </w:r>
                  <w:r>
                    <w:rPr>
                      <w:szCs w:val="21"/>
                    </w:rPr>
                    <w:t>秒</w:t>
                  </w:r>
                </w:p>
              </w:tc>
              <w:tc>
                <w:tcPr>
                  <w:tcW w:w="1200" w:type="dxa"/>
                  <w:tcBorders>
                    <w:bottom w:val="single" w:color="auto" w:sz="4" w:space="0"/>
                    <w:tl2br w:val="nil"/>
                    <w:tr2bl w:val="nil"/>
                  </w:tcBorders>
                  <w:shd w:val="clear" w:color="auto" w:fill="FFFFFF"/>
                  <w:tcMar>
                    <w:top w:w="36" w:type="dxa"/>
                    <w:left w:w="60" w:type="dxa"/>
                    <w:bottom w:w="36" w:type="dxa"/>
                    <w:right w:w="60" w:type="dxa"/>
                  </w:tcMar>
                  <w:vAlign w:val="center"/>
                </w:tcPr>
                <w:p w14:paraId="5527A175">
                  <w:pPr>
                    <w:adjustRightInd w:val="0"/>
                    <w:spacing w:line="320" w:lineRule="exact"/>
                    <w:jc w:val="center"/>
                    <w:rPr>
                      <w:szCs w:val="21"/>
                    </w:rPr>
                  </w:pPr>
                  <w:r>
                    <w:rPr>
                      <w:szCs w:val="21"/>
                    </w:rPr>
                    <w:t>进入</w:t>
                  </w:r>
                  <w:r>
                    <w:rPr>
                      <w:rFonts w:hint="eastAsia"/>
                      <w:szCs w:val="21"/>
                    </w:rPr>
                    <w:t>城东污水处理厂</w:t>
                  </w:r>
                </w:p>
              </w:tc>
              <w:tc>
                <w:tcPr>
                  <w:tcW w:w="1183" w:type="dxa"/>
                  <w:tcBorders>
                    <w:bottom w:val="single" w:color="auto" w:sz="4" w:space="0"/>
                    <w:tl2br w:val="nil"/>
                    <w:tr2bl w:val="nil"/>
                  </w:tcBorders>
                  <w:shd w:val="clear" w:color="auto" w:fill="FFFFFF"/>
                  <w:tcMar>
                    <w:top w:w="36" w:type="dxa"/>
                    <w:left w:w="60" w:type="dxa"/>
                    <w:bottom w:w="36" w:type="dxa"/>
                    <w:right w:w="60" w:type="dxa"/>
                  </w:tcMar>
                  <w:vAlign w:val="center"/>
                </w:tcPr>
                <w:p w14:paraId="0FC548EF">
                  <w:pPr>
                    <w:adjustRightInd w:val="0"/>
                    <w:spacing w:line="320" w:lineRule="exact"/>
                    <w:jc w:val="center"/>
                    <w:rPr>
                      <w:szCs w:val="21"/>
                    </w:rPr>
                  </w:pPr>
                  <w:r>
                    <w:rPr>
                      <w:szCs w:val="21"/>
                    </w:rPr>
                    <w:t>间断排放，排放期间流量不稳定且无规律，但不属于冲击型排放</w:t>
                  </w:r>
                </w:p>
              </w:tc>
              <w:tc>
                <w:tcPr>
                  <w:tcW w:w="831" w:type="dxa"/>
                  <w:tcBorders>
                    <w:bottom w:val="single" w:color="auto" w:sz="4" w:space="0"/>
                    <w:tl2br w:val="nil"/>
                    <w:tr2bl w:val="nil"/>
                  </w:tcBorders>
                  <w:shd w:val="clear" w:color="auto" w:fill="FFFFFF"/>
                  <w:tcMar>
                    <w:top w:w="36" w:type="dxa"/>
                    <w:left w:w="60" w:type="dxa"/>
                    <w:bottom w:w="36" w:type="dxa"/>
                    <w:right w:w="60" w:type="dxa"/>
                  </w:tcMar>
                  <w:vAlign w:val="center"/>
                </w:tcPr>
                <w:p w14:paraId="7957EC04">
                  <w:pPr>
                    <w:adjustRightInd w:val="0"/>
                    <w:spacing w:line="320" w:lineRule="exact"/>
                    <w:jc w:val="center"/>
                    <w:rPr>
                      <w:szCs w:val="21"/>
                    </w:rPr>
                  </w:pPr>
                  <w:r>
                    <w:rPr>
                      <w:szCs w:val="21"/>
                    </w:rPr>
                    <w:t>没有生产废水，冲厕等有流动水排放时</w:t>
                  </w:r>
                </w:p>
              </w:tc>
              <w:tc>
                <w:tcPr>
                  <w:tcW w:w="2199" w:type="dxa"/>
                  <w:tcBorders>
                    <w:bottom w:val="single" w:color="auto" w:sz="4" w:space="0"/>
                    <w:right w:val="single" w:color="auto" w:sz="4" w:space="0"/>
                    <w:tl2br w:val="nil"/>
                    <w:tr2bl w:val="nil"/>
                  </w:tcBorders>
                  <w:shd w:val="clear" w:color="auto" w:fill="FFFFFF"/>
                  <w:tcMar>
                    <w:top w:w="36" w:type="dxa"/>
                    <w:left w:w="60" w:type="dxa"/>
                    <w:bottom w:w="36" w:type="dxa"/>
                    <w:right w:w="60" w:type="dxa"/>
                  </w:tcMar>
                  <w:vAlign w:val="center"/>
                </w:tcPr>
                <w:p w14:paraId="65A67266">
                  <w:pPr>
                    <w:adjustRightInd w:val="0"/>
                    <w:spacing w:line="320" w:lineRule="exact"/>
                    <w:jc w:val="center"/>
                    <w:rPr>
                      <w:szCs w:val="21"/>
                    </w:rPr>
                  </w:pPr>
                  <w:r>
                    <w:rPr>
                      <w:bCs/>
                      <w:szCs w:val="21"/>
                    </w:rPr>
                    <w:t>《污水综合排放标准》（GB8978-1996）表4三级标准</w:t>
                  </w:r>
                  <w:r>
                    <w:rPr>
                      <w:rFonts w:hint="eastAsia"/>
                      <w:bCs/>
                      <w:szCs w:val="21"/>
                    </w:rPr>
                    <w:t>并满足纳管要求</w:t>
                  </w:r>
                </w:p>
              </w:tc>
            </w:tr>
          </w:tbl>
          <w:p w14:paraId="0D107016">
            <w:pPr>
              <w:pStyle w:val="9"/>
              <w:ind w:left="420" w:leftChars="200" w:firstLine="0" w:firstLineChars="0"/>
              <w:rPr>
                <w:sz w:val="24"/>
              </w:rPr>
            </w:pPr>
            <w:r>
              <w:rPr>
                <w:rFonts w:hint="eastAsia"/>
                <w:sz w:val="24"/>
              </w:rPr>
              <w:t>（2）依托城东污水处理厂的可行性分析</w:t>
            </w:r>
          </w:p>
          <w:p w14:paraId="7F25ADF8">
            <w:pPr>
              <w:pStyle w:val="9"/>
              <w:ind w:firstLine="0" w:firstLineChars="0"/>
              <w:rPr>
                <w:sz w:val="24"/>
              </w:rPr>
            </w:pPr>
          </w:p>
          <w:p w14:paraId="2701D09B">
            <w:pPr>
              <w:spacing w:line="360" w:lineRule="auto"/>
              <w:ind w:firstLine="480" w:firstLineChars="200"/>
              <w:rPr>
                <w:b/>
                <w:sz w:val="24"/>
              </w:rPr>
            </w:pPr>
            <w:r>
              <w:rPr>
                <w:rFonts w:hint="eastAsia" w:cs="宋体"/>
                <w:color w:val="000000" w:themeColor="text1"/>
                <w:kern w:val="0"/>
                <w:sz w:val="24"/>
                <w14:textFill>
                  <w14:solidFill>
                    <w14:schemeClr w14:val="tx1"/>
                  </w14:solidFill>
                </w14:textFill>
              </w:rPr>
              <w:t>芜湖市城东污水处理厂建设地点位于芜湖市城东片区东北角，靠近青山河，远期规模为35万m</w:t>
            </w:r>
            <w:r>
              <w:rPr>
                <w:rFonts w:hint="eastAsia" w:cs="宋体"/>
                <w:color w:val="000000" w:themeColor="text1"/>
                <w:kern w:val="0"/>
                <w:sz w:val="24"/>
                <w:vertAlign w:val="superscript"/>
                <w14:textFill>
                  <w14:solidFill>
                    <w14:schemeClr w14:val="tx1"/>
                  </w14:solidFill>
                </w14:textFill>
              </w:rPr>
              <w:t>3</w:t>
            </w:r>
            <w:r>
              <w:rPr>
                <w:rFonts w:hint="eastAsia" w:cs="宋体"/>
                <w:color w:val="000000" w:themeColor="text1"/>
                <w:kern w:val="0"/>
                <w:sz w:val="24"/>
                <w14:textFill>
                  <w14:solidFill>
                    <w14:schemeClr w14:val="tx1"/>
                  </w14:solidFill>
                </w14:textFill>
              </w:rPr>
              <w:t>/d，近期工程规模为6万m</w:t>
            </w:r>
            <w:r>
              <w:rPr>
                <w:rFonts w:hint="eastAsia" w:cs="宋体"/>
                <w:color w:val="000000" w:themeColor="text1"/>
                <w:kern w:val="0"/>
                <w:sz w:val="24"/>
                <w:vertAlign w:val="superscript"/>
                <w14:textFill>
                  <w14:solidFill>
                    <w14:schemeClr w14:val="tx1"/>
                  </w14:solidFill>
                </w14:textFill>
              </w:rPr>
              <w:t>3</w:t>
            </w:r>
            <w:r>
              <w:rPr>
                <w:rFonts w:hint="eastAsia" w:cs="宋体"/>
                <w:color w:val="000000" w:themeColor="text1"/>
                <w:kern w:val="0"/>
                <w:sz w:val="24"/>
                <w14:textFill>
                  <w14:solidFill>
                    <w14:schemeClr w14:val="tx1"/>
                  </w14:solidFill>
                </w14:textFill>
              </w:rPr>
              <w:t>/d，尚有余力接纳本项目废水，本项目属于城东污水处理厂收集范围，且排放废水为生活污水，废水排放总量为</w:t>
            </w:r>
            <w:r>
              <w:rPr>
                <w:rFonts w:hint="eastAsia" w:cs="宋体"/>
                <w:color w:val="000000" w:themeColor="text1"/>
                <w:kern w:val="0"/>
                <w:sz w:val="24"/>
                <w:lang w:val="en-US" w:eastAsia="zh-CN"/>
                <w14:textFill>
                  <w14:solidFill>
                    <w14:schemeClr w14:val="tx1"/>
                  </w14:solidFill>
                </w14:textFill>
              </w:rPr>
              <w:t>2</w:t>
            </w:r>
            <w:r>
              <w:rPr>
                <w:rFonts w:hint="eastAsia" w:cs="宋体"/>
                <w:color w:val="000000" w:themeColor="text1"/>
                <w:kern w:val="0"/>
                <w:sz w:val="24"/>
                <w14:textFill>
                  <w14:solidFill>
                    <w14:schemeClr w14:val="tx1"/>
                  </w14:solidFill>
                </w14:textFill>
              </w:rPr>
              <w:t>m</w:t>
            </w:r>
            <w:r>
              <w:rPr>
                <w:rFonts w:hint="eastAsia" w:cs="宋体"/>
                <w:color w:val="000000" w:themeColor="text1"/>
                <w:kern w:val="0"/>
                <w:sz w:val="24"/>
                <w:vertAlign w:val="superscript"/>
                <w14:textFill>
                  <w14:solidFill>
                    <w14:schemeClr w14:val="tx1"/>
                  </w14:solidFill>
                </w14:textFill>
              </w:rPr>
              <w:t>3</w:t>
            </w:r>
            <w:r>
              <w:rPr>
                <w:rFonts w:hint="eastAsia" w:cs="宋体"/>
                <w:color w:val="000000" w:themeColor="text1"/>
                <w:kern w:val="0"/>
                <w:sz w:val="24"/>
                <w14:textFill>
                  <w14:solidFill>
                    <w14:schemeClr w14:val="tx1"/>
                  </w14:solidFill>
                </w14:textFill>
              </w:rPr>
              <w:t>/d，</w:t>
            </w:r>
            <w:r>
              <w:rPr>
                <w:rFonts w:hint="eastAsia" w:cs="宋体"/>
                <w:color w:val="000000" w:themeColor="text1"/>
                <w:kern w:val="0"/>
                <w:sz w:val="24"/>
                <w:lang w:val="en-US" w:eastAsia="zh-CN"/>
                <w14:textFill>
                  <w14:solidFill>
                    <w14:schemeClr w14:val="tx1"/>
                  </w14:solidFill>
                </w14:textFill>
              </w:rPr>
              <w:t>600</w:t>
            </w:r>
            <w:r>
              <w:rPr>
                <w:rFonts w:hint="eastAsia" w:cs="宋体"/>
                <w:color w:val="000000" w:themeColor="text1"/>
                <w:kern w:val="0"/>
                <w:sz w:val="24"/>
                <w14:textFill>
                  <w14:solidFill>
                    <w14:schemeClr w14:val="tx1"/>
                  </w14:solidFill>
                </w14:textFill>
              </w:rPr>
              <w:t>m</w:t>
            </w:r>
            <w:r>
              <w:rPr>
                <w:rFonts w:hint="eastAsia" w:cs="宋体"/>
                <w:color w:val="000000" w:themeColor="text1"/>
                <w:kern w:val="0"/>
                <w:sz w:val="24"/>
                <w:vertAlign w:val="superscript"/>
                <w14:textFill>
                  <w14:solidFill>
                    <w14:schemeClr w14:val="tx1"/>
                  </w14:solidFill>
                </w14:textFill>
              </w:rPr>
              <w:t>3</w:t>
            </w:r>
            <w:r>
              <w:rPr>
                <w:rFonts w:hint="eastAsia" w:cs="宋体"/>
                <w:color w:val="000000" w:themeColor="text1"/>
                <w:kern w:val="0"/>
                <w:sz w:val="24"/>
                <w14:textFill>
                  <w14:solidFill>
                    <w14:schemeClr w14:val="tx1"/>
                  </w14:solidFill>
                </w14:textFill>
              </w:rPr>
              <w:t>/a，</w:t>
            </w:r>
            <w:r>
              <w:rPr>
                <w:rFonts w:hint="eastAsia" w:cs="宋体"/>
                <w:color w:val="000000" w:themeColor="text1"/>
                <w:sz w:val="24"/>
                <w14:textFill>
                  <w14:solidFill>
                    <w14:schemeClr w14:val="tx1"/>
                  </w14:solidFill>
                </w14:textFill>
              </w:rPr>
              <w:t>污水产生量较小，且水质简单，不会对污水处理厂正常运行有影</w:t>
            </w:r>
            <w:r>
              <w:rPr>
                <w:rFonts w:hint="eastAsia" w:cs="宋体"/>
                <w:color w:val="000000" w:themeColor="text1"/>
                <w:kern w:val="0"/>
                <w:sz w:val="24"/>
                <w14:textFill>
                  <w14:solidFill>
                    <w14:schemeClr w14:val="tx1"/>
                  </w14:solidFill>
                </w14:textFill>
              </w:rPr>
              <w:t>响，因此项目污水接管城东污水处理厂是可行的，对周围水环境影响较小</w:t>
            </w:r>
            <w:r>
              <w:rPr>
                <w:rFonts w:cs="宋体"/>
                <w:color w:val="000000" w:themeColor="text1"/>
                <w:kern w:val="0"/>
                <w:sz w:val="24"/>
                <w14:textFill>
                  <w14:solidFill>
                    <w14:schemeClr w14:val="tx1"/>
                  </w14:solidFill>
                </w14:textFill>
              </w:rPr>
              <w:t>。</w:t>
            </w:r>
            <w:r>
              <w:rPr>
                <w:rFonts w:hint="eastAsia"/>
                <w:b/>
                <w:sz w:val="24"/>
              </w:rPr>
              <w:t xml:space="preserve">                                                                  </w:t>
            </w:r>
          </w:p>
          <w:p w14:paraId="384E648B">
            <w:pPr>
              <w:adjustRightInd w:val="0"/>
              <w:snapToGrid w:val="0"/>
              <w:spacing w:line="360" w:lineRule="auto"/>
              <w:jc w:val="left"/>
              <w:rPr>
                <w:b/>
                <w:sz w:val="24"/>
              </w:rPr>
            </w:pPr>
            <w:r>
              <w:rPr>
                <w:rFonts w:hint="eastAsia"/>
                <w:b/>
                <w:sz w:val="24"/>
              </w:rPr>
              <w:t xml:space="preserve">    </w:t>
            </w:r>
            <w:r>
              <w:rPr>
                <w:b/>
                <w:sz w:val="24"/>
              </w:rPr>
              <w:t>三、噪声</w:t>
            </w:r>
            <w:r>
              <w:rPr>
                <w:rFonts w:hint="eastAsia"/>
                <w:b/>
                <w:sz w:val="24"/>
              </w:rPr>
              <w:t>环境影响和保护措施</w:t>
            </w:r>
          </w:p>
          <w:p w14:paraId="29780C2A">
            <w:pPr>
              <w:adjustRightInd w:val="0"/>
              <w:snapToGrid w:val="0"/>
              <w:spacing w:line="360" w:lineRule="auto"/>
              <w:ind w:firstLine="482" w:firstLineChars="200"/>
              <w:jc w:val="left"/>
              <w:rPr>
                <w:b/>
                <w:sz w:val="24"/>
              </w:rPr>
            </w:pPr>
            <w:r>
              <w:rPr>
                <w:b/>
                <w:sz w:val="24"/>
              </w:rPr>
              <w:t>1、噪声源强</w:t>
            </w:r>
          </w:p>
          <w:p w14:paraId="7CF6ADC1">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本项目主要产噪设备包括注塑设备、涂装设备等生产设备噪声及风机等辅助设备噪声。建设单位拟采取以下降噪措施：</w:t>
            </w:r>
          </w:p>
          <w:p w14:paraId="62CFAFC9">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①控制设备噪声：在设备选型时选用先进的低噪声设备，在满足工艺设计的前提下，选用满足国际标准的低噪声、低振动型号的设备，降低噪声源强；②设备减振、隔声：在风机的进、出口处安装阻性消声器，并在机组与地基之间安置减振器，在风机与排气筒之间设置软连接，对风机采取配套的通风散热装置设置消声器；③加强建筑物隔声措施：项目设备均安置在室内，有效利用了建筑隔声，并采取隔声、吸声材料制作门窗、墙体等，防止噪声的扩散和传播，采取隔声措施；④强化生产管理：确保各类防止措施有效运行，各设备均保持良好运行状态，防止突发噪声；⑤合理布局:采用“闹静分开”和合理布局的设施原则，尽量将高噪声源远离厂界。</w:t>
            </w:r>
          </w:p>
          <w:p w14:paraId="463F54B2">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经过以上措施处理，降噪量达20dB（A）。本项目生产源强情况具体见下表。</w:t>
            </w:r>
          </w:p>
          <w:p w14:paraId="1D3F755B">
            <w:pPr>
              <w:pStyle w:val="102"/>
              <w:spacing w:before="120"/>
              <w:rPr>
                <w:color w:val="000000" w:themeColor="text1"/>
                <w:kern w:val="2"/>
                <w:szCs w:val="24"/>
                <w14:textFill>
                  <w14:solidFill>
                    <w14:schemeClr w14:val="tx1"/>
                  </w14:solidFill>
                </w14:textFill>
              </w:rPr>
            </w:pPr>
            <w:r>
              <w:rPr>
                <w:rFonts w:hint="eastAsia"/>
                <w:color w:val="000000" w:themeColor="text1"/>
                <w:kern w:val="2"/>
                <w:szCs w:val="24"/>
                <w14:textFill>
                  <w14:solidFill>
                    <w14:schemeClr w14:val="tx1"/>
                  </w14:solidFill>
                </w14:textFill>
              </w:rPr>
              <w:t>表4</w:t>
            </w:r>
            <w:r>
              <w:rPr>
                <w:color w:val="000000" w:themeColor="text1"/>
                <w:kern w:val="2"/>
                <w:szCs w:val="24"/>
                <w14:textFill>
                  <w14:solidFill>
                    <w14:schemeClr w14:val="tx1"/>
                  </w14:solidFill>
                </w14:textFill>
              </w:rPr>
              <w:t>-8</w:t>
            </w:r>
            <w:r>
              <w:rPr>
                <w:rFonts w:hint="eastAsia"/>
                <w:color w:val="000000" w:themeColor="text1"/>
                <w:kern w:val="2"/>
                <w:szCs w:val="24"/>
                <w14:textFill>
                  <w14:solidFill>
                    <w14:schemeClr w14:val="tx1"/>
                  </w14:solidFill>
                </w14:textFill>
              </w:rPr>
              <w:t>噪声源强一览表单位：</w:t>
            </w:r>
            <w:r>
              <w:rPr>
                <w:color w:val="000000" w:themeColor="text1"/>
                <w:kern w:val="2"/>
                <w:szCs w:val="24"/>
                <w14:textFill>
                  <w14:solidFill>
                    <w14:schemeClr w14:val="tx1"/>
                  </w14:solidFill>
                </w14:textFill>
              </w:rPr>
              <w:t>dB(A)</w:t>
            </w:r>
          </w:p>
          <w:tbl>
            <w:tblPr>
              <w:tblStyle w:val="29"/>
              <w:tblW w:w="84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1327"/>
              <w:gridCol w:w="844"/>
              <w:gridCol w:w="849"/>
              <w:gridCol w:w="827"/>
              <w:gridCol w:w="1007"/>
              <w:gridCol w:w="647"/>
              <w:gridCol w:w="826"/>
              <w:gridCol w:w="826"/>
              <w:gridCol w:w="826"/>
            </w:tblGrid>
            <w:tr w14:paraId="42D660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1" w:type="dxa"/>
                  <w:vMerge w:val="restart"/>
                  <w:tcBorders>
                    <w:tl2br w:val="nil"/>
                    <w:tr2bl w:val="nil"/>
                  </w:tcBorders>
                  <w:vAlign w:val="center"/>
                </w:tcPr>
                <w:p w14:paraId="49AB61A7">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327" w:type="dxa"/>
                  <w:vMerge w:val="restart"/>
                  <w:tcBorders>
                    <w:tl2br w:val="nil"/>
                    <w:tr2bl w:val="nil"/>
                  </w:tcBorders>
                  <w:vAlign w:val="center"/>
                </w:tcPr>
                <w:p w14:paraId="49DF853A">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设备名称</w:t>
                  </w:r>
                </w:p>
              </w:tc>
              <w:tc>
                <w:tcPr>
                  <w:tcW w:w="844" w:type="dxa"/>
                  <w:vMerge w:val="restart"/>
                  <w:tcBorders>
                    <w:tl2br w:val="nil"/>
                    <w:tr2bl w:val="nil"/>
                  </w:tcBorders>
                  <w:vAlign w:val="center"/>
                </w:tcPr>
                <w:p w14:paraId="0F58F824">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源强dB（A）</w:t>
                  </w:r>
                </w:p>
              </w:tc>
              <w:tc>
                <w:tcPr>
                  <w:tcW w:w="849" w:type="dxa"/>
                  <w:vMerge w:val="restart"/>
                  <w:tcBorders>
                    <w:tl2br w:val="nil"/>
                    <w:tr2bl w:val="nil"/>
                  </w:tcBorders>
                  <w:vAlign w:val="center"/>
                </w:tcPr>
                <w:p w14:paraId="129C24D9">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数量（台）</w:t>
                  </w:r>
                </w:p>
              </w:tc>
              <w:tc>
                <w:tcPr>
                  <w:tcW w:w="827" w:type="dxa"/>
                  <w:vMerge w:val="restart"/>
                  <w:tcBorders>
                    <w:tl2br w:val="nil"/>
                    <w:tr2bl w:val="nil"/>
                  </w:tcBorders>
                  <w:vAlign w:val="center"/>
                </w:tcPr>
                <w:p w14:paraId="3E8F9722">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降噪措施</w:t>
                  </w:r>
                </w:p>
              </w:tc>
              <w:tc>
                <w:tcPr>
                  <w:tcW w:w="1007" w:type="dxa"/>
                  <w:vMerge w:val="restart"/>
                  <w:tcBorders>
                    <w:tl2br w:val="nil"/>
                    <w:tr2bl w:val="nil"/>
                  </w:tcBorders>
                  <w:vAlign w:val="center"/>
                </w:tcPr>
                <w:p w14:paraId="32E8708F">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单台排放强度dB（A）</w:t>
                  </w:r>
                </w:p>
              </w:tc>
              <w:tc>
                <w:tcPr>
                  <w:tcW w:w="3125" w:type="dxa"/>
                  <w:gridSpan w:val="4"/>
                  <w:tcBorders>
                    <w:tl2br w:val="nil"/>
                    <w:tr2bl w:val="nil"/>
                  </w:tcBorders>
                  <w:vAlign w:val="center"/>
                </w:tcPr>
                <w:p w14:paraId="7F9E6A6C">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到各厂界距离m</w:t>
                  </w:r>
                </w:p>
              </w:tc>
            </w:tr>
            <w:tr w14:paraId="1C0948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1" w:type="dxa"/>
                  <w:vMerge w:val="continue"/>
                  <w:tcBorders>
                    <w:tl2br w:val="nil"/>
                    <w:tr2bl w:val="nil"/>
                  </w:tcBorders>
                  <w:vAlign w:val="center"/>
                </w:tcPr>
                <w:p w14:paraId="1EC3DEE3">
                  <w:pPr>
                    <w:pStyle w:val="52"/>
                    <w:rPr>
                      <w:b/>
                      <w:bCs/>
                      <w:color w:val="000000" w:themeColor="text1"/>
                      <w14:textFill>
                        <w14:solidFill>
                          <w14:schemeClr w14:val="tx1"/>
                        </w14:solidFill>
                      </w14:textFill>
                    </w:rPr>
                  </w:pPr>
                </w:p>
              </w:tc>
              <w:tc>
                <w:tcPr>
                  <w:tcW w:w="1327" w:type="dxa"/>
                  <w:vMerge w:val="continue"/>
                  <w:tcBorders>
                    <w:tl2br w:val="nil"/>
                    <w:tr2bl w:val="nil"/>
                  </w:tcBorders>
                  <w:vAlign w:val="center"/>
                </w:tcPr>
                <w:p w14:paraId="38559B8C">
                  <w:pPr>
                    <w:pStyle w:val="52"/>
                    <w:rPr>
                      <w:b/>
                      <w:bCs/>
                      <w:color w:val="000000" w:themeColor="text1"/>
                      <w14:textFill>
                        <w14:solidFill>
                          <w14:schemeClr w14:val="tx1"/>
                        </w14:solidFill>
                      </w14:textFill>
                    </w:rPr>
                  </w:pPr>
                </w:p>
              </w:tc>
              <w:tc>
                <w:tcPr>
                  <w:tcW w:w="844" w:type="dxa"/>
                  <w:vMerge w:val="continue"/>
                  <w:tcBorders>
                    <w:tl2br w:val="nil"/>
                    <w:tr2bl w:val="nil"/>
                  </w:tcBorders>
                  <w:vAlign w:val="center"/>
                </w:tcPr>
                <w:p w14:paraId="0C7C71CB">
                  <w:pPr>
                    <w:pStyle w:val="52"/>
                    <w:rPr>
                      <w:b/>
                      <w:bCs/>
                      <w:color w:val="000000" w:themeColor="text1"/>
                      <w14:textFill>
                        <w14:solidFill>
                          <w14:schemeClr w14:val="tx1"/>
                        </w14:solidFill>
                      </w14:textFill>
                    </w:rPr>
                  </w:pPr>
                </w:p>
              </w:tc>
              <w:tc>
                <w:tcPr>
                  <w:tcW w:w="849" w:type="dxa"/>
                  <w:vMerge w:val="continue"/>
                  <w:tcBorders>
                    <w:tl2br w:val="nil"/>
                    <w:tr2bl w:val="nil"/>
                  </w:tcBorders>
                  <w:vAlign w:val="center"/>
                </w:tcPr>
                <w:p w14:paraId="6078EEF6">
                  <w:pPr>
                    <w:pStyle w:val="52"/>
                    <w:rPr>
                      <w:b/>
                      <w:bCs/>
                      <w:color w:val="000000" w:themeColor="text1"/>
                      <w14:textFill>
                        <w14:solidFill>
                          <w14:schemeClr w14:val="tx1"/>
                        </w14:solidFill>
                      </w14:textFill>
                    </w:rPr>
                  </w:pPr>
                </w:p>
              </w:tc>
              <w:tc>
                <w:tcPr>
                  <w:tcW w:w="827" w:type="dxa"/>
                  <w:vMerge w:val="continue"/>
                  <w:tcBorders>
                    <w:tl2br w:val="nil"/>
                    <w:tr2bl w:val="nil"/>
                  </w:tcBorders>
                  <w:vAlign w:val="center"/>
                </w:tcPr>
                <w:p w14:paraId="2168270B">
                  <w:pPr>
                    <w:pStyle w:val="52"/>
                    <w:rPr>
                      <w:b/>
                      <w:bCs/>
                      <w:color w:val="000000" w:themeColor="text1"/>
                      <w14:textFill>
                        <w14:solidFill>
                          <w14:schemeClr w14:val="tx1"/>
                        </w14:solidFill>
                      </w14:textFill>
                    </w:rPr>
                  </w:pPr>
                </w:p>
              </w:tc>
              <w:tc>
                <w:tcPr>
                  <w:tcW w:w="1007" w:type="dxa"/>
                  <w:vMerge w:val="continue"/>
                  <w:tcBorders>
                    <w:tl2br w:val="nil"/>
                    <w:tr2bl w:val="nil"/>
                  </w:tcBorders>
                  <w:vAlign w:val="center"/>
                </w:tcPr>
                <w:p w14:paraId="2F0C842F">
                  <w:pPr>
                    <w:pStyle w:val="52"/>
                    <w:rPr>
                      <w:b/>
                      <w:bCs/>
                      <w:color w:val="000000" w:themeColor="text1"/>
                      <w14:textFill>
                        <w14:solidFill>
                          <w14:schemeClr w14:val="tx1"/>
                        </w14:solidFill>
                      </w14:textFill>
                    </w:rPr>
                  </w:pPr>
                </w:p>
              </w:tc>
              <w:tc>
                <w:tcPr>
                  <w:tcW w:w="647" w:type="dxa"/>
                  <w:tcBorders>
                    <w:tl2br w:val="nil"/>
                    <w:tr2bl w:val="nil"/>
                  </w:tcBorders>
                  <w:vAlign w:val="center"/>
                </w:tcPr>
                <w:p w14:paraId="154CE58A">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东</w:t>
                  </w:r>
                </w:p>
              </w:tc>
              <w:tc>
                <w:tcPr>
                  <w:tcW w:w="826" w:type="dxa"/>
                  <w:tcBorders>
                    <w:tl2br w:val="nil"/>
                    <w:tr2bl w:val="nil"/>
                  </w:tcBorders>
                  <w:vAlign w:val="center"/>
                </w:tcPr>
                <w:p w14:paraId="3C9BE22E">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南</w:t>
                  </w:r>
                </w:p>
              </w:tc>
              <w:tc>
                <w:tcPr>
                  <w:tcW w:w="826" w:type="dxa"/>
                  <w:tcBorders>
                    <w:tl2br w:val="nil"/>
                    <w:tr2bl w:val="nil"/>
                  </w:tcBorders>
                  <w:vAlign w:val="center"/>
                </w:tcPr>
                <w:p w14:paraId="577A31BA">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西</w:t>
                  </w:r>
                </w:p>
              </w:tc>
              <w:tc>
                <w:tcPr>
                  <w:tcW w:w="826" w:type="dxa"/>
                  <w:tcBorders>
                    <w:tl2br w:val="nil"/>
                    <w:tr2bl w:val="nil"/>
                  </w:tcBorders>
                  <w:vAlign w:val="center"/>
                </w:tcPr>
                <w:p w14:paraId="2994EBCB">
                  <w:pPr>
                    <w:pStyle w:val="5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北</w:t>
                  </w:r>
                </w:p>
              </w:tc>
            </w:tr>
            <w:tr w14:paraId="432E7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01" w:type="dxa"/>
                  <w:tcBorders>
                    <w:tl2br w:val="nil"/>
                    <w:tr2bl w:val="nil"/>
                  </w:tcBorders>
                  <w:vAlign w:val="center"/>
                </w:tcPr>
                <w:p w14:paraId="4120DF24">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327" w:type="dxa"/>
                  <w:tcBorders>
                    <w:tl2br w:val="nil"/>
                    <w:tr2bl w:val="nil"/>
                  </w:tcBorders>
                  <w:vAlign w:val="center"/>
                </w:tcPr>
                <w:p w14:paraId="1718CB20">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自动切线同步单针车</w:t>
                  </w:r>
                </w:p>
              </w:tc>
              <w:tc>
                <w:tcPr>
                  <w:tcW w:w="844" w:type="dxa"/>
                  <w:tcBorders>
                    <w:tl2br w:val="nil"/>
                    <w:tr2bl w:val="nil"/>
                  </w:tcBorders>
                  <w:vAlign w:val="center"/>
                </w:tcPr>
                <w:p w14:paraId="156C052C">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75</w:t>
                  </w:r>
                </w:p>
              </w:tc>
              <w:tc>
                <w:tcPr>
                  <w:tcW w:w="849" w:type="dxa"/>
                  <w:tcBorders>
                    <w:tl2br w:val="nil"/>
                    <w:tr2bl w:val="nil"/>
                  </w:tcBorders>
                  <w:vAlign w:val="center"/>
                </w:tcPr>
                <w:p w14:paraId="7659BBED">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8</w:t>
                  </w:r>
                </w:p>
              </w:tc>
              <w:tc>
                <w:tcPr>
                  <w:tcW w:w="827" w:type="dxa"/>
                  <w:vMerge w:val="restart"/>
                  <w:tcBorders>
                    <w:tl2br w:val="nil"/>
                    <w:tr2bl w:val="nil"/>
                  </w:tcBorders>
                  <w:vAlign w:val="center"/>
                </w:tcPr>
                <w:p w14:paraId="32A32A43">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选用低噪声设备；减振；选用低噪声设备；厂房隔声</w:t>
                  </w:r>
                </w:p>
              </w:tc>
              <w:tc>
                <w:tcPr>
                  <w:tcW w:w="1007" w:type="dxa"/>
                  <w:tcBorders>
                    <w:tl2br w:val="nil"/>
                    <w:tr2bl w:val="nil"/>
                  </w:tcBorders>
                  <w:vAlign w:val="center"/>
                </w:tcPr>
                <w:p w14:paraId="4EBC0A57">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55</w:t>
                  </w:r>
                </w:p>
              </w:tc>
              <w:tc>
                <w:tcPr>
                  <w:tcW w:w="647" w:type="dxa"/>
                  <w:tcBorders>
                    <w:tl2br w:val="nil"/>
                    <w:tr2bl w:val="nil"/>
                  </w:tcBorders>
                  <w:vAlign w:val="center"/>
                </w:tcPr>
                <w:p w14:paraId="09C70EE1">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4A68B696">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03508544">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632A8A38">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2788B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01" w:type="dxa"/>
                  <w:tcBorders>
                    <w:tl2br w:val="nil"/>
                    <w:tr2bl w:val="nil"/>
                  </w:tcBorders>
                  <w:vAlign w:val="center"/>
                </w:tcPr>
                <w:p w14:paraId="55C95E87">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327" w:type="dxa"/>
                  <w:tcBorders>
                    <w:tl2br w:val="nil"/>
                    <w:tr2bl w:val="nil"/>
                  </w:tcBorders>
                  <w:vAlign w:val="center"/>
                </w:tcPr>
                <w:p w14:paraId="7F6343E9">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自动切线同步单针车</w:t>
                  </w:r>
                </w:p>
              </w:tc>
              <w:tc>
                <w:tcPr>
                  <w:tcW w:w="844" w:type="dxa"/>
                  <w:tcBorders>
                    <w:tl2br w:val="nil"/>
                    <w:tr2bl w:val="nil"/>
                  </w:tcBorders>
                  <w:vAlign w:val="center"/>
                </w:tcPr>
                <w:p w14:paraId="7B75EC94">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75</w:t>
                  </w:r>
                </w:p>
              </w:tc>
              <w:tc>
                <w:tcPr>
                  <w:tcW w:w="849" w:type="dxa"/>
                  <w:tcBorders>
                    <w:tl2br w:val="nil"/>
                    <w:tr2bl w:val="nil"/>
                  </w:tcBorders>
                  <w:vAlign w:val="center"/>
                </w:tcPr>
                <w:p w14:paraId="6D253D48">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2</w:t>
                  </w:r>
                </w:p>
              </w:tc>
              <w:tc>
                <w:tcPr>
                  <w:tcW w:w="827" w:type="dxa"/>
                  <w:vMerge w:val="continue"/>
                  <w:tcBorders>
                    <w:tl2br w:val="nil"/>
                    <w:tr2bl w:val="nil"/>
                  </w:tcBorders>
                  <w:vAlign w:val="center"/>
                </w:tcPr>
                <w:p w14:paraId="46D2F31D">
                  <w:pPr>
                    <w:pStyle w:val="52"/>
                    <w:rPr>
                      <w:color w:val="000000" w:themeColor="text1"/>
                      <w14:textFill>
                        <w14:solidFill>
                          <w14:schemeClr w14:val="tx1"/>
                        </w14:solidFill>
                      </w14:textFill>
                    </w:rPr>
                  </w:pPr>
                </w:p>
              </w:tc>
              <w:tc>
                <w:tcPr>
                  <w:tcW w:w="1007" w:type="dxa"/>
                  <w:tcBorders>
                    <w:tl2br w:val="nil"/>
                    <w:tr2bl w:val="nil"/>
                  </w:tcBorders>
                  <w:vAlign w:val="center"/>
                </w:tcPr>
                <w:p w14:paraId="062EB9B8">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55</w:t>
                  </w:r>
                </w:p>
              </w:tc>
              <w:tc>
                <w:tcPr>
                  <w:tcW w:w="647" w:type="dxa"/>
                  <w:tcBorders>
                    <w:tl2br w:val="nil"/>
                    <w:tr2bl w:val="nil"/>
                  </w:tcBorders>
                  <w:vAlign w:val="center"/>
                </w:tcPr>
                <w:p w14:paraId="34D652E0">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65804806">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349CC905">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6E5355DE">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41140A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01" w:type="dxa"/>
                  <w:tcBorders>
                    <w:tl2br w:val="nil"/>
                    <w:tr2bl w:val="nil"/>
                  </w:tcBorders>
                  <w:vAlign w:val="center"/>
                </w:tcPr>
                <w:p w14:paraId="600E3879">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1327" w:type="dxa"/>
                  <w:tcBorders>
                    <w:tl2br w:val="nil"/>
                    <w:tr2bl w:val="nil"/>
                  </w:tcBorders>
                  <w:vAlign w:val="center"/>
                </w:tcPr>
                <w:p w14:paraId="62289463">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自动切线同步单针车</w:t>
                  </w:r>
                </w:p>
              </w:tc>
              <w:tc>
                <w:tcPr>
                  <w:tcW w:w="844" w:type="dxa"/>
                  <w:tcBorders>
                    <w:tl2br w:val="nil"/>
                    <w:tr2bl w:val="nil"/>
                  </w:tcBorders>
                  <w:vAlign w:val="center"/>
                </w:tcPr>
                <w:p w14:paraId="0003D0ED">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75</w:t>
                  </w:r>
                </w:p>
              </w:tc>
              <w:tc>
                <w:tcPr>
                  <w:tcW w:w="849" w:type="dxa"/>
                  <w:tcBorders>
                    <w:tl2br w:val="nil"/>
                    <w:tr2bl w:val="nil"/>
                  </w:tcBorders>
                  <w:vAlign w:val="center"/>
                </w:tcPr>
                <w:p w14:paraId="0E505739">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2</w:t>
                  </w:r>
                </w:p>
              </w:tc>
              <w:tc>
                <w:tcPr>
                  <w:tcW w:w="827" w:type="dxa"/>
                  <w:vMerge w:val="continue"/>
                  <w:tcBorders>
                    <w:tl2br w:val="nil"/>
                    <w:tr2bl w:val="nil"/>
                  </w:tcBorders>
                  <w:vAlign w:val="center"/>
                </w:tcPr>
                <w:p w14:paraId="3C4FE6D7">
                  <w:pPr>
                    <w:pStyle w:val="52"/>
                    <w:rPr>
                      <w:color w:val="000000" w:themeColor="text1"/>
                      <w14:textFill>
                        <w14:solidFill>
                          <w14:schemeClr w14:val="tx1"/>
                        </w14:solidFill>
                      </w14:textFill>
                    </w:rPr>
                  </w:pPr>
                </w:p>
              </w:tc>
              <w:tc>
                <w:tcPr>
                  <w:tcW w:w="1007" w:type="dxa"/>
                  <w:tcBorders>
                    <w:tl2br w:val="nil"/>
                    <w:tr2bl w:val="nil"/>
                  </w:tcBorders>
                  <w:vAlign w:val="center"/>
                </w:tcPr>
                <w:p w14:paraId="748CBC79">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55</w:t>
                  </w:r>
                </w:p>
              </w:tc>
              <w:tc>
                <w:tcPr>
                  <w:tcW w:w="647" w:type="dxa"/>
                  <w:tcBorders>
                    <w:tl2br w:val="nil"/>
                    <w:tr2bl w:val="nil"/>
                  </w:tcBorders>
                  <w:vAlign w:val="center"/>
                </w:tcPr>
                <w:p w14:paraId="1B68D326">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0B13C987">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520D37E9">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3BA38BB9">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2A218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01" w:type="dxa"/>
                  <w:tcBorders>
                    <w:tl2br w:val="nil"/>
                    <w:tr2bl w:val="nil"/>
                  </w:tcBorders>
                  <w:vAlign w:val="center"/>
                </w:tcPr>
                <w:p w14:paraId="79469F9C">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1327" w:type="dxa"/>
                  <w:tcBorders>
                    <w:tl2br w:val="nil"/>
                    <w:tr2bl w:val="nil"/>
                  </w:tcBorders>
                  <w:vAlign w:val="center"/>
                </w:tcPr>
                <w:p w14:paraId="45E99E3C">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立柱双针车</w:t>
                  </w:r>
                </w:p>
              </w:tc>
              <w:tc>
                <w:tcPr>
                  <w:tcW w:w="844" w:type="dxa"/>
                  <w:tcBorders>
                    <w:tl2br w:val="nil"/>
                    <w:tr2bl w:val="nil"/>
                  </w:tcBorders>
                  <w:vAlign w:val="center"/>
                </w:tcPr>
                <w:p w14:paraId="67B8521C">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75</w:t>
                  </w:r>
                </w:p>
              </w:tc>
              <w:tc>
                <w:tcPr>
                  <w:tcW w:w="849" w:type="dxa"/>
                  <w:tcBorders>
                    <w:tl2br w:val="nil"/>
                    <w:tr2bl w:val="nil"/>
                  </w:tcBorders>
                  <w:vAlign w:val="center"/>
                </w:tcPr>
                <w:p w14:paraId="05A8EF54">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6</w:t>
                  </w:r>
                </w:p>
              </w:tc>
              <w:tc>
                <w:tcPr>
                  <w:tcW w:w="827" w:type="dxa"/>
                  <w:vMerge w:val="continue"/>
                  <w:tcBorders>
                    <w:tl2br w:val="nil"/>
                    <w:tr2bl w:val="nil"/>
                  </w:tcBorders>
                  <w:vAlign w:val="center"/>
                </w:tcPr>
                <w:p w14:paraId="2208EC2F">
                  <w:pPr>
                    <w:pStyle w:val="52"/>
                    <w:rPr>
                      <w:color w:val="000000" w:themeColor="text1"/>
                      <w14:textFill>
                        <w14:solidFill>
                          <w14:schemeClr w14:val="tx1"/>
                        </w14:solidFill>
                      </w14:textFill>
                    </w:rPr>
                  </w:pPr>
                </w:p>
              </w:tc>
              <w:tc>
                <w:tcPr>
                  <w:tcW w:w="1007" w:type="dxa"/>
                  <w:tcBorders>
                    <w:tl2br w:val="nil"/>
                    <w:tr2bl w:val="nil"/>
                  </w:tcBorders>
                  <w:vAlign w:val="center"/>
                </w:tcPr>
                <w:p w14:paraId="2B30995D">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55</w:t>
                  </w:r>
                </w:p>
              </w:tc>
              <w:tc>
                <w:tcPr>
                  <w:tcW w:w="647" w:type="dxa"/>
                  <w:tcBorders>
                    <w:tl2br w:val="nil"/>
                    <w:tr2bl w:val="nil"/>
                  </w:tcBorders>
                  <w:vAlign w:val="center"/>
                </w:tcPr>
                <w:p w14:paraId="132CE4BA">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59E32190">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6AD736B1">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21C16D55">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008129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tcBorders>
                    <w:tl2br w:val="nil"/>
                    <w:tr2bl w:val="nil"/>
                  </w:tcBorders>
                  <w:vAlign w:val="center"/>
                </w:tcPr>
                <w:p w14:paraId="154300BD">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1327" w:type="dxa"/>
                  <w:tcBorders>
                    <w:tl2br w:val="nil"/>
                    <w:tr2bl w:val="nil"/>
                  </w:tcBorders>
                  <w:vAlign w:val="center"/>
                </w:tcPr>
                <w:p w14:paraId="1D199082">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重机立柱双针车</w:t>
                  </w:r>
                </w:p>
              </w:tc>
              <w:tc>
                <w:tcPr>
                  <w:tcW w:w="844" w:type="dxa"/>
                  <w:tcBorders>
                    <w:tl2br w:val="nil"/>
                    <w:tr2bl w:val="nil"/>
                  </w:tcBorders>
                  <w:vAlign w:val="center"/>
                </w:tcPr>
                <w:p w14:paraId="0F541A6B">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75</w:t>
                  </w:r>
                </w:p>
              </w:tc>
              <w:tc>
                <w:tcPr>
                  <w:tcW w:w="849" w:type="dxa"/>
                  <w:tcBorders>
                    <w:tl2br w:val="nil"/>
                    <w:tr2bl w:val="nil"/>
                  </w:tcBorders>
                  <w:vAlign w:val="center"/>
                </w:tcPr>
                <w:p w14:paraId="1E0807B2">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2</w:t>
                  </w:r>
                </w:p>
              </w:tc>
              <w:tc>
                <w:tcPr>
                  <w:tcW w:w="827" w:type="dxa"/>
                  <w:vMerge w:val="continue"/>
                  <w:tcBorders>
                    <w:tl2br w:val="nil"/>
                    <w:tr2bl w:val="nil"/>
                  </w:tcBorders>
                  <w:vAlign w:val="center"/>
                </w:tcPr>
                <w:p w14:paraId="124F5ABD">
                  <w:pPr>
                    <w:pStyle w:val="52"/>
                    <w:rPr>
                      <w:color w:val="000000" w:themeColor="text1"/>
                      <w14:textFill>
                        <w14:solidFill>
                          <w14:schemeClr w14:val="tx1"/>
                        </w14:solidFill>
                      </w14:textFill>
                    </w:rPr>
                  </w:pPr>
                </w:p>
              </w:tc>
              <w:tc>
                <w:tcPr>
                  <w:tcW w:w="1007" w:type="dxa"/>
                  <w:tcBorders>
                    <w:tl2br w:val="nil"/>
                    <w:tr2bl w:val="nil"/>
                  </w:tcBorders>
                  <w:vAlign w:val="center"/>
                </w:tcPr>
                <w:p w14:paraId="5E686798">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55</w:t>
                  </w:r>
                </w:p>
              </w:tc>
              <w:tc>
                <w:tcPr>
                  <w:tcW w:w="647" w:type="dxa"/>
                  <w:tcBorders>
                    <w:tl2br w:val="nil"/>
                    <w:tr2bl w:val="nil"/>
                  </w:tcBorders>
                  <w:vAlign w:val="center"/>
                </w:tcPr>
                <w:p w14:paraId="150BBB91">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7ECD8249">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33B09A0A">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497545EB">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77915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tcBorders>
                    <w:tl2br w:val="nil"/>
                    <w:tr2bl w:val="nil"/>
                  </w:tcBorders>
                  <w:vAlign w:val="center"/>
                </w:tcPr>
                <w:p w14:paraId="00CEF0AC">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1327" w:type="dxa"/>
                  <w:tcBorders>
                    <w:tl2br w:val="nil"/>
                    <w:tr2bl w:val="nil"/>
                  </w:tcBorders>
                  <w:vAlign w:val="center"/>
                </w:tcPr>
                <w:p w14:paraId="6E092B75">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杜克普立柱双针车</w:t>
                  </w:r>
                </w:p>
              </w:tc>
              <w:tc>
                <w:tcPr>
                  <w:tcW w:w="844" w:type="dxa"/>
                  <w:tcBorders>
                    <w:tl2br w:val="nil"/>
                    <w:tr2bl w:val="nil"/>
                  </w:tcBorders>
                  <w:vAlign w:val="center"/>
                </w:tcPr>
                <w:p w14:paraId="606077ED">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75</w:t>
                  </w:r>
                </w:p>
              </w:tc>
              <w:tc>
                <w:tcPr>
                  <w:tcW w:w="849" w:type="dxa"/>
                  <w:tcBorders>
                    <w:tl2br w:val="nil"/>
                    <w:tr2bl w:val="nil"/>
                  </w:tcBorders>
                  <w:vAlign w:val="center"/>
                </w:tcPr>
                <w:p w14:paraId="28794F40">
                  <w:pPr>
                    <w:widowControl/>
                    <w:jc w:val="center"/>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2</w:t>
                  </w:r>
                </w:p>
              </w:tc>
              <w:tc>
                <w:tcPr>
                  <w:tcW w:w="827" w:type="dxa"/>
                  <w:vMerge w:val="continue"/>
                  <w:tcBorders>
                    <w:tl2br w:val="nil"/>
                    <w:tr2bl w:val="nil"/>
                  </w:tcBorders>
                  <w:vAlign w:val="center"/>
                </w:tcPr>
                <w:p w14:paraId="3E937C5F">
                  <w:pPr>
                    <w:pStyle w:val="52"/>
                    <w:rPr>
                      <w:color w:val="000000" w:themeColor="text1"/>
                      <w14:textFill>
                        <w14:solidFill>
                          <w14:schemeClr w14:val="tx1"/>
                        </w14:solidFill>
                      </w14:textFill>
                    </w:rPr>
                  </w:pPr>
                </w:p>
              </w:tc>
              <w:tc>
                <w:tcPr>
                  <w:tcW w:w="1007" w:type="dxa"/>
                  <w:tcBorders>
                    <w:tl2br w:val="nil"/>
                    <w:tr2bl w:val="nil"/>
                  </w:tcBorders>
                  <w:vAlign w:val="center"/>
                </w:tcPr>
                <w:p w14:paraId="1D55BF01">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55</w:t>
                  </w:r>
                </w:p>
              </w:tc>
              <w:tc>
                <w:tcPr>
                  <w:tcW w:w="647" w:type="dxa"/>
                  <w:tcBorders>
                    <w:tl2br w:val="nil"/>
                    <w:tr2bl w:val="nil"/>
                  </w:tcBorders>
                  <w:vAlign w:val="center"/>
                </w:tcPr>
                <w:p w14:paraId="3E9063C6">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70BE0F46">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5666DCFE">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0FEB3A22">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0AA6C5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1" w:type="dxa"/>
                  <w:tcBorders>
                    <w:tl2br w:val="nil"/>
                    <w:tr2bl w:val="nil"/>
                  </w:tcBorders>
                  <w:vAlign w:val="center"/>
                </w:tcPr>
                <w:p w14:paraId="7FBB0BE8">
                  <w:pPr>
                    <w:pStyle w:val="52"/>
                    <w:rPr>
                      <w:color w:val="000000" w:themeColor="text1"/>
                      <w14:textFill>
                        <w14:solidFill>
                          <w14:schemeClr w14:val="tx1"/>
                        </w14:solidFill>
                      </w14:textFill>
                    </w:rPr>
                  </w:pPr>
                  <w:r>
                    <w:rPr>
                      <w:color w:val="000000" w:themeColor="text1"/>
                      <w:szCs w:val="21"/>
                      <w14:textFill>
                        <w14:solidFill>
                          <w14:schemeClr w14:val="tx1"/>
                        </w14:solidFill>
                      </w14:textFill>
                    </w:rPr>
                    <w:t>7</w:t>
                  </w:r>
                </w:p>
              </w:tc>
              <w:tc>
                <w:tcPr>
                  <w:tcW w:w="1327" w:type="dxa"/>
                  <w:tcBorders>
                    <w:tl2br w:val="nil"/>
                    <w:tr2bl w:val="nil"/>
                  </w:tcBorders>
                  <w:vAlign w:val="center"/>
                </w:tcPr>
                <w:p w14:paraId="5DCEBC7F">
                  <w:pPr>
                    <w:widowControl/>
                    <w:jc w:val="center"/>
                    <w:rPr>
                      <w:color w:val="000000" w:themeColor="text1"/>
                      <w:szCs w:val="21"/>
                      <w14:textFill>
                        <w14:solidFill>
                          <w14:schemeClr w14:val="tx1"/>
                        </w14:solidFill>
                      </w14:textFill>
                    </w:rPr>
                  </w:pPr>
                  <w:r>
                    <w:rPr>
                      <w:rFonts w:hint="eastAsia" w:ascii="Times New Roman" w:hAnsi="Times New Roman" w:eastAsia="宋体" w:cs="Times New Roman"/>
                      <w:lang w:val="en-US" w:eastAsia="zh-CN"/>
                    </w:rPr>
                    <w:t>模板缝纫机</w:t>
                  </w:r>
                </w:p>
              </w:tc>
              <w:tc>
                <w:tcPr>
                  <w:tcW w:w="844" w:type="dxa"/>
                  <w:tcBorders>
                    <w:tl2br w:val="nil"/>
                    <w:tr2bl w:val="nil"/>
                  </w:tcBorders>
                  <w:vAlign w:val="center"/>
                </w:tcPr>
                <w:p w14:paraId="4ED5EEE4">
                  <w:pPr>
                    <w:pStyle w:val="52"/>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8</w:t>
                  </w:r>
                  <w:r>
                    <w:rPr>
                      <w:rFonts w:hint="eastAsia"/>
                      <w:color w:val="000000" w:themeColor="text1"/>
                      <w:lang w:val="en-US" w:eastAsia="zh-CN"/>
                      <w14:textFill>
                        <w14:solidFill>
                          <w14:schemeClr w14:val="tx1"/>
                        </w14:solidFill>
                      </w14:textFill>
                    </w:rPr>
                    <w:t>0</w:t>
                  </w:r>
                </w:p>
              </w:tc>
              <w:tc>
                <w:tcPr>
                  <w:tcW w:w="849" w:type="dxa"/>
                  <w:tcBorders>
                    <w:tl2br w:val="nil"/>
                    <w:tr2bl w:val="nil"/>
                  </w:tcBorders>
                  <w:vAlign w:val="center"/>
                </w:tcPr>
                <w:p w14:paraId="27635BD3">
                  <w:pPr>
                    <w:widowControl/>
                    <w:jc w:val="center"/>
                    <w:rPr>
                      <w:color w:val="000000" w:themeColor="text1"/>
                      <w:szCs w:val="21"/>
                      <w14:textFill>
                        <w14:solidFill>
                          <w14:schemeClr w14:val="tx1"/>
                        </w14:solidFill>
                      </w14:textFill>
                    </w:rPr>
                  </w:pPr>
                  <w:r>
                    <w:rPr>
                      <w:rFonts w:hint="eastAsia" w:ascii="Times New Roman" w:hAnsi="Times New Roman" w:eastAsia="宋体" w:cs="Times New Roman"/>
                      <w:lang w:val="en-US" w:eastAsia="zh-CN"/>
                    </w:rPr>
                    <w:t>2</w:t>
                  </w:r>
                </w:p>
              </w:tc>
              <w:tc>
                <w:tcPr>
                  <w:tcW w:w="827" w:type="dxa"/>
                  <w:vMerge w:val="continue"/>
                  <w:tcBorders>
                    <w:tl2br w:val="nil"/>
                    <w:tr2bl w:val="nil"/>
                  </w:tcBorders>
                  <w:vAlign w:val="center"/>
                </w:tcPr>
                <w:p w14:paraId="7D4E0B5E">
                  <w:pPr>
                    <w:pStyle w:val="52"/>
                    <w:rPr>
                      <w:color w:val="000000" w:themeColor="text1"/>
                      <w14:textFill>
                        <w14:solidFill>
                          <w14:schemeClr w14:val="tx1"/>
                        </w14:solidFill>
                      </w14:textFill>
                    </w:rPr>
                  </w:pPr>
                </w:p>
              </w:tc>
              <w:tc>
                <w:tcPr>
                  <w:tcW w:w="1007" w:type="dxa"/>
                  <w:tcBorders>
                    <w:tl2br w:val="nil"/>
                    <w:tr2bl w:val="nil"/>
                  </w:tcBorders>
                  <w:vAlign w:val="center"/>
                </w:tcPr>
                <w:p w14:paraId="62A8AAA3">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60</w:t>
                  </w:r>
                </w:p>
              </w:tc>
              <w:tc>
                <w:tcPr>
                  <w:tcW w:w="647" w:type="dxa"/>
                  <w:tcBorders>
                    <w:tl2br w:val="nil"/>
                    <w:tr2bl w:val="nil"/>
                  </w:tcBorders>
                  <w:vAlign w:val="center"/>
                </w:tcPr>
                <w:p w14:paraId="73DA87F8">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3B2046AA">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4F3E7BBC">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78A49CDB">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63223D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1" w:type="dxa"/>
                  <w:tcBorders>
                    <w:tl2br w:val="nil"/>
                    <w:tr2bl w:val="nil"/>
                  </w:tcBorders>
                  <w:vAlign w:val="center"/>
                </w:tcPr>
                <w:p w14:paraId="356B5B45">
                  <w:pPr>
                    <w:pStyle w:val="52"/>
                    <w:rPr>
                      <w:color w:val="000000" w:themeColor="text1"/>
                      <w14:textFill>
                        <w14:solidFill>
                          <w14:schemeClr w14:val="tx1"/>
                        </w14:solidFill>
                      </w14:textFill>
                    </w:rPr>
                  </w:pPr>
                  <w:r>
                    <w:rPr>
                      <w:color w:val="000000" w:themeColor="text1"/>
                      <w:szCs w:val="21"/>
                      <w14:textFill>
                        <w14:solidFill>
                          <w14:schemeClr w14:val="tx1"/>
                        </w14:solidFill>
                      </w14:textFill>
                    </w:rPr>
                    <w:t>8</w:t>
                  </w:r>
                </w:p>
              </w:tc>
              <w:tc>
                <w:tcPr>
                  <w:tcW w:w="1327" w:type="dxa"/>
                  <w:tcBorders>
                    <w:tl2br w:val="nil"/>
                    <w:tr2bl w:val="nil"/>
                  </w:tcBorders>
                  <w:vAlign w:val="center"/>
                </w:tcPr>
                <w:p w14:paraId="5D466376">
                  <w:pPr>
                    <w:widowControl/>
                    <w:jc w:val="center"/>
                    <w:rPr>
                      <w:color w:val="000000" w:themeColor="text1"/>
                      <w:szCs w:val="21"/>
                      <w14:textFill>
                        <w14:solidFill>
                          <w14:schemeClr w14:val="tx1"/>
                        </w14:solidFill>
                      </w14:textFill>
                    </w:rPr>
                  </w:pPr>
                  <w:r>
                    <w:rPr>
                      <w:rFonts w:hint="eastAsia" w:ascii="Times New Roman" w:hAnsi="Times New Roman" w:eastAsia="宋体" w:cs="Times New Roman"/>
                      <w:lang w:val="en-US" w:eastAsia="zh-CN"/>
                    </w:rPr>
                    <w:t>电脑裁床</w:t>
                  </w:r>
                </w:p>
              </w:tc>
              <w:tc>
                <w:tcPr>
                  <w:tcW w:w="844" w:type="dxa"/>
                  <w:tcBorders>
                    <w:tl2br w:val="nil"/>
                    <w:tr2bl w:val="nil"/>
                  </w:tcBorders>
                  <w:vAlign w:val="center"/>
                </w:tcPr>
                <w:p w14:paraId="7390A9F2">
                  <w:pPr>
                    <w:pStyle w:val="52"/>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8</w:t>
                  </w:r>
                  <w:r>
                    <w:rPr>
                      <w:rFonts w:hint="eastAsia"/>
                      <w:color w:val="000000" w:themeColor="text1"/>
                      <w:lang w:val="en-US" w:eastAsia="zh-CN"/>
                      <w14:textFill>
                        <w14:solidFill>
                          <w14:schemeClr w14:val="tx1"/>
                        </w14:solidFill>
                      </w14:textFill>
                    </w:rPr>
                    <w:t>0</w:t>
                  </w:r>
                </w:p>
              </w:tc>
              <w:tc>
                <w:tcPr>
                  <w:tcW w:w="849" w:type="dxa"/>
                  <w:tcBorders>
                    <w:tl2br w:val="nil"/>
                    <w:tr2bl w:val="nil"/>
                  </w:tcBorders>
                  <w:vAlign w:val="center"/>
                </w:tcPr>
                <w:p w14:paraId="31821806">
                  <w:pPr>
                    <w:widowControl/>
                    <w:jc w:val="center"/>
                    <w:rPr>
                      <w:color w:val="000000" w:themeColor="text1"/>
                      <w:szCs w:val="21"/>
                      <w14:textFill>
                        <w14:solidFill>
                          <w14:schemeClr w14:val="tx1"/>
                        </w14:solidFill>
                      </w14:textFill>
                    </w:rPr>
                  </w:pPr>
                  <w:r>
                    <w:rPr>
                      <w:rFonts w:hint="eastAsia" w:ascii="Times New Roman" w:hAnsi="Times New Roman" w:eastAsia="宋体" w:cs="Times New Roman"/>
                      <w:lang w:val="en-US" w:eastAsia="zh-CN"/>
                    </w:rPr>
                    <w:t>1</w:t>
                  </w:r>
                </w:p>
              </w:tc>
              <w:tc>
                <w:tcPr>
                  <w:tcW w:w="827" w:type="dxa"/>
                  <w:vMerge w:val="continue"/>
                  <w:tcBorders>
                    <w:tl2br w:val="nil"/>
                    <w:tr2bl w:val="nil"/>
                  </w:tcBorders>
                  <w:vAlign w:val="center"/>
                </w:tcPr>
                <w:p w14:paraId="720863C4">
                  <w:pPr>
                    <w:pStyle w:val="52"/>
                    <w:rPr>
                      <w:color w:val="000000" w:themeColor="text1"/>
                      <w14:textFill>
                        <w14:solidFill>
                          <w14:schemeClr w14:val="tx1"/>
                        </w14:solidFill>
                      </w14:textFill>
                    </w:rPr>
                  </w:pPr>
                </w:p>
              </w:tc>
              <w:tc>
                <w:tcPr>
                  <w:tcW w:w="1007" w:type="dxa"/>
                  <w:tcBorders>
                    <w:tl2br w:val="nil"/>
                    <w:tr2bl w:val="nil"/>
                  </w:tcBorders>
                  <w:vAlign w:val="center"/>
                </w:tcPr>
                <w:p w14:paraId="7F3606A6">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60</w:t>
                  </w:r>
                </w:p>
              </w:tc>
              <w:tc>
                <w:tcPr>
                  <w:tcW w:w="647" w:type="dxa"/>
                  <w:tcBorders>
                    <w:tl2br w:val="nil"/>
                    <w:tr2bl w:val="nil"/>
                  </w:tcBorders>
                  <w:vAlign w:val="center"/>
                </w:tcPr>
                <w:p w14:paraId="216F9207">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826" w:type="dxa"/>
                  <w:tcBorders>
                    <w:tl2br w:val="nil"/>
                    <w:tr2bl w:val="nil"/>
                  </w:tcBorders>
                  <w:vAlign w:val="center"/>
                </w:tcPr>
                <w:p w14:paraId="2D1F898D">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26" w:type="dxa"/>
                  <w:tcBorders>
                    <w:tl2br w:val="nil"/>
                    <w:tr2bl w:val="nil"/>
                  </w:tcBorders>
                  <w:vAlign w:val="center"/>
                </w:tcPr>
                <w:p w14:paraId="0E1F007C">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826" w:type="dxa"/>
                  <w:tcBorders>
                    <w:tl2br w:val="nil"/>
                    <w:tr2bl w:val="nil"/>
                  </w:tcBorders>
                  <w:vAlign w:val="center"/>
                </w:tcPr>
                <w:p w14:paraId="1641543A">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39731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1" w:type="dxa"/>
                  <w:tcBorders>
                    <w:tl2br w:val="nil"/>
                    <w:tr2bl w:val="nil"/>
                  </w:tcBorders>
                  <w:vAlign w:val="center"/>
                </w:tcPr>
                <w:p w14:paraId="0960BE00">
                  <w:pPr>
                    <w:pStyle w:val="52"/>
                    <w:rPr>
                      <w:color w:val="000000" w:themeColor="text1"/>
                      <w14:textFill>
                        <w14:solidFill>
                          <w14:schemeClr w14:val="tx1"/>
                        </w14:solidFill>
                      </w14:textFill>
                    </w:rPr>
                  </w:pPr>
                  <w:r>
                    <w:rPr>
                      <w:color w:val="000000" w:themeColor="text1"/>
                      <w:szCs w:val="21"/>
                      <w14:textFill>
                        <w14:solidFill>
                          <w14:schemeClr w14:val="tx1"/>
                        </w14:solidFill>
                      </w14:textFill>
                    </w:rPr>
                    <w:t>9</w:t>
                  </w:r>
                </w:p>
              </w:tc>
              <w:tc>
                <w:tcPr>
                  <w:tcW w:w="1327" w:type="dxa"/>
                  <w:tcBorders>
                    <w:tl2br w:val="nil"/>
                    <w:tr2bl w:val="nil"/>
                  </w:tcBorders>
                  <w:vAlign w:val="center"/>
                </w:tcPr>
                <w:p w14:paraId="638BA1A1">
                  <w:pPr>
                    <w:pStyle w:val="52"/>
                    <w:rPr>
                      <w:color w:val="000000" w:themeColor="text1"/>
                      <w:szCs w:val="21"/>
                      <w14:textFill>
                        <w14:solidFill>
                          <w14:schemeClr w14:val="tx1"/>
                        </w14:solidFill>
                      </w14:textFill>
                    </w:rPr>
                  </w:pPr>
                  <w:r>
                    <w:rPr>
                      <w:rFonts w:hint="eastAsia" w:ascii="Times New Roman" w:hAnsi="Times New Roman" w:eastAsia="宋体" w:cs="Times New Roman"/>
                      <w:lang w:val="en-US" w:eastAsia="zh-CN"/>
                    </w:rPr>
                    <w:t>模压机</w:t>
                  </w:r>
                </w:p>
              </w:tc>
              <w:tc>
                <w:tcPr>
                  <w:tcW w:w="844" w:type="dxa"/>
                  <w:tcBorders>
                    <w:tl2br w:val="nil"/>
                    <w:tr2bl w:val="nil"/>
                  </w:tcBorders>
                  <w:vAlign w:val="center"/>
                </w:tcPr>
                <w:p w14:paraId="14ED7645">
                  <w:pPr>
                    <w:pStyle w:val="52"/>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w:t>
                  </w:r>
                  <w:r>
                    <w:rPr>
                      <w:rFonts w:hint="eastAsia"/>
                      <w:color w:val="000000" w:themeColor="text1"/>
                      <w:lang w:val="en-US" w:eastAsia="zh-CN"/>
                      <w14:textFill>
                        <w14:solidFill>
                          <w14:schemeClr w14:val="tx1"/>
                        </w14:solidFill>
                      </w14:textFill>
                    </w:rPr>
                    <w:t>0</w:t>
                  </w:r>
                </w:p>
              </w:tc>
              <w:tc>
                <w:tcPr>
                  <w:tcW w:w="849" w:type="dxa"/>
                  <w:tcBorders>
                    <w:tl2br w:val="nil"/>
                    <w:tr2bl w:val="nil"/>
                  </w:tcBorders>
                  <w:vAlign w:val="center"/>
                </w:tcPr>
                <w:p w14:paraId="1374B0C4">
                  <w:pPr>
                    <w:pStyle w:val="52"/>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827" w:type="dxa"/>
                  <w:vMerge w:val="continue"/>
                  <w:tcBorders>
                    <w:tl2br w:val="nil"/>
                    <w:tr2bl w:val="nil"/>
                  </w:tcBorders>
                  <w:vAlign w:val="center"/>
                </w:tcPr>
                <w:p w14:paraId="3A415EFB">
                  <w:pPr>
                    <w:pStyle w:val="52"/>
                    <w:rPr>
                      <w:color w:val="000000" w:themeColor="text1"/>
                      <w14:textFill>
                        <w14:solidFill>
                          <w14:schemeClr w14:val="tx1"/>
                        </w14:solidFill>
                      </w14:textFill>
                    </w:rPr>
                  </w:pPr>
                </w:p>
              </w:tc>
              <w:tc>
                <w:tcPr>
                  <w:tcW w:w="1007" w:type="dxa"/>
                  <w:tcBorders>
                    <w:tl2br w:val="nil"/>
                    <w:tr2bl w:val="nil"/>
                  </w:tcBorders>
                  <w:vAlign w:val="center"/>
                </w:tcPr>
                <w:p w14:paraId="513FFAD6">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50</w:t>
                  </w:r>
                </w:p>
              </w:tc>
              <w:tc>
                <w:tcPr>
                  <w:tcW w:w="647" w:type="dxa"/>
                  <w:tcBorders>
                    <w:tl2br w:val="nil"/>
                    <w:tr2bl w:val="nil"/>
                  </w:tcBorders>
                  <w:vAlign w:val="center"/>
                </w:tcPr>
                <w:p w14:paraId="0074F391">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w:t>
                  </w:r>
                </w:p>
              </w:tc>
              <w:tc>
                <w:tcPr>
                  <w:tcW w:w="826" w:type="dxa"/>
                  <w:tcBorders>
                    <w:tl2br w:val="nil"/>
                    <w:tr2bl w:val="nil"/>
                  </w:tcBorders>
                  <w:vAlign w:val="center"/>
                </w:tcPr>
                <w:p w14:paraId="11BEA508">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p>
              </w:tc>
              <w:tc>
                <w:tcPr>
                  <w:tcW w:w="826" w:type="dxa"/>
                  <w:tcBorders>
                    <w:tl2br w:val="nil"/>
                    <w:tr2bl w:val="nil"/>
                  </w:tcBorders>
                  <w:vAlign w:val="center"/>
                </w:tcPr>
                <w:p w14:paraId="6FFAC0B9">
                  <w:pPr>
                    <w:pStyle w:val="5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826" w:type="dxa"/>
                  <w:tcBorders>
                    <w:tl2br w:val="nil"/>
                    <w:tr2bl w:val="nil"/>
                  </w:tcBorders>
                  <w:vAlign w:val="center"/>
                </w:tcPr>
                <w:p w14:paraId="4694C249">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28</w:t>
                  </w:r>
                </w:p>
              </w:tc>
            </w:tr>
            <w:tr w14:paraId="3C478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1" w:type="dxa"/>
                  <w:tcBorders>
                    <w:tl2br w:val="nil"/>
                    <w:tr2bl w:val="nil"/>
                  </w:tcBorders>
                  <w:vAlign w:val="center"/>
                </w:tcPr>
                <w:p w14:paraId="4D258F9A">
                  <w:pPr>
                    <w:pStyle w:val="52"/>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327" w:type="dxa"/>
                  <w:tcBorders>
                    <w:tl2br w:val="nil"/>
                    <w:tr2bl w:val="nil"/>
                  </w:tcBorders>
                  <w:vAlign w:val="center"/>
                </w:tcPr>
                <w:p w14:paraId="4910C5F2">
                  <w:pPr>
                    <w:pStyle w:val="86"/>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高温发泡线</w:t>
                  </w:r>
                </w:p>
              </w:tc>
              <w:tc>
                <w:tcPr>
                  <w:tcW w:w="844" w:type="dxa"/>
                  <w:tcBorders>
                    <w:tl2br w:val="nil"/>
                    <w:tr2bl w:val="nil"/>
                  </w:tcBorders>
                  <w:vAlign w:val="center"/>
                </w:tcPr>
                <w:p w14:paraId="05ABED26">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75</w:t>
                  </w:r>
                </w:p>
              </w:tc>
              <w:tc>
                <w:tcPr>
                  <w:tcW w:w="849" w:type="dxa"/>
                  <w:tcBorders>
                    <w:tl2br w:val="nil"/>
                    <w:tr2bl w:val="nil"/>
                  </w:tcBorders>
                  <w:vAlign w:val="center"/>
                </w:tcPr>
                <w:p w14:paraId="632F02DA">
                  <w:pPr>
                    <w:pStyle w:val="86"/>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p>
              </w:tc>
              <w:tc>
                <w:tcPr>
                  <w:tcW w:w="827" w:type="dxa"/>
                  <w:vMerge w:val="continue"/>
                  <w:tcBorders>
                    <w:tl2br w:val="nil"/>
                    <w:tr2bl w:val="nil"/>
                  </w:tcBorders>
                  <w:vAlign w:val="center"/>
                </w:tcPr>
                <w:p w14:paraId="17154281">
                  <w:pPr>
                    <w:pStyle w:val="52"/>
                    <w:rPr>
                      <w:color w:val="000000" w:themeColor="text1"/>
                      <w14:textFill>
                        <w14:solidFill>
                          <w14:schemeClr w14:val="tx1"/>
                        </w14:solidFill>
                      </w14:textFill>
                    </w:rPr>
                  </w:pPr>
                </w:p>
              </w:tc>
              <w:tc>
                <w:tcPr>
                  <w:tcW w:w="1007" w:type="dxa"/>
                  <w:tcBorders>
                    <w:tl2br w:val="nil"/>
                    <w:tr2bl w:val="nil"/>
                  </w:tcBorders>
                  <w:vAlign w:val="center"/>
                </w:tcPr>
                <w:p w14:paraId="14EE2ABD">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55</w:t>
                  </w:r>
                </w:p>
              </w:tc>
              <w:tc>
                <w:tcPr>
                  <w:tcW w:w="647" w:type="dxa"/>
                  <w:tcBorders>
                    <w:tl2br w:val="nil"/>
                    <w:tr2bl w:val="nil"/>
                  </w:tcBorders>
                  <w:vAlign w:val="center"/>
                </w:tcPr>
                <w:p w14:paraId="4107710D">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826" w:type="dxa"/>
                  <w:tcBorders>
                    <w:tl2br w:val="nil"/>
                    <w:tr2bl w:val="nil"/>
                  </w:tcBorders>
                  <w:vAlign w:val="center"/>
                </w:tcPr>
                <w:p w14:paraId="4E260531">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23</w:t>
                  </w:r>
                </w:p>
              </w:tc>
              <w:tc>
                <w:tcPr>
                  <w:tcW w:w="826" w:type="dxa"/>
                  <w:tcBorders>
                    <w:tl2br w:val="nil"/>
                    <w:tr2bl w:val="nil"/>
                  </w:tcBorders>
                  <w:vAlign w:val="center"/>
                </w:tcPr>
                <w:p w14:paraId="555A5017">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p>
              </w:tc>
              <w:tc>
                <w:tcPr>
                  <w:tcW w:w="826" w:type="dxa"/>
                  <w:tcBorders>
                    <w:tl2br w:val="nil"/>
                    <w:tr2bl w:val="nil"/>
                  </w:tcBorders>
                  <w:vAlign w:val="center"/>
                </w:tcPr>
                <w:p w14:paraId="3F512501">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52</w:t>
                  </w:r>
                </w:p>
              </w:tc>
            </w:tr>
            <w:tr w14:paraId="29EBD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1" w:type="dxa"/>
                  <w:tcBorders>
                    <w:tl2br w:val="nil"/>
                    <w:tr2bl w:val="nil"/>
                  </w:tcBorders>
                  <w:vAlign w:val="center"/>
                </w:tcPr>
                <w:p w14:paraId="2C0C576C">
                  <w:pPr>
                    <w:pStyle w:val="52"/>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1327" w:type="dxa"/>
                  <w:tcBorders>
                    <w:tl2br w:val="nil"/>
                    <w:tr2bl w:val="nil"/>
                  </w:tcBorders>
                  <w:vAlign w:val="center"/>
                </w:tcPr>
                <w:p w14:paraId="229FA055">
                  <w:pPr>
                    <w:pStyle w:val="86"/>
                    <w:rPr>
                      <w:color w:val="000000" w:themeColor="text1"/>
                      <w:sz w:val="21"/>
                      <w:szCs w:val="21"/>
                      <w14:textFill>
                        <w14:solidFill>
                          <w14:schemeClr w14:val="tx1"/>
                        </w14:solidFill>
                      </w14:textFill>
                    </w:rPr>
                  </w:pPr>
                  <w:r>
                    <w:rPr>
                      <w:rStyle w:val="98"/>
                      <w:rFonts w:hint="eastAsia" w:cs="Times New Roman"/>
                      <w:color w:val="auto"/>
                      <w:sz w:val="21"/>
                      <w:szCs w:val="21"/>
                      <w:lang w:val="en-US" w:eastAsia="zh-CN" w:bidi="ar"/>
                    </w:rPr>
                    <w:t>吸附</w:t>
                  </w:r>
                  <w:r>
                    <w:rPr>
                      <w:rStyle w:val="98"/>
                      <w:rFonts w:hint="default" w:ascii="Times New Roman" w:hAnsi="Times New Roman" w:eastAsia="宋体" w:cs="Times New Roman"/>
                      <w:color w:val="auto"/>
                      <w:sz w:val="21"/>
                      <w:szCs w:val="21"/>
                      <w:lang w:val="en-US" w:eastAsia="zh-CN" w:bidi="ar"/>
                    </w:rPr>
                    <w:t>机</w:t>
                  </w:r>
                </w:p>
              </w:tc>
              <w:tc>
                <w:tcPr>
                  <w:tcW w:w="844" w:type="dxa"/>
                  <w:tcBorders>
                    <w:tl2br w:val="nil"/>
                    <w:tr2bl w:val="nil"/>
                  </w:tcBorders>
                  <w:vAlign w:val="center"/>
                </w:tcPr>
                <w:p w14:paraId="54A94965">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70</w:t>
                  </w:r>
                </w:p>
              </w:tc>
              <w:tc>
                <w:tcPr>
                  <w:tcW w:w="849" w:type="dxa"/>
                  <w:tcBorders>
                    <w:tl2br w:val="nil"/>
                    <w:tr2bl w:val="nil"/>
                  </w:tcBorders>
                  <w:vAlign w:val="center"/>
                </w:tcPr>
                <w:p w14:paraId="4B0571F7">
                  <w:pPr>
                    <w:pStyle w:val="86"/>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w:t>
                  </w:r>
                </w:p>
              </w:tc>
              <w:tc>
                <w:tcPr>
                  <w:tcW w:w="827" w:type="dxa"/>
                  <w:vMerge w:val="continue"/>
                  <w:tcBorders>
                    <w:tl2br w:val="nil"/>
                    <w:tr2bl w:val="nil"/>
                  </w:tcBorders>
                  <w:vAlign w:val="center"/>
                </w:tcPr>
                <w:p w14:paraId="69535AA7">
                  <w:pPr>
                    <w:pStyle w:val="52"/>
                    <w:rPr>
                      <w:color w:val="000000" w:themeColor="text1"/>
                      <w14:textFill>
                        <w14:solidFill>
                          <w14:schemeClr w14:val="tx1"/>
                        </w14:solidFill>
                      </w14:textFill>
                    </w:rPr>
                  </w:pPr>
                </w:p>
              </w:tc>
              <w:tc>
                <w:tcPr>
                  <w:tcW w:w="1007" w:type="dxa"/>
                  <w:tcBorders>
                    <w:tl2br w:val="nil"/>
                    <w:tr2bl w:val="nil"/>
                  </w:tcBorders>
                  <w:vAlign w:val="center"/>
                </w:tcPr>
                <w:p w14:paraId="7256FB5E">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50</w:t>
                  </w:r>
                </w:p>
              </w:tc>
              <w:tc>
                <w:tcPr>
                  <w:tcW w:w="647" w:type="dxa"/>
                  <w:tcBorders>
                    <w:tl2br w:val="nil"/>
                    <w:tr2bl w:val="nil"/>
                  </w:tcBorders>
                  <w:vAlign w:val="center"/>
                </w:tcPr>
                <w:p w14:paraId="5F6CA42B">
                  <w:pPr>
                    <w:pStyle w:val="52"/>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826" w:type="dxa"/>
                  <w:tcBorders>
                    <w:tl2br w:val="nil"/>
                    <w:tr2bl w:val="nil"/>
                  </w:tcBorders>
                  <w:vAlign w:val="center"/>
                </w:tcPr>
                <w:p w14:paraId="29394102">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48</w:t>
                  </w:r>
                </w:p>
              </w:tc>
              <w:tc>
                <w:tcPr>
                  <w:tcW w:w="826" w:type="dxa"/>
                  <w:tcBorders>
                    <w:tl2br w:val="nil"/>
                    <w:tr2bl w:val="nil"/>
                  </w:tcBorders>
                  <w:vAlign w:val="center"/>
                </w:tcPr>
                <w:p w14:paraId="51232347">
                  <w:pPr>
                    <w:pStyle w:val="5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826" w:type="dxa"/>
                  <w:tcBorders>
                    <w:tl2br w:val="nil"/>
                    <w:tr2bl w:val="nil"/>
                  </w:tcBorders>
                  <w:vAlign w:val="center"/>
                </w:tcPr>
                <w:p w14:paraId="408E4A3F">
                  <w:pPr>
                    <w:pStyle w:val="52"/>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30</w:t>
                  </w:r>
                </w:p>
              </w:tc>
            </w:tr>
            <w:tr w14:paraId="0DA5C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1" w:type="dxa"/>
                  <w:tcBorders>
                    <w:tl2br w:val="nil"/>
                    <w:tr2bl w:val="nil"/>
                  </w:tcBorders>
                  <w:vAlign w:val="center"/>
                </w:tcPr>
                <w:p w14:paraId="1A90F7C9">
                  <w:pPr>
                    <w:pStyle w:val="52"/>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p>
              </w:tc>
              <w:tc>
                <w:tcPr>
                  <w:tcW w:w="1327" w:type="dxa"/>
                  <w:tcBorders>
                    <w:tl2br w:val="nil"/>
                    <w:tr2bl w:val="nil"/>
                  </w:tcBorders>
                  <w:vAlign w:val="center"/>
                </w:tcPr>
                <w:p w14:paraId="5EDC56EC">
                  <w:pPr>
                    <w:pStyle w:val="86"/>
                    <w:rPr>
                      <w:color w:val="000000" w:themeColor="text1"/>
                      <w:sz w:val="21"/>
                      <w:szCs w:val="21"/>
                      <w14:textFill>
                        <w14:solidFill>
                          <w14:schemeClr w14:val="tx1"/>
                        </w14:solidFill>
                      </w14:textFill>
                    </w:rPr>
                  </w:pPr>
                  <w:r>
                    <w:rPr>
                      <w:rFonts w:hint="eastAsia" w:ascii="Times New Roman" w:hAnsi="Times New Roman" w:eastAsia="宋体" w:cs="Times New Roman"/>
                      <w:lang w:val="en-US" w:eastAsia="zh-CN"/>
                    </w:rPr>
                    <w:t>空压机</w:t>
                  </w:r>
                </w:p>
              </w:tc>
              <w:tc>
                <w:tcPr>
                  <w:tcW w:w="844" w:type="dxa"/>
                  <w:tcBorders>
                    <w:tl2br w:val="nil"/>
                    <w:tr2bl w:val="nil"/>
                  </w:tcBorders>
                  <w:vAlign w:val="center"/>
                </w:tcPr>
                <w:p w14:paraId="01C1220C">
                  <w:pPr>
                    <w:pStyle w:val="52"/>
                    <w:rPr>
                      <w:color w:val="000000" w:themeColor="text1"/>
                      <w14:textFill>
                        <w14:solidFill>
                          <w14:schemeClr w14:val="tx1"/>
                        </w14:solidFill>
                      </w14:textFill>
                    </w:rPr>
                  </w:pPr>
                  <w:r>
                    <w:rPr>
                      <w:rFonts w:hint="eastAsia"/>
                      <w:color w:val="000000" w:themeColor="text1"/>
                      <w14:textFill>
                        <w14:solidFill>
                          <w14:schemeClr w14:val="tx1"/>
                        </w14:solidFill>
                      </w14:textFill>
                    </w:rPr>
                    <w:t>85</w:t>
                  </w:r>
                </w:p>
              </w:tc>
              <w:tc>
                <w:tcPr>
                  <w:tcW w:w="849" w:type="dxa"/>
                  <w:tcBorders>
                    <w:tl2br w:val="nil"/>
                    <w:tr2bl w:val="nil"/>
                  </w:tcBorders>
                  <w:vAlign w:val="center"/>
                </w:tcPr>
                <w:p w14:paraId="0CB7C8B6">
                  <w:pPr>
                    <w:pStyle w:val="86"/>
                    <w:rPr>
                      <w:color w:val="000000" w:themeColor="text1"/>
                      <w:sz w:val="21"/>
                      <w:szCs w:val="21"/>
                      <w14:textFill>
                        <w14:solidFill>
                          <w14:schemeClr w14:val="tx1"/>
                        </w14:solidFill>
                      </w14:textFill>
                    </w:rPr>
                  </w:pPr>
                  <w:r>
                    <w:rPr>
                      <w:rFonts w:hint="eastAsia"/>
                      <w:lang w:val="en-US" w:eastAsia="zh-CN"/>
                    </w:rPr>
                    <w:t>3</w:t>
                  </w:r>
                </w:p>
              </w:tc>
              <w:tc>
                <w:tcPr>
                  <w:tcW w:w="827" w:type="dxa"/>
                  <w:vMerge w:val="continue"/>
                  <w:tcBorders>
                    <w:tl2br w:val="nil"/>
                    <w:tr2bl w:val="nil"/>
                  </w:tcBorders>
                  <w:vAlign w:val="center"/>
                </w:tcPr>
                <w:p w14:paraId="0C91B7BF">
                  <w:pPr>
                    <w:pStyle w:val="52"/>
                    <w:rPr>
                      <w:color w:val="000000" w:themeColor="text1"/>
                      <w14:textFill>
                        <w14:solidFill>
                          <w14:schemeClr w14:val="tx1"/>
                        </w14:solidFill>
                      </w14:textFill>
                    </w:rPr>
                  </w:pPr>
                </w:p>
              </w:tc>
              <w:tc>
                <w:tcPr>
                  <w:tcW w:w="1007" w:type="dxa"/>
                  <w:tcBorders>
                    <w:tl2br w:val="nil"/>
                    <w:tr2bl w:val="nil"/>
                  </w:tcBorders>
                  <w:vAlign w:val="center"/>
                </w:tcPr>
                <w:p w14:paraId="11C03B1D">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65</w:t>
                  </w:r>
                </w:p>
              </w:tc>
              <w:tc>
                <w:tcPr>
                  <w:tcW w:w="647" w:type="dxa"/>
                  <w:tcBorders>
                    <w:tl2br w:val="nil"/>
                    <w:tr2bl w:val="nil"/>
                  </w:tcBorders>
                  <w:vAlign w:val="center"/>
                </w:tcPr>
                <w:p w14:paraId="338E6DD1">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23</w:t>
                  </w:r>
                </w:p>
              </w:tc>
              <w:tc>
                <w:tcPr>
                  <w:tcW w:w="826" w:type="dxa"/>
                  <w:tcBorders>
                    <w:tl2br w:val="nil"/>
                    <w:tr2bl w:val="nil"/>
                  </w:tcBorders>
                  <w:vAlign w:val="center"/>
                </w:tcPr>
                <w:p w14:paraId="7BBE3388">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37</w:t>
                  </w:r>
                </w:p>
              </w:tc>
              <w:tc>
                <w:tcPr>
                  <w:tcW w:w="826" w:type="dxa"/>
                  <w:tcBorders>
                    <w:tl2br w:val="nil"/>
                    <w:tr2bl w:val="nil"/>
                  </w:tcBorders>
                  <w:vAlign w:val="center"/>
                </w:tcPr>
                <w:p w14:paraId="5071ACE3">
                  <w:pPr>
                    <w:pStyle w:val="5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826" w:type="dxa"/>
                  <w:tcBorders>
                    <w:tl2br w:val="nil"/>
                    <w:tr2bl w:val="nil"/>
                  </w:tcBorders>
                  <w:vAlign w:val="center"/>
                </w:tcPr>
                <w:p w14:paraId="0D55B4CC">
                  <w:pPr>
                    <w:pStyle w:val="5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41</w:t>
                  </w:r>
                </w:p>
              </w:tc>
            </w:tr>
            <w:tr w14:paraId="391DE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01" w:type="dxa"/>
                  <w:tcBorders>
                    <w:tl2br w:val="nil"/>
                    <w:tr2bl w:val="nil"/>
                  </w:tcBorders>
                  <w:vAlign w:val="center"/>
                </w:tcPr>
                <w:p w14:paraId="501C7EC1">
                  <w:pPr>
                    <w:pStyle w:val="52"/>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1327" w:type="dxa"/>
                  <w:tcBorders>
                    <w:tl2br w:val="nil"/>
                    <w:tr2bl w:val="nil"/>
                  </w:tcBorders>
                  <w:vAlign w:val="center"/>
                </w:tcPr>
                <w:p w14:paraId="7D508895">
                  <w:pPr>
                    <w:pStyle w:val="86"/>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风机</w:t>
                  </w:r>
                </w:p>
              </w:tc>
              <w:tc>
                <w:tcPr>
                  <w:tcW w:w="844" w:type="dxa"/>
                  <w:tcBorders>
                    <w:tl2br w:val="nil"/>
                    <w:tr2bl w:val="nil"/>
                  </w:tcBorders>
                  <w:vAlign w:val="center"/>
                </w:tcPr>
                <w:p w14:paraId="767CCEFB">
                  <w:pPr>
                    <w:pStyle w:val="52"/>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8</w:t>
                  </w:r>
                  <w:r>
                    <w:rPr>
                      <w:rFonts w:hint="eastAsia"/>
                      <w:color w:val="000000" w:themeColor="text1"/>
                      <w:lang w:val="en-US" w:eastAsia="zh-CN"/>
                      <w14:textFill>
                        <w14:solidFill>
                          <w14:schemeClr w14:val="tx1"/>
                        </w14:solidFill>
                      </w14:textFill>
                    </w:rPr>
                    <w:t>5</w:t>
                  </w:r>
                </w:p>
              </w:tc>
              <w:tc>
                <w:tcPr>
                  <w:tcW w:w="849" w:type="dxa"/>
                  <w:tcBorders>
                    <w:tl2br w:val="nil"/>
                    <w:tr2bl w:val="nil"/>
                  </w:tcBorders>
                  <w:vAlign w:val="center"/>
                </w:tcPr>
                <w:p w14:paraId="2C60DD82">
                  <w:pPr>
                    <w:pStyle w:val="86"/>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p>
              </w:tc>
              <w:tc>
                <w:tcPr>
                  <w:tcW w:w="827" w:type="dxa"/>
                  <w:vMerge w:val="continue"/>
                  <w:tcBorders>
                    <w:tl2br w:val="nil"/>
                    <w:tr2bl w:val="nil"/>
                  </w:tcBorders>
                  <w:vAlign w:val="center"/>
                </w:tcPr>
                <w:p w14:paraId="676E93DD">
                  <w:pPr>
                    <w:pStyle w:val="52"/>
                    <w:rPr>
                      <w:color w:val="000000" w:themeColor="text1"/>
                      <w14:textFill>
                        <w14:solidFill>
                          <w14:schemeClr w14:val="tx1"/>
                        </w14:solidFill>
                      </w14:textFill>
                    </w:rPr>
                  </w:pPr>
                </w:p>
              </w:tc>
              <w:tc>
                <w:tcPr>
                  <w:tcW w:w="1007" w:type="dxa"/>
                  <w:tcBorders>
                    <w:tl2br w:val="nil"/>
                    <w:tr2bl w:val="nil"/>
                  </w:tcBorders>
                  <w:vAlign w:val="center"/>
                </w:tcPr>
                <w:p w14:paraId="063FEDD0">
                  <w:pPr>
                    <w:keepNext w:val="0"/>
                    <w:keepLines w:val="0"/>
                    <w:widowControl/>
                    <w:suppressLineNumbers w:val="0"/>
                    <w:jc w:val="center"/>
                    <w:textAlignment w:val="center"/>
                    <w:rPr>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65</w:t>
                  </w:r>
                </w:p>
              </w:tc>
              <w:tc>
                <w:tcPr>
                  <w:tcW w:w="647" w:type="dxa"/>
                  <w:tcBorders>
                    <w:tl2br w:val="nil"/>
                    <w:tr2bl w:val="nil"/>
                  </w:tcBorders>
                  <w:vAlign w:val="center"/>
                </w:tcPr>
                <w:p w14:paraId="17145E43">
                  <w:pPr>
                    <w:pStyle w:val="52"/>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26</w:t>
                  </w:r>
                </w:p>
              </w:tc>
              <w:tc>
                <w:tcPr>
                  <w:tcW w:w="826" w:type="dxa"/>
                  <w:tcBorders>
                    <w:tl2br w:val="nil"/>
                    <w:tr2bl w:val="nil"/>
                  </w:tcBorders>
                  <w:vAlign w:val="center"/>
                </w:tcPr>
                <w:p w14:paraId="10247194">
                  <w:pPr>
                    <w:pStyle w:val="52"/>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826" w:type="dxa"/>
                  <w:tcBorders>
                    <w:tl2br w:val="nil"/>
                    <w:tr2bl w:val="nil"/>
                  </w:tcBorders>
                  <w:vAlign w:val="center"/>
                </w:tcPr>
                <w:p w14:paraId="43A593A0">
                  <w:pPr>
                    <w:pStyle w:val="5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826" w:type="dxa"/>
                  <w:tcBorders>
                    <w:tl2br w:val="nil"/>
                    <w:tr2bl w:val="nil"/>
                  </w:tcBorders>
                  <w:vAlign w:val="center"/>
                </w:tcPr>
                <w:p w14:paraId="46C6BA99">
                  <w:pPr>
                    <w:pStyle w:val="52"/>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48</w:t>
                  </w:r>
                </w:p>
              </w:tc>
            </w:tr>
          </w:tbl>
          <w:p w14:paraId="1CB7CB8F">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为了解本项目运营噪声对周围声环境的影响，本评价采用以下预测模式对噪声进行预测,具体模式下：</w:t>
            </w:r>
          </w:p>
          <w:p w14:paraId="0E8D4D6B">
            <w:pPr>
              <w:spacing w:line="360" w:lineRule="auto"/>
              <w:ind w:firstLine="480" w:firstLineChars="200"/>
              <w:rPr>
                <w:rFonts w:hint="eastAsia" w:ascii="Times New Roman" w:hAnsi="Times New Roman" w:eastAsia="宋体" w:cs="宋体"/>
                <w:color w:val="000000" w:themeColor="text1"/>
                <w:kern w:val="0"/>
                <w:sz w:val="24"/>
                <w:lang w:val="da-DK"/>
                <w14:textFill>
                  <w14:solidFill>
                    <w14:schemeClr w14:val="tx1"/>
                  </w14:solidFill>
                </w14:textFill>
              </w:rPr>
            </w:pPr>
            <w:r>
              <w:rPr>
                <w:rFonts w:hint="eastAsia" w:ascii="Times New Roman" w:hAnsi="Times New Roman" w:eastAsia="宋体" w:cs="宋体"/>
                <w:color w:val="000000" w:themeColor="text1"/>
                <w:kern w:val="0"/>
                <w:sz w:val="24"/>
                <w:lang w:val="da-DK"/>
                <w14:textFill>
                  <w14:solidFill>
                    <w14:schemeClr w14:val="tx1"/>
                  </w14:solidFill>
                </w14:textFill>
              </w:rPr>
              <w:t>LA(r)=LA(r0)—20lg(r/r0)-</w:t>
            </w:r>
            <w:r>
              <w:rPr>
                <w:rFonts w:hint="eastAsia" w:ascii="Times New Roman" w:hAnsi="Times New Roman" w:eastAsia="宋体" w:cs="宋体"/>
                <w:color w:val="000000" w:themeColor="text1"/>
                <w:kern w:val="0"/>
                <w:sz w:val="24"/>
                <w14:textFill>
                  <w14:solidFill>
                    <w14:schemeClr w14:val="tx1"/>
                  </w14:solidFill>
                </w14:textFill>
              </w:rPr>
              <w:t>Δ</w:t>
            </w:r>
            <w:r>
              <w:rPr>
                <w:rFonts w:hint="eastAsia" w:ascii="Times New Roman" w:hAnsi="Times New Roman" w:eastAsia="宋体" w:cs="宋体"/>
                <w:color w:val="000000" w:themeColor="text1"/>
                <w:kern w:val="0"/>
                <w:sz w:val="24"/>
                <w:lang w:val="da-DK"/>
                <w14:textFill>
                  <w14:solidFill>
                    <w14:schemeClr w14:val="tx1"/>
                  </w14:solidFill>
                </w14:textFill>
              </w:rPr>
              <w:t>L</w:t>
            </w:r>
          </w:p>
          <w:p w14:paraId="3B41ADAC">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式中：LA(r)—点声源在预测点产生的A声级，dB(A)；</w:t>
            </w:r>
          </w:p>
          <w:p w14:paraId="68365937">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LA(r0)—参考位置r0处的A声级，dB(A)；</w:t>
            </w:r>
          </w:p>
          <w:p w14:paraId="391CC4A3">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r—预测点离噪声源的距离，m；</w:t>
            </w:r>
          </w:p>
          <w:p w14:paraId="14C44E02">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object>
                <v:shape id="_x0000_i1034" o:spt="75" type="#_x0000_t75" style="height:12.65pt;width:19pt;" o:ole="t" filled="f" o:preferrelative="t" stroked="f" coordsize="21600,21600">
                  <v:path/>
                  <v:fill on="f" focussize="0,0"/>
                  <v:stroke on="f" joinstyle="miter"/>
                  <v:imagedata r:id="rId16" o:title=""/>
                  <o:lock v:ext="edit" aspectratio="t"/>
                  <w10:wrap type="none"/>
                  <w10:anchorlock/>
                </v:shape>
                <o:OLEObject Type="Embed" ProgID="Equation.3" ShapeID="_x0000_i1034" DrawAspect="Content" ObjectID="_1468075726" r:id="rId15">
                  <o:LockedField>false</o:LockedField>
                </o:OLEObject>
              </w:object>
            </w:r>
            <w:r>
              <w:rPr>
                <w:rFonts w:hint="eastAsia" w:ascii="Times New Roman" w:hAnsi="Times New Roman" w:eastAsia="宋体" w:cs="宋体"/>
                <w:color w:val="000000" w:themeColor="text1"/>
                <w:kern w:val="0"/>
                <w:sz w:val="24"/>
                <w14:textFill>
                  <w14:solidFill>
                    <w14:schemeClr w14:val="tx1"/>
                  </w14:solidFill>
                </w14:textFill>
              </w:rPr>
              <w:t>—各种额外衰减值（可不考虑）。</w:t>
            </w:r>
          </w:p>
          <w:p w14:paraId="13DCDDFC">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p>
          <w:p w14:paraId="7D0A4EBE">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p>
          <w:p w14:paraId="16D8AC73">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drawing>
                <wp:anchor distT="0" distB="0" distL="114300" distR="114300" simplePos="0" relativeHeight="251662336" behindDoc="0" locked="0" layoutInCell="1" allowOverlap="1">
                  <wp:simplePos x="0" y="0"/>
                  <wp:positionH relativeFrom="column">
                    <wp:posOffset>991870</wp:posOffset>
                  </wp:positionH>
                  <wp:positionV relativeFrom="paragraph">
                    <wp:posOffset>95885</wp:posOffset>
                  </wp:positionV>
                  <wp:extent cx="3061970" cy="509905"/>
                  <wp:effectExtent l="0" t="0" r="5080" b="4445"/>
                  <wp:wrapNone/>
                  <wp:docPr id="32"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10"/>
                          <pic:cNvPicPr>
                            <a:picLocks noChangeAspect="1"/>
                          </pic:cNvPicPr>
                        </pic:nvPicPr>
                        <pic:blipFill>
                          <a:blip r:embed="rId17"/>
                          <a:stretch>
                            <a:fillRect/>
                          </a:stretch>
                        </pic:blipFill>
                        <pic:spPr>
                          <a:xfrm>
                            <a:off x="0" y="0"/>
                            <a:ext cx="3061970" cy="509905"/>
                          </a:xfrm>
                          <a:prstGeom prst="rect">
                            <a:avLst/>
                          </a:prstGeom>
                          <a:noFill/>
                          <a:ln>
                            <a:noFill/>
                          </a:ln>
                        </pic:spPr>
                      </pic:pic>
                    </a:graphicData>
                  </a:graphic>
                </wp:anchor>
              </w:drawing>
            </w:r>
            <w:r>
              <w:rPr>
                <w:rFonts w:hint="eastAsia" w:ascii="Times New Roman" w:hAnsi="Times New Roman" w:eastAsia="宋体" w:cs="宋体"/>
                <w:color w:val="000000" w:themeColor="text1"/>
                <w:kern w:val="0"/>
                <w:sz w:val="24"/>
                <w14:textFill>
                  <w14:solidFill>
                    <w14:schemeClr w14:val="tx1"/>
                  </w14:solidFill>
                </w14:textFill>
              </w:rPr>
              <w:t>噪声合成对多声源进行叠加，模式如下：</w:t>
            </w:r>
          </w:p>
          <w:p w14:paraId="19DCB5B7">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p>
          <w:p w14:paraId="6873F64F">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p>
          <w:p w14:paraId="7421A759">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式中：tj—在T时间内j声源工作时间，s；</w:t>
            </w:r>
          </w:p>
          <w:p w14:paraId="76871D89">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ti—在T时间内i声源工作时间，s；</w:t>
            </w:r>
          </w:p>
          <w:p w14:paraId="6A7AA3DA">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T—用于计算等效声级的时间，s；</w:t>
            </w:r>
          </w:p>
          <w:p w14:paraId="67CFB803">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N—室外声源个数；</w:t>
            </w:r>
          </w:p>
          <w:p w14:paraId="462CC877">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M—等效室外声源个数。</w:t>
            </w:r>
          </w:p>
          <w:p w14:paraId="67D49374">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根据噪声源分布情况，预测计算得到拟建工程投产后各厂界昼间的噪声级，由此得出噪声环境影响预测结果见下表。</w:t>
            </w:r>
          </w:p>
          <w:p w14:paraId="41F4CC86">
            <w:pPr>
              <w:pStyle w:val="102"/>
              <w:rPr>
                <w:color w:val="000000" w:themeColor="text1"/>
                <w14:textFill>
                  <w14:solidFill>
                    <w14:schemeClr w14:val="tx1"/>
                  </w14:solidFill>
                </w14:textFill>
              </w:rPr>
            </w:pPr>
            <w:r>
              <w:rPr>
                <w:rFonts w:hint="eastAsia"/>
                <w:color w:val="000000" w:themeColor="text1"/>
                <w14:textFill>
                  <w14:solidFill>
                    <w14:schemeClr w14:val="tx1"/>
                  </w14:solidFill>
                </w14:textFill>
              </w:rPr>
              <w:t>表4-</w:t>
            </w:r>
            <w:r>
              <w:rPr>
                <w:color w:val="000000" w:themeColor="text1"/>
                <w14:textFill>
                  <w14:solidFill>
                    <w14:schemeClr w14:val="tx1"/>
                  </w14:solidFill>
                </w14:textFill>
              </w:rPr>
              <w:t>9</w:t>
            </w:r>
            <w:r>
              <w:rPr>
                <w:rFonts w:hint="eastAsia"/>
                <w:color w:val="000000" w:themeColor="text1"/>
                <w14:textFill>
                  <w14:solidFill>
                    <w14:schemeClr w14:val="tx1"/>
                  </w14:solidFill>
                </w14:textFill>
              </w:rPr>
              <w:t>项目环境噪声预测结果统计表单位：dB(A)</w:t>
            </w:r>
          </w:p>
          <w:tbl>
            <w:tblPr>
              <w:tblStyle w:val="81"/>
              <w:tblW w:w="8428"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60"/>
              <w:gridCol w:w="1230"/>
              <w:gridCol w:w="1188"/>
              <w:gridCol w:w="1086"/>
              <w:gridCol w:w="995"/>
              <w:gridCol w:w="1089"/>
              <w:gridCol w:w="1089"/>
              <w:gridCol w:w="1091"/>
            </w:tblGrid>
            <w:tr w14:paraId="2A26D49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121" w:type="pct"/>
                  <w:gridSpan w:val="2"/>
                  <w:vMerge w:val="restart"/>
                  <w:tcBorders>
                    <w:tl2br w:val="nil"/>
                    <w:tr2bl w:val="nil"/>
                  </w:tcBorders>
                  <w:vAlign w:val="center"/>
                </w:tcPr>
                <w:p w14:paraId="03EA3A45">
                  <w:pPr>
                    <w:pStyle w:val="52"/>
                    <w:rPr>
                      <w:rFonts w:eastAsia="Times New Roman"/>
                      <w:b/>
                      <w:color w:val="000000" w:themeColor="text1"/>
                      <w:kern w:val="2"/>
                      <w:szCs w:val="21"/>
                      <w:lang w:eastAsia="zh-CN"/>
                      <w14:textFill>
                        <w14:solidFill>
                          <w14:schemeClr w14:val="tx1"/>
                        </w14:solidFill>
                      </w14:textFill>
                    </w:rPr>
                  </w:pPr>
                  <w:r>
                    <w:rPr>
                      <w:rFonts w:eastAsia="Times New Roman"/>
                      <w:b/>
                      <w:color w:val="000000" w:themeColor="text1"/>
                      <w:kern w:val="2"/>
                      <w:szCs w:val="21"/>
                      <w:lang w:eastAsia="zh-CN"/>
                      <w14:textFill>
                        <w14:solidFill>
                          <w14:schemeClr w14:val="tx1"/>
                        </w14:solidFill>
                      </w14:textFill>
                    </w:rPr>
                    <w:t>监测点位</w:t>
                  </w:r>
                </w:p>
              </w:tc>
              <w:tc>
                <w:tcPr>
                  <w:tcW w:w="1939" w:type="pct"/>
                  <w:gridSpan w:val="3"/>
                  <w:tcBorders>
                    <w:tl2br w:val="nil"/>
                    <w:tr2bl w:val="nil"/>
                  </w:tcBorders>
                  <w:vAlign w:val="center"/>
                </w:tcPr>
                <w:p w14:paraId="0BEBE1A3">
                  <w:pPr>
                    <w:pStyle w:val="52"/>
                    <w:rPr>
                      <w:rFonts w:eastAsia="Times New Roman"/>
                      <w:b/>
                      <w:color w:val="000000" w:themeColor="text1"/>
                      <w:kern w:val="2"/>
                      <w:szCs w:val="21"/>
                      <w:lang w:eastAsia="zh-CN"/>
                      <w14:textFill>
                        <w14:solidFill>
                          <w14:schemeClr w14:val="tx1"/>
                        </w14:solidFill>
                      </w14:textFill>
                    </w:rPr>
                  </w:pPr>
                  <w:r>
                    <w:rPr>
                      <w:rFonts w:eastAsia="Times New Roman"/>
                      <w:b/>
                      <w:color w:val="000000" w:themeColor="text1"/>
                      <w:kern w:val="2"/>
                      <w:szCs w:val="21"/>
                      <w:lang w:eastAsia="zh-CN"/>
                      <w14:textFill>
                        <w14:solidFill>
                          <w14:schemeClr w14:val="tx1"/>
                        </w14:solidFill>
                      </w14:textFill>
                    </w:rPr>
                    <w:t>昼间</w:t>
                  </w:r>
                </w:p>
              </w:tc>
              <w:tc>
                <w:tcPr>
                  <w:tcW w:w="1939" w:type="pct"/>
                  <w:gridSpan w:val="3"/>
                  <w:tcBorders>
                    <w:tl2br w:val="nil"/>
                    <w:tr2bl w:val="nil"/>
                  </w:tcBorders>
                  <w:vAlign w:val="center"/>
                </w:tcPr>
                <w:p w14:paraId="01B08A7E">
                  <w:pPr>
                    <w:pStyle w:val="52"/>
                    <w:rPr>
                      <w:rFonts w:eastAsia="Times New Roman"/>
                      <w:b/>
                      <w:color w:val="000000" w:themeColor="text1"/>
                      <w:kern w:val="2"/>
                      <w:szCs w:val="21"/>
                      <w:lang w:eastAsia="zh-CN"/>
                      <w14:textFill>
                        <w14:solidFill>
                          <w14:schemeClr w14:val="tx1"/>
                        </w14:solidFill>
                      </w14:textFill>
                    </w:rPr>
                  </w:pPr>
                  <w:r>
                    <w:rPr>
                      <w:rFonts w:hint="eastAsia" w:eastAsia="Times New Roman"/>
                      <w:b/>
                      <w:color w:val="000000" w:themeColor="text1"/>
                      <w:kern w:val="2"/>
                      <w:szCs w:val="21"/>
                      <w:lang w:eastAsia="zh-CN"/>
                      <w14:textFill>
                        <w14:solidFill>
                          <w14:schemeClr w14:val="tx1"/>
                        </w14:solidFill>
                      </w14:textFill>
                    </w:rPr>
                    <w:t>夜间</w:t>
                  </w:r>
                </w:p>
              </w:tc>
            </w:tr>
            <w:tr w14:paraId="2F014E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1121" w:type="pct"/>
                  <w:gridSpan w:val="2"/>
                  <w:vMerge w:val="continue"/>
                  <w:tcBorders>
                    <w:tl2br w:val="nil"/>
                    <w:tr2bl w:val="nil"/>
                  </w:tcBorders>
                  <w:vAlign w:val="center"/>
                </w:tcPr>
                <w:p w14:paraId="172D0F82">
                  <w:pPr>
                    <w:pStyle w:val="52"/>
                    <w:rPr>
                      <w:rFonts w:eastAsia="Times New Roman"/>
                      <w:b/>
                      <w:color w:val="000000" w:themeColor="text1"/>
                      <w:kern w:val="2"/>
                      <w:szCs w:val="21"/>
                      <w:lang w:eastAsia="zh-CN"/>
                      <w14:textFill>
                        <w14:solidFill>
                          <w14:schemeClr w14:val="tx1"/>
                        </w14:solidFill>
                      </w14:textFill>
                    </w:rPr>
                  </w:pPr>
                </w:p>
              </w:tc>
              <w:tc>
                <w:tcPr>
                  <w:tcW w:w="705" w:type="pct"/>
                  <w:tcBorders>
                    <w:tl2br w:val="nil"/>
                    <w:tr2bl w:val="nil"/>
                  </w:tcBorders>
                  <w:vAlign w:val="center"/>
                </w:tcPr>
                <w:p w14:paraId="254D91A6">
                  <w:pPr>
                    <w:pStyle w:val="52"/>
                    <w:rPr>
                      <w:rFonts w:eastAsia="Times New Roman"/>
                      <w:b/>
                      <w:color w:val="000000" w:themeColor="text1"/>
                      <w:kern w:val="2"/>
                      <w:szCs w:val="21"/>
                      <w:lang w:eastAsia="zh-CN"/>
                      <w14:textFill>
                        <w14:solidFill>
                          <w14:schemeClr w14:val="tx1"/>
                        </w14:solidFill>
                      </w14:textFill>
                    </w:rPr>
                  </w:pPr>
                  <w:r>
                    <w:rPr>
                      <w:rFonts w:hint="eastAsia" w:eastAsia="Times New Roman"/>
                      <w:b/>
                      <w:color w:val="000000" w:themeColor="text1"/>
                      <w:kern w:val="2"/>
                      <w:szCs w:val="21"/>
                      <w:lang w:eastAsia="zh-CN"/>
                      <w14:textFill>
                        <w14:solidFill>
                          <w14:schemeClr w14:val="tx1"/>
                        </w14:solidFill>
                      </w14:textFill>
                    </w:rPr>
                    <w:t>贡献</w:t>
                  </w:r>
                  <w:r>
                    <w:rPr>
                      <w:rFonts w:eastAsia="Times New Roman"/>
                      <w:b/>
                      <w:color w:val="000000" w:themeColor="text1"/>
                      <w:kern w:val="2"/>
                      <w:szCs w:val="21"/>
                      <w:lang w:eastAsia="zh-CN"/>
                      <w14:textFill>
                        <w14:solidFill>
                          <w14:schemeClr w14:val="tx1"/>
                        </w14:solidFill>
                      </w14:textFill>
                    </w:rPr>
                    <w:t>值</w:t>
                  </w:r>
                </w:p>
              </w:tc>
              <w:tc>
                <w:tcPr>
                  <w:tcW w:w="644" w:type="pct"/>
                  <w:tcBorders>
                    <w:tl2br w:val="nil"/>
                    <w:tr2bl w:val="nil"/>
                  </w:tcBorders>
                  <w:vAlign w:val="center"/>
                </w:tcPr>
                <w:p w14:paraId="7203C900">
                  <w:pPr>
                    <w:pStyle w:val="52"/>
                    <w:rPr>
                      <w:rFonts w:eastAsia="Times New Roman"/>
                      <w:b/>
                      <w:color w:val="000000" w:themeColor="text1"/>
                      <w:kern w:val="2"/>
                      <w:szCs w:val="21"/>
                      <w:lang w:eastAsia="zh-CN"/>
                      <w14:textFill>
                        <w14:solidFill>
                          <w14:schemeClr w14:val="tx1"/>
                        </w14:solidFill>
                      </w14:textFill>
                    </w:rPr>
                  </w:pPr>
                  <w:r>
                    <w:rPr>
                      <w:rFonts w:eastAsia="Times New Roman"/>
                      <w:b/>
                      <w:color w:val="000000" w:themeColor="text1"/>
                      <w:kern w:val="2"/>
                      <w:szCs w:val="21"/>
                      <w:lang w:eastAsia="zh-CN"/>
                      <w14:textFill>
                        <w14:solidFill>
                          <w14:schemeClr w14:val="tx1"/>
                        </w14:solidFill>
                      </w14:textFill>
                    </w:rPr>
                    <w:t>标准值</w:t>
                  </w:r>
                </w:p>
              </w:tc>
              <w:tc>
                <w:tcPr>
                  <w:tcW w:w="590" w:type="pct"/>
                  <w:tcBorders>
                    <w:tl2br w:val="nil"/>
                    <w:tr2bl w:val="nil"/>
                  </w:tcBorders>
                  <w:vAlign w:val="center"/>
                </w:tcPr>
                <w:p w14:paraId="18FDBAC4">
                  <w:pPr>
                    <w:pStyle w:val="52"/>
                    <w:rPr>
                      <w:rFonts w:eastAsia="Times New Roman"/>
                      <w:b/>
                      <w:color w:val="000000" w:themeColor="text1"/>
                      <w:kern w:val="2"/>
                      <w:szCs w:val="21"/>
                      <w:lang w:eastAsia="zh-CN"/>
                      <w14:textFill>
                        <w14:solidFill>
                          <w14:schemeClr w14:val="tx1"/>
                        </w14:solidFill>
                      </w14:textFill>
                    </w:rPr>
                  </w:pPr>
                  <w:r>
                    <w:rPr>
                      <w:rFonts w:eastAsia="Times New Roman"/>
                      <w:b/>
                      <w:color w:val="000000" w:themeColor="text1"/>
                      <w:kern w:val="2"/>
                      <w:szCs w:val="21"/>
                      <w:lang w:eastAsia="zh-CN"/>
                      <w14:textFill>
                        <w14:solidFill>
                          <w14:schemeClr w14:val="tx1"/>
                        </w14:solidFill>
                      </w14:textFill>
                    </w:rPr>
                    <w:t>达标情况</w:t>
                  </w:r>
                </w:p>
              </w:tc>
              <w:tc>
                <w:tcPr>
                  <w:tcW w:w="646" w:type="pct"/>
                  <w:tcBorders>
                    <w:tl2br w:val="nil"/>
                    <w:tr2bl w:val="nil"/>
                  </w:tcBorders>
                  <w:vAlign w:val="center"/>
                </w:tcPr>
                <w:p w14:paraId="22B599E2">
                  <w:pPr>
                    <w:pStyle w:val="52"/>
                    <w:rPr>
                      <w:rFonts w:eastAsia="Times New Roman"/>
                      <w:b/>
                      <w:color w:val="000000" w:themeColor="text1"/>
                      <w:kern w:val="2"/>
                      <w:szCs w:val="21"/>
                      <w:lang w:eastAsia="zh-CN"/>
                      <w14:textFill>
                        <w14:solidFill>
                          <w14:schemeClr w14:val="tx1"/>
                        </w14:solidFill>
                      </w14:textFill>
                    </w:rPr>
                  </w:pPr>
                  <w:r>
                    <w:rPr>
                      <w:rFonts w:hint="eastAsia" w:eastAsia="Times New Roman"/>
                      <w:b/>
                      <w:color w:val="000000" w:themeColor="text1"/>
                      <w:kern w:val="2"/>
                      <w:szCs w:val="21"/>
                      <w:lang w:eastAsia="zh-CN"/>
                      <w14:textFill>
                        <w14:solidFill>
                          <w14:schemeClr w14:val="tx1"/>
                        </w14:solidFill>
                      </w14:textFill>
                    </w:rPr>
                    <w:t>贡献</w:t>
                  </w:r>
                  <w:r>
                    <w:rPr>
                      <w:rFonts w:eastAsia="Times New Roman"/>
                      <w:b/>
                      <w:color w:val="000000" w:themeColor="text1"/>
                      <w:kern w:val="2"/>
                      <w:szCs w:val="21"/>
                      <w:lang w:eastAsia="zh-CN"/>
                      <w14:textFill>
                        <w14:solidFill>
                          <w14:schemeClr w14:val="tx1"/>
                        </w14:solidFill>
                      </w14:textFill>
                    </w:rPr>
                    <w:t>值</w:t>
                  </w:r>
                </w:p>
              </w:tc>
              <w:tc>
                <w:tcPr>
                  <w:tcW w:w="646" w:type="pct"/>
                  <w:tcBorders>
                    <w:tl2br w:val="nil"/>
                    <w:tr2bl w:val="nil"/>
                  </w:tcBorders>
                  <w:vAlign w:val="center"/>
                </w:tcPr>
                <w:p w14:paraId="2F4E9A4E">
                  <w:pPr>
                    <w:pStyle w:val="52"/>
                    <w:rPr>
                      <w:rFonts w:eastAsia="Times New Roman"/>
                      <w:b/>
                      <w:color w:val="000000" w:themeColor="text1"/>
                      <w:kern w:val="2"/>
                      <w:szCs w:val="21"/>
                      <w:lang w:eastAsia="zh-CN"/>
                      <w14:textFill>
                        <w14:solidFill>
                          <w14:schemeClr w14:val="tx1"/>
                        </w14:solidFill>
                      </w14:textFill>
                    </w:rPr>
                  </w:pPr>
                  <w:r>
                    <w:rPr>
                      <w:rFonts w:eastAsia="Times New Roman"/>
                      <w:b/>
                      <w:color w:val="000000" w:themeColor="text1"/>
                      <w:kern w:val="2"/>
                      <w:szCs w:val="21"/>
                      <w:lang w:eastAsia="zh-CN"/>
                      <w14:textFill>
                        <w14:solidFill>
                          <w14:schemeClr w14:val="tx1"/>
                        </w14:solidFill>
                      </w14:textFill>
                    </w:rPr>
                    <w:t>标准值</w:t>
                  </w:r>
                </w:p>
              </w:tc>
              <w:tc>
                <w:tcPr>
                  <w:tcW w:w="647" w:type="pct"/>
                  <w:tcBorders>
                    <w:tl2br w:val="nil"/>
                    <w:tr2bl w:val="nil"/>
                  </w:tcBorders>
                  <w:vAlign w:val="center"/>
                </w:tcPr>
                <w:p w14:paraId="753EE438">
                  <w:pPr>
                    <w:pStyle w:val="52"/>
                    <w:rPr>
                      <w:rFonts w:eastAsia="Times New Roman"/>
                      <w:b/>
                      <w:color w:val="000000" w:themeColor="text1"/>
                      <w:kern w:val="2"/>
                      <w:szCs w:val="21"/>
                      <w:lang w:eastAsia="zh-CN"/>
                      <w14:textFill>
                        <w14:solidFill>
                          <w14:schemeClr w14:val="tx1"/>
                        </w14:solidFill>
                      </w14:textFill>
                    </w:rPr>
                  </w:pPr>
                  <w:r>
                    <w:rPr>
                      <w:rFonts w:eastAsia="Times New Roman"/>
                      <w:b/>
                      <w:color w:val="000000" w:themeColor="text1"/>
                      <w:kern w:val="2"/>
                      <w:szCs w:val="21"/>
                      <w:lang w:eastAsia="zh-CN"/>
                      <w14:textFill>
                        <w14:solidFill>
                          <w14:schemeClr w14:val="tx1"/>
                        </w14:solidFill>
                      </w14:textFill>
                    </w:rPr>
                    <w:t>达标情况</w:t>
                  </w:r>
                </w:p>
              </w:tc>
            </w:tr>
            <w:tr w14:paraId="70C010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92" w:type="pct"/>
                  <w:tcBorders>
                    <w:tl2br w:val="nil"/>
                    <w:tr2bl w:val="nil"/>
                  </w:tcBorders>
                  <w:vAlign w:val="center"/>
                </w:tcPr>
                <w:p w14:paraId="524C9E1B">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1</w:t>
                  </w:r>
                </w:p>
              </w:tc>
              <w:tc>
                <w:tcPr>
                  <w:tcW w:w="730" w:type="pct"/>
                  <w:tcBorders>
                    <w:tl2br w:val="nil"/>
                    <w:tr2bl w:val="nil"/>
                  </w:tcBorders>
                  <w:vAlign w:val="center"/>
                </w:tcPr>
                <w:p w14:paraId="571D3BF0">
                  <w:pPr>
                    <w:pStyle w:val="52"/>
                    <w:rPr>
                      <w:rFonts w:eastAsia="Times New Roman"/>
                      <w:color w:val="000000" w:themeColor="text1"/>
                      <w:kern w:val="2"/>
                      <w:szCs w:val="21"/>
                      <w:lang w:eastAsia="zh-CN"/>
                      <w14:textFill>
                        <w14:solidFill>
                          <w14:schemeClr w14:val="tx1"/>
                        </w14:solidFill>
                      </w14:textFill>
                    </w:rPr>
                  </w:pPr>
                  <w:r>
                    <w:rPr>
                      <w:rFonts w:eastAsia="Times New Roman"/>
                      <w:color w:val="000000" w:themeColor="text1"/>
                      <w:kern w:val="2"/>
                      <w:szCs w:val="21"/>
                      <w:lang w:eastAsia="zh-CN"/>
                      <w14:textFill>
                        <w14:solidFill>
                          <w14:schemeClr w14:val="tx1"/>
                        </w14:solidFill>
                      </w14:textFill>
                    </w:rPr>
                    <w:t>厂界东1m处</w:t>
                  </w:r>
                </w:p>
              </w:tc>
              <w:tc>
                <w:tcPr>
                  <w:tcW w:w="705" w:type="pct"/>
                  <w:tcBorders>
                    <w:tl2br w:val="nil"/>
                    <w:tr2bl w:val="nil"/>
                  </w:tcBorders>
                  <w:vAlign w:val="center"/>
                </w:tcPr>
                <w:p w14:paraId="423F5C6B">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47.8</w:t>
                  </w:r>
                </w:p>
              </w:tc>
              <w:tc>
                <w:tcPr>
                  <w:tcW w:w="644" w:type="pct"/>
                  <w:tcBorders>
                    <w:tl2br w:val="nil"/>
                    <w:tr2bl w:val="nil"/>
                  </w:tcBorders>
                  <w:vAlign w:val="center"/>
                </w:tcPr>
                <w:p w14:paraId="1657F0D4">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65</w:t>
                  </w:r>
                </w:p>
              </w:tc>
              <w:tc>
                <w:tcPr>
                  <w:tcW w:w="590" w:type="pct"/>
                  <w:tcBorders>
                    <w:tl2br w:val="nil"/>
                    <w:tr2bl w:val="nil"/>
                  </w:tcBorders>
                  <w:vAlign w:val="center"/>
                </w:tcPr>
                <w:p w14:paraId="099EC4A2">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c>
                <w:tcPr>
                  <w:tcW w:w="646" w:type="pct"/>
                  <w:tcBorders>
                    <w:tl2br w:val="nil"/>
                    <w:tr2bl w:val="nil"/>
                  </w:tcBorders>
                  <w:vAlign w:val="center"/>
                </w:tcPr>
                <w:p w14:paraId="3DB42D9A">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47.8</w:t>
                  </w:r>
                </w:p>
              </w:tc>
              <w:tc>
                <w:tcPr>
                  <w:tcW w:w="646" w:type="pct"/>
                  <w:tcBorders>
                    <w:tl2br w:val="nil"/>
                    <w:tr2bl w:val="nil"/>
                  </w:tcBorders>
                  <w:vAlign w:val="center"/>
                </w:tcPr>
                <w:p w14:paraId="15C43DC5">
                  <w:pPr>
                    <w:pStyle w:val="52"/>
                    <w:rPr>
                      <w:rFonts w:eastAsia="Times New Roman"/>
                      <w:color w:val="000000" w:themeColor="text1"/>
                      <w:szCs w:val="21"/>
                      <w:lang w:eastAsia="zh-CN"/>
                      <w14:textFill>
                        <w14:solidFill>
                          <w14:schemeClr w14:val="tx1"/>
                        </w14:solidFill>
                      </w14:textFill>
                    </w:rPr>
                  </w:pPr>
                  <w:r>
                    <w:rPr>
                      <w:rFonts w:hint="eastAsia" w:eastAsia="Times New Roman"/>
                      <w:color w:val="000000" w:themeColor="text1"/>
                      <w:szCs w:val="21"/>
                      <w:lang w:eastAsia="zh-CN"/>
                      <w14:textFill>
                        <w14:solidFill>
                          <w14:schemeClr w14:val="tx1"/>
                        </w14:solidFill>
                      </w14:textFill>
                    </w:rPr>
                    <w:t>55</w:t>
                  </w:r>
                </w:p>
              </w:tc>
              <w:tc>
                <w:tcPr>
                  <w:tcW w:w="647" w:type="pct"/>
                  <w:tcBorders>
                    <w:tl2br w:val="nil"/>
                    <w:tr2bl w:val="nil"/>
                  </w:tcBorders>
                  <w:vAlign w:val="center"/>
                </w:tcPr>
                <w:p w14:paraId="4A29F637">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r>
            <w:tr w14:paraId="53C1BA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92" w:type="pct"/>
                  <w:tcBorders>
                    <w:tl2br w:val="nil"/>
                    <w:tr2bl w:val="nil"/>
                  </w:tcBorders>
                  <w:vAlign w:val="center"/>
                </w:tcPr>
                <w:p w14:paraId="65CABDA2">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2</w:t>
                  </w:r>
                </w:p>
              </w:tc>
              <w:tc>
                <w:tcPr>
                  <w:tcW w:w="730" w:type="pct"/>
                  <w:tcBorders>
                    <w:tl2br w:val="nil"/>
                    <w:tr2bl w:val="nil"/>
                  </w:tcBorders>
                  <w:vAlign w:val="center"/>
                </w:tcPr>
                <w:p w14:paraId="3A80810C">
                  <w:pPr>
                    <w:pStyle w:val="52"/>
                    <w:rPr>
                      <w:rFonts w:eastAsia="Times New Roman"/>
                      <w:color w:val="000000" w:themeColor="text1"/>
                      <w:kern w:val="2"/>
                      <w:szCs w:val="21"/>
                      <w:lang w:eastAsia="zh-CN"/>
                      <w14:textFill>
                        <w14:solidFill>
                          <w14:schemeClr w14:val="tx1"/>
                        </w14:solidFill>
                      </w14:textFill>
                    </w:rPr>
                  </w:pPr>
                  <w:r>
                    <w:rPr>
                      <w:rFonts w:eastAsia="Times New Roman"/>
                      <w:color w:val="000000" w:themeColor="text1"/>
                      <w:kern w:val="2"/>
                      <w:szCs w:val="21"/>
                      <w:lang w:eastAsia="zh-CN"/>
                      <w14:textFill>
                        <w14:solidFill>
                          <w14:schemeClr w14:val="tx1"/>
                        </w14:solidFill>
                      </w14:textFill>
                    </w:rPr>
                    <w:t>厂界南1m处</w:t>
                  </w:r>
                </w:p>
              </w:tc>
              <w:tc>
                <w:tcPr>
                  <w:tcW w:w="705" w:type="pct"/>
                  <w:tcBorders>
                    <w:tl2br w:val="nil"/>
                    <w:tr2bl w:val="nil"/>
                  </w:tcBorders>
                  <w:vAlign w:val="center"/>
                </w:tcPr>
                <w:p w14:paraId="07B23493">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38.6</w:t>
                  </w:r>
                </w:p>
              </w:tc>
              <w:tc>
                <w:tcPr>
                  <w:tcW w:w="644" w:type="pct"/>
                  <w:tcBorders>
                    <w:tl2br w:val="nil"/>
                    <w:tr2bl w:val="nil"/>
                  </w:tcBorders>
                  <w:vAlign w:val="center"/>
                </w:tcPr>
                <w:p w14:paraId="11A3F8B2">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65</w:t>
                  </w:r>
                </w:p>
              </w:tc>
              <w:tc>
                <w:tcPr>
                  <w:tcW w:w="590" w:type="pct"/>
                  <w:tcBorders>
                    <w:tl2br w:val="nil"/>
                    <w:tr2bl w:val="nil"/>
                  </w:tcBorders>
                  <w:vAlign w:val="center"/>
                </w:tcPr>
                <w:p w14:paraId="04D8EF80">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c>
                <w:tcPr>
                  <w:tcW w:w="646" w:type="pct"/>
                  <w:tcBorders>
                    <w:tl2br w:val="nil"/>
                    <w:tr2bl w:val="nil"/>
                  </w:tcBorders>
                  <w:vAlign w:val="center"/>
                </w:tcPr>
                <w:p w14:paraId="1425D4C3">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38.6</w:t>
                  </w:r>
                </w:p>
              </w:tc>
              <w:tc>
                <w:tcPr>
                  <w:tcW w:w="646" w:type="pct"/>
                  <w:tcBorders>
                    <w:tl2br w:val="nil"/>
                    <w:tr2bl w:val="nil"/>
                  </w:tcBorders>
                  <w:vAlign w:val="center"/>
                </w:tcPr>
                <w:p w14:paraId="547A7CF1">
                  <w:pPr>
                    <w:pStyle w:val="52"/>
                    <w:rPr>
                      <w:rFonts w:eastAsia="Times New Roman"/>
                      <w:color w:val="000000" w:themeColor="text1"/>
                      <w:szCs w:val="21"/>
                      <w:lang w:eastAsia="zh-CN"/>
                      <w14:textFill>
                        <w14:solidFill>
                          <w14:schemeClr w14:val="tx1"/>
                        </w14:solidFill>
                      </w14:textFill>
                    </w:rPr>
                  </w:pPr>
                  <w:r>
                    <w:rPr>
                      <w:rFonts w:hint="eastAsia" w:eastAsia="Times New Roman"/>
                      <w:color w:val="000000" w:themeColor="text1"/>
                      <w:szCs w:val="21"/>
                      <w:lang w:eastAsia="zh-CN"/>
                      <w14:textFill>
                        <w14:solidFill>
                          <w14:schemeClr w14:val="tx1"/>
                        </w14:solidFill>
                      </w14:textFill>
                    </w:rPr>
                    <w:t>55</w:t>
                  </w:r>
                </w:p>
              </w:tc>
              <w:tc>
                <w:tcPr>
                  <w:tcW w:w="647" w:type="pct"/>
                  <w:tcBorders>
                    <w:tl2br w:val="nil"/>
                    <w:tr2bl w:val="nil"/>
                  </w:tcBorders>
                  <w:vAlign w:val="center"/>
                </w:tcPr>
                <w:p w14:paraId="0CC8B8CF">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r>
            <w:tr w14:paraId="595320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392" w:type="pct"/>
                  <w:tcBorders>
                    <w:tl2br w:val="nil"/>
                    <w:tr2bl w:val="nil"/>
                  </w:tcBorders>
                  <w:vAlign w:val="center"/>
                </w:tcPr>
                <w:p w14:paraId="349697ED">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3</w:t>
                  </w:r>
                </w:p>
              </w:tc>
              <w:tc>
                <w:tcPr>
                  <w:tcW w:w="730" w:type="pct"/>
                  <w:tcBorders>
                    <w:tl2br w:val="nil"/>
                    <w:tr2bl w:val="nil"/>
                  </w:tcBorders>
                  <w:vAlign w:val="center"/>
                </w:tcPr>
                <w:p w14:paraId="34BF2CFD">
                  <w:pPr>
                    <w:pStyle w:val="52"/>
                    <w:rPr>
                      <w:rFonts w:eastAsia="Times New Roman"/>
                      <w:color w:val="000000" w:themeColor="text1"/>
                      <w:kern w:val="2"/>
                      <w:szCs w:val="21"/>
                      <w:lang w:eastAsia="zh-CN"/>
                      <w14:textFill>
                        <w14:solidFill>
                          <w14:schemeClr w14:val="tx1"/>
                        </w14:solidFill>
                      </w14:textFill>
                    </w:rPr>
                  </w:pPr>
                  <w:r>
                    <w:rPr>
                      <w:rFonts w:eastAsia="Times New Roman"/>
                      <w:color w:val="000000" w:themeColor="text1"/>
                      <w:kern w:val="2"/>
                      <w:szCs w:val="21"/>
                      <w:lang w:eastAsia="zh-CN"/>
                      <w14:textFill>
                        <w14:solidFill>
                          <w14:schemeClr w14:val="tx1"/>
                        </w14:solidFill>
                      </w14:textFill>
                    </w:rPr>
                    <w:t>厂界西1m处</w:t>
                  </w:r>
                </w:p>
              </w:tc>
              <w:tc>
                <w:tcPr>
                  <w:tcW w:w="705" w:type="pct"/>
                  <w:tcBorders>
                    <w:tl2br w:val="nil"/>
                    <w:tr2bl w:val="nil"/>
                  </w:tcBorders>
                  <w:vAlign w:val="center"/>
                </w:tcPr>
                <w:p w14:paraId="533A4DA8">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49.3</w:t>
                  </w:r>
                </w:p>
              </w:tc>
              <w:tc>
                <w:tcPr>
                  <w:tcW w:w="644" w:type="pct"/>
                  <w:tcBorders>
                    <w:tl2br w:val="nil"/>
                    <w:tr2bl w:val="nil"/>
                  </w:tcBorders>
                  <w:vAlign w:val="center"/>
                </w:tcPr>
                <w:p w14:paraId="1F97E190">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65</w:t>
                  </w:r>
                </w:p>
              </w:tc>
              <w:tc>
                <w:tcPr>
                  <w:tcW w:w="590" w:type="pct"/>
                  <w:tcBorders>
                    <w:tl2br w:val="nil"/>
                    <w:tr2bl w:val="nil"/>
                  </w:tcBorders>
                  <w:vAlign w:val="center"/>
                </w:tcPr>
                <w:p w14:paraId="50C9AB44">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c>
                <w:tcPr>
                  <w:tcW w:w="646" w:type="pct"/>
                  <w:tcBorders>
                    <w:tl2br w:val="nil"/>
                    <w:tr2bl w:val="nil"/>
                  </w:tcBorders>
                  <w:vAlign w:val="center"/>
                </w:tcPr>
                <w:p w14:paraId="60742678">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49.3</w:t>
                  </w:r>
                </w:p>
              </w:tc>
              <w:tc>
                <w:tcPr>
                  <w:tcW w:w="646" w:type="pct"/>
                  <w:tcBorders>
                    <w:tl2br w:val="nil"/>
                    <w:tr2bl w:val="nil"/>
                  </w:tcBorders>
                  <w:vAlign w:val="center"/>
                </w:tcPr>
                <w:p w14:paraId="2D62A607">
                  <w:pPr>
                    <w:pStyle w:val="52"/>
                    <w:rPr>
                      <w:rFonts w:eastAsia="Times New Roman"/>
                      <w:color w:val="000000" w:themeColor="text1"/>
                      <w:szCs w:val="21"/>
                      <w:lang w:eastAsia="zh-CN"/>
                      <w14:textFill>
                        <w14:solidFill>
                          <w14:schemeClr w14:val="tx1"/>
                        </w14:solidFill>
                      </w14:textFill>
                    </w:rPr>
                  </w:pPr>
                  <w:r>
                    <w:rPr>
                      <w:rFonts w:hint="eastAsia" w:eastAsia="Times New Roman"/>
                      <w:color w:val="000000" w:themeColor="text1"/>
                      <w:szCs w:val="21"/>
                      <w:lang w:eastAsia="zh-CN"/>
                      <w14:textFill>
                        <w14:solidFill>
                          <w14:schemeClr w14:val="tx1"/>
                        </w14:solidFill>
                      </w14:textFill>
                    </w:rPr>
                    <w:t>55</w:t>
                  </w:r>
                </w:p>
              </w:tc>
              <w:tc>
                <w:tcPr>
                  <w:tcW w:w="647" w:type="pct"/>
                  <w:tcBorders>
                    <w:tl2br w:val="nil"/>
                    <w:tr2bl w:val="nil"/>
                  </w:tcBorders>
                  <w:vAlign w:val="center"/>
                </w:tcPr>
                <w:p w14:paraId="2D40ED61">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r>
            <w:tr w14:paraId="114BAF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392" w:type="pct"/>
                  <w:tcBorders>
                    <w:tl2br w:val="nil"/>
                    <w:tr2bl w:val="nil"/>
                  </w:tcBorders>
                  <w:vAlign w:val="center"/>
                </w:tcPr>
                <w:p w14:paraId="562E267E">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4</w:t>
                  </w:r>
                </w:p>
              </w:tc>
              <w:tc>
                <w:tcPr>
                  <w:tcW w:w="730" w:type="pct"/>
                  <w:tcBorders>
                    <w:tl2br w:val="nil"/>
                    <w:tr2bl w:val="nil"/>
                  </w:tcBorders>
                  <w:vAlign w:val="center"/>
                </w:tcPr>
                <w:p w14:paraId="033F1BC1">
                  <w:pPr>
                    <w:pStyle w:val="52"/>
                    <w:rPr>
                      <w:rFonts w:eastAsia="Times New Roman"/>
                      <w:color w:val="000000" w:themeColor="text1"/>
                      <w:kern w:val="2"/>
                      <w:szCs w:val="21"/>
                      <w:lang w:eastAsia="zh-CN"/>
                      <w14:textFill>
                        <w14:solidFill>
                          <w14:schemeClr w14:val="tx1"/>
                        </w14:solidFill>
                      </w14:textFill>
                    </w:rPr>
                  </w:pPr>
                  <w:r>
                    <w:rPr>
                      <w:rFonts w:eastAsia="Times New Roman"/>
                      <w:color w:val="000000" w:themeColor="text1"/>
                      <w:kern w:val="2"/>
                      <w:szCs w:val="21"/>
                      <w:lang w:eastAsia="zh-CN"/>
                      <w14:textFill>
                        <w14:solidFill>
                          <w14:schemeClr w14:val="tx1"/>
                        </w14:solidFill>
                      </w14:textFill>
                    </w:rPr>
                    <w:t>厂界北1m处</w:t>
                  </w:r>
                </w:p>
              </w:tc>
              <w:tc>
                <w:tcPr>
                  <w:tcW w:w="705" w:type="pct"/>
                  <w:tcBorders>
                    <w:tl2br w:val="nil"/>
                    <w:tr2bl w:val="nil"/>
                  </w:tcBorders>
                  <w:vAlign w:val="center"/>
                </w:tcPr>
                <w:p w14:paraId="386A325C">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51.1</w:t>
                  </w:r>
                </w:p>
              </w:tc>
              <w:tc>
                <w:tcPr>
                  <w:tcW w:w="644" w:type="pct"/>
                  <w:tcBorders>
                    <w:tl2br w:val="nil"/>
                    <w:tr2bl w:val="nil"/>
                  </w:tcBorders>
                  <w:vAlign w:val="center"/>
                </w:tcPr>
                <w:p w14:paraId="5297CFC9">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65</w:t>
                  </w:r>
                </w:p>
              </w:tc>
              <w:tc>
                <w:tcPr>
                  <w:tcW w:w="590" w:type="pct"/>
                  <w:tcBorders>
                    <w:tl2br w:val="nil"/>
                    <w:tr2bl w:val="nil"/>
                  </w:tcBorders>
                  <w:vAlign w:val="center"/>
                </w:tcPr>
                <w:p w14:paraId="198DA9AA">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c>
                <w:tcPr>
                  <w:tcW w:w="646" w:type="pct"/>
                  <w:tcBorders>
                    <w:tl2br w:val="nil"/>
                    <w:tr2bl w:val="nil"/>
                  </w:tcBorders>
                  <w:vAlign w:val="center"/>
                </w:tcPr>
                <w:p w14:paraId="2BF73BA8">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51.1</w:t>
                  </w:r>
                </w:p>
              </w:tc>
              <w:tc>
                <w:tcPr>
                  <w:tcW w:w="646" w:type="pct"/>
                  <w:tcBorders>
                    <w:tl2br w:val="nil"/>
                    <w:tr2bl w:val="nil"/>
                  </w:tcBorders>
                  <w:vAlign w:val="center"/>
                </w:tcPr>
                <w:p w14:paraId="65607A4E">
                  <w:pPr>
                    <w:pStyle w:val="52"/>
                    <w:rPr>
                      <w:rFonts w:eastAsia="Times New Roman"/>
                      <w:color w:val="000000" w:themeColor="text1"/>
                      <w:szCs w:val="21"/>
                      <w:lang w:eastAsia="zh-CN"/>
                      <w14:textFill>
                        <w14:solidFill>
                          <w14:schemeClr w14:val="tx1"/>
                        </w14:solidFill>
                      </w14:textFill>
                    </w:rPr>
                  </w:pPr>
                  <w:r>
                    <w:rPr>
                      <w:rFonts w:hint="eastAsia" w:eastAsia="Times New Roman"/>
                      <w:color w:val="000000" w:themeColor="text1"/>
                      <w:szCs w:val="21"/>
                      <w:lang w:eastAsia="zh-CN"/>
                      <w14:textFill>
                        <w14:solidFill>
                          <w14:schemeClr w14:val="tx1"/>
                        </w14:solidFill>
                      </w14:textFill>
                    </w:rPr>
                    <w:t>55</w:t>
                  </w:r>
                </w:p>
              </w:tc>
              <w:tc>
                <w:tcPr>
                  <w:tcW w:w="647" w:type="pct"/>
                  <w:tcBorders>
                    <w:tl2br w:val="nil"/>
                    <w:tr2bl w:val="nil"/>
                  </w:tcBorders>
                  <w:vAlign w:val="center"/>
                </w:tcPr>
                <w:p w14:paraId="1B1E9182">
                  <w:pPr>
                    <w:pStyle w:val="52"/>
                    <w:rPr>
                      <w:rFonts w:eastAsia="Times New Roman"/>
                      <w:color w:val="000000" w:themeColor="text1"/>
                      <w:szCs w:val="21"/>
                      <w:lang w:eastAsia="zh-CN"/>
                      <w14:textFill>
                        <w14:solidFill>
                          <w14:schemeClr w14:val="tx1"/>
                        </w14:solidFill>
                      </w14:textFill>
                    </w:rPr>
                  </w:pPr>
                  <w:r>
                    <w:rPr>
                      <w:rFonts w:eastAsia="Times New Roman"/>
                      <w:color w:val="000000" w:themeColor="text1"/>
                      <w:szCs w:val="21"/>
                      <w:lang w:eastAsia="zh-CN"/>
                      <w14:textFill>
                        <w14:solidFill>
                          <w14:schemeClr w14:val="tx1"/>
                        </w14:solidFill>
                      </w14:textFill>
                    </w:rPr>
                    <w:t>达标</w:t>
                  </w:r>
                </w:p>
              </w:tc>
            </w:tr>
          </w:tbl>
          <w:p w14:paraId="7DF7B8AD">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对照评价标准，对项目预测数据分析评价表明：项目昼间、夜间正常运营过程中噪声对各厂界测点周围声环境影响不明显，且只产生在厂区生产车间内部，加上厂房墙壁自身的噪声衰减，项目运营后产生的噪声对于周围环境的影响很小，厂界噪声贡献值可以满足《工业企业厂界环境噪声排放标准》（GB12348-2008）中昼间、夜间3类标准。</w:t>
            </w:r>
          </w:p>
          <w:p w14:paraId="76D4DC30">
            <w:pPr>
              <w:spacing w:line="360" w:lineRule="auto"/>
              <w:ind w:firstLine="480" w:firstLineChars="200"/>
              <w:rPr>
                <w:rFonts w:hint="eastAsia" w:ascii="Times New Roman" w:hAnsi="Times New Roman" w:eastAsia="宋体" w:cs="宋体"/>
                <w:color w:val="000000" w:themeColor="text1"/>
                <w:kern w:val="0"/>
                <w:sz w:val="24"/>
                <w14:textFill>
                  <w14:solidFill>
                    <w14:schemeClr w14:val="tx1"/>
                  </w14:solidFill>
                </w14:textFill>
              </w:rPr>
            </w:pPr>
            <w:r>
              <w:rPr>
                <w:rFonts w:hint="eastAsia" w:ascii="Times New Roman" w:hAnsi="Times New Roman" w:eastAsia="宋体" w:cs="宋体"/>
                <w:color w:val="000000" w:themeColor="text1"/>
                <w:kern w:val="0"/>
                <w:sz w:val="24"/>
                <w14:textFill>
                  <w14:solidFill>
                    <w14:schemeClr w14:val="tx1"/>
                  </w14:solidFill>
                </w14:textFill>
              </w:rPr>
              <w:t>综上，本项目对各噪声源经过合理的噪声防治措施以及自然距离衰减，项目噪声源排放能够满足《工业企业厂界环境噪声排放标准》（GB12348-2008）中昼间、夜间3类标准，对周围声环境影响较小。</w:t>
            </w:r>
          </w:p>
          <w:p w14:paraId="2A812D75">
            <w:pPr>
              <w:adjustRightInd w:val="0"/>
              <w:snapToGrid w:val="0"/>
              <w:spacing w:line="360" w:lineRule="auto"/>
              <w:ind w:firstLine="482" w:firstLineChars="200"/>
              <w:jc w:val="left"/>
              <w:rPr>
                <w:b/>
                <w:sz w:val="24"/>
              </w:rPr>
            </w:pPr>
            <w:r>
              <w:rPr>
                <w:b/>
                <w:sz w:val="24"/>
              </w:rPr>
              <w:t>四、固废</w:t>
            </w:r>
            <w:r>
              <w:rPr>
                <w:rFonts w:hint="eastAsia"/>
                <w:b/>
                <w:sz w:val="24"/>
              </w:rPr>
              <w:t>废物环境影响和保护措施</w:t>
            </w:r>
          </w:p>
          <w:p w14:paraId="5CDAAD7A">
            <w:pPr>
              <w:adjustRightInd w:val="0"/>
              <w:snapToGrid w:val="0"/>
              <w:spacing w:line="360" w:lineRule="auto"/>
              <w:ind w:firstLine="482" w:firstLineChars="200"/>
              <w:jc w:val="left"/>
              <w:rPr>
                <w:b/>
                <w:sz w:val="24"/>
              </w:rPr>
            </w:pPr>
            <w:r>
              <w:rPr>
                <w:b/>
                <w:sz w:val="24"/>
              </w:rPr>
              <w:t>1、</w:t>
            </w:r>
            <w:r>
              <w:rPr>
                <w:rFonts w:hint="eastAsia"/>
                <w:b/>
                <w:sz w:val="24"/>
              </w:rPr>
              <w:t>固态废物产生情况</w:t>
            </w:r>
          </w:p>
          <w:p w14:paraId="39FEA517">
            <w:pPr>
              <w:adjustRightInd w:val="0"/>
              <w:snapToGrid w:val="0"/>
              <w:spacing w:line="360" w:lineRule="auto"/>
              <w:ind w:firstLine="480" w:firstLineChars="200"/>
              <w:jc w:val="left"/>
              <w:rPr>
                <w:bCs/>
                <w:sz w:val="24"/>
              </w:rPr>
            </w:pPr>
            <w:r>
              <w:rPr>
                <w:bCs/>
                <w:sz w:val="24"/>
              </w:rPr>
              <w:t>本项目</w:t>
            </w:r>
            <w:r>
              <w:rPr>
                <w:rFonts w:hint="eastAsia"/>
                <w:bCs/>
                <w:sz w:val="24"/>
              </w:rPr>
              <w:t>固体废物主要分为：一般工业固体废物、危险废物和生活垃圾。其中一般工业固废主要为不合格件、废边角料；危险废物包括废</w:t>
            </w:r>
            <w:r>
              <w:rPr>
                <w:rFonts w:hint="eastAsia"/>
                <w:bCs/>
                <w:sz w:val="24"/>
                <w:lang w:val="en-US" w:eastAsia="zh-CN"/>
              </w:rPr>
              <w:t>脱模剂</w:t>
            </w:r>
            <w:r>
              <w:rPr>
                <w:rFonts w:hint="eastAsia"/>
                <w:bCs/>
                <w:sz w:val="24"/>
              </w:rPr>
              <w:t>、废</w:t>
            </w:r>
            <w:r>
              <w:rPr>
                <w:rFonts w:hint="eastAsia"/>
                <w:bCs/>
                <w:sz w:val="24"/>
                <w:lang w:val="en-US" w:eastAsia="zh-CN"/>
              </w:rPr>
              <w:t>发泡料</w:t>
            </w:r>
            <w:r>
              <w:rPr>
                <w:rFonts w:hint="eastAsia"/>
                <w:bCs/>
                <w:sz w:val="24"/>
              </w:rPr>
              <w:t>、废</w:t>
            </w:r>
            <w:r>
              <w:rPr>
                <w:rFonts w:hint="eastAsia"/>
                <w:bCs/>
                <w:sz w:val="24"/>
                <w:lang w:val="en-US" w:eastAsia="zh-CN"/>
              </w:rPr>
              <w:t>活性炭、废过滤棉、废渣废液、废机油、废胶桶</w:t>
            </w:r>
            <w:r>
              <w:rPr>
                <w:bCs/>
                <w:sz w:val="24"/>
              </w:rPr>
              <w:t>。</w:t>
            </w:r>
          </w:p>
          <w:p w14:paraId="14CDABE6">
            <w:pPr>
              <w:numPr>
                <w:ilvl w:val="0"/>
                <w:numId w:val="9"/>
              </w:numPr>
              <w:adjustRightInd w:val="0"/>
              <w:snapToGrid w:val="0"/>
              <w:spacing w:line="360" w:lineRule="auto"/>
              <w:ind w:firstLine="480" w:firstLineChars="200"/>
              <w:jc w:val="left"/>
              <w:rPr>
                <w:bCs/>
                <w:sz w:val="24"/>
              </w:rPr>
            </w:pPr>
            <w:r>
              <w:rPr>
                <w:rFonts w:hint="eastAsia"/>
                <w:bCs/>
                <w:sz w:val="24"/>
              </w:rPr>
              <w:t>一般工业固废</w:t>
            </w:r>
          </w:p>
          <w:p w14:paraId="21841C11">
            <w:pPr>
              <w:pStyle w:val="3"/>
              <w:keepNext w:val="0"/>
              <w:keepLines w:val="0"/>
              <w:pageBreakBefore w:val="0"/>
              <w:widowControl/>
              <w:kinsoku/>
              <w:wordWrap/>
              <w:overflowPunct/>
              <w:topLinePunct w:val="0"/>
              <w:autoSpaceDE/>
              <w:autoSpaceDN/>
              <w:bidi w:val="0"/>
              <w:adjustRightInd/>
              <w:snapToGrid w:val="0"/>
              <w:spacing w:line="360" w:lineRule="auto"/>
              <w:ind w:right="113" w:firstLine="480" w:firstLineChars="200"/>
              <w:textAlignment w:val="auto"/>
              <w:rPr>
                <w:sz w:val="24"/>
              </w:rPr>
            </w:pPr>
            <w:r>
              <w:rPr>
                <w:sz w:val="24"/>
                <w:szCs w:val="21"/>
              </w:rPr>
              <w:fldChar w:fldCharType="begin"/>
            </w:r>
            <w:r>
              <w:rPr>
                <w:sz w:val="24"/>
                <w:szCs w:val="21"/>
              </w:rPr>
              <w:instrText xml:space="preserve"> = 1 \* GB3 </w:instrText>
            </w:r>
            <w:r>
              <w:rPr>
                <w:sz w:val="24"/>
                <w:szCs w:val="21"/>
              </w:rPr>
              <w:fldChar w:fldCharType="separate"/>
            </w:r>
            <w:r>
              <w:rPr>
                <w:rFonts w:hint="eastAsia" w:cs="宋体"/>
                <w:sz w:val="24"/>
                <w:szCs w:val="21"/>
              </w:rPr>
              <w:t>①</w:t>
            </w:r>
            <w:r>
              <w:rPr>
                <w:sz w:val="24"/>
                <w:szCs w:val="21"/>
              </w:rPr>
              <w:fldChar w:fldCharType="end"/>
            </w:r>
            <w:r>
              <w:rPr>
                <w:rFonts w:hint="eastAsia"/>
                <w:sz w:val="24"/>
                <w:szCs w:val="21"/>
              </w:rPr>
              <w:t>不合格品</w:t>
            </w:r>
            <w:r>
              <w:rPr>
                <w:rFonts w:hint="eastAsia"/>
                <w:bCs/>
                <w:sz w:val="24"/>
              </w:rPr>
              <w:t>：</w:t>
            </w:r>
            <w:r>
              <w:rPr>
                <w:rFonts w:hint="eastAsia"/>
                <w:color w:val="000000"/>
                <w:kern w:val="2"/>
                <w:sz w:val="24"/>
                <w:szCs w:val="21"/>
              </w:rPr>
              <w:t>本项目</w:t>
            </w:r>
            <w:r>
              <w:rPr>
                <w:rFonts w:hint="eastAsia"/>
                <w:color w:val="000000"/>
                <w:kern w:val="2"/>
                <w:sz w:val="24"/>
                <w:szCs w:val="21"/>
                <w:lang w:val="en-US" w:eastAsia="zh-CN"/>
              </w:rPr>
              <w:t>产品年产量</w:t>
            </w:r>
            <w:r>
              <w:rPr>
                <w:rFonts w:hint="eastAsia"/>
                <w:color w:val="000000"/>
                <w:kern w:val="2"/>
                <w:sz w:val="24"/>
                <w:szCs w:val="21"/>
              </w:rPr>
              <w:t>为</w:t>
            </w:r>
            <w:r>
              <w:rPr>
                <w:rFonts w:hint="eastAsia"/>
                <w:kern w:val="2"/>
                <w:sz w:val="24"/>
                <w:szCs w:val="21"/>
              </w:rPr>
              <w:t>4</w:t>
            </w:r>
            <w:r>
              <w:rPr>
                <w:rFonts w:hint="eastAsia"/>
                <w:kern w:val="2"/>
                <w:sz w:val="24"/>
                <w:szCs w:val="21"/>
                <w:lang w:val="en-US" w:eastAsia="zh-CN"/>
              </w:rPr>
              <w:t>8</w:t>
            </w:r>
            <w:r>
              <w:rPr>
                <w:rFonts w:hint="eastAsia"/>
                <w:kern w:val="2"/>
                <w:sz w:val="24"/>
                <w:szCs w:val="21"/>
              </w:rPr>
              <w:t>0t/a</w:t>
            </w:r>
            <w:r>
              <w:rPr>
                <w:rFonts w:hint="eastAsia"/>
                <w:color w:val="0000FF"/>
                <w:kern w:val="2"/>
                <w:sz w:val="24"/>
                <w:szCs w:val="21"/>
              </w:rPr>
              <w:t>，</w:t>
            </w:r>
            <w:r>
              <w:rPr>
                <w:rFonts w:hint="eastAsia"/>
                <w:color w:val="000000"/>
                <w:kern w:val="2"/>
                <w:sz w:val="24"/>
                <w:szCs w:val="21"/>
              </w:rPr>
              <w:t>不合格品产生量约为原材料总用量的1%，即4.</w:t>
            </w:r>
            <w:r>
              <w:rPr>
                <w:rFonts w:hint="eastAsia"/>
                <w:color w:val="000000"/>
                <w:kern w:val="2"/>
                <w:sz w:val="24"/>
                <w:szCs w:val="21"/>
                <w:lang w:val="en-US" w:eastAsia="zh-CN"/>
              </w:rPr>
              <w:t>8</w:t>
            </w:r>
            <w:r>
              <w:rPr>
                <w:rFonts w:hint="eastAsia"/>
                <w:color w:val="000000"/>
                <w:kern w:val="2"/>
                <w:sz w:val="24"/>
                <w:szCs w:val="21"/>
              </w:rPr>
              <w:t>t/a。</w:t>
            </w:r>
            <w:r>
              <w:rPr>
                <w:rFonts w:hint="eastAsia"/>
                <w:bCs/>
                <w:sz w:val="24"/>
              </w:rPr>
              <w:t>产生的不合格品暂存于一般固废库，收集后</w:t>
            </w:r>
            <w:r>
              <w:rPr>
                <w:rFonts w:hint="eastAsia"/>
                <w:bCs/>
                <w:sz w:val="24"/>
                <w:lang w:val="en-US" w:eastAsia="zh-CN"/>
              </w:rPr>
              <w:t>交由物资回收单位处理</w:t>
            </w:r>
            <w:r>
              <w:rPr>
                <w:rFonts w:hint="eastAsia"/>
                <w:bCs/>
                <w:sz w:val="24"/>
              </w:rPr>
              <w:t>。</w:t>
            </w:r>
          </w:p>
          <w:p w14:paraId="13C3F709">
            <w:pPr>
              <w:adjustRightInd w:val="0"/>
              <w:snapToGrid w:val="0"/>
              <w:spacing w:line="360" w:lineRule="auto"/>
              <w:ind w:firstLine="480" w:firstLineChars="200"/>
              <w:jc w:val="left"/>
              <w:rPr>
                <w:rFonts w:ascii="宋体" w:hAnsi="宋体"/>
                <w:sz w:val="24"/>
                <w:szCs w:val="21"/>
                <w:highlight w:val="yellow"/>
              </w:rPr>
            </w:pPr>
            <w:r>
              <w:rPr>
                <w:rFonts w:hint="eastAsia" w:ascii="宋体" w:hAnsi="宋体"/>
                <w:sz w:val="24"/>
                <w:szCs w:val="21"/>
              </w:rPr>
              <w:t>②废边角料</w:t>
            </w:r>
          </w:p>
          <w:p w14:paraId="3D1E4A5C">
            <w:pPr>
              <w:spacing w:line="360" w:lineRule="auto"/>
              <w:ind w:firstLine="480" w:firstLineChars="200"/>
              <w:rPr>
                <w:rFonts w:ascii="宋体" w:hAnsi="宋体"/>
                <w:sz w:val="24"/>
                <w:szCs w:val="21"/>
              </w:rPr>
            </w:pPr>
            <w:r>
              <w:rPr>
                <w:rFonts w:hint="eastAsia"/>
                <w:color w:val="000000"/>
                <w:sz w:val="24"/>
                <w:szCs w:val="21"/>
              </w:rPr>
              <w:t>本项目</w:t>
            </w:r>
            <w:r>
              <w:rPr>
                <w:rFonts w:hint="eastAsia"/>
                <w:color w:val="000000"/>
                <w:kern w:val="2"/>
                <w:sz w:val="24"/>
                <w:szCs w:val="21"/>
                <w:lang w:val="en-US" w:eastAsia="zh-CN"/>
              </w:rPr>
              <w:t>产品年产量</w:t>
            </w:r>
            <w:r>
              <w:rPr>
                <w:rFonts w:hint="eastAsia"/>
                <w:color w:val="000000"/>
                <w:sz w:val="24"/>
                <w:szCs w:val="21"/>
              </w:rPr>
              <w:t>为</w:t>
            </w:r>
            <w:r>
              <w:rPr>
                <w:rFonts w:hint="eastAsia"/>
                <w:sz w:val="24"/>
                <w:szCs w:val="21"/>
              </w:rPr>
              <w:t>4</w:t>
            </w:r>
            <w:r>
              <w:rPr>
                <w:rFonts w:hint="eastAsia"/>
                <w:sz w:val="24"/>
                <w:szCs w:val="21"/>
                <w:lang w:val="en-US" w:eastAsia="zh-CN"/>
              </w:rPr>
              <w:t>8</w:t>
            </w:r>
            <w:r>
              <w:rPr>
                <w:rFonts w:hint="eastAsia"/>
                <w:sz w:val="24"/>
                <w:szCs w:val="21"/>
              </w:rPr>
              <w:t>0t/a，</w:t>
            </w:r>
            <w:r>
              <w:rPr>
                <w:rFonts w:hint="eastAsia"/>
                <w:color w:val="000000"/>
                <w:sz w:val="24"/>
                <w:szCs w:val="21"/>
              </w:rPr>
              <w:t>废边角料产生量约为原材料总用量的0.1%，即0.4</w:t>
            </w:r>
            <w:r>
              <w:rPr>
                <w:rFonts w:hint="eastAsia"/>
                <w:color w:val="000000"/>
                <w:sz w:val="24"/>
                <w:szCs w:val="21"/>
                <w:lang w:val="en-US" w:eastAsia="zh-CN"/>
              </w:rPr>
              <w:t>8</w:t>
            </w:r>
            <w:r>
              <w:rPr>
                <w:rFonts w:hint="eastAsia"/>
                <w:color w:val="000000"/>
                <w:sz w:val="24"/>
                <w:szCs w:val="21"/>
              </w:rPr>
              <w:t>t/a</w:t>
            </w:r>
            <w:r>
              <w:rPr>
                <w:rFonts w:hint="eastAsia"/>
                <w:bCs/>
                <w:sz w:val="24"/>
              </w:rPr>
              <w:t>。产生的废边角料暂存于一般固废库，收集后</w:t>
            </w:r>
            <w:r>
              <w:rPr>
                <w:rFonts w:hint="eastAsia"/>
                <w:bCs/>
                <w:sz w:val="24"/>
                <w:lang w:val="en-US" w:eastAsia="zh-CN"/>
              </w:rPr>
              <w:t>交由物资回收单位处理</w:t>
            </w:r>
            <w:r>
              <w:rPr>
                <w:rFonts w:hint="eastAsia"/>
                <w:bCs/>
                <w:sz w:val="24"/>
              </w:rPr>
              <w:t>。</w:t>
            </w:r>
          </w:p>
          <w:p w14:paraId="1E4C2C24">
            <w:pPr>
              <w:adjustRightInd w:val="0"/>
              <w:snapToGrid w:val="0"/>
              <w:spacing w:line="360" w:lineRule="auto"/>
              <w:ind w:firstLine="480" w:firstLineChars="200"/>
              <w:jc w:val="left"/>
              <w:rPr>
                <w:bCs/>
                <w:sz w:val="24"/>
              </w:rPr>
            </w:pPr>
            <w:r>
              <w:rPr>
                <w:bCs/>
                <w:sz w:val="24"/>
              </w:rPr>
              <w:t>（</w:t>
            </w:r>
            <w:r>
              <w:rPr>
                <w:rFonts w:hint="eastAsia"/>
                <w:bCs/>
                <w:sz w:val="24"/>
              </w:rPr>
              <w:t>2</w:t>
            </w:r>
            <w:r>
              <w:rPr>
                <w:bCs/>
                <w:sz w:val="24"/>
              </w:rPr>
              <w:t>）</w:t>
            </w:r>
            <w:r>
              <w:rPr>
                <w:rFonts w:hint="eastAsia"/>
                <w:bCs/>
                <w:sz w:val="24"/>
              </w:rPr>
              <w:t>危险废物</w:t>
            </w:r>
          </w:p>
          <w:p w14:paraId="36000F82">
            <w:pPr>
              <w:adjustRightInd w:val="0"/>
              <w:snapToGrid w:val="0"/>
              <w:spacing w:line="360" w:lineRule="auto"/>
              <w:ind w:firstLine="480" w:firstLineChars="200"/>
              <w:jc w:val="left"/>
              <w:rPr>
                <w:rFonts w:hint="eastAsia" w:eastAsia="宋体"/>
                <w:bCs/>
                <w:sz w:val="24"/>
                <w:lang w:val="en-US" w:eastAsia="zh-CN"/>
              </w:rPr>
            </w:pPr>
            <w:r>
              <w:rPr>
                <w:kern w:val="0"/>
                <w:sz w:val="24"/>
                <w:szCs w:val="21"/>
              </w:rPr>
              <w:fldChar w:fldCharType="begin"/>
            </w:r>
            <w:r>
              <w:rPr>
                <w:kern w:val="0"/>
                <w:sz w:val="24"/>
                <w:szCs w:val="21"/>
              </w:rPr>
              <w:instrText xml:space="preserve"> = 1 \* GB3 </w:instrText>
            </w:r>
            <w:r>
              <w:rPr>
                <w:kern w:val="0"/>
                <w:sz w:val="24"/>
                <w:szCs w:val="21"/>
              </w:rPr>
              <w:fldChar w:fldCharType="separate"/>
            </w:r>
            <w:r>
              <w:rPr>
                <w:rFonts w:hint="eastAsia" w:cs="宋体"/>
                <w:kern w:val="0"/>
                <w:sz w:val="24"/>
                <w:szCs w:val="21"/>
              </w:rPr>
              <w:t>①</w:t>
            </w:r>
            <w:r>
              <w:rPr>
                <w:kern w:val="0"/>
                <w:sz w:val="24"/>
                <w:szCs w:val="21"/>
              </w:rPr>
              <w:fldChar w:fldCharType="end"/>
            </w:r>
            <w:r>
              <w:rPr>
                <w:bCs/>
                <w:sz w:val="24"/>
              </w:rPr>
              <w:t>废</w:t>
            </w:r>
            <w:r>
              <w:rPr>
                <w:rFonts w:hint="eastAsia"/>
                <w:bCs/>
                <w:sz w:val="24"/>
                <w:lang w:val="en-US" w:eastAsia="zh-CN"/>
              </w:rPr>
              <w:t>脱模剂</w:t>
            </w:r>
          </w:p>
          <w:p w14:paraId="676E22B5">
            <w:pPr>
              <w:pStyle w:val="9"/>
              <w:spacing w:line="360" w:lineRule="auto"/>
              <w:ind w:firstLine="480"/>
              <w:rPr>
                <w:color w:val="0000FF"/>
                <w:sz w:val="24"/>
              </w:rPr>
            </w:pPr>
            <w:r>
              <w:rPr>
                <w:rFonts w:hint="eastAsia"/>
                <w:sz w:val="24"/>
              </w:rPr>
              <w:t>脱模剂年使用量为</w:t>
            </w:r>
            <w:r>
              <w:rPr>
                <w:rFonts w:hint="eastAsia"/>
                <w:sz w:val="24"/>
                <w:lang w:val="en-US" w:eastAsia="zh-CN"/>
              </w:rPr>
              <w:t>4.85</w:t>
            </w:r>
            <w:r>
              <w:rPr>
                <w:rFonts w:hint="eastAsia"/>
                <w:sz w:val="24"/>
              </w:rPr>
              <w:t>t</w:t>
            </w:r>
            <w:r>
              <w:rPr>
                <w:rFonts w:hint="eastAsia"/>
                <w:sz w:val="24"/>
                <w:lang w:val="en-US" w:eastAsia="zh-CN"/>
              </w:rPr>
              <w:t>/a，废脱模剂产生量约为原材料的1%，即0.0485</w:t>
            </w:r>
            <w:r>
              <w:rPr>
                <w:rFonts w:hint="eastAsia"/>
                <w:color w:val="000000"/>
                <w:sz w:val="24"/>
                <w:szCs w:val="21"/>
              </w:rPr>
              <w:t>t/a</w:t>
            </w:r>
            <w:r>
              <w:rPr>
                <w:color w:val="000000"/>
                <w:sz w:val="24"/>
              </w:rPr>
              <w:t>。</w:t>
            </w:r>
            <w:r>
              <w:rPr>
                <w:rFonts w:hint="eastAsia"/>
                <w:color w:val="000000"/>
                <w:sz w:val="24"/>
              </w:rPr>
              <w:t>废</w:t>
            </w:r>
            <w:r>
              <w:rPr>
                <w:rFonts w:hint="eastAsia"/>
                <w:sz w:val="24"/>
              </w:rPr>
              <w:t>脱模剂</w:t>
            </w:r>
            <w:r>
              <w:rPr>
                <w:sz w:val="24"/>
              </w:rPr>
              <w:t>属于危险废物，废物类别：HW49（900-041-49），需交资质单位处理</w:t>
            </w:r>
            <w:r>
              <w:rPr>
                <w:rFonts w:hint="eastAsia"/>
                <w:sz w:val="24"/>
              </w:rPr>
              <w:t>。</w:t>
            </w:r>
          </w:p>
          <w:p w14:paraId="3118493C">
            <w:pPr>
              <w:adjustRightInd w:val="0"/>
              <w:snapToGrid w:val="0"/>
              <w:spacing w:line="360" w:lineRule="auto"/>
              <w:ind w:firstLine="480" w:firstLineChars="200"/>
              <w:rPr>
                <w:rFonts w:hint="default" w:eastAsia="宋体"/>
                <w:sz w:val="24"/>
                <w:lang w:val="en-US" w:eastAsia="zh-CN"/>
              </w:rPr>
            </w:pPr>
            <w:r>
              <w:rPr>
                <w:rFonts w:hint="eastAsia" w:ascii="宋体" w:hAnsi="宋体"/>
                <w:sz w:val="24"/>
                <w:szCs w:val="21"/>
              </w:rPr>
              <w:t xml:space="preserve"> ②</w:t>
            </w:r>
            <w:r>
              <w:rPr>
                <w:rFonts w:hint="eastAsia"/>
                <w:sz w:val="24"/>
              </w:rPr>
              <w:t>废</w:t>
            </w:r>
            <w:r>
              <w:rPr>
                <w:rFonts w:hint="eastAsia"/>
                <w:sz w:val="24"/>
                <w:lang w:val="en-US" w:eastAsia="zh-CN"/>
              </w:rPr>
              <w:t>发泡料</w:t>
            </w:r>
          </w:p>
          <w:p w14:paraId="0C078799">
            <w:pPr>
              <w:adjustRightInd w:val="0"/>
              <w:snapToGrid w:val="0"/>
              <w:spacing w:line="360" w:lineRule="auto"/>
              <w:ind w:firstLine="480" w:firstLineChars="200"/>
              <w:jc w:val="left"/>
              <w:rPr>
                <w:rFonts w:hint="eastAsia"/>
                <w:bCs/>
                <w:sz w:val="24"/>
              </w:rPr>
            </w:pPr>
            <w:r>
              <w:rPr>
                <w:rFonts w:hint="eastAsia"/>
                <w:bCs/>
                <w:sz w:val="24"/>
              </w:rPr>
              <w:t>本项目</w:t>
            </w:r>
            <w:r>
              <w:rPr>
                <w:rFonts w:hint="eastAsia"/>
                <w:bCs/>
                <w:sz w:val="24"/>
                <w:lang w:val="en-US" w:eastAsia="zh-CN"/>
              </w:rPr>
              <w:t>设备清理过程中会产生废发泡料</w:t>
            </w:r>
            <w:r>
              <w:rPr>
                <w:rFonts w:hint="eastAsia"/>
                <w:bCs/>
                <w:sz w:val="24"/>
              </w:rPr>
              <w:t>，年</w:t>
            </w:r>
            <w:r>
              <w:rPr>
                <w:rFonts w:hint="eastAsia"/>
                <w:bCs/>
                <w:sz w:val="24"/>
                <w:lang w:val="en-US" w:eastAsia="zh-CN"/>
              </w:rPr>
              <w:t>产生</w:t>
            </w:r>
            <w:r>
              <w:rPr>
                <w:rFonts w:hint="eastAsia"/>
                <w:bCs/>
                <w:sz w:val="24"/>
              </w:rPr>
              <w:t>量约为2t/a，</w:t>
            </w:r>
            <w:r>
              <w:rPr>
                <w:rFonts w:hint="eastAsia"/>
                <w:bCs/>
                <w:sz w:val="24"/>
                <w:lang w:val="en-US" w:eastAsia="zh-CN"/>
              </w:rPr>
              <w:t>废发泡料</w:t>
            </w:r>
            <w:r>
              <w:rPr>
                <w:rFonts w:hint="eastAsia"/>
                <w:bCs/>
                <w:sz w:val="24"/>
              </w:rPr>
              <w:t>属于危险废物，危废类别</w:t>
            </w:r>
            <w:r>
              <w:rPr>
                <w:sz w:val="24"/>
              </w:rPr>
              <w:t>HW49（900-041-49）</w:t>
            </w:r>
            <w:r>
              <w:rPr>
                <w:rFonts w:hint="eastAsia"/>
                <w:bCs/>
                <w:sz w:val="24"/>
              </w:rPr>
              <w:t>，</w:t>
            </w:r>
            <w:r>
              <w:rPr>
                <w:rFonts w:hint="eastAsia"/>
                <w:sz w:val="24"/>
              </w:rPr>
              <w:t>收集后暂存于厂区危废库，定期交由有资质的单位处理</w:t>
            </w:r>
            <w:r>
              <w:rPr>
                <w:rFonts w:hint="eastAsia"/>
                <w:bCs/>
                <w:sz w:val="24"/>
              </w:rPr>
              <w:t>。</w:t>
            </w:r>
          </w:p>
          <w:p w14:paraId="0308B614">
            <w:pPr>
              <w:adjustRightInd w:val="0"/>
              <w:snapToGrid w:val="0"/>
              <w:spacing w:line="360" w:lineRule="auto"/>
              <w:ind w:firstLine="480" w:firstLineChars="200"/>
              <w:jc w:val="left"/>
              <w:rPr>
                <w:bCs/>
                <w:sz w:val="24"/>
              </w:rPr>
            </w:pPr>
            <w:r>
              <w:rPr>
                <w:rFonts w:hint="eastAsia"/>
                <w:bCs/>
                <w:sz w:val="24"/>
                <w:lang w:val="en-US" w:eastAsia="zh-CN"/>
              </w:rPr>
              <w:t>③</w:t>
            </w:r>
            <w:r>
              <w:rPr>
                <w:bCs/>
                <w:sz w:val="24"/>
              </w:rPr>
              <w:t>废</w:t>
            </w:r>
            <w:r>
              <w:rPr>
                <w:rFonts w:hint="eastAsia"/>
                <w:bCs/>
                <w:sz w:val="24"/>
              </w:rPr>
              <w:t>活性炭</w:t>
            </w:r>
          </w:p>
          <w:p w14:paraId="7FB1B04F">
            <w:pPr>
              <w:pStyle w:val="9"/>
              <w:spacing w:line="360" w:lineRule="auto"/>
              <w:ind w:firstLine="480"/>
              <w:rPr>
                <w:rFonts w:hint="eastAsia"/>
                <w:sz w:val="24"/>
                <w:lang w:val="en-US" w:eastAsia="zh-CN"/>
              </w:rPr>
            </w:pPr>
            <w:r>
              <w:rPr>
                <w:color w:val="000000"/>
                <w:sz w:val="24"/>
              </w:rPr>
              <w:t>本项目吸附的有机废气总量</w:t>
            </w:r>
            <w:r>
              <w:rPr>
                <w:rFonts w:hint="eastAsia"/>
                <w:color w:val="000000"/>
                <w:sz w:val="24"/>
              </w:rPr>
              <w:t>约</w:t>
            </w:r>
            <w:r>
              <w:rPr>
                <w:color w:val="000000"/>
                <w:sz w:val="24"/>
              </w:rPr>
              <w:t>为</w:t>
            </w:r>
            <w:r>
              <w:rPr>
                <w:rFonts w:hint="eastAsia"/>
                <w:sz w:val="24"/>
              </w:rPr>
              <w:t>0.</w:t>
            </w:r>
            <w:r>
              <w:rPr>
                <w:rFonts w:hint="eastAsia"/>
                <w:sz w:val="24"/>
                <w:lang w:val="en-US" w:eastAsia="zh-CN"/>
              </w:rPr>
              <w:t>52</w:t>
            </w:r>
            <w:r>
              <w:rPr>
                <w:sz w:val="24"/>
              </w:rPr>
              <w:t xml:space="preserve"> t/a</w:t>
            </w:r>
            <w:r>
              <w:rPr>
                <w:color w:val="000000"/>
                <w:sz w:val="24"/>
              </w:rPr>
              <w:t>，活性炭吸附率按照</w:t>
            </w:r>
            <w:r>
              <w:rPr>
                <w:rFonts w:hint="eastAsia"/>
                <w:color w:val="000000"/>
                <w:sz w:val="24"/>
              </w:rPr>
              <w:t>3</w:t>
            </w:r>
            <w:r>
              <w:rPr>
                <w:color w:val="000000"/>
                <w:sz w:val="24"/>
              </w:rPr>
              <w:t>0%计算，年需要消耗活性炭量约为</w:t>
            </w:r>
            <w:r>
              <w:rPr>
                <w:rFonts w:hint="eastAsia"/>
                <w:color w:val="000000"/>
                <w:sz w:val="24"/>
                <w:lang w:val="en-US" w:eastAsia="zh-CN"/>
              </w:rPr>
              <w:t>1.73</w:t>
            </w:r>
            <w:r>
              <w:rPr>
                <w:sz w:val="24"/>
              </w:rPr>
              <w:t xml:space="preserve"> t/a。</w:t>
            </w:r>
            <w:r>
              <w:rPr>
                <w:rFonts w:hint="eastAsia"/>
                <w:sz w:val="24"/>
              </w:rPr>
              <w:t>每三个月更换一次，每次装箱总量约0.</w:t>
            </w:r>
            <w:r>
              <w:rPr>
                <w:rFonts w:hint="eastAsia"/>
                <w:sz w:val="24"/>
                <w:lang w:val="en-US" w:eastAsia="zh-CN"/>
              </w:rPr>
              <w:t>43t/a。则废活性炭产生量约2.25 t/a（含有机废气0.52 t/a）。属于危险废物，废物类别：HW49（900-041-49），需交资质单位处理。</w:t>
            </w:r>
          </w:p>
          <w:p w14:paraId="06143E82">
            <w:pPr>
              <w:pStyle w:val="9"/>
              <w:spacing w:line="360" w:lineRule="auto"/>
              <w:ind w:firstLine="480"/>
              <w:rPr>
                <w:rFonts w:hint="eastAsia"/>
                <w:color w:val="000000"/>
                <w:sz w:val="24"/>
              </w:rPr>
            </w:pPr>
            <w:r>
              <w:rPr>
                <w:rFonts w:hint="eastAsia"/>
                <w:color w:val="000000"/>
                <w:sz w:val="24"/>
              </w:rPr>
              <w:t>④废过滤棉</w:t>
            </w:r>
          </w:p>
          <w:p w14:paraId="13AF2CDE">
            <w:pPr>
              <w:pStyle w:val="9"/>
              <w:spacing w:line="360" w:lineRule="auto"/>
              <w:ind w:firstLine="480"/>
              <w:rPr>
                <w:rFonts w:hint="eastAsia"/>
                <w:sz w:val="24"/>
              </w:rPr>
            </w:pPr>
            <w:r>
              <w:rPr>
                <w:rFonts w:hint="eastAsia"/>
                <w:color w:val="000000"/>
                <w:sz w:val="24"/>
              </w:rPr>
              <w:t xml:space="preserve">本项目喷胶过程产生胶雾颗粒须经过滤棉吸附过滤，根据工程分析，过滤棉吸附量为 </w:t>
            </w:r>
            <w:r>
              <w:rPr>
                <w:rFonts w:hint="eastAsia"/>
                <w:color w:val="000000"/>
                <w:sz w:val="24"/>
                <w:lang w:val="en-US" w:eastAsia="zh-CN"/>
              </w:rPr>
              <w:t>5.047</w:t>
            </w:r>
            <w:r>
              <w:rPr>
                <w:rFonts w:hint="eastAsia"/>
                <w:color w:val="000000"/>
                <w:sz w:val="24"/>
              </w:rPr>
              <w:t>t</w:t>
            </w:r>
            <w:r>
              <w:rPr>
                <w:rFonts w:hint="eastAsia"/>
                <w:color w:val="000000"/>
                <w:sz w:val="24"/>
                <w:lang w:val="en-US" w:eastAsia="zh-CN"/>
              </w:rPr>
              <w:t>/a</w:t>
            </w:r>
            <w:r>
              <w:rPr>
                <w:rFonts w:hint="eastAsia"/>
                <w:color w:val="000000"/>
                <w:sz w:val="24"/>
              </w:rPr>
              <w:t>，根据过滤棉容尘量为 3550g</w:t>
            </w:r>
            <w:r>
              <w:rPr>
                <w:rFonts w:hint="eastAsia"/>
                <w:color w:val="000000"/>
                <w:sz w:val="24"/>
                <w:lang w:val="en-US" w:eastAsia="zh-CN"/>
              </w:rPr>
              <w:t>/</w:t>
            </w:r>
            <w:r>
              <w:rPr>
                <w:rFonts w:hint="eastAsia"/>
                <w:color w:val="000000"/>
                <w:sz w:val="24"/>
              </w:rPr>
              <w:t>m</w:t>
            </w:r>
            <w:r>
              <w:rPr>
                <w:rFonts w:hint="eastAsia"/>
                <w:color w:val="000000"/>
                <w:sz w:val="24"/>
                <w:vertAlign w:val="superscript"/>
                <w:lang w:val="en-US" w:eastAsia="zh-CN"/>
              </w:rPr>
              <w:t>2</w:t>
            </w:r>
            <w:r>
              <w:rPr>
                <w:rFonts w:hint="eastAsia"/>
                <w:color w:val="000000"/>
                <w:sz w:val="24"/>
              </w:rPr>
              <w:t>，过滤棉 250g/m</w:t>
            </w:r>
            <w:r>
              <w:rPr>
                <w:rFonts w:hint="eastAsia"/>
                <w:color w:val="000000"/>
                <w:sz w:val="24"/>
                <w:vertAlign w:val="superscript"/>
                <w:lang w:val="en-US" w:eastAsia="zh-CN"/>
              </w:rPr>
              <w:t>2</w:t>
            </w:r>
            <w:r>
              <w:rPr>
                <w:rFonts w:hint="eastAsia"/>
                <w:color w:val="000000"/>
                <w:sz w:val="24"/>
              </w:rPr>
              <w:t xml:space="preserve">，过滤棉使用量为 </w:t>
            </w:r>
            <w:r>
              <w:rPr>
                <w:rFonts w:hint="eastAsia"/>
                <w:color w:val="000000"/>
                <w:sz w:val="24"/>
                <w:lang w:val="en-US" w:eastAsia="zh-CN"/>
              </w:rPr>
              <w:t>0.355</w:t>
            </w:r>
            <w:r>
              <w:rPr>
                <w:rFonts w:hint="eastAsia"/>
                <w:color w:val="000000"/>
                <w:sz w:val="24"/>
              </w:rPr>
              <w:t xml:space="preserve">ta，废过滤棉为 </w:t>
            </w:r>
            <w:r>
              <w:rPr>
                <w:rFonts w:hint="eastAsia"/>
                <w:color w:val="000000"/>
                <w:sz w:val="24"/>
                <w:lang w:val="en-US" w:eastAsia="zh-CN"/>
              </w:rPr>
              <w:t xml:space="preserve">5.402 </w:t>
            </w:r>
            <w:r>
              <w:rPr>
                <w:rFonts w:hint="eastAsia"/>
                <w:color w:val="000000"/>
                <w:sz w:val="24"/>
              </w:rPr>
              <w:t>t/a，根据《国家危险废物名录(2021年版)》“含有或沾染毒性、感染性危险废物的废弃包装物、容器、过滤吸附介质”属于 HW49 其他废物，废物类别为 900-041-49。</w:t>
            </w:r>
          </w:p>
          <w:p w14:paraId="64115FA0">
            <w:pPr>
              <w:pStyle w:val="9"/>
              <w:spacing w:line="360" w:lineRule="auto"/>
              <w:ind w:firstLine="480"/>
              <w:rPr>
                <w:rFonts w:hint="default"/>
                <w:sz w:val="24"/>
                <w:lang w:val="en-US" w:eastAsia="zh-CN"/>
              </w:rPr>
            </w:pPr>
            <w:r>
              <w:rPr>
                <w:rFonts w:hint="eastAsia"/>
                <w:sz w:val="24"/>
                <w:lang w:val="en-US" w:eastAsia="zh-CN"/>
              </w:rPr>
              <w:t>⑤废渣废液:根据工程分析可知，年产生废渣废液 1.117t/a，由于本项目所使用胶水为水性聚氨酯类胶黏剂，但在使用过程增添了固化剂，根据《危险废物分类管理名录》(2021年版)未能判定其危险性质，由于不排除其具有危险特性，可能对生态环境或者人体健康造成有害影响，本环评要求其暂按危废进行管理收集，营运期废液废渣产生后进行按照国家规定的危险废物鉴别标准和鉴别方法予以认定。</w:t>
            </w:r>
          </w:p>
          <w:p w14:paraId="1F1E06D8">
            <w:pPr>
              <w:adjustRightInd w:val="0"/>
              <w:snapToGrid w:val="0"/>
              <w:spacing w:line="360" w:lineRule="auto"/>
              <w:ind w:firstLine="480" w:firstLineChars="200"/>
              <w:rPr>
                <w:sz w:val="24"/>
              </w:rPr>
            </w:pPr>
            <w:r>
              <w:rPr>
                <w:rFonts w:hint="eastAsia" w:ascii="宋体" w:hAnsi="宋体"/>
                <w:sz w:val="24"/>
                <w:szCs w:val="21"/>
              </w:rPr>
              <w:t xml:space="preserve"> </w:t>
            </w:r>
            <w:r>
              <w:rPr>
                <w:rFonts w:hint="eastAsia" w:ascii="宋体" w:hAnsi="宋体"/>
                <w:sz w:val="24"/>
                <w:szCs w:val="21"/>
                <w:lang w:val="en-US" w:eastAsia="zh-CN"/>
              </w:rPr>
              <w:t>⑥</w:t>
            </w:r>
            <w:r>
              <w:rPr>
                <w:rFonts w:hint="eastAsia"/>
                <w:sz w:val="24"/>
              </w:rPr>
              <w:t>废机油</w:t>
            </w:r>
          </w:p>
          <w:p w14:paraId="3A5147D3">
            <w:pPr>
              <w:adjustRightInd w:val="0"/>
              <w:snapToGrid w:val="0"/>
              <w:spacing w:line="360" w:lineRule="auto"/>
              <w:ind w:firstLine="480" w:firstLineChars="200"/>
              <w:jc w:val="left"/>
              <w:rPr>
                <w:bCs/>
                <w:sz w:val="24"/>
              </w:rPr>
            </w:pPr>
            <w:r>
              <w:rPr>
                <w:rFonts w:hint="eastAsia"/>
                <w:bCs/>
                <w:sz w:val="24"/>
              </w:rPr>
              <w:t>本项目运营过程中机械维护、检修会使用机油，年用量约为2t/a，机油使用过程中会产生少量废机油，其产生量一般为年用量的3%，则废机油产生量为0.06t/a，属于危险废物，危废类别HW08（900-214-08），</w:t>
            </w:r>
            <w:r>
              <w:rPr>
                <w:rFonts w:hint="eastAsia"/>
                <w:sz w:val="24"/>
              </w:rPr>
              <w:t>收集后暂存于厂区危废库，定期交由有资质的单位处理</w:t>
            </w:r>
            <w:r>
              <w:rPr>
                <w:rFonts w:hint="eastAsia"/>
                <w:bCs/>
                <w:sz w:val="24"/>
              </w:rPr>
              <w:t>。</w:t>
            </w:r>
          </w:p>
          <w:p w14:paraId="589E5194">
            <w:pPr>
              <w:pStyle w:val="9"/>
              <w:spacing w:line="360" w:lineRule="auto"/>
              <w:ind w:firstLine="480"/>
              <w:rPr>
                <w:sz w:val="24"/>
              </w:rPr>
            </w:pPr>
            <w:r>
              <w:rPr>
                <w:rFonts w:hint="eastAsia"/>
                <w:sz w:val="24"/>
                <w:lang w:val="en-US" w:eastAsia="zh-CN"/>
              </w:rPr>
              <w:t>⑦</w:t>
            </w:r>
            <w:r>
              <w:rPr>
                <w:rFonts w:hint="eastAsia"/>
                <w:sz w:val="24"/>
              </w:rPr>
              <w:t>废</w:t>
            </w:r>
            <w:r>
              <w:rPr>
                <w:rFonts w:hint="eastAsia"/>
                <w:sz w:val="24"/>
                <w:lang w:val="en-US" w:eastAsia="zh-CN"/>
              </w:rPr>
              <w:t>胶</w:t>
            </w:r>
            <w:r>
              <w:rPr>
                <w:rFonts w:hint="eastAsia"/>
                <w:sz w:val="24"/>
              </w:rPr>
              <w:t>桶</w:t>
            </w:r>
          </w:p>
          <w:p w14:paraId="06B38C49">
            <w:pPr>
              <w:adjustRightInd w:val="0"/>
              <w:snapToGrid w:val="0"/>
              <w:spacing w:line="360" w:lineRule="auto"/>
              <w:ind w:firstLine="480" w:firstLineChars="200"/>
              <w:rPr>
                <w:rFonts w:hint="eastAsia"/>
                <w:sz w:val="24"/>
              </w:rPr>
            </w:pPr>
            <w:r>
              <w:rPr>
                <w:rFonts w:hint="eastAsia"/>
                <w:sz w:val="24"/>
              </w:rPr>
              <w:t>本项目废机油桶的产生量约0.02t/a，属于危险废物，废物类别：HW08（900-249-08），收集后暂存于厂区危废库，定期交由有资质的单位处理。</w:t>
            </w:r>
          </w:p>
          <w:p w14:paraId="17FF2A03">
            <w:pPr>
              <w:pStyle w:val="9"/>
              <w:spacing w:line="360" w:lineRule="auto"/>
              <w:ind w:firstLine="480"/>
              <w:rPr>
                <w:bCs/>
                <w:sz w:val="24"/>
              </w:rPr>
            </w:pPr>
            <w:r>
              <w:rPr>
                <w:bCs/>
                <w:sz w:val="24"/>
              </w:rPr>
              <w:t>（</w:t>
            </w:r>
            <w:r>
              <w:rPr>
                <w:rFonts w:hint="eastAsia"/>
                <w:bCs/>
                <w:sz w:val="24"/>
              </w:rPr>
              <w:t>3</w:t>
            </w:r>
            <w:r>
              <w:rPr>
                <w:bCs/>
                <w:sz w:val="24"/>
              </w:rPr>
              <w:t>）生活垃圾</w:t>
            </w:r>
          </w:p>
          <w:p w14:paraId="08868297">
            <w:pPr>
              <w:adjustRightInd w:val="0"/>
              <w:snapToGrid w:val="0"/>
              <w:spacing w:line="360" w:lineRule="auto"/>
              <w:ind w:firstLine="480" w:firstLineChars="200"/>
              <w:rPr>
                <w:bCs/>
                <w:sz w:val="24"/>
              </w:rPr>
            </w:pPr>
            <w:r>
              <w:rPr>
                <w:bCs/>
                <w:sz w:val="24"/>
              </w:rPr>
              <w:t>本项目劳动定员</w:t>
            </w:r>
            <w:r>
              <w:rPr>
                <w:rFonts w:hint="eastAsia"/>
                <w:bCs/>
                <w:sz w:val="24"/>
                <w:lang w:val="en-US" w:eastAsia="zh-CN"/>
              </w:rPr>
              <w:t>50</w:t>
            </w:r>
            <w:r>
              <w:rPr>
                <w:bCs/>
                <w:sz w:val="24"/>
              </w:rPr>
              <w:t>人，按每人每天产生生活垃圾0.5kg计，生活垃圾产生量约为</w:t>
            </w:r>
            <w:r>
              <w:rPr>
                <w:rFonts w:hint="eastAsia"/>
                <w:bCs/>
                <w:sz w:val="24"/>
                <w:lang w:eastAsia="zh-CN"/>
              </w:rPr>
              <w:t>7.5</w:t>
            </w:r>
            <w:r>
              <w:rPr>
                <w:bCs/>
                <w:sz w:val="24"/>
              </w:rPr>
              <w:t>t/a</w:t>
            </w:r>
            <w:r>
              <w:rPr>
                <w:rFonts w:hint="eastAsia"/>
                <w:bCs/>
                <w:sz w:val="24"/>
              </w:rPr>
              <w:t>（年工作300天）</w:t>
            </w:r>
            <w:r>
              <w:rPr>
                <w:bCs/>
                <w:sz w:val="24"/>
              </w:rPr>
              <w:t>，收集后由环卫部门定期清运。</w:t>
            </w:r>
          </w:p>
          <w:p w14:paraId="02BC9EC7">
            <w:pPr>
              <w:adjustRightInd w:val="0"/>
              <w:snapToGrid w:val="0"/>
              <w:spacing w:line="360" w:lineRule="auto"/>
              <w:ind w:firstLine="480" w:firstLineChars="200"/>
              <w:rPr>
                <w:bCs/>
                <w:sz w:val="24"/>
              </w:rPr>
            </w:pPr>
            <w:r>
              <w:rPr>
                <w:bCs/>
                <w:sz w:val="24"/>
              </w:rPr>
              <w:t>本项目固废汇总见下表。</w:t>
            </w:r>
          </w:p>
          <w:p w14:paraId="40AC935A">
            <w:pPr>
              <w:adjustRightInd w:val="0"/>
              <w:snapToGrid w:val="0"/>
              <w:jc w:val="center"/>
              <w:rPr>
                <w:b/>
                <w:sz w:val="24"/>
              </w:rPr>
            </w:pPr>
            <w:r>
              <w:rPr>
                <w:b/>
                <w:sz w:val="24"/>
              </w:rPr>
              <w:t>表4-</w:t>
            </w:r>
            <w:r>
              <w:rPr>
                <w:rFonts w:hint="eastAsia"/>
                <w:b/>
                <w:sz w:val="24"/>
              </w:rPr>
              <w:t>16</w:t>
            </w:r>
            <w:r>
              <w:rPr>
                <w:b/>
                <w:sz w:val="24"/>
              </w:rPr>
              <w:t xml:space="preserve"> 本项目固体废物特性、产生量情况、污染防治措施情况一览表</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813"/>
              <w:gridCol w:w="879"/>
              <w:gridCol w:w="879"/>
              <w:gridCol w:w="1356"/>
              <w:gridCol w:w="624"/>
              <w:gridCol w:w="1015"/>
              <w:gridCol w:w="624"/>
              <w:gridCol w:w="653"/>
              <w:gridCol w:w="1146"/>
            </w:tblGrid>
            <w:tr w14:paraId="3D07C0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8" w:type="pct"/>
                  <w:vAlign w:val="center"/>
                </w:tcPr>
                <w:p w14:paraId="7DFF5E55">
                  <w:pPr>
                    <w:jc w:val="center"/>
                    <w:rPr>
                      <w:b/>
                      <w:szCs w:val="21"/>
                    </w:rPr>
                  </w:pPr>
                  <w:r>
                    <w:rPr>
                      <w:rFonts w:hint="eastAsia"/>
                      <w:b/>
                      <w:szCs w:val="21"/>
                    </w:rPr>
                    <w:t>序号</w:t>
                  </w:r>
                </w:p>
              </w:tc>
              <w:tc>
                <w:tcPr>
                  <w:tcW w:w="479" w:type="pct"/>
                  <w:vAlign w:val="center"/>
                </w:tcPr>
                <w:p w14:paraId="39EFF52B">
                  <w:pPr>
                    <w:jc w:val="center"/>
                    <w:rPr>
                      <w:b/>
                      <w:szCs w:val="21"/>
                    </w:rPr>
                  </w:pPr>
                  <w:r>
                    <w:rPr>
                      <w:rFonts w:hint="eastAsia"/>
                      <w:b/>
                      <w:szCs w:val="21"/>
                    </w:rPr>
                    <w:t>名称</w:t>
                  </w:r>
                </w:p>
              </w:tc>
              <w:tc>
                <w:tcPr>
                  <w:tcW w:w="518" w:type="pct"/>
                  <w:vAlign w:val="center"/>
                </w:tcPr>
                <w:p w14:paraId="2C142183">
                  <w:pPr>
                    <w:jc w:val="center"/>
                    <w:rPr>
                      <w:b/>
                      <w:szCs w:val="21"/>
                    </w:rPr>
                  </w:pPr>
                  <w:r>
                    <w:rPr>
                      <w:rFonts w:hint="eastAsia"/>
                      <w:b/>
                      <w:szCs w:val="21"/>
                    </w:rPr>
                    <w:t>产生环节</w:t>
                  </w:r>
                </w:p>
              </w:tc>
              <w:tc>
                <w:tcPr>
                  <w:tcW w:w="518" w:type="pct"/>
                  <w:vAlign w:val="center"/>
                </w:tcPr>
                <w:p w14:paraId="0E28D66E">
                  <w:pPr>
                    <w:jc w:val="center"/>
                    <w:rPr>
                      <w:b/>
                      <w:szCs w:val="21"/>
                    </w:rPr>
                  </w:pPr>
                  <w:r>
                    <w:rPr>
                      <w:rFonts w:hint="eastAsia"/>
                      <w:b/>
                      <w:szCs w:val="21"/>
                    </w:rPr>
                    <w:t>属性</w:t>
                  </w:r>
                </w:p>
              </w:tc>
              <w:tc>
                <w:tcPr>
                  <w:tcW w:w="799" w:type="pct"/>
                  <w:vAlign w:val="center"/>
                </w:tcPr>
                <w:p w14:paraId="046FD743">
                  <w:pPr>
                    <w:jc w:val="center"/>
                    <w:rPr>
                      <w:b/>
                      <w:szCs w:val="21"/>
                    </w:rPr>
                  </w:pPr>
                  <w:r>
                    <w:rPr>
                      <w:rFonts w:hint="eastAsia"/>
                      <w:b/>
                      <w:szCs w:val="21"/>
                    </w:rPr>
                    <w:t>废物代码</w:t>
                  </w:r>
                </w:p>
              </w:tc>
              <w:tc>
                <w:tcPr>
                  <w:tcW w:w="368" w:type="pct"/>
                  <w:vAlign w:val="center"/>
                </w:tcPr>
                <w:p w14:paraId="6287B94A">
                  <w:pPr>
                    <w:jc w:val="center"/>
                    <w:rPr>
                      <w:b/>
                      <w:szCs w:val="21"/>
                    </w:rPr>
                  </w:pPr>
                  <w:r>
                    <w:rPr>
                      <w:rFonts w:hint="eastAsia"/>
                      <w:b/>
                      <w:szCs w:val="21"/>
                    </w:rPr>
                    <w:t>物理性状</w:t>
                  </w:r>
                </w:p>
              </w:tc>
              <w:tc>
                <w:tcPr>
                  <w:tcW w:w="598" w:type="pct"/>
                  <w:vAlign w:val="center"/>
                </w:tcPr>
                <w:p w14:paraId="63FC970E">
                  <w:pPr>
                    <w:jc w:val="center"/>
                    <w:rPr>
                      <w:b/>
                      <w:szCs w:val="21"/>
                    </w:rPr>
                  </w:pPr>
                  <w:r>
                    <w:rPr>
                      <w:rFonts w:hint="eastAsia"/>
                      <w:b/>
                      <w:szCs w:val="21"/>
                    </w:rPr>
                    <w:t>产生量（t/a）</w:t>
                  </w:r>
                </w:p>
              </w:tc>
              <w:tc>
                <w:tcPr>
                  <w:tcW w:w="368" w:type="pct"/>
                  <w:vAlign w:val="center"/>
                </w:tcPr>
                <w:p w14:paraId="3BF73C6D">
                  <w:pPr>
                    <w:jc w:val="center"/>
                    <w:rPr>
                      <w:b/>
                      <w:szCs w:val="21"/>
                    </w:rPr>
                  </w:pPr>
                  <w:r>
                    <w:rPr>
                      <w:rFonts w:hint="eastAsia"/>
                      <w:b/>
                      <w:szCs w:val="21"/>
                    </w:rPr>
                    <w:t>有害物质名称</w:t>
                  </w:r>
                </w:p>
              </w:tc>
              <w:tc>
                <w:tcPr>
                  <w:tcW w:w="385" w:type="pct"/>
                  <w:vAlign w:val="center"/>
                </w:tcPr>
                <w:p w14:paraId="1CD5CBA0">
                  <w:pPr>
                    <w:jc w:val="center"/>
                    <w:rPr>
                      <w:b/>
                      <w:szCs w:val="21"/>
                    </w:rPr>
                  </w:pPr>
                  <w:r>
                    <w:rPr>
                      <w:rFonts w:hint="eastAsia"/>
                      <w:b/>
                      <w:szCs w:val="21"/>
                    </w:rPr>
                    <w:t>危险特性</w:t>
                  </w:r>
                </w:p>
              </w:tc>
              <w:tc>
                <w:tcPr>
                  <w:tcW w:w="675" w:type="pct"/>
                  <w:vAlign w:val="center"/>
                </w:tcPr>
                <w:p w14:paraId="5F68FE72">
                  <w:pPr>
                    <w:jc w:val="center"/>
                    <w:rPr>
                      <w:b/>
                      <w:szCs w:val="21"/>
                    </w:rPr>
                  </w:pPr>
                  <w:r>
                    <w:rPr>
                      <w:rFonts w:hint="eastAsia"/>
                      <w:b/>
                      <w:szCs w:val="21"/>
                    </w:rPr>
                    <w:t>处置方式和去向</w:t>
                  </w:r>
                </w:p>
              </w:tc>
            </w:tr>
            <w:tr w14:paraId="256F7F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8" w:type="pct"/>
                  <w:vAlign w:val="center"/>
                </w:tcPr>
                <w:p w14:paraId="513F212C">
                  <w:pPr>
                    <w:jc w:val="center"/>
                    <w:rPr>
                      <w:szCs w:val="21"/>
                    </w:rPr>
                  </w:pPr>
                  <w:r>
                    <w:rPr>
                      <w:rFonts w:hint="eastAsia"/>
                      <w:szCs w:val="21"/>
                    </w:rPr>
                    <w:t>1</w:t>
                  </w:r>
                </w:p>
              </w:tc>
              <w:tc>
                <w:tcPr>
                  <w:tcW w:w="479" w:type="pct"/>
                  <w:vAlign w:val="center"/>
                </w:tcPr>
                <w:p w14:paraId="47550A80">
                  <w:pPr>
                    <w:jc w:val="center"/>
                    <w:rPr>
                      <w:szCs w:val="21"/>
                    </w:rPr>
                  </w:pPr>
                  <w:r>
                    <w:rPr>
                      <w:rFonts w:hint="eastAsia"/>
                      <w:szCs w:val="21"/>
                    </w:rPr>
                    <w:t>不合格品</w:t>
                  </w:r>
                </w:p>
              </w:tc>
              <w:tc>
                <w:tcPr>
                  <w:tcW w:w="518" w:type="pct"/>
                  <w:vAlign w:val="center"/>
                </w:tcPr>
                <w:p w14:paraId="34D3C6FE">
                  <w:pPr>
                    <w:jc w:val="center"/>
                    <w:rPr>
                      <w:szCs w:val="21"/>
                    </w:rPr>
                  </w:pPr>
                  <w:r>
                    <w:rPr>
                      <w:rFonts w:hint="eastAsia"/>
                      <w:szCs w:val="21"/>
                    </w:rPr>
                    <w:t>检验</w:t>
                  </w:r>
                </w:p>
              </w:tc>
              <w:tc>
                <w:tcPr>
                  <w:tcW w:w="518" w:type="pct"/>
                  <w:vMerge w:val="restart"/>
                  <w:vAlign w:val="center"/>
                </w:tcPr>
                <w:p w14:paraId="627CCFF7">
                  <w:pPr>
                    <w:jc w:val="center"/>
                    <w:rPr>
                      <w:szCs w:val="21"/>
                    </w:rPr>
                  </w:pPr>
                  <w:r>
                    <w:rPr>
                      <w:rFonts w:hint="eastAsia"/>
                      <w:szCs w:val="21"/>
                    </w:rPr>
                    <w:t>一般固废</w:t>
                  </w:r>
                </w:p>
              </w:tc>
              <w:tc>
                <w:tcPr>
                  <w:tcW w:w="799" w:type="pct"/>
                  <w:vAlign w:val="center"/>
                </w:tcPr>
                <w:p w14:paraId="373528D0">
                  <w:pPr>
                    <w:jc w:val="center"/>
                    <w:rPr>
                      <w:szCs w:val="21"/>
                    </w:rPr>
                  </w:pPr>
                  <w:r>
                    <w:rPr>
                      <w:rFonts w:hint="eastAsia"/>
                      <w:szCs w:val="21"/>
                    </w:rPr>
                    <w:t>/</w:t>
                  </w:r>
                </w:p>
              </w:tc>
              <w:tc>
                <w:tcPr>
                  <w:tcW w:w="368" w:type="pct"/>
                  <w:vAlign w:val="center"/>
                </w:tcPr>
                <w:p w14:paraId="69874E02">
                  <w:pPr>
                    <w:jc w:val="center"/>
                    <w:rPr>
                      <w:szCs w:val="21"/>
                    </w:rPr>
                  </w:pPr>
                  <w:r>
                    <w:rPr>
                      <w:rFonts w:hint="eastAsia"/>
                      <w:szCs w:val="21"/>
                    </w:rPr>
                    <w:t>固态</w:t>
                  </w:r>
                </w:p>
              </w:tc>
              <w:tc>
                <w:tcPr>
                  <w:tcW w:w="598" w:type="pct"/>
                  <w:vAlign w:val="center"/>
                </w:tcPr>
                <w:p w14:paraId="49BDD29D">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4.</w:t>
                  </w:r>
                  <w:r>
                    <w:rPr>
                      <w:rFonts w:hint="eastAsia" w:ascii="Times New Roman" w:hAnsi="Times New Roman" w:eastAsia="宋体" w:cs="Times New Roman"/>
                      <w:szCs w:val="21"/>
                      <w:lang w:val="en-US" w:eastAsia="zh-CN"/>
                    </w:rPr>
                    <w:t>8</w:t>
                  </w:r>
                </w:p>
              </w:tc>
              <w:tc>
                <w:tcPr>
                  <w:tcW w:w="368" w:type="pct"/>
                  <w:vAlign w:val="center"/>
                </w:tcPr>
                <w:p w14:paraId="142035F2">
                  <w:pPr>
                    <w:jc w:val="center"/>
                    <w:rPr>
                      <w:szCs w:val="21"/>
                    </w:rPr>
                  </w:pPr>
                  <w:r>
                    <w:rPr>
                      <w:rFonts w:hint="eastAsia"/>
                      <w:szCs w:val="21"/>
                    </w:rPr>
                    <w:t>/</w:t>
                  </w:r>
                </w:p>
              </w:tc>
              <w:tc>
                <w:tcPr>
                  <w:tcW w:w="385" w:type="pct"/>
                  <w:vAlign w:val="center"/>
                </w:tcPr>
                <w:p w14:paraId="37A2F39D">
                  <w:pPr>
                    <w:jc w:val="center"/>
                    <w:rPr>
                      <w:szCs w:val="21"/>
                    </w:rPr>
                  </w:pPr>
                  <w:r>
                    <w:rPr>
                      <w:rFonts w:hint="eastAsia"/>
                      <w:szCs w:val="21"/>
                    </w:rPr>
                    <w:t>/</w:t>
                  </w:r>
                </w:p>
              </w:tc>
              <w:tc>
                <w:tcPr>
                  <w:tcW w:w="675" w:type="pct"/>
                  <w:vMerge w:val="restart"/>
                  <w:vAlign w:val="center"/>
                </w:tcPr>
                <w:p w14:paraId="2A39E53B">
                  <w:pPr>
                    <w:jc w:val="center"/>
                    <w:rPr>
                      <w:szCs w:val="21"/>
                    </w:rPr>
                  </w:pPr>
                  <w:r>
                    <w:rPr>
                      <w:rFonts w:hint="eastAsia"/>
                      <w:szCs w:val="21"/>
                    </w:rPr>
                    <w:t>收集后</w:t>
                  </w:r>
                  <w:r>
                    <w:rPr>
                      <w:rFonts w:hint="eastAsia"/>
                      <w:szCs w:val="21"/>
                      <w:lang w:val="en-US" w:eastAsia="zh-CN"/>
                    </w:rPr>
                    <w:t>交由物资回收单位处理</w:t>
                  </w:r>
                </w:p>
              </w:tc>
            </w:tr>
            <w:tr w14:paraId="7F9A94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8" w:type="pct"/>
                  <w:vAlign w:val="center"/>
                </w:tcPr>
                <w:p w14:paraId="43D473D0">
                  <w:pPr>
                    <w:jc w:val="center"/>
                    <w:rPr>
                      <w:szCs w:val="21"/>
                    </w:rPr>
                  </w:pPr>
                  <w:r>
                    <w:rPr>
                      <w:rFonts w:hint="eastAsia"/>
                      <w:szCs w:val="21"/>
                    </w:rPr>
                    <w:t>2</w:t>
                  </w:r>
                </w:p>
              </w:tc>
              <w:tc>
                <w:tcPr>
                  <w:tcW w:w="479" w:type="pct"/>
                  <w:vAlign w:val="center"/>
                </w:tcPr>
                <w:p w14:paraId="69C57DC0">
                  <w:pPr>
                    <w:jc w:val="center"/>
                    <w:rPr>
                      <w:szCs w:val="21"/>
                    </w:rPr>
                  </w:pPr>
                  <w:r>
                    <w:rPr>
                      <w:rFonts w:hint="eastAsia"/>
                      <w:szCs w:val="21"/>
                    </w:rPr>
                    <w:t>废边角料</w:t>
                  </w:r>
                </w:p>
              </w:tc>
              <w:tc>
                <w:tcPr>
                  <w:tcW w:w="518" w:type="pct"/>
                  <w:vAlign w:val="center"/>
                </w:tcPr>
                <w:p w14:paraId="49EC3527">
                  <w:pPr>
                    <w:jc w:val="center"/>
                    <w:rPr>
                      <w:szCs w:val="21"/>
                    </w:rPr>
                  </w:pPr>
                  <w:r>
                    <w:rPr>
                      <w:rFonts w:hint="eastAsia"/>
                      <w:szCs w:val="21"/>
                    </w:rPr>
                    <w:t>修整</w:t>
                  </w:r>
                </w:p>
              </w:tc>
              <w:tc>
                <w:tcPr>
                  <w:tcW w:w="518" w:type="pct"/>
                  <w:vMerge w:val="continue"/>
                  <w:vAlign w:val="center"/>
                </w:tcPr>
                <w:p w14:paraId="509D10B1">
                  <w:pPr>
                    <w:jc w:val="center"/>
                    <w:rPr>
                      <w:szCs w:val="21"/>
                    </w:rPr>
                  </w:pPr>
                </w:p>
              </w:tc>
              <w:tc>
                <w:tcPr>
                  <w:tcW w:w="799" w:type="pct"/>
                  <w:vAlign w:val="center"/>
                </w:tcPr>
                <w:p w14:paraId="628C8EA0">
                  <w:pPr>
                    <w:jc w:val="center"/>
                    <w:rPr>
                      <w:szCs w:val="21"/>
                    </w:rPr>
                  </w:pPr>
                  <w:r>
                    <w:rPr>
                      <w:rFonts w:hint="eastAsia"/>
                      <w:szCs w:val="21"/>
                    </w:rPr>
                    <w:t>/</w:t>
                  </w:r>
                </w:p>
              </w:tc>
              <w:tc>
                <w:tcPr>
                  <w:tcW w:w="368" w:type="pct"/>
                  <w:vAlign w:val="center"/>
                </w:tcPr>
                <w:p w14:paraId="60F5A288">
                  <w:pPr>
                    <w:jc w:val="center"/>
                    <w:rPr>
                      <w:szCs w:val="21"/>
                    </w:rPr>
                  </w:pPr>
                  <w:r>
                    <w:rPr>
                      <w:rFonts w:hint="eastAsia"/>
                      <w:szCs w:val="21"/>
                    </w:rPr>
                    <w:t>固态</w:t>
                  </w:r>
                </w:p>
              </w:tc>
              <w:tc>
                <w:tcPr>
                  <w:tcW w:w="598" w:type="pct"/>
                  <w:vAlign w:val="center"/>
                </w:tcPr>
                <w:p w14:paraId="5DA565BB">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0.4</w:t>
                  </w:r>
                  <w:r>
                    <w:rPr>
                      <w:rFonts w:hint="eastAsia" w:ascii="Times New Roman" w:hAnsi="Times New Roman" w:eastAsia="宋体" w:cs="Times New Roman"/>
                      <w:szCs w:val="21"/>
                      <w:lang w:val="en-US" w:eastAsia="zh-CN"/>
                    </w:rPr>
                    <w:t>8</w:t>
                  </w:r>
                </w:p>
              </w:tc>
              <w:tc>
                <w:tcPr>
                  <w:tcW w:w="368" w:type="pct"/>
                  <w:vAlign w:val="center"/>
                </w:tcPr>
                <w:p w14:paraId="193B205E">
                  <w:pPr>
                    <w:jc w:val="center"/>
                    <w:rPr>
                      <w:szCs w:val="21"/>
                    </w:rPr>
                  </w:pPr>
                  <w:r>
                    <w:rPr>
                      <w:rFonts w:hint="eastAsia"/>
                      <w:szCs w:val="21"/>
                    </w:rPr>
                    <w:t>/</w:t>
                  </w:r>
                </w:p>
              </w:tc>
              <w:tc>
                <w:tcPr>
                  <w:tcW w:w="385" w:type="pct"/>
                  <w:vAlign w:val="center"/>
                </w:tcPr>
                <w:p w14:paraId="533B4215">
                  <w:pPr>
                    <w:jc w:val="center"/>
                    <w:rPr>
                      <w:szCs w:val="21"/>
                    </w:rPr>
                  </w:pPr>
                  <w:r>
                    <w:rPr>
                      <w:rFonts w:hint="eastAsia"/>
                      <w:szCs w:val="21"/>
                    </w:rPr>
                    <w:t>/</w:t>
                  </w:r>
                </w:p>
              </w:tc>
              <w:tc>
                <w:tcPr>
                  <w:tcW w:w="675" w:type="pct"/>
                  <w:vMerge w:val="continue"/>
                  <w:vAlign w:val="center"/>
                </w:tcPr>
                <w:p w14:paraId="7A4CA275">
                  <w:pPr>
                    <w:jc w:val="center"/>
                    <w:rPr>
                      <w:szCs w:val="21"/>
                    </w:rPr>
                  </w:pPr>
                </w:p>
              </w:tc>
            </w:tr>
            <w:tr w14:paraId="5BC662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122" w:hRule="atLeast"/>
              </w:trPr>
              <w:tc>
                <w:tcPr>
                  <w:tcW w:w="288" w:type="pct"/>
                  <w:vAlign w:val="center"/>
                </w:tcPr>
                <w:p w14:paraId="2A42FBF5">
                  <w:pPr>
                    <w:jc w:val="center"/>
                    <w:rPr>
                      <w:rFonts w:hint="eastAsia" w:eastAsia="宋体"/>
                      <w:szCs w:val="21"/>
                      <w:lang w:val="en-US" w:eastAsia="zh-CN"/>
                    </w:rPr>
                  </w:pPr>
                  <w:bookmarkStart w:id="7" w:name="OLE_LINK1" w:colFirst="7" w:colLast="7"/>
                  <w:r>
                    <w:rPr>
                      <w:rFonts w:hint="eastAsia"/>
                      <w:szCs w:val="21"/>
                      <w:lang w:val="en-US" w:eastAsia="zh-CN"/>
                    </w:rPr>
                    <w:t>3</w:t>
                  </w:r>
                </w:p>
              </w:tc>
              <w:tc>
                <w:tcPr>
                  <w:tcW w:w="479" w:type="pct"/>
                  <w:vAlign w:val="center"/>
                </w:tcPr>
                <w:p w14:paraId="681367A9">
                  <w:pPr>
                    <w:jc w:val="center"/>
                    <w:rPr>
                      <w:rFonts w:hint="default" w:eastAsia="宋体"/>
                      <w:szCs w:val="21"/>
                      <w:lang w:val="en-US" w:eastAsia="zh-CN"/>
                    </w:rPr>
                  </w:pPr>
                  <w:r>
                    <w:rPr>
                      <w:rFonts w:hint="eastAsia"/>
                      <w:szCs w:val="21"/>
                      <w:lang w:val="en-US" w:eastAsia="zh-CN"/>
                    </w:rPr>
                    <w:t>废脱模剂</w:t>
                  </w:r>
                </w:p>
              </w:tc>
              <w:tc>
                <w:tcPr>
                  <w:tcW w:w="518" w:type="pct"/>
                  <w:vAlign w:val="center"/>
                </w:tcPr>
                <w:p w14:paraId="1AA7F45E">
                  <w:pPr>
                    <w:jc w:val="center"/>
                    <w:rPr>
                      <w:rFonts w:hint="default"/>
                      <w:szCs w:val="21"/>
                      <w:lang w:val="en-US"/>
                    </w:rPr>
                  </w:pPr>
                  <w:r>
                    <w:rPr>
                      <w:rFonts w:hint="eastAsia"/>
                      <w:szCs w:val="21"/>
                      <w:lang w:val="en-US" w:eastAsia="zh-CN"/>
                    </w:rPr>
                    <w:t>设备维护</w:t>
                  </w:r>
                </w:p>
              </w:tc>
              <w:tc>
                <w:tcPr>
                  <w:tcW w:w="518" w:type="pct"/>
                  <w:vAlign w:val="center"/>
                </w:tcPr>
                <w:p w14:paraId="28BB65A4">
                  <w:pPr>
                    <w:jc w:val="center"/>
                    <w:rPr>
                      <w:rFonts w:hint="default" w:eastAsia="宋体"/>
                      <w:szCs w:val="21"/>
                      <w:lang w:val="en-US" w:eastAsia="zh-CN"/>
                    </w:rPr>
                  </w:pPr>
                  <w:r>
                    <w:rPr>
                      <w:rFonts w:hint="eastAsia"/>
                      <w:szCs w:val="21"/>
                    </w:rPr>
                    <w:t>危废HW</w:t>
                  </w:r>
                  <w:r>
                    <w:rPr>
                      <w:rFonts w:hint="eastAsia"/>
                      <w:szCs w:val="21"/>
                      <w:lang w:val="en-US" w:eastAsia="zh-CN"/>
                    </w:rPr>
                    <w:t>49</w:t>
                  </w:r>
                </w:p>
              </w:tc>
              <w:tc>
                <w:tcPr>
                  <w:tcW w:w="799" w:type="pct"/>
                  <w:vAlign w:val="center"/>
                </w:tcPr>
                <w:p w14:paraId="16D2FEAF">
                  <w:pPr>
                    <w:jc w:val="center"/>
                    <w:rPr>
                      <w:szCs w:val="21"/>
                    </w:rPr>
                  </w:pPr>
                  <w:r>
                    <w:rPr>
                      <w:szCs w:val="21"/>
                    </w:rPr>
                    <w:t>900-041-49</w:t>
                  </w:r>
                </w:p>
              </w:tc>
              <w:tc>
                <w:tcPr>
                  <w:tcW w:w="368" w:type="pct"/>
                  <w:vAlign w:val="center"/>
                </w:tcPr>
                <w:p w14:paraId="3FD5688E">
                  <w:pPr>
                    <w:jc w:val="center"/>
                    <w:rPr>
                      <w:rFonts w:hint="default" w:eastAsia="宋体"/>
                      <w:szCs w:val="21"/>
                      <w:lang w:val="en-US" w:eastAsia="zh-CN"/>
                    </w:rPr>
                  </w:pPr>
                  <w:r>
                    <w:rPr>
                      <w:rFonts w:hint="eastAsia"/>
                      <w:szCs w:val="21"/>
                      <w:lang w:val="en-US" w:eastAsia="zh-CN"/>
                    </w:rPr>
                    <w:t>液态</w:t>
                  </w:r>
                </w:p>
              </w:tc>
              <w:tc>
                <w:tcPr>
                  <w:tcW w:w="598" w:type="pct"/>
                  <w:vAlign w:val="center"/>
                </w:tcPr>
                <w:p w14:paraId="464C7DE2">
                  <w:pPr>
                    <w:jc w:val="center"/>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0.0485</w:t>
                  </w:r>
                </w:p>
              </w:tc>
              <w:tc>
                <w:tcPr>
                  <w:tcW w:w="368" w:type="pct"/>
                  <w:vAlign w:val="center"/>
                </w:tcPr>
                <w:p w14:paraId="09F4B64D">
                  <w:pPr>
                    <w:jc w:val="center"/>
                    <w:rPr>
                      <w:rFonts w:hint="eastAsia" w:eastAsia="宋体"/>
                      <w:szCs w:val="21"/>
                      <w:lang w:val="en-US" w:eastAsia="zh-CN"/>
                    </w:rPr>
                  </w:pPr>
                  <w:r>
                    <w:rPr>
                      <w:rFonts w:hint="eastAsia"/>
                      <w:szCs w:val="21"/>
                      <w:lang w:val="en-US" w:eastAsia="zh-CN"/>
                    </w:rPr>
                    <w:t>脱模剂</w:t>
                  </w:r>
                </w:p>
              </w:tc>
              <w:tc>
                <w:tcPr>
                  <w:tcW w:w="385" w:type="pct"/>
                  <w:vAlign w:val="center"/>
                </w:tcPr>
                <w:p w14:paraId="75DA54BC">
                  <w:pPr>
                    <w:jc w:val="center"/>
                    <w:rPr>
                      <w:szCs w:val="21"/>
                    </w:rPr>
                  </w:pPr>
                  <w:r>
                    <w:rPr>
                      <w:rFonts w:hint="eastAsia"/>
                      <w:szCs w:val="21"/>
                    </w:rPr>
                    <w:t>T</w:t>
                  </w:r>
                </w:p>
              </w:tc>
              <w:tc>
                <w:tcPr>
                  <w:tcW w:w="675" w:type="pct"/>
                  <w:vMerge w:val="restart"/>
                  <w:vAlign w:val="center"/>
                </w:tcPr>
                <w:p w14:paraId="53F3DCA0">
                  <w:pPr>
                    <w:jc w:val="center"/>
                    <w:rPr>
                      <w:szCs w:val="21"/>
                    </w:rPr>
                  </w:pPr>
                  <w:r>
                    <w:rPr>
                      <w:rFonts w:hint="eastAsia"/>
                      <w:szCs w:val="21"/>
                    </w:rPr>
                    <w:t>交由</w:t>
                  </w:r>
                  <w:r>
                    <w:rPr>
                      <w:rFonts w:hint="eastAsia"/>
                      <w:szCs w:val="21"/>
                      <w:lang w:val="en-US" w:eastAsia="zh-CN"/>
                    </w:rPr>
                    <w:t>危废</w:t>
                  </w:r>
                  <w:r>
                    <w:rPr>
                      <w:rFonts w:hint="eastAsia"/>
                      <w:szCs w:val="21"/>
                    </w:rPr>
                    <w:t>单位定期处置</w:t>
                  </w:r>
                </w:p>
              </w:tc>
            </w:tr>
            <w:tr w14:paraId="78A53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288" w:type="pct"/>
                  <w:vAlign w:val="center"/>
                </w:tcPr>
                <w:p w14:paraId="0534AF87">
                  <w:pPr>
                    <w:jc w:val="center"/>
                    <w:rPr>
                      <w:rFonts w:hint="eastAsia" w:eastAsia="宋体"/>
                      <w:szCs w:val="21"/>
                      <w:lang w:val="en-US" w:eastAsia="zh-CN"/>
                    </w:rPr>
                  </w:pPr>
                  <w:r>
                    <w:rPr>
                      <w:rFonts w:hint="eastAsia"/>
                      <w:szCs w:val="21"/>
                      <w:lang w:val="en-US" w:eastAsia="zh-CN"/>
                    </w:rPr>
                    <w:t>4</w:t>
                  </w:r>
                </w:p>
              </w:tc>
              <w:tc>
                <w:tcPr>
                  <w:tcW w:w="479" w:type="pct"/>
                  <w:vAlign w:val="center"/>
                </w:tcPr>
                <w:p w14:paraId="7BC9287E">
                  <w:pPr>
                    <w:jc w:val="center"/>
                    <w:rPr>
                      <w:rFonts w:hint="default" w:eastAsia="宋体"/>
                      <w:szCs w:val="21"/>
                      <w:lang w:val="en-US" w:eastAsia="zh-CN"/>
                    </w:rPr>
                  </w:pPr>
                  <w:r>
                    <w:rPr>
                      <w:rFonts w:hint="eastAsia"/>
                      <w:szCs w:val="21"/>
                      <w:lang w:val="en-US" w:eastAsia="zh-CN"/>
                    </w:rPr>
                    <w:t>废发泡料</w:t>
                  </w:r>
                </w:p>
              </w:tc>
              <w:tc>
                <w:tcPr>
                  <w:tcW w:w="518" w:type="pct"/>
                  <w:vAlign w:val="center"/>
                </w:tcPr>
                <w:p w14:paraId="2847ECBE">
                  <w:pPr>
                    <w:jc w:val="center"/>
                    <w:rPr>
                      <w:rFonts w:hint="eastAsia"/>
                      <w:szCs w:val="21"/>
                    </w:rPr>
                  </w:pPr>
                  <w:r>
                    <w:rPr>
                      <w:rFonts w:hint="eastAsia"/>
                      <w:szCs w:val="21"/>
                      <w:lang w:val="en-US" w:eastAsia="zh-CN"/>
                    </w:rPr>
                    <w:t>发泡</w:t>
                  </w:r>
                </w:p>
              </w:tc>
              <w:tc>
                <w:tcPr>
                  <w:tcW w:w="879" w:type="dxa"/>
                  <w:vAlign w:val="center"/>
                </w:tcPr>
                <w:p w14:paraId="792E5875">
                  <w:pPr>
                    <w:jc w:val="center"/>
                    <w:rPr>
                      <w:rFonts w:hint="eastAsia"/>
                      <w:szCs w:val="21"/>
                    </w:rPr>
                  </w:pPr>
                  <w:r>
                    <w:rPr>
                      <w:rFonts w:hint="eastAsia"/>
                      <w:szCs w:val="21"/>
                    </w:rPr>
                    <w:t>危废HW</w:t>
                  </w:r>
                  <w:r>
                    <w:rPr>
                      <w:rFonts w:hint="eastAsia"/>
                      <w:szCs w:val="21"/>
                      <w:lang w:val="en-US" w:eastAsia="zh-CN"/>
                    </w:rPr>
                    <w:t>49</w:t>
                  </w:r>
                </w:p>
              </w:tc>
              <w:tc>
                <w:tcPr>
                  <w:tcW w:w="1356" w:type="dxa"/>
                  <w:vAlign w:val="center"/>
                </w:tcPr>
                <w:p w14:paraId="4AF19FDD">
                  <w:pPr>
                    <w:jc w:val="center"/>
                    <w:rPr>
                      <w:szCs w:val="21"/>
                    </w:rPr>
                  </w:pPr>
                  <w:r>
                    <w:rPr>
                      <w:szCs w:val="21"/>
                    </w:rPr>
                    <w:t>900-041-49</w:t>
                  </w:r>
                </w:p>
              </w:tc>
              <w:tc>
                <w:tcPr>
                  <w:tcW w:w="368" w:type="pct"/>
                  <w:vAlign w:val="center"/>
                </w:tcPr>
                <w:p w14:paraId="13FE1DC9">
                  <w:pPr>
                    <w:jc w:val="center"/>
                    <w:rPr>
                      <w:rFonts w:hint="eastAsia"/>
                      <w:szCs w:val="21"/>
                    </w:rPr>
                  </w:pPr>
                  <w:r>
                    <w:rPr>
                      <w:rFonts w:hint="eastAsia"/>
                      <w:szCs w:val="21"/>
                      <w:lang w:val="en-US" w:eastAsia="zh-CN"/>
                    </w:rPr>
                    <w:t>固态</w:t>
                  </w:r>
                </w:p>
              </w:tc>
              <w:tc>
                <w:tcPr>
                  <w:tcW w:w="598" w:type="pct"/>
                  <w:vAlign w:val="center"/>
                </w:tcPr>
                <w:p w14:paraId="60A52797">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w:t>
                  </w:r>
                </w:p>
              </w:tc>
              <w:tc>
                <w:tcPr>
                  <w:tcW w:w="368" w:type="pct"/>
                  <w:vAlign w:val="center"/>
                </w:tcPr>
                <w:p w14:paraId="40267111">
                  <w:pPr>
                    <w:jc w:val="center"/>
                    <w:rPr>
                      <w:rFonts w:hint="default" w:eastAsia="宋体"/>
                      <w:szCs w:val="21"/>
                      <w:lang w:val="en-US" w:eastAsia="zh-CN"/>
                    </w:rPr>
                  </w:pPr>
                  <w:r>
                    <w:rPr>
                      <w:rFonts w:hint="eastAsia"/>
                      <w:szCs w:val="21"/>
                      <w:lang w:val="en-US" w:eastAsia="zh-CN"/>
                    </w:rPr>
                    <w:t>发泡料</w:t>
                  </w:r>
                </w:p>
              </w:tc>
              <w:tc>
                <w:tcPr>
                  <w:tcW w:w="385" w:type="pct"/>
                  <w:vAlign w:val="center"/>
                </w:tcPr>
                <w:p w14:paraId="352D25C7">
                  <w:pPr>
                    <w:jc w:val="center"/>
                    <w:rPr>
                      <w:rFonts w:hint="eastAsia"/>
                      <w:szCs w:val="21"/>
                    </w:rPr>
                  </w:pPr>
                  <w:r>
                    <w:rPr>
                      <w:rFonts w:hint="eastAsia"/>
                      <w:szCs w:val="21"/>
                    </w:rPr>
                    <w:t>T</w:t>
                  </w:r>
                </w:p>
              </w:tc>
              <w:tc>
                <w:tcPr>
                  <w:tcW w:w="675" w:type="pct"/>
                  <w:vMerge w:val="continue"/>
                  <w:vAlign w:val="center"/>
                </w:tcPr>
                <w:p w14:paraId="4CD544AC">
                  <w:pPr>
                    <w:jc w:val="center"/>
                    <w:rPr>
                      <w:rFonts w:hint="eastAsia"/>
                      <w:szCs w:val="21"/>
                    </w:rPr>
                  </w:pPr>
                </w:p>
              </w:tc>
            </w:tr>
            <w:tr w14:paraId="66FAB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288" w:type="pct"/>
                  <w:vAlign w:val="center"/>
                </w:tcPr>
                <w:p w14:paraId="298DB043">
                  <w:pPr>
                    <w:jc w:val="center"/>
                    <w:rPr>
                      <w:rFonts w:hint="eastAsia" w:eastAsia="宋体"/>
                      <w:szCs w:val="21"/>
                      <w:lang w:val="en-US" w:eastAsia="zh-CN"/>
                    </w:rPr>
                  </w:pPr>
                  <w:r>
                    <w:rPr>
                      <w:rFonts w:hint="eastAsia"/>
                      <w:szCs w:val="21"/>
                      <w:lang w:val="en-US" w:eastAsia="zh-CN"/>
                    </w:rPr>
                    <w:t>5</w:t>
                  </w:r>
                </w:p>
              </w:tc>
              <w:tc>
                <w:tcPr>
                  <w:tcW w:w="479" w:type="pct"/>
                  <w:vAlign w:val="center"/>
                </w:tcPr>
                <w:p w14:paraId="6260F293">
                  <w:pPr>
                    <w:jc w:val="center"/>
                    <w:rPr>
                      <w:rFonts w:hint="eastAsia"/>
                      <w:szCs w:val="21"/>
                    </w:rPr>
                  </w:pPr>
                  <w:r>
                    <w:rPr>
                      <w:rFonts w:hint="eastAsia"/>
                      <w:szCs w:val="21"/>
                    </w:rPr>
                    <w:t>废活性炭</w:t>
                  </w:r>
                </w:p>
              </w:tc>
              <w:tc>
                <w:tcPr>
                  <w:tcW w:w="518" w:type="pct"/>
                  <w:vAlign w:val="center"/>
                </w:tcPr>
                <w:p w14:paraId="4808B1CC">
                  <w:pPr>
                    <w:jc w:val="center"/>
                    <w:rPr>
                      <w:rFonts w:hint="eastAsia"/>
                      <w:szCs w:val="21"/>
                    </w:rPr>
                  </w:pPr>
                  <w:r>
                    <w:rPr>
                      <w:rFonts w:hint="eastAsia"/>
                      <w:szCs w:val="21"/>
                    </w:rPr>
                    <w:t>废气处理</w:t>
                  </w:r>
                </w:p>
              </w:tc>
              <w:tc>
                <w:tcPr>
                  <w:tcW w:w="518" w:type="pct"/>
                  <w:vAlign w:val="center"/>
                </w:tcPr>
                <w:p w14:paraId="400D7C09">
                  <w:pPr>
                    <w:jc w:val="center"/>
                    <w:rPr>
                      <w:rFonts w:hint="eastAsia"/>
                      <w:szCs w:val="21"/>
                    </w:rPr>
                  </w:pPr>
                  <w:r>
                    <w:rPr>
                      <w:rFonts w:hint="eastAsia"/>
                      <w:szCs w:val="21"/>
                    </w:rPr>
                    <w:t>危废HW08</w:t>
                  </w:r>
                </w:p>
              </w:tc>
              <w:tc>
                <w:tcPr>
                  <w:tcW w:w="799" w:type="pct"/>
                  <w:vAlign w:val="center"/>
                </w:tcPr>
                <w:p w14:paraId="1F4DDF5A">
                  <w:pPr>
                    <w:jc w:val="center"/>
                    <w:rPr>
                      <w:szCs w:val="21"/>
                    </w:rPr>
                  </w:pPr>
                  <w:r>
                    <w:rPr>
                      <w:szCs w:val="21"/>
                    </w:rPr>
                    <w:t>900-</w:t>
                  </w:r>
                  <w:r>
                    <w:rPr>
                      <w:rFonts w:hint="eastAsia"/>
                      <w:szCs w:val="21"/>
                    </w:rPr>
                    <w:t>039</w:t>
                  </w:r>
                  <w:r>
                    <w:rPr>
                      <w:szCs w:val="21"/>
                    </w:rPr>
                    <w:t>-</w:t>
                  </w:r>
                  <w:r>
                    <w:rPr>
                      <w:rFonts w:hint="eastAsia"/>
                      <w:szCs w:val="21"/>
                    </w:rPr>
                    <w:t>49</w:t>
                  </w:r>
                </w:p>
              </w:tc>
              <w:tc>
                <w:tcPr>
                  <w:tcW w:w="368" w:type="pct"/>
                  <w:vAlign w:val="center"/>
                </w:tcPr>
                <w:p w14:paraId="06B4225D">
                  <w:pPr>
                    <w:jc w:val="center"/>
                    <w:rPr>
                      <w:rFonts w:hint="eastAsia"/>
                      <w:szCs w:val="21"/>
                    </w:rPr>
                  </w:pPr>
                  <w:r>
                    <w:rPr>
                      <w:rFonts w:hint="eastAsia"/>
                      <w:szCs w:val="21"/>
                    </w:rPr>
                    <w:t>液态</w:t>
                  </w:r>
                </w:p>
              </w:tc>
              <w:tc>
                <w:tcPr>
                  <w:tcW w:w="598" w:type="pct"/>
                  <w:vAlign w:val="center"/>
                </w:tcPr>
                <w:p w14:paraId="507D868F">
                  <w:pPr>
                    <w:jc w:val="center"/>
                    <w:rPr>
                      <w:rFonts w:hint="eastAsia"/>
                      <w:szCs w:val="21"/>
                    </w:rPr>
                  </w:pPr>
                  <w:r>
                    <w:rPr>
                      <w:rFonts w:hint="eastAsia"/>
                      <w:szCs w:val="21"/>
                      <w:lang w:val="en-US" w:eastAsia="zh-CN"/>
                    </w:rPr>
                    <w:t>2.25</w:t>
                  </w:r>
                </w:p>
              </w:tc>
              <w:tc>
                <w:tcPr>
                  <w:tcW w:w="368" w:type="pct"/>
                  <w:vAlign w:val="center"/>
                </w:tcPr>
                <w:p w14:paraId="081D3B28">
                  <w:pPr>
                    <w:jc w:val="center"/>
                    <w:rPr>
                      <w:rFonts w:hint="eastAsia"/>
                      <w:szCs w:val="21"/>
                    </w:rPr>
                  </w:pPr>
                  <w:r>
                    <w:rPr>
                      <w:rFonts w:hint="eastAsia"/>
                      <w:szCs w:val="21"/>
                    </w:rPr>
                    <w:t>矿物油</w:t>
                  </w:r>
                </w:p>
              </w:tc>
              <w:tc>
                <w:tcPr>
                  <w:tcW w:w="385" w:type="pct"/>
                  <w:vAlign w:val="center"/>
                </w:tcPr>
                <w:p w14:paraId="239022A3">
                  <w:pPr>
                    <w:jc w:val="center"/>
                    <w:rPr>
                      <w:rFonts w:hint="eastAsia"/>
                      <w:szCs w:val="21"/>
                    </w:rPr>
                  </w:pPr>
                  <w:r>
                    <w:rPr>
                      <w:rFonts w:hint="eastAsia"/>
                      <w:szCs w:val="21"/>
                    </w:rPr>
                    <w:t>T</w:t>
                  </w:r>
                </w:p>
              </w:tc>
              <w:tc>
                <w:tcPr>
                  <w:tcW w:w="675" w:type="pct"/>
                  <w:vMerge w:val="continue"/>
                  <w:vAlign w:val="center"/>
                </w:tcPr>
                <w:p w14:paraId="0F93F0D3">
                  <w:pPr>
                    <w:jc w:val="center"/>
                    <w:rPr>
                      <w:rFonts w:hint="eastAsia"/>
                      <w:szCs w:val="21"/>
                    </w:rPr>
                  </w:pPr>
                </w:p>
              </w:tc>
            </w:tr>
            <w:tr w14:paraId="5E243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288" w:type="pct"/>
                  <w:vAlign w:val="center"/>
                </w:tcPr>
                <w:p w14:paraId="68DA332E">
                  <w:pPr>
                    <w:jc w:val="center"/>
                    <w:rPr>
                      <w:rFonts w:hint="eastAsia" w:eastAsia="宋体"/>
                      <w:szCs w:val="21"/>
                      <w:lang w:val="en-US" w:eastAsia="zh-CN"/>
                    </w:rPr>
                  </w:pPr>
                  <w:r>
                    <w:rPr>
                      <w:rFonts w:hint="eastAsia"/>
                      <w:szCs w:val="21"/>
                      <w:lang w:val="en-US" w:eastAsia="zh-CN"/>
                    </w:rPr>
                    <w:t>6</w:t>
                  </w:r>
                </w:p>
              </w:tc>
              <w:tc>
                <w:tcPr>
                  <w:tcW w:w="479" w:type="pct"/>
                  <w:vAlign w:val="center"/>
                </w:tcPr>
                <w:p w14:paraId="2B38C208">
                  <w:pPr>
                    <w:jc w:val="center"/>
                    <w:rPr>
                      <w:rFonts w:hint="default" w:eastAsia="宋体"/>
                      <w:szCs w:val="21"/>
                      <w:lang w:val="en-US" w:eastAsia="zh-CN"/>
                    </w:rPr>
                  </w:pPr>
                  <w:r>
                    <w:rPr>
                      <w:rFonts w:hint="eastAsia"/>
                      <w:szCs w:val="21"/>
                      <w:lang w:val="en-US" w:eastAsia="zh-CN"/>
                    </w:rPr>
                    <w:t>废过滤棉</w:t>
                  </w:r>
                </w:p>
              </w:tc>
              <w:tc>
                <w:tcPr>
                  <w:tcW w:w="518" w:type="pct"/>
                  <w:vAlign w:val="center"/>
                </w:tcPr>
                <w:p w14:paraId="47A4BC6D">
                  <w:pPr>
                    <w:jc w:val="center"/>
                    <w:rPr>
                      <w:rFonts w:hint="eastAsia"/>
                      <w:szCs w:val="21"/>
                    </w:rPr>
                  </w:pPr>
                  <w:r>
                    <w:rPr>
                      <w:rFonts w:hint="eastAsia"/>
                      <w:szCs w:val="21"/>
                    </w:rPr>
                    <w:t>废气处理</w:t>
                  </w:r>
                </w:p>
              </w:tc>
              <w:tc>
                <w:tcPr>
                  <w:tcW w:w="879" w:type="dxa"/>
                  <w:vAlign w:val="center"/>
                </w:tcPr>
                <w:p w14:paraId="475ED299">
                  <w:pPr>
                    <w:jc w:val="center"/>
                    <w:rPr>
                      <w:rFonts w:hint="eastAsia"/>
                      <w:szCs w:val="21"/>
                    </w:rPr>
                  </w:pPr>
                  <w:r>
                    <w:rPr>
                      <w:rFonts w:hint="eastAsia"/>
                      <w:szCs w:val="21"/>
                    </w:rPr>
                    <w:t>危废HW</w:t>
                  </w:r>
                  <w:r>
                    <w:rPr>
                      <w:rFonts w:hint="eastAsia"/>
                      <w:szCs w:val="21"/>
                      <w:lang w:val="en-US" w:eastAsia="zh-CN"/>
                    </w:rPr>
                    <w:t>49</w:t>
                  </w:r>
                </w:p>
              </w:tc>
              <w:tc>
                <w:tcPr>
                  <w:tcW w:w="1356" w:type="dxa"/>
                  <w:vAlign w:val="center"/>
                </w:tcPr>
                <w:p w14:paraId="15A18DAB">
                  <w:pPr>
                    <w:jc w:val="center"/>
                    <w:rPr>
                      <w:szCs w:val="21"/>
                    </w:rPr>
                  </w:pPr>
                  <w:r>
                    <w:rPr>
                      <w:szCs w:val="21"/>
                    </w:rPr>
                    <w:t>900-041-49</w:t>
                  </w:r>
                </w:p>
              </w:tc>
              <w:tc>
                <w:tcPr>
                  <w:tcW w:w="368" w:type="pct"/>
                  <w:vAlign w:val="center"/>
                </w:tcPr>
                <w:p w14:paraId="56A9776E">
                  <w:pPr>
                    <w:jc w:val="center"/>
                    <w:rPr>
                      <w:rFonts w:hint="eastAsia"/>
                      <w:szCs w:val="21"/>
                    </w:rPr>
                  </w:pPr>
                  <w:r>
                    <w:rPr>
                      <w:rFonts w:hint="eastAsia"/>
                      <w:szCs w:val="21"/>
                      <w:lang w:val="en-US" w:eastAsia="zh-CN"/>
                    </w:rPr>
                    <w:t>固态</w:t>
                  </w:r>
                </w:p>
              </w:tc>
              <w:tc>
                <w:tcPr>
                  <w:tcW w:w="598" w:type="pct"/>
                  <w:vAlign w:val="center"/>
                </w:tcPr>
                <w:p w14:paraId="576BB432">
                  <w:pPr>
                    <w:jc w:val="center"/>
                    <w:rPr>
                      <w:rFonts w:hint="eastAsia"/>
                      <w:szCs w:val="21"/>
                    </w:rPr>
                  </w:pPr>
                  <w:r>
                    <w:rPr>
                      <w:rFonts w:hint="eastAsia" w:ascii="Times New Roman" w:hAnsi="Times New Roman" w:eastAsia="宋体" w:cs="Times New Roman"/>
                      <w:szCs w:val="21"/>
                      <w:lang w:val="en-US" w:eastAsia="zh-CN"/>
                    </w:rPr>
                    <w:t>5.402</w:t>
                  </w:r>
                </w:p>
              </w:tc>
              <w:tc>
                <w:tcPr>
                  <w:tcW w:w="368" w:type="pct"/>
                  <w:vAlign w:val="center"/>
                </w:tcPr>
                <w:p w14:paraId="3474AD86">
                  <w:pPr>
                    <w:jc w:val="center"/>
                    <w:rPr>
                      <w:rFonts w:hint="eastAsia"/>
                      <w:szCs w:val="21"/>
                    </w:rPr>
                  </w:pPr>
                  <w:r>
                    <w:rPr>
                      <w:rFonts w:hint="eastAsia" w:ascii="宋体" w:hAnsi="宋体" w:eastAsia="宋体"/>
                      <w:color w:val="000000"/>
                      <w:sz w:val="21"/>
                      <w:szCs w:val="24"/>
                    </w:rPr>
                    <w:t>聚氨酯</w:t>
                  </w:r>
                </w:p>
              </w:tc>
              <w:tc>
                <w:tcPr>
                  <w:tcW w:w="385" w:type="pct"/>
                  <w:vAlign w:val="center"/>
                </w:tcPr>
                <w:p w14:paraId="7BAF8FB7">
                  <w:pPr>
                    <w:jc w:val="center"/>
                    <w:rPr>
                      <w:rFonts w:hint="eastAsia"/>
                      <w:szCs w:val="21"/>
                    </w:rPr>
                  </w:pPr>
                  <w:r>
                    <w:rPr>
                      <w:rFonts w:hint="eastAsia"/>
                      <w:szCs w:val="21"/>
                    </w:rPr>
                    <w:t>T,I</w:t>
                  </w:r>
                </w:p>
              </w:tc>
              <w:tc>
                <w:tcPr>
                  <w:tcW w:w="675" w:type="pct"/>
                  <w:vMerge w:val="continue"/>
                  <w:vAlign w:val="center"/>
                </w:tcPr>
                <w:p w14:paraId="4C76A40C">
                  <w:pPr>
                    <w:jc w:val="center"/>
                    <w:rPr>
                      <w:rFonts w:hint="eastAsia"/>
                      <w:szCs w:val="21"/>
                    </w:rPr>
                  </w:pPr>
                </w:p>
              </w:tc>
            </w:tr>
            <w:tr w14:paraId="3578C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288" w:type="pct"/>
                  <w:vAlign w:val="center"/>
                </w:tcPr>
                <w:p w14:paraId="3968756F">
                  <w:pPr>
                    <w:jc w:val="center"/>
                    <w:rPr>
                      <w:rFonts w:hint="eastAsia" w:eastAsia="宋体"/>
                      <w:szCs w:val="21"/>
                      <w:lang w:val="en-US" w:eastAsia="zh-CN"/>
                    </w:rPr>
                  </w:pPr>
                  <w:r>
                    <w:rPr>
                      <w:rFonts w:hint="eastAsia"/>
                      <w:szCs w:val="21"/>
                      <w:lang w:val="en-US" w:eastAsia="zh-CN"/>
                    </w:rPr>
                    <w:t>7</w:t>
                  </w:r>
                </w:p>
              </w:tc>
              <w:tc>
                <w:tcPr>
                  <w:tcW w:w="479" w:type="pct"/>
                  <w:vAlign w:val="center"/>
                </w:tcPr>
                <w:p w14:paraId="4635C09F">
                  <w:pPr>
                    <w:jc w:val="center"/>
                    <w:rPr>
                      <w:rFonts w:hint="eastAsia"/>
                      <w:szCs w:val="21"/>
                    </w:rPr>
                  </w:pPr>
                  <w:r>
                    <w:rPr>
                      <w:rFonts w:hint="eastAsia"/>
                      <w:szCs w:val="21"/>
                      <w:lang w:val="en-US" w:eastAsia="zh-CN"/>
                    </w:rPr>
                    <w:t>废渣废液</w:t>
                  </w:r>
                </w:p>
              </w:tc>
              <w:tc>
                <w:tcPr>
                  <w:tcW w:w="518" w:type="pct"/>
                  <w:vAlign w:val="center"/>
                </w:tcPr>
                <w:p w14:paraId="64722D06">
                  <w:pPr>
                    <w:jc w:val="center"/>
                    <w:rPr>
                      <w:rFonts w:hint="eastAsia"/>
                      <w:szCs w:val="21"/>
                    </w:rPr>
                  </w:pPr>
                  <w:r>
                    <w:rPr>
                      <w:rFonts w:hint="eastAsia"/>
                      <w:szCs w:val="21"/>
                      <w:lang w:val="en-US" w:eastAsia="zh-CN"/>
                    </w:rPr>
                    <w:t>工位清理</w:t>
                  </w:r>
                </w:p>
              </w:tc>
              <w:tc>
                <w:tcPr>
                  <w:tcW w:w="518" w:type="pct"/>
                  <w:vAlign w:val="center"/>
                </w:tcPr>
                <w:p w14:paraId="76BF6510">
                  <w:pPr>
                    <w:jc w:val="center"/>
                    <w:rPr>
                      <w:rFonts w:hint="eastAsia" w:eastAsia="宋体"/>
                      <w:szCs w:val="21"/>
                      <w:lang w:val="en-US" w:eastAsia="zh-CN"/>
                    </w:rPr>
                  </w:pPr>
                  <w:r>
                    <w:rPr>
                      <w:rFonts w:hint="eastAsia"/>
                      <w:szCs w:val="21"/>
                      <w:lang w:val="en-US" w:eastAsia="zh-CN"/>
                    </w:rPr>
                    <w:t>/</w:t>
                  </w:r>
                </w:p>
              </w:tc>
              <w:tc>
                <w:tcPr>
                  <w:tcW w:w="799" w:type="pct"/>
                  <w:vAlign w:val="center"/>
                </w:tcPr>
                <w:p w14:paraId="7D176B8A">
                  <w:pPr>
                    <w:jc w:val="center"/>
                    <w:rPr>
                      <w:rFonts w:hint="eastAsia" w:eastAsia="宋体"/>
                      <w:szCs w:val="21"/>
                      <w:lang w:val="en-US" w:eastAsia="zh-CN"/>
                    </w:rPr>
                  </w:pPr>
                  <w:r>
                    <w:rPr>
                      <w:rFonts w:hint="eastAsia"/>
                      <w:szCs w:val="21"/>
                      <w:lang w:val="en-US" w:eastAsia="zh-CN"/>
                    </w:rPr>
                    <w:t>/</w:t>
                  </w:r>
                </w:p>
              </w:tc>
              <w:tc>
                <w:tcPr>
                  <w:tcW w:w="368" w:type="pct"/>
                  <w:vAlign w:val="center"/>
                </w:tcPr>
                <w:p w14:paraId="50A6DB40">
                  <w:pPr>
                    <w:jc w:val="center"/>
                    <w:rPr>
                      <w:rFonts w:hint="eastAsia"/>
                      <w:szCs w:val="21"/>
                    </w:rPr>
                  </w:pPr>
                  <w:r>
                    <w:rPr>
                      <w:rFonts w:hint="eastAsia"/>
                      <w:szCs w:val="21"/>
                    </w:rPr>
                    <w:t>液态</w:t>
                  </w:r>
                </w:p>
              </w:tc>
              <w:tc>
                <w:tcPr>
                  <w:tcW w:w="598" w:type="pct"/>
                  <w:vAlign w:val="center"/>
                </w:tcPr>
                <w:p w14:paraId="712B23DC">
                  <w:pPr>
                    <w:jc w:val="center"/>
                    <w:rPr>
                      <w:rFonts w:hint="eastAsia"/>
                      <w:szCs w:val="21"/>
                    </w:rPr>
                  </w:pPr>
                  <w:r>
                    <w:rPr>
                      <w:rFonts w:hint="eastAsia" w:ascii="Times New Roman" w:hAnsi="Times New Roman" w:eastAsia="宋体" w:cs="Times New Roman"/>
                      <w:szCs w:val="21"/>
                      <w:lang w:val="en-US" w:eastAsia="zh-CN"/>
                    </w:rPr>
                    <w:t>1.117</w:t>
                  </w:r>
                </w:p>
              </w:tc>
              <w:tc>
                <w:tcPr>
                  <w:tcW w:w="368" w:type="pct"/>
                  <w:vAlign w:val="center"/>
                </w:tcPr>
                <w:p w14:paraId="4BBDAD60">
                  <w:pPr>
                    <w:jc w:val="center"/>
                    <w:rPr>
                      <w:rFonts w:hint="eastAsia"/>
                      <w:szCs w:val="21"/>
                    </w:rPr>
                  </w:pPr>
                  <w:r>
                    <w:rPr>
                      <w:rFonts w:hint="eastAsia" w:ascii="宋体" w:hAnsi="宋体" w:eastAsia="宋体"/>
                      <w:color w:val="000000"/>
                      <w:sz w:val="21"/>
                      <w:szCs w:val="24"/>
                    </w:rPr>
                    <w:t>聚氨酯</w:t>
                  </w:r>
                </w:p>
              </w:tc>
              <w:tc>
                <w:tcPr>
                  <w:tcW w:w="385" w:type="pct"/>
                  <w:vAlign w:val="center"/>
                </w:tcPr>
                <w:p w14:paraId="35F0ED2E">
                  <w:pPr>
                    <w:jc w:val="center"/>
                    <w:rPr>
                      <w:rFonts w:hint="eastAsia"/>
                      <w:szCs w:val="21"/>
                    </w:rPr>
                  </w:pPr>
                  <w:r>
                    <w:rPr>
                      <w:rFonts w:hint="eastAsia"/>
                      <w:szCs w:val="21"/>
                    </w:rPr>
                    <w:t>T</w:t>
                  </w:r>
                </w:p>
              </w:tc>
              <w:tc>
                <w:tcPr>
                  <w:tcW w:w="675" w:type="pct"/>
                  <w:vMerge w:val="continue"/>
                  <w:vAlign w:val="center"/>
                </w:tcPr>
                <w:p w14:paraId="24BD84CA">
                  <w:pPr>
                    <w:jc w:val="center"/>
                    <w:rPr>
                      <w:rFonts w:hint="eastAsia"/>
                      <w:szCs w:val="21"/>
                    </w:rPr>
                  </w:pPr>
                </w:p>
              </w:tc>
            </w:tr>
            <w:tr w14:paraId="7710C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288" w:type="pct"/>
                  <w:vAlign w:val="center"/>
                </w:tcPr>
                <w:p w14:paraId="016DBF73">
                  <w:pPr>
                    <w:jc w:val="center"/>
                    <w:rPr>
                      <w:rFonts w:hint="eastAsia" w:eastAsia="宋体"/>
                      <w:szCs w:val="21"/>
                      <w:lang w:eastAsia="zh-CN"/>
                    </w:rPr>
                  </w:pPr>
                  <w:r>
                    <w:rPr>
                      <w:rFonts w:hint="eastAsia"/>
                      <w:szCs w:val="21"/>
                      <w:lang w:val="en-US" w:eastAsia="zh-CN"/>
                    </w:rPr>
                    <w:t>8</w:t>
                  </w:r>
                </w:p>
              </w:tc>
              <w:tc>
                <w:tcPr>
                  <w:tcW w:w="479" w:type="pct"/>
                  <w:vAlign w:val="center"/>
                </w:tcPr>
                <w:p w14:paraId="7223B16A">
                  <w:pPr>
                    <w:jc w:val="center"/>
                    <w:rPr>
                      <w:szCs w:val="21"/>
                    </w:rPr>
                  </w:pPr>
                  <w:r>
                    <w:rPr>
                      <w:rFonts w:hint="eastAsia"/>
                      <w:szCs w:val="21"/>
                    </w:rPr>
                    <w:t>废机油</w:t>
                  </w:r>
                </w:p>
              </w:tc>
              <w:tc>
                <w:tcPr>
                  <w:tcW w:w="518" w:type="pct"/>
                  <w:vAlign w:val="center"/>
                </w:tcPr>
                <w:p w14:paraId="38FD7E8D">
                  <w:pPr>
                    <w:jc w:val="center"/>
                    <w:rPr>
                      <w:szCs w:val="21"/>
                    </w:rPr>
                  </w:pPr>
                  <w:r>
                    <w:rPr>
                      <w:rFonts w:hint="eastAsia"/>
                      <w:szCs w:val="21"/>
                    </w:rPr>
                    <w:t>设备维护</w:t>
                  </w:r>
                </w:p>
              </w:tc>
              <w:tc>
                <w:tcPr>
                  <w:tcW w:w="518" w:type="pct"/>
                  <w:vAlign w:val="center"/>
                </w:tcPr>
                <w:p w14:paraId="4B77FEF0">
                  <w:pPr>
                    <w:jc w:val="center"/>
                    <w:rPr>
                      <w:szCs w:val="21"/>
                    </w:rPr>
                  </w:pPr>
                  <w:r>
                    <w:rPr>
                      <w:rFonts w:hint="eastAsia"/>
                      <w:szCs w:val="21"/>
                    </w:rPr>
                    <w:t>危废HW49</w:t>
                  </w:r>
                </w:p>
              </w:tc>
              <w:tc>
                <w:tcPr>
                  <w:tcW w:w="799" w:type="pct"/>
                  <w:vAlign w:val="center"/>
                </w:tcPr>
                <w:p w14:paraId="0B8F4725">
                  <w:pPr>
                    <w:jc w:val="center"/>
                    <w:rPr>
                      <w:szCs w:val="21"/>
                    </w:rPr>
                  </w:pPr>
                  <w:r>
                    <w:rPr>
                      <w:szCs w:val="21"/>
                    </w:rPr>
                    <w:t>900-</w:t>
                  </w:r>
                  <w:r>
                    <w:rPr>
                      <w:rFonts w:hint="eastAsia"/>
                      <w:szCs w:val="21"/>
                    </w:rPr>
                    <w:t>214-08</w:t>
                  </w:r>
                </w:p>
              </w:tc>
              <w:tc>
                <w:tcPr>
                  <w:tcW w:w="368" w:type="pct"/>
                  <w:vAlign w:val="center"/>
                </w:tcPr>
                <w:p w14:paraId="3666362D">
                  <w:pPr>
                    <w:jc w:val="center"/>
                    <w:rPr>
                      <w:szCs w:val="21"/>
                    </w:rPr>
                  </w:pPr>
                  <w:r>
                    <w:rPr>
                      <w:rFonts w:hint="eastAsia"/>
                      <w:szCs w:val="21"/>
                    </w:rPr>
                    <w:t>半固态</w:t>
                  </w:r>
                </w:p>
              </w:tc>
              <w:tc>
                <w:tcPr>
                  <w:tcW w:w="598" w:type="pct"/>
                  <w:vAlign w:val="center"/>
                </w:tcPr>
                <w:p w14:paraId="4D6F55B9">
                  <w:pPr>
                    <w:jc w:val="center"/>
                    <w:rPr>
                      <w:szCs w:val="21"/>
                    </w:rPr>
                  </w:pPr>
                  <w:r>
                    <w:rPr>
                      <w:rFonts w:hint="eastAsia"/>
                      <w:szCs w:val="21"/>
                    </w:rPr>
                    <w:t>0.06</w:t>
                  </w:r>
                </w:p>
              </w:tc>
              <w:tc>
                <w:tcPr>
                  <w:tcW w:w="368" w:type="pct"/>
                  <w:vAlign w:val="center"/>
                </w:tcPr>
                <w:p w14:paraId="708CCC94">
                  <w:pPr>
                    <w:jc w:val="center"/>
                    <w:rPr>
                      <w:szCs w:val="21"/>
                    </w:rPr>
                  </w:pPr>
                  <w:r>
                    <w:rPr>
                      <w:rFonts w:hint="eastAsia"/>
                      <w:szCs w:val="21"/>
                    </w:rPr>
                    <w:t>矿物油</w:t>
                  </w:r>
                </w:p>
              </w:tc>
              <w:tc>
                <w:tcPr>
                  <w:tcW w:w="385" w:type="pct"/>
                  <w:vAlign w:val="center"/>
                </w:tcPr>
                <w:p w14:paraId="1D618D7F">
                  <w:pPr>
                    <w:jc w:val="center"/>
                    <w:rPr>
                      <w:szCs w:val="21"/>
                    </w:rPr>
                  </w:pPr>
                  <w:r>
                    <w:rPr>
                      <w:rFonts w:hint="eastAsia"/>
                      <w:szCs w:val="21"/>
                    </w:rPr>
                    <w:t>T,I</w:t>
                  </w:r>
                </w:p>
              </w:tc>
              <w:tc>
                <w:tcPr>
                  <w:tcW w:w="675" w:type="pct"/>
                  <w:vMerge w:val="continue"/>
                  <w:vAlign w:val="center"/>
                </w:tcPr>
                <w:p w14:paraId="415A243E">
                  <w:pPr>
                    <w:jc w:val="center"/>
                    <w:rPr>
                      <w:szCs w:val="21"/>
                    </w:rPr>
                  </w:pPr>
                </w:p>
              </w:tc>
            </w:tr>
            <w:tr w14:paraId="6E0EF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8" w:type="pct"/>
                  <w:vAlign w:val="center"/>
                </w:tcPr>
                <w:p w14:paraId="57919E2A">
                  <w:pPr>
                    <w:jc w:val="center"/>
                    <w:rPr>
                      <w:szCs w:val="21"/>
                    </w:rPr>
                  </w:pPr>
                  <w:r>
                    <w:rPr>
                      <w:rFonts w:hint="eastAsia"/>
                      <w:szCs w:val="21"/>
                    </w:rPr>
                    <w:t>9</w:t>
                  </w:r>
                </w:p>
              </w:tc>
              <w:tc>
                <w:tcPr>
                  <w:tcW w:w="479" w:type="pct"/>
                  <w:vAlign w:val="center"/>
                </w:tcPr>
                <w:p w14:paraId="41B0DBE3">
                  <w:pPr>
                    <w:jc w:val="center"/>
                    <w:rPr>
                      <w:szCs w:val="21"/>
                    </w:rPr>
                  </w:pPr>
                  <w:r>
                    <w:rPr>
                      <w:rFonts w:hint="eastAsia"/>
                      <w:szCs w:val="21"/>
                    </w:rPr>
                    <w:t>废</w:t>
                  </w:r>
                  <w:r>
                    <w:rPr>
                      <w:rFonts w:hint="eastAsia"/>
                      <w:szCs w:val="21"/>
                      <w:lang w:val="en-US" w:eastAsia="zh-CN"/>
                    </w:rPr>
                    <w:t>胶</w:t>
                  </w:r>
                  <w:r>
                    <w:rPr>
                      <w:rFonts w:hint="eastAsia"/>
                      <w:szCs w:val="21"/>
                    </w:rPr>
                    <w:t>桶</w:t>
                  </w:r>
                </w:p>
              </w:tc>
              <w:tc>
                <w:tcPr>
                  <w:tcW w:w="518" w:type="pct"/>
                  <w:vAlign w:val="center"/>
                </w:tcPr>
                <w:p w14:paraId="090E99A2">
                  <w:pPr>
                    <w:jc w:val="center"/>
                    <w:rPr>
                      <w:szCs w:val="21"/>
                    </w:rPr>
                  </w:pPr>
                  <w:r>
                    <w:rPr>
                      <w:rFonts w:hint="eastAsia"/>
                      <w:szCs w:val="21"/>
                    </w:rPr>
                    <w:t>包装桶</w:t>
                  </w:r>
                </w:p>
              </w:tc>
              <w:tc>
                <w:tcPr>
                  <w:tcW w:w="518" w:type="pct"/>
                  <w:vAlign w:val="center"/>
                </w:tcPr>
                <w:p w14:paraId="6D109591">
                  <w:pPr>
                    <w:jc w:val="center"/>
                    <w:rPr>
                      <w:szCs w:val="21"/>
                    </w:rPr>
                  </w:pPr>
                  <w:r>
                    <w:rPr>
                      <w:rFonts w:hint="eastAsia"/>
                      <w:szCs w:val="21"/>
                    </w:rPr>
                    <w:t>危废HW49</w:t>
                  </w:r>
                </w:p>
              </w:tc>
              <w:tc>
                <w:tcPr>
                  <w:tcW w:w="799" w:type="pct"/>
                  <w:vAlign w:val="center"/>
                </w:tcPr>
                <w:p w14:paraId="62EF3399">
                  <w:pPr>
                    <w:jc w:val="center"/>
                    <w:rPr>
                      <w:szCs w:val="21"/>
                    </w:rPr>
                  </w:pPr>
                  <w:r>
                    <w:rPr>
                      <w:szCs w:val="21"/>
                    </w:rPr>
                    <w:t>900-</w:t>
                  </w:r>
                  <w:r>
                    <w:rPr>
                      <w:rFonts w:hint="eastAsia"/>
                      <w:szCs w:val="21"/>
                    </w:rPr>
                    <w:t>249</w:t>
                  </w:r>
                  <w:r>
                    <w:rPr>
                      <w:szCs w:val="21"/>
                    </w:rPr>
                    <w:t>-</w:t>
                  </w:r>
                  <w:r>
                    <w:rPr>
                      <w:rFonts w:hint="eastAsia"/>
                      <w:szCs w:val="21"/>
                    </w:rPr>
                    <w:t>08</w:t>
                  </w:r>
                </w:p>
              </w:tc>
              <w:tc>
                <w:tcPr>
                  <w:tcW w:w="368" w:type="pct"/>
                  <w:vAlign w:val="center"/>
                </w:tcPr>
                <w:p w14:paraId="5A5C2E97">
                  <w:pPr>
                    <w:jc w:val="center"/>
                    <w:rPr>
                      <w:szCs w:val="21"/>
                    </w:rPr>
                  </w:pPr>
                  <w:r>
                    <w:rPr>
                      <w:rFonts w:hint="eastAsia"/>
                      <w:szCs w:val="21"/>
                    </w:rPr>
                    <w:t>固态</w:t>
                  </w:r>
                </w:p>
              </w:tc>
              <w:tc>
                <w:tcPr>
                  <w:tcW w:w="598" w:type="pct"/>
                  <w:vAlign w:val="center"/>
                </w:tcPr>
                <w:p w14:paraId="70A18FC0">
                  <w:pPr>
                    <w:jc w:val="center"/>
                    <w:rPr>
                      <w:rFonts w:hint="eastAsia" w:eastAsia="宋体"/>
                      <w:szCs w:val="21"/>
                      <w:lang w:val="en-US" w:eastAsia="zh-CN"/>
                    </w:rPr>
                  </w:pPr>
                  <w:r>
                    <w:rPr>
                      <w:rFonts w:hint="eastAsia"/>
                      <w:szCs w:val="21"/>
                    </w:rPr>
                    <w:t>0.0</w:t>
                  </w:r>
                  <w:r>
                    <w:rPr>
                      <w:rFonts w:hint="eastAsia"/>
                      <w:szCs w:val="21"/>
                      <w:lang w:val="en-US" w:eastAsia="zh-CN"/>
                    </w:rPr>
                    <w:t>2</w:t>
                  </w:r>
                </w:p>
              </w:tc>
              <w:tc>
                <w:tcPr>
                  <w:tcW w:w="368" w:type="pct"/>
                  <w:vAlign w:val="center"/>
                </w:tcPr>
                <w:p w14:paraId="18C73020">
                  <w:pPr>
                    <w:jc w:val="center"/>
                    <w:rPr>
                      <w:szCs w:val="21"/>
                    </w:rPr>
                  </w:pPr>
                  <w:r>
                    <w:rPr>
                      <w:rFonts w:hint="eastAsia"/>
                      <w:szCs w:val="21"/>
                    </w:rPr>
                    <w:t>矿物油</w:t>
                  </w:r>
                </w:p>
              </w:tc>
              <w:tc>
                <w:tcPr>
                  <w:tcW w:w="385" w:type="pct"/>
                  <w:vAlign w:val="center"/>
                </w:tcPr>
                <w:p w14:paraId="09ABE67E">
                  <w:pPr>
                    <w:jc w:val="center"/>
                    <w:rPr>
                      <w:szCs w:val="21"/>
                    </w:rPr>
                  </w:pPr>
                  <w:r>
                    <w:rPr>
                      <w:rFonts w:hint="eastAsia"/>
                      <w:szCs w:val="21"/>
                    </w:rPr>
                    <w:t>T,I</w:t>
                  </w:r>
                </w:p>
              </w:tc>
              <w:tc>
                <w:tcPr>
                  <w:tcW w:w="675" w:type="pct"/>
                  <w:vMerge w:val="continue"/>
                  <w:vAlign w:val="center"/>
                </w:tcPr>
                <w:p w14:paraId="2EAE32DB">
                  <w:pPr>
                    <w:jc w:val="center"/>
                    <w:rPr>
                      <w:szCs w:val="21"/>
                    </w:rPr>
                  </w:pPr>
                </w:p>
              </w:tc>
            </w:tr>
            <w:bookmarkEnd w:id="7"/>
            <w:tr w14:paraId="4B62F0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8" w:type="pct"/>
                  <w:vAlign w:val="center"/>
                </w:tcPr>
                <w:p w14:paraId="28E768A1">
                  <w:pPr>
                    <w:jc w:val="center"/>
                    <w:rPr>
                      <w:rFonts w:hint="eastAsia" w:eastAsia="宋体"/>
                      <w:szCs w:val="21"/>
                      <w:lang w:val="en-US" w:eastAsia="zh-CN"/>
                    </w:rPr>
                  </w:pPr>
                  <w:r>
                    <w:rPr>
                      <w:rFonts w:hint="eastAsia"/>
                      <w:szCs w:val="21"/>
                    </w:rPr>
                    <w:t>1</w:t>
                  </w:r>
                  <w:r>
                    <w:rPr>
                      <w:rFonts w:hint="eastAsia"/>
                      <w:szCs w:val="21"/>
                      <w:lang w:val="en-US" w:eastAsia="zh-CN"/>
                    </w:rPr>
                    <w:t>0</w:t>
                  </w:r>
                </w:p>
              </w:tc>
              <w:tc>
                <w:tcPr>
                  <w:tcW w:w="479" w:type="pct"/>
                  <w:vAlign w:val="center"/>
                </w:tcPr>
                <w:p w14:paraId="6D68C6CC">
                  <w:pPr>
                    <w:jc w:val="center"/>
                    <w:rPr>
                      <w:szCs w:val="21"/>
                    </w:rPr>
                  </w:pPr>
                  <w:r>
                    <w:rPr>
                      <w:rFonts w:hint="eastAsia"/>
                      <w:szCs w:val="21"/>
                    </w:rPr>
                    <w:t>生活垃圾</w:t>
                  </w:r>
                </w:p>
              </w:tc>
              <w:tc>
                <w:tcPr>
                  <w:tcW w:w="518" w:type="pct"/>
                  <w:vAlign w:val="center"/>
                </w:tcPr>
                <w:p w14:paraId="58719925">
                  <w:pPr>
                    <w:jc w:val="center"/>
                    <w:rPr>
                      <w:szCs w:val="21"/>
                    </w:rPr>
                  </w:pPr>
                  <w:r>
                    <w:rPr>
                      <w:rFonts w:hint="eastAsia"/>
                      <w:szCs w:val="21"/>
                    </w:rPr>
                    <w:t>办公生活</w:t>
                  </w:r>
                </w:p>
              </w:tc>
              <w:tc>
                <w:tcPr>
                  <w:tcW w:w="518" w:type="pct"/>
                  <w:vAlign w:val="center"/>
                </w:tcPr>
                <w:p w14:paraId="7BAE911E">
                  <w:pPr>
                    <w:jc w:val="center"/>
                    <w:rPr>
                      <w:szCs w:val="21"/>
                    </w:rPr>
                  </w:pPr>
                  <w:r>
                    <w:rPr>
                      <w:rFonts w:hint="eastAsia"/>
                      <w:szCs w:val="21"/>
                    </w:rPr>
                    <w:t>/</w:t>
                  </w:r>
                </w:p>
              </w:tc>
              <w:tc>
                <w:tcPr>
                  <w:tcW w:w="799" w:type="pct"/>
                  <w:vAlign w:val="center"/>
                </w:tcPr>
                <w:p w14:paraId="7F86A714">
                  <w:pPr>
                    <w:jc w:val="center"/>
                    <w:rPr>
                      <w:szCs w:val="21"/>
                    </w:rPr>
                  </w:pPr>
                  <w:r>
                    <w:rPr>
                      <w:rFonts w:hint="eastAsia"/>
                      <w:szCs w:val="21"/>
                    </w:rPr>
                    <w:t>/</w:t>
                  </w:r>
                </w:p>
              </w:tc>
              <w:tc>
                <w:tcPr>
                  <w:tcW w:w="368" w:type="pct"/>
                  <w:vAlign w:val="center"/>
                </w:tcPr>
                <w:p w14:paraId="1A138A7D">
                  <w:pPr>
                    <w:jc w:val="center"/>
                    <w:rPr>
                      <w:szCs w:val="21"/>
                    </w:rPr>
                  </w:pPr>
                  <w:r>
                    <w:rPr>
                      <w:rFonts w:hint="eastAsia"/>
                      <w:szCs w:val="21"/>
                    </w:rPr>
                    <w:t>固态</w:t>
                  </w:r>
                </w:p>
              </w:tc>
              <w:tc>
                <w:tcPr>
                  <w:tcW w:w="598" w:type="pct"/>
                  <w:vAlign w:val="center"/>
                </w:tcPr>
                <w:p w14:paraId="5192A73E">
                  <w:pPr>
                    <w:jc w:val="center"/>
                    <w:rPr>
                      <w:rFonts w:hint="eastAsia" w:eastAsia="宋体"/>
                      <w:szCs w:val="21"/>
                      <w:lang w:eastAsia="zh-CN"/>
                    </w:rPr>
                  </w:pPr>
                  <w:r>
                    <w:rPr>
                      <w:rFonts w:hint="eastAsia"/>
                      <w:szCs w:val="21"/>
                      <w:lang w:eastAsia="zh-CN"/>
                    </w:rPr>
                    <w:t>7.5</w:t>
                  </w:r>
                </w:p>
              </w:tc>
              <w:tc>
                <w:tcPr>
                  <w:tcW w:w="368" w:type="pct"/>
                  <w:vAlign w:val="center"/>
                </w:tcPr>
                <w:p w14:paraId="5462338F">
                  <w:pPr>
                    <w:jc w:val="center"/>
                    <w:rPr>
                      <w:szCs w:val="21"/>
                    </w:rPr>
                  </w:pPr>
                  <w:r>
                    <w:rPr>
                      <w:rFonts w:hint="eastAsia"/>
                      <w:szCs w:val="21"/>
                    </w:rPr>
                    <w:t>/</w:t>
                  </w:r>
                </w:p>
              </w:tc>
              <w:tc>
                <w:tcPr>
                  <w:tcW w:w="385" w:type="pct"/>
                  <w:vAlign w:val="center"/>
                </w:tcPr>
                <w:p w14:paraId="3A0B0E7F">
                  <w:pPr>
                    <w:jc w:val="center"/>
                    <w:rPr>
                      <w:szCs w:val="21"/>
                    </w:rPr>
                  </w:pPr>
                  <w:r>
                    <w:rPr>
                      <w:rFonts w:hint="eastAsia"/>
                      <w:szCs w:val="21"/>
                    </w:rPr>
                    <w:t>/</w:t>
                  </w:r>
                </w:p>
              </w:tc>
              <w:tc>
                <w:tcPr>
                  <w:tcW w:w="675" w:type="pct"/>
                  <w:vAlign w:val="center"/>
                </w:tcPr>
                <w:p w14:paraId="1AF9ABC5">
                  <w:pPr>
                    <w:jc w:val="center"/>
                    <w:rPr>
                      <w:szCs w:val="21"/>
                    </w:rPr>
                  </w:pPr>
                  <w:r>
                    <w:rPr>
                      <w:rFonts w:hint="eastAsia"/>
                      <w:szCs w:val="21"/>
                    </w:rPr>
                    <w:t>环卫部门统一清运</w:t>
                  </w:r>
                </w:p>
              </w:tc>
            </w:tr>
          </w:tbl>
          <w:p w14:paraId="63FAA52A">
            <w:pPr>
              <w:snapToGrid w:val="0"/>
              <w:spacing w:before="120" w:beforeLines="50" w:line="360" w:lineRule="auto"/>
              <w:ind w:firstLine="472" w:firstLineChars="196"/>
              <w:outlineLvl w:val="3"/>
              <w:rPr>
                <w:b/>
                <w:sz w:val="24"/>
              </w:rPr>
            </w:pPr>
            <w:bookmarkStart w:id="8" w:name="_Toc85978818"/>
            <w:bookmarkStart w:id="9" w:name="_Toc87096201"/>
            <w:bookmarkStart w:id="10" w:name="_Toc62011226"/>
            <w:r>
              <w:rPr>
                <w:rFonts w:hint="eastAsia"/>
                <w:b/>
                <w:sz w:val="24"/>
              </w:rPr>
              <w:t>2、一般固废</w:t>
            </w:r>
            <w:bookmarkEnd w:id="8"/>
            <w:bookmarkEnd w:id="9"/>
            <w:bookmarkEnd w:id="10"/>
            <w:r>
              <w:rPr>
                <w:rFonts w:hint="eastAsia"/>
                <w:b/>
                <w:sz w:val="24"/>
              </w:rPr>
              <w:t>环境影响分析</w:t>
            </w:r>
            <w:r>
              <w:rPr>
                <w:rFonts w:hint="eastAsia"/>
                <w:b/>
                <w:bCs/>
                <w:sz w:val="24"/>
              </w:rPr>
              <w:t>和保护措施</w:t>
            </w:r>
          </w:p>
          <w:p w14:paraId="48E4C540">
            <w:pPr>
              <w:autoSpaceDE w:val="0"/>
              <w:autoSpaceDN w:val="0"/>
              <w:adjustRightInd w:val="0"/>
              <w:spacing w:line="360" w:lineRule="auto"/>
              <w:ind w:firstLine="480" w:firstLineChars="200"/>
              <w:jc w:val="left"/>
              <w:rPr>
                <w:kern w:val="0"/>
                <w:sz w:val="24"/>
              </w:rPr>
            </w:pPr>
            <w:r>
              <w:rPr>
                <w:kern w:val="0"/>
                <w:sz w:val="24"/>
              </w:rPr>
              <w:t>项目产生的一般工业固废为</w:t>
            </w:r>
            <w:r>
              <w:rPr>
                <w:rFonts w:hint="eastAsia"/>
                <w:kern w:val="0"/>
                <w:sz w:val="24"/>
              </w:rPr>
              <w:t>不合格品、废边角料</w:t>
            </w:r>
            <w:r>
              <w:rPr>
                <w:kern w:val="0"/>
                <w:sz w:val="24"/>
              </w:rPr>
              <w:t>，暂存于项目一般固废仓库，</w:t>
            </w:r>
            <w:r>
              <w:rPr>
                <w:rFonts w:hint="eastAsia"/>
                <w:kern w:val="0"/>
                <w:sz w:val="24"/>
              </w:rPr>
              <w:t>收集后</w:t>
            </w:r>
            <w:r>
              <w:rPr>
                <w:rFonts w:hint="eastAsia"/>
                <w:kern w:val="0"/>
                <w:sz w:val="24"/>
                <w:lang w:val="en-US" w:eastAsia="zh-CN"/>
              </w:rPr>
              <w:t>交由物资回收单位处理</w:t>
            </w:r>
            <w:r>
              <w:rPr>
                <w:rFonts w:hint="eastAsia"/>
                <w:sz w:val="24"/>
              </w:rPr>
              <w:t>，</w:t>
            </w:r>
            <w:r>
              <w:rPr>
                <w:kern w:val="0"/>
                <w:sz w:val="24"/>
              </w:rPr>
              <w:t>对环境影响较小</w:t>
            </w:r>
            <w:r>
              <w:rPr>
                <w:rFonts w:hint="eastAsia"/>
                <w:kern w:val="0"/>
                <w:sz w:val="24"/>
              </w:rPr>
              <w:t>。</w:t>
            </w:r>
          </w:p>
          <w:p w14:paraId="524CCF62">
            <w:pPr>
              <w:autoSpaceDE w:val="0"/>
              <w:autoSpaceDN w:val="0"/>
              <w:adjustRightInd w:val="0"/>
              <w:spacing w:line="360" w:lineRule="auto"/>
              <w:ind w:firstLine="480" w:firstLineChars="200"/>
              <w:jc w:val="left"/>
              <w:rPr>
                <w:kern w:val="0"/>
                <w:sz w:val="24"/>
              </w:rPr>
            </w:pPr>
            <w:r>
              <w:rPr>
                <w:kern w:val="0"/>
                <w:sz w:val="24"/>
              </w:rPr>
              <w:t>一般工业固废临时堆放场应根据</w:t>
            </w:r>
            <w:r>
              <w:rPr>
                <w:sz w:val="24"/>
              </w:rPr>
              <w:t>《一般工业固体废物贮存</w:t>
            </w:r>
            <w:r>
              <w:rPr>
                <w:rFonts w:hint="eastAsia"/>
                <w:sz w:val="24"/>
              </w:rPr>
              <w:t>和填埋</w:t>
            </w:r>
            <w:r>
              <w:rPr>
                <w:sz w:val="24"/>
              </w:rPr>
              <w:t>污染控制标准》（GB18599-2020）</w:t>
            </w:r>
            <w:r>
              <w:rPr>
                <w:kern w:val="0"/>
                <w:sz w:val="24"/>
              </w:rPr>
              <w:t>中的要求规范化建设，固废临时贮存场应满足如下要求：</w:t>
            </w:r>
          </w:p>
          <w:p w14:paraId="607FE580">
            <w:pPr>
              <w:autoSpaceDE w:val="0"/>
              <w:autoSpaceDN w:val="0"/>
              <w:adjustRightInd w:val="0"/>
              <w:spacing w:line="360" w:lineRule="auto"/>
              <w:ind w:firstLine="480" w:firstLineChars="200"/>
              <w:jc w:val="left"/>
              <w:rPr>
                <w:kern w:val="0"/>
                <w:sz w:val="24"/>
              </w:rPr>
            </w:pPr>
            <w:r>
              <w:rPr>
                <w:rFonts w:hint="eastAsia" w:cs="宋体"/>
                <w:kern w:val="0"/>
                <w:sz w:val="24"/>
              </w:rPr>
              <w:t>①</w:t>
            </w:r>
            <w:r>
              <w:rPr>
                <w:kern w:val="0"/>
                <w:sz w:val="24"/>
              </w:rPr>
              <w:t>临时堆放场应选在防渗性能好的地基上天然基础层地表距地下水位的距离不得小于1.5m。临时堆放场四周应建有围墙，防止固废流失以及造成粉尘污染。</w:t>
            </w:r>
          </w:p>
          <w:p w14:paraId="4A2C1384">
            <w:pPr>
              <w:autoSpaceDE w:val="0"/>
              <w:autoSpaceDN w:val="0"/>
              <w:adjustRightInd w:val="0"/>
              <w:spacing w:line="360" w:lineRule="auto"/>
              <w:ind w:firstLine="480" w:firstLineChars="200"/>
              <w:jc w:val="left"/>
              <w:rPr>
                <w:kern w:val="0"/>
                <w:sz w:val="24"/>
              </w:rPr>
            </w:pPr>
            <w:r>
              <w:rPr>
                <w:rFonts w:hint="eastAsia" w:cs="宋体"/>
                <w:kern w:val="0"/>
                <w:sz w:val="24"/>
              </w:rPr>
              <w:t>②</w:t>
            </w:r>
            <w:r>
              <w:rPr>
                <w:kern w:val="0"/>
                <w:sz w:val="24"/>
              </w:rPr>
              <w:t>临时堆放场应建有防雨淋、防渗透措施。本项目储存在钢结构仓库内，地面进行硬化，可以满足防雨淋、防渗透要求。</w:t>
            </w:r>
          </w:p>
          <w:p w14:paraId="756CE7B6">
            <w:pPr>
              <w:autoSpaceDE w:val="0"/>
              <w:autoSpaceDN w:val="0"/>
              <w:adjustRightInd w:val="0"/>
              <w:spacing w:line="360" w:lineRule="auto"/>
              <w:ind w:firstLine="480" w:firstLineChars="200"/>
              <w:jc w:val="left"/>
              <w:rPr>
                <w:kern w:val="0"/>
                <w:sz w:val="24"/>
              </w:rPr>
            </w:pPr>
            <w:r>
              <w:rPr>
                <w:rFonts w:hint="eastAsia" w:cs="宋体"/>
                <w:kern w:val="0"/>
                <w:sz w:val="24"/>
              </w:rPr>
              <w:t>③</w:t>
            </w:r>
            <w:r>
              <w:rPr>
                <w:kern w:val="0"/>
                <w:sz w:val="24"/>
              </w:rPr>
              <w:t>为了便于管理，临时堆放场应按GB15562.2-1995《环境保护图形标识—固体废物贮存（处置）场》设置环境保护图形标志。</w:t>
            </w:r>
          </w:p>
          <w:p w14:paraId="68012DC3">
            <w:pPr>
              <w:autoSpaceDE w:val="0"/>
              <w:autoSpaceDN w:val="0"/>
              <w:adjustRightInd w:val="0"/>
              <w:spacing w:line="360" w:lineRule="auto"/>
              <w:ind w:firstLine="480" w:firstLineChars="200"/>
              <w:jc w:val="left"/>
              <w:rPr>
                <w:kern w:val="0"/>
                <w:sz w:val="24"/>
              </w:rPr>
            </w:pPr>
            <w:r>
              <w:rPr>
                <w:rFonts w:hint="eastAsia"/>
                <w:kern w:val="0"/>
                <w:sz w:val="24"/>
              </w:rPr>
              <w:t>企业在生产过程中，应加强现有一般固废库的管理，定点收集堆存，并及时处理，不会对环境造成不利影响。</w:t>
            </w:r>
          </w:p>
          <w:p w14:paraId="58B30584">
            <w:pPr>
              <w:snapToGrid w:val="0"/>
              <w:spacing w:line="360" w:lineRule="auto"/>
              <w:ind w:firstLine="472" w:firstLineChars="196"/>
              <w:outlineLvl w:val="3"/>
              <w:rPr>
                <w:b/>
                <w:sz w:val="24"/>
              </w:rPr>
            </w:pPr>
            <w:r>
              <w:rPr>
                <w:rFonts w:hint="eastAsia"/>
                <w:b/>
                <w:sz w:val="24"/>
              </w:rPr>
              <w:t>3、危险废物环境影响分析</w:t>
            </w:r>
            <w:r>
              <w:rPr>
                <w:rFonts w:hint="eastAsia"/>
                <w:b/>
                <w:bCs/>
                <w:sz w:val="24"/>
              </w:rPr>
              <w:t>和保护措施</w:t>
            </w:r>
          </w:p>
          <w:p w14:paraId="487467B8">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1）危险废物贮存环境影响分析</w:t>
            </w:r>
          </w:p>
          <w:p w14:paraId="67A049F5">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本项目危险废物在厂内贮存时，执行《危险废物贮存污染控制标准》（GB18597-2023）中相关规定，规范建设危废</w:t>
            </w:r>
            <w:r>
              <w:rPr>
                <w:rFonts w:hint="eastAsia" w:ascii="Times New Roman" w:hAnsi="Times New Roman" w:eastAsia="宋体" w:cs="Times New Roman"/>
                <w:kern w:val="0"/>
                <w:sz w:val="24"/>
              </w:rPr>
              <w:t>暂存间</w:t>
            </w:r>
            <w:r>
              <w:rPr>
                <w:rFonts w:ascii="Times New Roman" w:hAnsi="Times New Roman" w:eastAsia="宋体" w:cs="Times New Roman"/>
                <w:kern w:val="0"/>
                <w:sz w:val="24"/>
              </w:rPr>
              <w:t>，具体措施如下：</w:t>
            </w:r>
          </w:p>
          <w:p w14:paraId="5579E945">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1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①</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危废</w:t>
            </w:r>
            <w:r>
              <w:rPr>
                <w:rFonts w:hint="eastAsia" w:ascii="Times New Roman" w:hAnsi="Times New Roman" w:eastAsia="宋体" w:cs="Times New Roman"/>
                <w:kern w:val="0"/>
                <w:sz w:val="24"/>
              </w:rPr>
              <w:t>暂存间</w:t>
            </w:r>
            <w:r>
              <w:rPr>
                <w:rFonts w:ascii="Times New Roman" w:hAnsi="Times New Roman" w:eastAsia="宋体" w:cs="Times New Roman"/>
                <w:kern w:val="0"/>
                <w:sz w:val="24"/>
              </w:rPr>
              <w:t>应建有堵截泄漏的裙脚，地面与裙脚要用坚固、防渗材料建造，地面与裙角所围建的容积不低于总储量的1/5；应有隔离设施和防风、防晒、防雨设施；</w:t>
            </w:r>
          </w:p>
          <w:p w14:paraId="2BA20FA0">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2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②</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贮存设施基础必须做防渗处理，防渗层为至少1m厚粘土层（渗透系数≤10-7cm/s），或2mm厚高密度聚乙烯，或至少2mm厚的其它人工材料，渗透系数≤10-10cm/s。</w:t>
            </w:r>
          </w:p>
          <w:p w14:paraId="4103AA38">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3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③</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盛装危险废物的容器应根据危险废物的不同特性而设计，采用不易破损、变形、老化且能有效地防止渗漏、扩散的装置，危险废物包装执行《危险货物运输包装通用技术条件》（GB12463-2009）、《危险货物运输包装标志》（GB190-2009）；</w:t>
            </w:r>
          </w:p>
          <w:p w14:paraId="1B9A5E47">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4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④</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14:paraId="2D32B89D">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5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⑤</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装载液体、半固体危险废物的容器内须留足够空间，容器顶部与液体表面之间保留100毫米以上的空间。用以存放装载液体、半固体危险废物容器的地方，必须有耐腐蚀的硬化地面，且表面无裂隙。</w:t>
            </w:r>
          </w:p>
          <w:p w14:paraId="5FA0C9EE">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6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⑥</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危险废物要注重“四防”，即防风、防雨、防晒、防渗漏，危废库建设时应采用混凝土、砖或经防腐处理的钢材等作为建材材料建成的相对封闭式场所，并设通风口；外部配套建设雨水导排系统，防止雨水进入危废暂存库内。</w:t>
            </w:r>
          </w:p>
          <w:p w14:paraId="289A0553">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7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⑦</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危废</w:t>
            </w:r>
            <w:r>
              <w:rPr>
                <w:rFonts w:hint="eastAsia" w:ascii="Times New Roman" w:hAnsi="Times New Roman" w:eastAsia="宋体" w:cs="Times New Roman"/>
                <w:kern w:val="0"/>
                <w:sz w:val="24"/>
              </w:rPr>
              <w:t>暂存间</w:t>
            </w:r>
            <w:r>
              <w:rPr>
                <w:rFonts w:ascii="Times New Roman" w:hAnsi="Times New Roman" w:eastAsia="宋体" w:cs="Times New Roman"/>
                <w:kern w:val="0"/>
                <w:sz w:val="24"/>
              </w:rPr>
              <w:t>门上要张贴包含所有危废的标识、标牌，仓库内对应墙上有标志标识，无法装入常用容器的危险废物可用防漏胶袋等盛装，包装桶、袋上有标签，危废仓库管理责任制要上墙。</w:t>
            </w:r>
          </w:p>
          <w:p w14:paraId="33A3ED2C">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8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⑧</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危废</w:t>
            </w:r>
            <w:r>
              <w:rPr>
                <w:rFonts w:hint="eastAsia" w:ascii="Times New Roman" w:hAnsi="Times New Roman" w:eastAsia="宋体" w:cs="Times New Roman"/>
                <w:kern w:val="0"/>
                <w:sz w:val="24"/>
              </w:rPr>
              <w:t>暂存间</w:t>
            </w:r>
            <w:r>
              <w:rPr>
                <w:rFonts w:ascii="Times New Roman" w:hAnsi="Times New Roman" w:eastAsia="宋体" w:cs="Times New Roman"/>
                <w:kern w:val="0"/>
                <w:sz w:val="24"/>
              </w:rPr>
              <w:t>需上锁防盗，制定严格的暂存保管措施，专人负责。</w:t>
            </w:r>
          </w:p>
          <w:p w14:paraId="01FFF435">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fldChar w:fldCharType="begin"/>
            </w:r>
            <w:r>
              <w:rPr>
                <w:rFonts w:ascii="Times New Roman" w:hAnsi="Times New Roman" w:eastAsia="宋体" w:cs="Times New Roman"/>
                <w:kern w:val="0"/>
                <w:sz w:val="24"/>
              </w:rPr>
              <w:instrText xml:space="preserve"> = 9 \* GB3 </w:instrText>
            </w:r>
            <w:r>
              <w:rPr>
                <w:rFonts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⑨</w:t>
            </w:r>
            <w:r>
              <w:rPr>
                <w:rFonts w:ascii="Times New Roman" w:hAnsi="Times New Roman" w:eastAsia="宋体" w:cs="Times New Roman"/>
                <w:kern w:val="0"/>
                <w:sz w:val="24"/>
              </w:rPr>
              <w:fldChar w:fldCharType="end"/>
            </w:r>
            <w:r>
              <w:rPr>
                <w:rFonts w:ascii="Times New Roman" w:hAnsi="Times New Roman" w:eastAsia="宋体" w:cs="Times New Roman"/>
                <w:kern w:val="0"/>
                <w:sz w:val="24"/>
              </w:rPr>
              <w:t>危险废物定期交由有资质的处置单位接收处理，转运过程严格按照有关规定，实行联单制度。</w:t>
            </w:r>
          </w:p>
          <w:p w14:paraId="6A7BBD31">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采取上述措施后，能够确保本项目危险废物在厂内贮存时得到有效的处置，对环境影响较小。</w:t>
            </w:r>
          </w:p>
          <w:p w14:paraId="4C5C7A4F">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2</w:t>
            </w:r>
            <w:r>
              <w:rPr>
                <w:rFonts w:hint="eastAsia" w:ascii="Times New Roman" w:hAnsi="Times New Roman" w:eastAsia="宋体" w:cs="Times New Roman"/>
                <w:kern w:val="0"/>
                <w:sz w:val="24"/>
              </w:rPr>
              <w:t>）危险废物运输及转移过程环境影响分析</w:t>
            </w:r>
          </w:p>
          <w:p w14:paraId="561B1292">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危险废物外运时严格按照国家环境保护总局令第</w:t>
            </w:r>
            <w:r>
              <w:rPr>
                <w:rFonts w:ascii="Times New Roman" w:hAnsi="Times New Roman" w:eastAsia="宋体" w:cs="Times New Roman"/>
                <w:kern w:val="0"/>
                <w:sz w:val="24"/>
              </w:rPr>
              <w:t>5</w:t>
            </w:r>
            <w:r>
              <w:rPr>
                <w:rFonts w:hint="eastAsia" w:ascii="Times New Roman" w:hAnsi="Times New Roman" w:eastAsia="宋体" w:cs="Times New Roman"/>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14:paraId="019035D7">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综上所述，项目运输过程做好相关工作对外环境的影响是可以控制的。</w:t>
            </w:r>
          </w:p>
          <w:p w14:paraId="03F1AFE3">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ascii="Times New Roman" w:hAnsi="Times New Roman" w:eastAsia="宋体" w:cs="Times New Roman"/>
                <w:kern w:val="0"/>
                <w:sz w:val="24"/>
              </w:rPr>
              <w:t>。</w:t>
            </w:r>
          </w:p>
          <w:p w14:paraId="2B7FDB4C">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3）委托利用或者处置的环境影响分析</w:t>
            </w:r>
          </w:p>
          <w:p w14:paraId="6D001DAD">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根据安徽省环境保护厅公布的《安徽省危险废物经营许可证汇总统计表》，本次评价分析项目产生的危险废物有资质单位有能力接纳并利用、处置的部分单位如下：</w:t>
            </w:r>
          </w:p>
          <w:p w14:paraId="38E7BB2E">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表4-1</w:t>
            </w:r>
            <w:r>
              <w:rPr>
                <w:rFonts w:ascii="Times New Roman" w:hAnsi="Times New Roman" w:eastAsia="宋体" w:cs="Times New Roman"/>
                <w:kern w:val="0"/>
                <w:sz w:val="24"/>
              </w:rPr>
              <w:t>3</w:t>
            </w:r>
            <w:r>
              <w:rPr>
                <w:rFonts w:hint="eastAsia" w:ascii="Times New Roman" w:hAnsi="Times New Roman" w:eastAsia="宋体" w:cs="Times New Roman"/>
                <w:kern w:val="0"/>
                <w:sz w:val="24"/>
              </w:rPr>
              <w:t>危险废物处置单位一览表</w:t>
            </w:r>
          </w:p>
          <w:tbl>
            <w:tblPr>
              <w:tblStyle w:val="2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1476"/>
              <w:gridCol w:w="1296"/>
              <w:gridCol w:w="5021"/>
            </w:tblGrid>
            <w:tr w14:paraId="083DE1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14:paraId="3ADA4779">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市县</w:t>
                  </w:r>
                </w:p>
              </w:tc>
              <w:tc>
                <w:tcPr>
                  <w:tcW w:w="1499" w:type="dxa"/>
                  <w:shd w:val="clear" w:color="auto" w:fill="auto"/>
                  <w:vAlign w:val="center"/>
                </w:tcPr>
                <w:p w14:paraId="1B39CA79">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企业名称</w:t>
                  </w:r>
                </w:p>
              </w:tc>
              <w:tc>
                <w:tcPr>
                  <w:tcW w:w="1128" w:type="dxa"/>
                  <w:shd w:val="clear" w:color="auto" w:fill="auto"/>
                  <w:vAlign w:val="center"/>
                </w:tcPr>
                <w:p w14:paraId="240334A1">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许可证编号</w:t>
                  </w:r>
                </w:p>
              </w:tc>
              <w:tc>
                <w:tcPr>
                  <w:tcW w:w="5093" w:type="dxa"/>
                  <w:shd w:val="clear" w:color="auto" w:fill="auto"/>
                  <w:vAlign w:val="center"/>
                </w:tcPr>
                <w:p w14:paraId="17FB52F8">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核准经营范围、类别</w:t>
                  </w:r>
                </w:p>
              </w:tc>
            </w:tr>
            <w:tr w14:paraId="77BF80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14:paraId="1A55D0ED">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芜湖市</w:t>
                  </w:r>
                </w:p>
              </w:tc>
              <w:tc>
                <w:tcPr>
                  <w:tcW w:w="1499" w:type="dxa"/>
                  <w:shd w:val="clear" w:color="auto" w:fill="auto"/>
                  <w:vAlign w:val="center"/>
                </w:tcPr>
                <w:p w14:paraId="23298611">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芜湖致源环保科技有限公司</w:t>
                  </w:r>
                </w:p>
              </w:tc>
              <w:tc>
                <w:tcPr>
                  <w:tcW w:w="1128" w:type="dxa"/>
                  <w:shd w:val="clear" w:color="auto" w:fill="auto"/>
                  <w:vAlign w:val="center"/>
                </w:tcPr>
                <w:p w14:paraId="4A2D4A24">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ascii="Times New Roman" w:hAnsi="Times New Roman" w:eastAsia="宋体" w:cs="Times New Roman"/>
                      <w:kern w:val="0"/>
                      <w:sz w:val="24"/>
                    </w:rPr>
                    <w:t>340203002</w:t>
                  </w:r>
                </w:p>
              </w:tc>
              <w:tc>
                <w:tcPr>
                  <w:tcW w:w="5093" w:type="dxa"/>
                  <w:shd w:val="clear" w:color="auto" w:fill="auto"/>
                  <w:vAlign w:val="center"/>
                </w:tcPr>
                <w:p w14:paraId="643F8382">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HW08废矿物油与含矿物油废物、HW09油水烃水混合物或乳化液，HW12染料涂料废物，HW17表面处理废物，HW49其他废物。</w:t>
                  </w:r>
                </w:p>
              </w:tc>
            </w:tr>
            <w:tr w14:paraId="3EADC9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14:paraId="4073FAD6">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芜湖市</w:t>
                  </w:r>
                </w:p>
              </w:tc>
              <w:tc>
                <w:tcPr>
                  <w:tcW w:w="1499" w:type="dxa"/>
                  <w:shd w:val="clear" w:color="auto" w:fill="auto"/>
                  <w:vAlign w:val="center"/>
                </w:tcPr>
                <w:p w14:paraId="491EE02B">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芜湖海创环保科技有限责任公司</w:t>
                  </w:r>
                </w:p>
              </w:tc>
              <w:tc>
                <w:tcPr>
                  <w:tcW w:w="1128" w:type="dxa"/>
                  <w:shd w:val="clear" w:color="auto" w:fill="auto"/>
                  <w:vAlign w:val="center"/>
                </w:tcPr>
                <w:p w14:paraId="7BE0F7CC">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ascii="Times New Roman" w:hAnsi="Times New Roman" w:eastAsia="宋体" w:cs="Times New Roman"/>
                      <w:kern w:val="0"/>
                      <w:sz w:val="24"/>
                    </w:rPr>
                    <w:t>340222002</w:t>
                  </w:r>
                </w:p>
              </w:tc>
              <w:tc>
                <w:tcPr>
                  <w:tcW w:w="5093" w:type="dxa"/>
                  <w:shd w:val="clear" w:color="auto" w:fill="auto"/>
                  <w:vAlign w:val="center"/>
                </w:tcPr>
                <w:p w14:paraId="6F826C7D">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HW02、HW04、HW06、HW08、HW09、HW11、HW12、HW13、HW17、HW18、HW22、HW31、HW34、HW39、HW45、HW48、HW49等17大类，283小类。</w:t>
                  </w:r>
                </w:p>
              </w:tc>
            </w:tr>
            <w:tr w14:paraId="4F8052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14:paraId="10820A40">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马鞍山市</w:t>
                  </w:r>
                </w:p>
              </w:tc>
              <w:tc>
                <w:tcPr>
                  <w:tcW w:w="1499" w:type="dxa"/>
                  <w:shd w:val="clear" w:color="auto" w:fill="auto"/>
                  <w:vAlign w:val="center"/>
                </w:tcPr>
                <w:p w14:paraId="0E1B8893">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马鞍山澳新环保科技有限公司</w:t>
                  </w:r>
                </w:p>
              </w:tc>
              <w:tc>
                <w:tcPr>
                  <w:tcW w:w="1128" w:type="dxa"/>
                  <w:shd w:val="clear" w:color="auto" w:fill="auto"/>
                  <w:vAlign w:val="center"/>
                </w:tcPr>
                <w:p w14:paraId="2E9C4848">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ascii="Times New Roman" w:hAnsi="Times New Roman" w:eastAsia="宋体" w:cs="Times New Roman"/>
                      <w:kern w:val="0"/>
                      <w:sz w:val="24"/>
                    </w:rPr>
                    <w:t>340504001</w:t>
                  </w:r>
                </w:p>
              </w:tc>
              <w:tc>
                <w:tcPr>
                  <w:tcW w:w="5093" w:type="dxa"/>
                  <w:shd w:val="clear" w:color="auto" w:fill="auto"/>
                  <w:vAlign w:val="center"/>
                </w:tcPr>
                <w:p w14:paraId="337BD6B1">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ascii="Times New Roman" w:hAnsi="Times New Roman" w:eastAsia="宋体" w:cs="Times New Roman"/>
                      <w:kern w:val="0"/>
                      <w:sz w:val="24"/>
                    </w:rPr>
                  </w:pPr>
                  <w:r>
                    <w:rPr>
                      <w:rFonts w:hint="eastAsia" w:ascii="Times New Roman" w:hAnsi="Times New Roman" w:eastAsia="宋体" w:cs="Times New Roman"/>
                      <w:kern w:val="0"/>
                      <w:sz w:val="24"/>
                    </w:rPr>
                    <w:t>HW01-HW06、HW08、HW09、HW11-HW14、HW16-HW18、HW21-HW23、HW29、HW31-HW40、HW45、HW46、HW48-HW50焚烧10000吨/年（含医疗废物1000吨）、物化处理13000吨/年、固化、稳定化及安全填埋10100吨/年。</w:t>
                  </w:r>
                </w:p>
              </w:tc>
            </w:tr>
          </w:tbl>
          <w:p w14:paraId="124CBF12">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从上表可以看出，本项目产生的危险固体废物在安徽省内有多家适合的资质单位进行处理处置。</w:t>
            </w:r>
          </w:p>
          <w:p w14:paraId="2E7EF6CD">
            <w:pPr>
              <w:autoSpaceDE w:val="0"/>
              <w:autoSpaceDN w:val="0"/>
              <w:adjustRightInd w:val="0"/>
              <w:spacing w:line="360" w:lineRule="auto"/>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rPr>
              <w:t>综上所述，本评价认为，在落实上述危险废物管理要求后，项目各类危废从收集、转运、运输、处理处置环节均可以得到有效的控制，能够确保妥善处置，不会对区域环境造成较大不利影响</w:t>
            </w:r>
            <w:r>
              <w:rPr>
                <w:rFonts w:ascii="Times New Roman" w:hAnsi="Times New Roman" w:eastAsia="宋体" w:cs="Times New Roman"/>
                <w:kern w:val="0"/>
                <w:sz w:val="24"/>
              </w:rPr>
              <w:t>。</w:t>
            </w:r>
          </w:p>
          <w:p w14:paraId="00439432">
            <w:pPr>
              <w:adjustRightInd w:val="0"/>
              <w:snapToGrid w:val="0"/>
              <w:spacing w:line="360" w:lineRule="auto"/>
              <w:ind w:firstLine="482" w:firstLineChars="200"/>
              <w:jc w:val="left"/>
              <w:rPr>
                <w:b/>
                <w:sz w:val="24"/>
              </w:rPr>
            </w:pPr>
            <w:r>
              <w:rPr>
                <w:b/>
                <w:sz w:val="24"/>
              </w:rPr>
              <w:t>五、</w:t>
            </w:r>
            <w:r>
              <w:rPr>
                <w:rFonts w:hint="eastAsia"/>
                <w:b/>
                <w:bCs/>
                <w:sz w:val="24"/>
                <w:szCs w:val="32"/>
              </w:rPr>
              <w:t>地下水、土壤环境影响和保护措施</w:t>
            </w:r>
          </w:p>
          <w:p w14:paraId="22D83AB4">
            <w:pPr>
              <w:spacing w:line="360" w:lineRule="auto"/>
              <w:ind w:firstLine="480"/>
              <w:rPr>
                <w:b/>
                <w:sz w:val="24"/>
              </w:rPr>
            </w:pPr>
            <w:r>
              <w:rPr>
                <w:b/>
                <w:sz w:val="24"/>
              </w:rPr>
              <w:t>1、</w:t>
            </w:r>
            <w:r>
              <w:rPr>
                <w:rFonts w:hint="eastAsia"/>
                <w:b/>
                <w:bCs/>
                <w:sz w:val="24"/>
                <w:szCs w:val="32"/>
              </w:rPr>
              <w:t>污染源及污染途径</w:t>
            </w:r>
          </w:p>
          <w:p w14:paraId="5A958BB6">
            <w:pPr>
              <w:spacing w:line="360" w:lineRule="auto"/>
              <w:ind w:firstLine="480" w:firstLineChars="200"/>
              <w:jc w:val="left"/>
              <w:rPr>
                <w:bCs/>
                <w:sz w:val="24"/>
              </w:rPr>
            </w:pPr>
            <w:r>
              <w:rPr>
                <w:rFonts w:hint="eastAsia"/>
                <w:sz w:val="24"/>
              </w:rPr>
              <w:t>本项目建设完整的“雨污分流、清污分流”排水系统，雨水排入雨水管网。生活污水经化粪池预处理后排入市政污水管网。危废暂存间等有液态物质存储区域采取重点防渗措施，液态物料存储于包装桶内，包装桶存放于防泄漏托盘内，存储物料不会外泄进入外环境对污染地下水和土壤造成污染。车间地面、一般固废暂存间进行一般防渗处理，本项目正常工况下不会对土壤和地下水产生污染</w:t>
            </w:r>
            <w:r>
              <w:rPr>
                <w:bCs/>
                <w:sz w:val="24"/>
              </w:rPr>
              <w:t>。</w:t>
            </w:r>
          </w:p>
          <w:p w14:paraId="5D038001">
            <w:pPr>
              <w:spacing w:line="360" w:lineRule="auto"/>
              <w:ind w:firstLine="482" w:firstLineChars="200"/>
              <w:rPr>
                <w:b/>
                <w:sz w:val="24"/>
              </w:rPr>
            </w:pPr>
            <w:r>
              <w:rPr>
                <w:b/>
                <w:sz w:val="24"/>
              </w:rPr>
              <w:t>2、污染防治措施</w:t>
            </w:r>
          </w:p>
          <w:p w14:paraId="1CB5A56C">
            <w:pPr>
              <w:autoSpaceDE w:val="0"/>
              <w:autoSpaceDN w:val="0"/>
              <w:adjustRightInd w:val="0"/>
              <w:spacing w:line="360" w:lineRule="auto"/>
              <w:ind w:firstLine="480" w:firstLineChars="200"/>
              <w:jc w:val="left"/>
              <w:rPr>
                <w:kern w:val="0"/>
                <w:sz w:val="24"/>
              </w:rPr>
            </w:pPr>
            <w:r>
              <w:rPr>
                <w:rFonts w:hint="eastAsia"/>
                <w:kern w:val="0"/>
                <w:sz w:val="24"/>
              </w:rPr>
              <w:t>（1）源头控制措施</w:t>
            </w:r>
          </w:p>
          <w:p w14:paraId="14C42D21">
            <w:pPr>
              <w:autoSpaceDE w:val="0"/>
              <w:autoSpaceDN w:val="0"/>
              <w:adjustRightInd w:val="0"/>
              <w:spacing w:line="360" w:lineRule="auto"/>
              <w:ind w:firstLine="480" w:firstLineChars="200"/>
              <w:jc w:val="left"/>
              <w:rPr>
                <w:kern w:val="0"/>
                <w:sz w:val="24"/>
              </w:rPr>
            </w:pPr>
            <w:r>
              <w:rPr>
                <w:rFonts w:hint="eastAsia"/>
                <w:kern w:val="0"/>
                <w:sz w:val="24"/>
              </w:rPr>
              <w:fldChar w:fldCharType="begin"/>
            </w:r>
            <w:r>
              <w:rPr>
                <w:rFonts w:hint="eastAsia"/>
                <w:kern w:val="0"/>
                <w:sz w:val="24"/>
              </w:rPr>
              <w:instrText xml:space="preserve"> = 1 \* GB3 </w:instrText>
            </w:r>
            <w:r>
              <w:rPr>
                <w:rFonts w:hint="eastAsia"/>
                <w:kern w:val="0"/>
                <w:sz w:val="24"/>
              </w:rPr>
              <w:fldChar w:fldCharType="separate"/>
            </w:r>
            <w:r>
              <w:rPr>
                <w:rFonts w:hint="eastAsia"/>
                <w:kern w:val="0"/>
                <w:sz w:val="24"/>
              </w:rPr>
              <w:t>①</w:t>
            </w:r>
            <w:r>
              <w:rPr>
                <w:rFonts w:hint="eastAsia"/>
                <w:kern w:val="0"/>
                <w:sz w:val="24"/>
              </w:rPr>
              <w:fldChar w:fldCharType="end"/>
            </w:r>
            <w:r>
              <w:rPr>
                <w:rFonts w:hint="eastAsia"/>
                <w:kern w:val="0"/>
                <w:sz w:val="24"/>
              </w:rPr>
              <w:t>严格按照国家相关规范要求，对厂区内各污水处理设备等采取相应措施，以防止和降低污染物的跑、冒、滴、漏，将污染物泄漏的环境风险事故降到最低程度。</w:t>
            </w:r>
          </w:p>
          <w:p w14:paraId="44CD3AE8">
            <w:pPr>
              <w:autoSpaceDE w:val="0"/>
              <w:autoSpaceDN w:val="0"/>
              <w:adjustRightInd w:val="0"/>
              <w:spacing w:line="360" w:lineRule="auto"/>
              <w:ind w:firstLine="480" w:firstLineChars="200"/>
              <w:jc w:val="left"/>
              <w:rPr>
                <w:rFonts w:hint="eastAsia" w:ascii="Times New Roman" w:hAnsi="Times New Roman" w:eastAsia="宋体" w:cs="Times New Roman"/>
                <w:kern w:val="0"/>
                <w:sz w:val="24"/>
              </w:rPr>
            </w:pPr>
            <w:r>
              <w:rPr>
                <w:rFonts w:hint="eastAsia"/>
                <w:kern w:val="0"/>
                <w:sz w:val="24"/>
              </w:rPr>
              <w:fldChar w:fldCharType="begin"/>
            </w:r>
            <w:r>
              <w:rPr>
                <w:rFonts w:hint="eastAsia"/>
                <w:kern w:val="0"/>
                <w:sz w:val="24"/>
              </w:rPr>
              <w:instrText xml:space="preserve"> = 2 \* GB3 </w:instrText>
            </w:r>
            <w:r>
              <w:rPr>
                <w:rFonts w:hint="eastAsia"/>
                <w:kern w:val="0"/>
                <w:sz w:val="24"/>
              </w:rPr>
              <w:fldChar w:fldCharType="separate"/>
            </w:r>
            <w:r>
              <w:rPr>
                <w:rFonts w:hint="eastAsia"/>
                <w:kern w:val="0"/>
                <w:sz w:val="24"/>
              </w:rPr>
              <w:t>②</w:t>
            </w:r>
            <w:r>
              <w:rPr>
                <w:rFonts w:hint="eastAsia"/>
                <w:kern w:val="0"/>
                <w:sz w:val="24"/>
              </w:rPr>
              <w:fldChar w:fldCharType="end"/>
            </w:r>
            <w:r>
              <w:rPr>
                <w:rFonts w:hint="eastAsia"/>
                <w:kern w:val="0"/>
                <w:sz w:val="24"/>
              </w:rPr>
              <w:t>设备和管线尽</w:t>
            </w:r>
            <w:r>
              <w:rPr>
                <w:rFonts w:hint="eastAsia" w:ascii="Times New Roman" w:hAnsi="Times New Roman" w:eastAsia="宋体" w:cs="Times New Roman"/>
                <w:kern w:val="0"/>
                <w:sz w:val="24"/>
              </w:rPr>
              <w:t>量采用“可视化”原则，即尽可能地上敷设和放置，做到污染物“早发现、早处理”，以减少由于埋地泄漏而可能造成的地下水污染。对地下管道、管道内外均采用防腐处理，定期对管道进行检漏，对出现泄漏处的土壤进行换土。</w:t>
            </w:r>
          </w:p>
          <w:p w14:paraId="488D1293">
            <w:pPr>
              <w:autoSpaceDE w:val="0"/>
              <w:autoSpaceDN w:val="0"/>
              <w:adjustRightInd w:val="0"/>
              <w:spacing w:line="360" w:lineRule="auto"/>
              <w:ind w:firstLine="480" w:firstLineChars="200"/>
              <w:jc w:val="left"/>
              <w:rPr>
                <w:kern w:val="0"/>
                <w:sz w:val="24"/>
              </w:rPr>
            </w:pPr>
            <w:r>
              <w:rPr>
                <w:rFonts w:hint="eastAsia" w:ascii="Times New Roman" w:hAnsi="Times New Roman" w:eastAsia="宋体" w:cs="Times New Roman"/>
                <w:kern w:val="0"/>
                <w:sz w:val="24"/>
              </w:rPr>
              <w:fldChar w:fldCharType="begin"/>
            </w:r>
            <w:r>
              <w:rPr>
                <w:rFonts w:hint="eastAsia" w:ascii="Times New Roman" w:hAnsi="Times New Roman" w:eastAsia="宋体" w:cs="Times New Roman"/>
                <w:kern w:val="0"/>
                <w:sz w:val="24"/>
              </w:rPr>
              <w:instrText xml:space="preserve"> = 3 \* GB3 </w:instrText>
            </w:r>
            <w:r>
              <w:rPr>
                <w:rFonts w:hint="eastAsia" w:ascii="Times New Roman" w:hAnsi="Times New Roman" w:eastAsia="宋体" w:cs="Times New Roman"/>
                <w:kern w:val="0"/>
                <w:sz w:val="24"/>
              </w:rPr>
              <w:fldChar w:fldCharType="separate"/>
            </w:r>
            <w:r>
              <w:rPr>
                <w:rFonts w:hint="eastAsia" w:ascii="Times New Roman" w:hAnsi="Times New Roman" w:eastAsia="宋体" w:cs="Times New Roman"/>
                <w:kern w:val="0"/>
                <w:sz w:val="24"/>
              </w:rPr>
              <w:t>③</w:t>
            </w:r>
            <w:r>
              <w:rPr>
                <w:rFonts w:hint="eastAsia" w:ascii="Times New Roman" w:hAnsi="Times New Roman" w:eastAsia="宋体" w:cs="Times New Roman"/>
                <w:kern w:val="0"/>
                <w:sz w:val="24"/>
              </w:rPr>
              <w:fldChar w:fldCharType="end"/>
            </w:r>
            <w:r>
              <w:rPr>
                <w:rFonts w:hint="eastAsia" w:ascii="Times New Roman" w:hAnsi="Times New Roman" w:eastAsia="宋体" w:cs="Times New Roman"/>
                <w:kern w:val="0"/>
                <w:sz w:val="24"/>
              </w:rPr>
              <w:t>严格固体废物管理，不接触外界降水，使其不产生淋滤液，严防</w:t>
            </w:r>
            <w:r>
              <w:rPr>
                <w:rFonts w:hint="eastAsia"/>
                <w:kern w:val="0"/>
                <w:sz w:val="24"/>
              </w:rPr>
              <w:t>污染物泄漏到地下水中。</w:t>
            </w:r>
          </w:p>
          <w:p w14:paraId="45E7004B">
            <w:pPr>
              <w:autoSpaceDE w:val="0"/>
              <w:autoSpaceDN w:val="0"/>
              <w:adjustRightInd w:val="0"/>
              <w:spacing w:line="360" w:lineRule="auto"/>
              <w:ind w:firstLine="480" w:firstLineChars="200"/>
              <w:jc w:val="left"/>
              <w:rPr>
                <w:kern w:val="0"/>
                <w:sz w:val="24"/>
              </w:rPr>
            </w:pPr>
            <w:r>
              <w:rPr>
                <w:rFonts w:hint="eastAsia"/>
                <w:kern w:val="0"/>
                <w:sz w:val="24"/>
              </w:rPr>
              <w:t>（2）分区防渗措施</w:t>
            </w:r>
          </w:p>
          <w:p w14:paraId="5A4E9AA8">
            <w:pPr>
              <w:spacing w:line="360" w:lineRule="auto"/>
              <w:ind w:firstLine="480"/>
              <w:rPr>
                <w:bCs/>
                <w:sz w:val="24"/>
              </w:rPr>
            </w:pPr>
            <w:r>
              <w:rPr>
                <w:rFonts w:hint="eastAsia"/>
                <w:kern w:val="0"/>
                <w:sz w:val="24"/>
              </w:rPr>
              <w:t>针对可能对地下水造成影响的各环节，按照“考虑重点，辐射全面”的防腐防渗原则，按照《环境影响评价技术导则 地下水环境》（HJ610-2016）中提出的根据建设项目场地天然包气带防污性能、污染控制难易程度和污染物特性，防渗技术要求进行划分。项目厂内不同区域实施分区防治，污染区划分为一般防渗区、重点防渗区、简单防渗区，对项目厂区防渗分区情况进行统计，见表4-18</w:t>
            </w:r>
            <w:r>
              <w:rPr>
                <w:bCs/>
                <w:sz w:val="24"/>
              </w:rPr>
              <w:t>。</w:t>
            </w:r>
          </w:p>
          <w:p w14:paraId="1C3BB6DB">
            <w:pPr>
              <w:pStyle w:val="73"/>
              <w:rPr>
                <w:rFonts w:hAnsi="Times New Roman"/>
              </w:rPr>
            </w:pPr>
            <w:r>
              <w:rPr>
                <w:rFonts w:hAnsi="Times New Roman"/>
              </w:rPr>
              <w:t>表4-</w:t>
            </w:r>
            <w:r>
              <w:rPr>
                <w:rFonts w:hint="eastAsia" w:hAnsi="Times New Roman"/>
              </w:rPr>
              <w:t>18</w:t>
            </w:r>
            <w:r>
              <w:rPr>
                <w:rFonts w:hAnsi="Times New Roman"/>
              </w:rPr>
              <w:t xml:space="preserve">  </w:t>
            </w:r>
            <w:r>
              <w:rPr>
                <w:rFonts w:hint="eastAsia"/>
              </w:rPr>
              <w:t>地下水污染防治分区</w:t>
            </w:r>
          </w:p>
          <w:tbl>
            <w:tblPr>
              <w:tblStyle w:val="29"/>
              <w:tblW w:w="88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03"/>
              <w:gridCol w:w="1192"/>
              <w:gridCol w:w="1342"/>
              <w:gridCol w:w="2028"/>
              <w:gridCol w:w="1451"/>
            </w:tblGrid>
            <w:tr w14:paraId="2B29F2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3" w:type="dxa"/>
                  <w:vAlign w:val="center"/>
                </w:tcPr>
                <w:p w14:paraId="251D20F3">
                  <w:pPr>
                    <w:adjustRightInd w:val="0"/>
                    <w:jc w:val="center"/>
                    <w:rPr>
                      <w:b/>
                    </w:rPr>
                  </w:pPr>
                  <w:r>
                    <w:rPr>
                      <w:b/>
                    </w:rPr>
                    <w:t>场区内建构筑物</w:t>
                  </w:r>
                </w:p>
              </w:tc>
              <w:tc>
                <w:tcPr>
                  <w:tcW w:w="1192" w:type="dxa"/>
                  <w:vAlign w:val="center"/>
                </w:tcPr>
                <w:p w14:paraId="5DB1481D">
                  <w:pPr>
                    <w:adjustRightInd w:val="0"/>
                    <w:ind w:left="-105" w:leftChars="-50" w:right="-105" w:rightChars="-50"/>
                    <w:jc w:val="center"/>
                    <w:rPr>
                      <w:b/>
                    </w:rPr>
                  </w:pPr>
                  <w:r>
                    <w:rPr>
                      <w:b/>
                    </w:rPr>
                    <w:t>包气带防</w:t>
                  </w:r>
                </w:p>
                <w:p w14:paraId="5F5BA1CC">
                  <w:pPr>
                    <w:adjustRightInd w:val="0"/>
                    <w:ind w:left="-105" w:leftChars="-50" w:right="-105" w:rightChars="-50"/>
                    <w:jc w:val="center"/>
                    <w:rPr>
                      <w:b/>
                    </w:rPr>
                  </w:pPr>
                  <w:r>
                    <w:rPr>
                      <w:b/>
                    </w:rPr>
                    <w:t>污性能</w:t>
                  </w:r>
                </w:p>
              </w:tc>
              <w:tc>
                <w:tcPr>
                  <w:tcW w:w="1342" w:type="dxa"/>
                  <w:vAlign w:val="center"/>
                </w:tcPr>
                <w:p w14:paraId="4A4CB934">
                  <w:pPr>
                    <w:adjustRightInd w:val="0"/>
                    <w:ind w:left="-105" w:leftChars="-50" w:right="-105" w:rightChars="-50"/>
                    <w:jc w:val="center"/>
                    <w:rPr>
                      <w:b/>
                    </w:rPr>
                  </w:pPr>
                  <w:r>
                    <w:rPr>
                      <w:b/>
                    </w:rPr>
                    <w:t>污染控制</w:t>
                  </w:r>
                </w:p>
                <w:p w14:paraId="3B3AFC45">
                  <w:pPr>
                    <w:adjustRightInd w:val="0"/>
                    <w:ind w:left="-105" w:leftChars="-50" w:right="-105" w:rightChars="-50"/>
                    <w:jc w:val="center"/>
                    <w:rPr>
                      <w:b/>
                    </w:rPr>
                  </w:pPr>
                  <w:r>
                    <w:rPr>
                      <w:b/>
                    </w:rPr>
                    <w:t>难易程度</w:t>
                  </w:r>
                </w:p>
              </w:tc>
              <w:tc>
                <w:tcPr>
                  <w:tcW w:w="2028" w:type="dxa"/>
                  <w:vAlign w:val="center"/>
                </w:tcPr>
                <w:p w14:paraId="1B0D0E2F">
                  <w:pPr>
                    <w:adjustRightInd w:val="0"/>
                    <w:ind w:left="-105" w:leftChars="-50" w:right="-105" w:rightChars="-50"/>
                    <w:jc w:val="center"/>
                    <w:rPr>
                      <w:b/>
                    </w:rPr>
                  </w:pPr>
                  <w:r>
                    <w:rPr>
                      <w:b/>
                    </w:rPr>
                    <w:t>污染物类型</w:t>
                  </w:r>
                </w:p>
              </w:tc>
              <w:tc>
                <w:tcPr>
                  <w:tcW w:w="1451" w:type="dxa"/>
                  <w:vAlign w:val="center"/>
                </w:tcPr>
                <w:p w14:paraId="37D93941">
                  <w:pPr>
                    <w:adjustRightInd w:val="0"/>
                    <w:jc w:val="center"/>
                    <w:rPr>
                      <w:b/>
                    </w:rPr>
                  </w:pPr>
                  <w:r>
                    <w:rPr>
                      <w:b/>
                    </w:rPr>
                    <w:t>防渗分区</w:t>
                  </w:r>
                </w:p>
              </w:tc>
            </w:tr>
            <w:tr w14:paraId="2CF530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3" w:type="dxa"/>
                  <w:vAlign w:val="center"/>
                </w:tcPr>
                <w:p w14:paraId="1B3DE7C3">
                  <w:pPr>
                    <w:adjustRightInd w:val="0"/>
                    <w:jc w:val="center"/>
                  </w:pPr>
                  <w:r>
                    <w:rPr>
                      <w:rFonts w:hint="eastAsia"/>
                    </w:rPr>
                    <w:t>生产区、一般固废库</w:t>
                  </w:r>
                </w:p>
              </w:tc>
              <w:tc>
                <w:tcPr>
                  <w:tcW w:w="1192" w:type="dxa"/>
                  <w:vAlign w:val="center"/>
                </w:tcPr>
                <w:p w14:paraId="5E451EAF">
                  <w:pPr>
                    <w:adjustRightInd w:val="0"/>
                    <w:jc w:val="center"/>
                  </w:pPr>
                  <w:r>
                    <w:t>中</w:t>
                  </w:r>
                </w:p>
              </w:tc>
              <w:tc>
                <w:tcPr>
                  <w:tcW w:w="1342" w:type="dxa"/>
                  <w:vAlign w:val="center"/>
                </w:tcPr>
                <w:p w14:paraId="05528E54">
                  <w:pPr>
                    <w:adjustRightInd w:val="0"/>
                    <w:jc w:val="center"/>
                  </w:pPr>
                  <w:r>
                    <w:t>易</w:t>
                  </w:r>
                </w:p>
              </w:tc>
              <w:tc>
                <w:tcPr>
                  <w:tcW w:w="2028" w:type="dxa"/>
                  <w:vAlign w:val="center"/>
                </w:tcPr>
                <w:p w14:paraId="1A0DBF86">
                  <w:pPr>
                    <w:adjustRightInd w:val="0"/>
                    <w:jc w:val="center"/>
                  </w:pPr>
                  <w:r>
                    <w:t>其他类型</w:t>
                  </w:r>
                </w:p>
              </w:tc>
              <w:tc>
                <w:tcPr>
                  <w:tcW w:w="1451" w:type="dxa"/>
                  <w:vAlign w:val="center"/>
                </w:tcPr>
                <w:p w14:paraId="170089EC">
                  <w:pPr>
                    <w:adjustRightInd w:val="0"/>
                    <w:jc w:val="center"/>
                  </w:pPr>
                  <w:r>
                    <w:t>一般防渗区</w:t>
                  </w:r>
                </w:p>
              </w:tc>
            </w:tr>
            <w:tr w14:paraId="6EDAE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3" w:type="dxa"/>
                  <w:vAlign w:val="center"/>
                </w:tcPr>
                <w:p w14:paraId="39005648">
                  <w:pPr>
                    <w:adjustRightInd w:val="0"/>
                    <w:jc w:val="center"/>
                  </w:pPr>
                  <w:r>
                    <w:rPr>
                      <w:rFonts w:hint="eastAsia"/>
                    </w:rPr>
                    <w:t>危废暂存间</w:t>
                  </w:r>
                </w:p>
              </w:tc>
              <w:tc>
                <w:tcPr>
                  <w:tcW w:w="1192" w:type="dxa"/>
                  <w:vAlign w:val="center"/>
                </w:tcPr>
                <w:p w14:paraId="02795E68">
                  <w:pPr>
                    <w:adjustRightInd w:val="0"/>
                    <w:jc w:val="center"/>
                  </w:pPr>
                  <w:r>
                    <w:t>中</w:t>
                  </w:r>
                </w:p>
              </w:tc>
              <w:tc>
                <w:tcPr>
                  <w:tcW w:w="1342" w:type="dxa"/>
                  <w:vAlign w:val="center"/>
                </w:tcPr>
                <w:p w14:paraId="517065FF">
                  <w:pPr>
                    <w:adjustRightInd w:val="0"/>
                    <w:jc w:val="center"/>
                  </w:pPr>
                  <w:r>
                    <w:t>难</w:t>
                  </w:r>
                </w:p>
              </w:tc>
              <w:tc>
                <w:tcPr>
                  <w:tcW w:w="2028" w:type="dxa"/>
                  <w:vAlign w:val="center"/>
                </w:tcPr>
                <w:p w14:paraId="3C034982">
                  <w:pPr>
                    <w:adjustRightInd w:val="0"/>
                    <w:ind w:left="-105" w:leftChars="-50" w:right="-105" w:rightChars="-50"/>
                    <w:jc w:val="center"/>
                  </w:pPr>
                  <w:r>
                    <w:t>持久性有机污染物</w:t>
                  </w:r>
                </w:p>
              </w:tc>
              <w:tc>
                <w:tcPr>
                  <w:tcW w:w="1451" w:type="dxa"/>
                  <w:vAlign w:val="center"/>
                </w:tcPr>
                <w:p w14:paraId="1FAF1E9E">
                  <w:pPr>
                    <w:adjustRightInd w:val="0"/>
                    <w:jc w:val="center"/>
                  </w:pPr>
                  <w:r>
                    <w:t>重点防渗区</w:t>
                  </w:r>
                </w:p>
              </w:tc>
            </w:tr>
          </w:tbl>
          <w:p w14:paraId="215D9177">
            <w:pPr>
              <w:autoSpaceDE w:val="0"/>
              <w:autoSpaceDN w:val="0"/>
              <w:adjustRightInd w:val="0"/>
              <w:spacing w:line="360" w:lineRule="auto"/>
              <w:ind w:firstLine="480" w:firstLineChars="200"/>
              <w:jc w:val="left"/>
              <w:rPr>
                <w:kern w:val="0"/>
                <w:sz w:val="24"/>
              </w:rPr>
            </w:pPr>
            <w:r>
              <w:rPr>
                <w:rFonts w:hint="eastAsia"/>
                <w:kern w:val="0"/>
                <w:sz w:val="24"/>
              </w:rPr>
              <w:fldChar w:fldCharType="begin"/>
            </w:r>
            <w:r>
              <w:rPr>
                <w:rFonts w:hint="eastAsia"/>
                <w:kern w:val="0"/>
                <w:sz w:val="24"/>
              </w:rPr>
              <w:instrText xml:space="preserve"> = 1 \* GB3 </w:instrText>
            </w:r>
            <w:r>
              <w:rPr>
                <w:rFonts w:hint="eastAsia"/>
                <w:kern w:val="0"/>
                <w:sz w:val="24"/>
              </w:rPr>
              <w:fldChar w:fldCharType="separate"/>
            </w:r>
            <w:r>
              <w:rPr>
                <w:rFonts w:hint="eastAsia"/>
                <w:kern w:val="0"/>
                <w:sz w:val="24"/>
              </w:rPr>
              <w:t>①</w:t>
            </w:r>
            <w:r>
              <w:rPr>
                <w:rFonts w:hint="eastAsia"/>
                <w:kern w:val="0"/>
                <w:sz w:val="24"/>
              </w:rPr>
              <w:fldChar w:fldCharType="end"/>
            </w:r>
            <w:r>
              <w:rPr>
                <w:rFonts w:hint="eastAsia"/>
                <w:kern w:val="0"/>
                <w:sz w:val="24"/>
              </w:rPr>
              <w:t>重点防渗区</w:t>
            </w:r>
          </w:p>
          <w:p w14:paraId="075575D4">
            <w:pPr>
              <w:autoSpaceDE w:val="0"/>
              <w:autoSpaceDN w:val="0"/>
              <w:adjustRightInd w:val="0"/>
              <w:spacing w:line="360" w:lineRule="auto"/>
              <w:ind w:firstLine="480" w:firstLineChars="200"/>
              <w:jc w:val="left"/>
              <w:rPr>
                <w:kern w:val="0"/>
                <w:sz w:val="24"/>
              </w:rPr>
            </w:pPr>
            <w:r>
              <w:rPr>
                <w:rFonts w:hint="eastAsia"/>
                <w:kern w:val="0"/>
                <w:sz w:val="24"/>
              </w:rPr>
              <w:t>重点污染防治区主要为危废暂存间，防渗措施：底部采用10</w:t>
            </w:r>
            <w:r>
              <w:rPr>
                <w:kern w:val="0"/>
                <w:sz w:val="24"/>
              </w:rPr>
              <w:t xml:space="preserve"> </w:t>
            </w:r>
            <w:r>
              <w:rPr>
                <w:rFonts w:hint="eastAsia"/>
                <w:kern w:val="0"/>
                <w:sz w:val="24"/>
              </w:rPr>
              <w:t>cm厚三合土处理，上层再用10</w:t>
            </w:r>
            <w:r>
              <w:rPr>
                <w:kern w:val="0"/>
                <w:sz w:val="24"/>
              </w:rPr>
              <w:t>~</w:t>
            </w:r>
            <w:r>
              <w:rPr>
                <w:rFonts w:hint="eastAsia"/>
                <w:kern w:val="0"/>
                <w:sz w:val="24"/>
              </w:rPr>
              <w:t>15</w:t>
            </w:r>
            <w:r>
              <w:rPr>
                <w:kern w:val="0"/>
                <w:sz w:val="24"/>
              </w:rPr>
              <w:t xml:space="preserve"> </w:t>
            </w:r>
            <w:r>
              <w:rPr>
                <w:rFonts w:hint="eastAsia"/>
                <w:kern w:val="0"/>
                <w:sz w:val="24"/>
              </w:rPr>
              <w:t>cm水泥硬化，表层涂环氧树脂，以达到防腐、防渗漏目的，等效黏土防渗层Mb≥6.0</w:t>
            </w:r>
            <w:r>
              <w:rPr>
                <w:kern w:val="0"/>
                <w:sz w:val="24"/>
              </w:rPr>
              <w:t xml:space="preserve"> </w:t>
            </w:r>
            <w:r>
              <w:rPr>
                <w:rFonts w:hint="eastAsia"/>
                <w:kern w:val="0"/>
                <w:sz w:val="24"/>
              </w:rPr>
              <w:t>m，渗透系数≤1.0×10</w:t>
            </w:r>
            <w:r>
              <w:rPr>
                <w:rFonts w:hint="eastAsia"/>
                <w:kern w:val="0"/>
                <w:sz w:val="24"/>
                <w:vertAlign w:val="superscript"/>
              </w:rPr>
              <w:t>-7</w:t>
            </w:r>
            <w:r>
              <w:rPr>
                <w:kern w:val="0"/>
                <w:sz w:val="24"/>
                <w:vertAlign w:val="superscript"/>
              </w:rPr>
              <w:t xml:space="preserve"> </w:t>
            </w:r>
            <w:r>
              <w:rPr>
                <w:rFonts w:hint="eastAsia"/>
                <w:kern w:val="0"/>
                <w:sz w:val="24"/>
              </w:rPr>
              <w:t>cm/s。本项目危废暂存间采取底层土压实，并在其上铺设碎石层，再在上层铺设水泥进行硬化，并铺环氧树脂防渗，基本满足防渗要求。</w:t>
            </w:r>
          </w:p>
          <w:p w14:paraId="6313BBF0">
            <w:pPr>
              <w:autoSpaceDE w:val="0"/>
              <w:autoSpaceDN w:val="0"/>
              <w:adjustRightInd w:val="0"/>
              <w:spacing w:line="360" w:lineRule="auto"/>
              <w:ind w:firstLine="480" w:firstLineChars="200"/>
              <w:jc w:val="left"/>
              <w:rPr>
                <w:kern w:val="0"/>
                <w:sz w:val="24"/>
              </w:rPr>
            </w:pPr>
            <w:r>
              <w:rPr>
                <w:rFonts w:hint="eastAsia"/>
                <w:kern w:val="0"/>
                <w:sz w:val="24"/>
              </w:rPr>
              <w:t>②一般防渗区</w:t>
            </w:r>
          </w:p>
          <w:p w14:paraId="2387B228">
            <w:pPr>
              <w:autoSpaceDE w:val="0"/>
              <w:autoSpaceDN w:val="0"/>
              <w:adjustRightInd w:val="0"/>
              <w:spacing w:line="360" w:lineRule="auto"/>
              <w:ind w:firstLine="480" w:firstLineChars="200"/>
              <w:jc w:val="left"/>
              <w:rPr>
                <w:kern w:val="0"/>
                <w:sz w:val="24"/>
              </w:rPr>
            </w:pPr>
            <w:r>
              <w:rPr>
                <w:rFonts w:hint="eastAsia"/>
                <w:kern w:val="0"/>
                <w:sz w:val="24"/>
              </w:rPr>
              <w:t>主要包括生产区、一般固废库，防渗措施：水泥硬化处理。本项目地下水分区防渗措施见表4-19。</w:t>
            </w:r>
          </w:p>
          <w:p w14:paraId="05C1E34A">
            <w:pPr>
              <w:autoSpaceDE w:val="0"/>
              <w:autoSpaceDN w:val="0"/>
              <w:adjustRightInd w:val="0"/>
              <w:spacing w:before="120" w:beforeLines="50"/>
              <w:jc w:val="center"/>
            </w:pPr>
            <w:r>
              <w:rPr>
                <w:rFonts w:hint="eastAsia"/>
                <w:b/>
                <w:sz w:val="24"/>
              </w:rPr>
              <w:t>表4-19  地下水分区防渗措施一览表</w:t>
            </w:r>
          </w:p>
          <w:tbl>
            <w:tblPr>
              <w:tblStyle w:val="29"/>
              <w:tblW w:w="881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333"/>
              <w:gridCol w:w="4022"/>
              <w:gridCol w:w="2735"/>
            </w:tblGrid>
            <w:tr w14:paraId="04B8D6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6" w:type="dxa"/>
                  <w:shd w:val="clear" w:color="auto" w:fill="auto"/>
                  <w:vAlign w:val="center"/>
                </w:tcPr>
                <w:p w14:paraId="41801308">
                  <w:pPr>
                    <w:widowControl/>
                    <w:ind w:left="-105" w:leftChars="-50" w:right="-105" w:rightChars="-50"/>
                    <w:jc w:val="center"/>
                    <w:rPr>
                      <w:b/>
                    </w:rPr>
                  </w:pPr>
                  <w:r>
                    <w:rPr>
                      <w:b/>
                    </w:rPr>
                    <w:t>污染区</w:t>
                  </w:r>
                </w:p>
              </w:tc>
              <w:tc>
                <w:tcPr>
                  <w:tcW w:w="1333" w:type="dxa"/>
                  <w:shd w:val="clear" w:color="auto" w:fill="auto"/>
                  <w:vAlign w:val="center"/>
                </w:tcPr>
                <w:p w14:paraId="52B4E6DE">
                  <w:pPr>
                    <w:widowControl/>
                    <w:ind w:left="-50" w:right="-50"/>
                    <w:jc w:val="center"/>
                    <w:rPr>
                      <w:b/>
                    </w:rPr>
                  </w:pPr>
                  <w:r>
                    <w:rPr>
                      <w:b/>
                    </w:rPr>
                    <w:t>构筑物名称</w:t>
                  </w:r>
                </w:p>
              </w:tc>
              <w:tc>
                <w:tcPr>
                  <w:tcW w:w="4022" w:type="dxa"/>
                  <w:shd w:val="clear" w:color="auto" w:fill="auto"/>
                  <w:vAlign w:val="center"/>
                </w:tcPr>
                <w:p w14:paraId="47E4133F">
                  <w:pPr>
                    <w:widowControl/>
                    <w:ind w:left="-50" w:right="-50"/>
                    <w:jc w:val="center"/>
                    <w:rPr>
                      <w:b/>
                    </w:rPr>
                  </w:pPr>
                  <w:r>
                    <w:rPr>
                      <w:b/>
                    </w:rPr>
                    <w:t>防腐防渗措施</w:t>
                  </w:r>
                </w:p>
              </w:tc>
              <w:tc>
                <w:tcPr>
                  <w:tcW w:w="2735" w:type="dxa"/>
                  <w:vAlign w:val="center"/>
                </w:tcPr>
                <w:p w14:paraId="1C8A80E8">
                  <w:pPr>
                    <w:widowControl/>
                    <w:ind w:left="-50" w:right="-50"/>
                    <w:jc w:val="center"/>
                    <w:rPr>
                      <w:b/>
                    </w:rPr>
                  </w:pPr>
                  <w:r>
                    <w:rPr>
                      <w:b/>
                    </w:rPr>
                    <w:t>防渗技术要求</w:t>
                  </w:r>
                </w:p>
              </w:tc>
            </w:tr>
            <w:tr w14:paraId="54E34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6" w:type="dxa"/>
                  <w:shd w:val="clear" w:color="auto" w:fill="auto"/>
                  <w:vAlign w:val="center"/>
                </w:tcPr>
                <w:p w14:paraId="1789A456">
                  <w:pPr>
                    <w:widowControl/>
                    <w:ind w:left="-105" w:leftChars="-50" w:right="-105" w:rightChars="-50"/>
                    <w:jc w:val="center"/>
                  </w:pPr>
                  <w:r>
                    <w:t>一般</w:t>
                  </w:r>
                </w:p>
                <w:p w14:paraId="4CBF8D4C">
                  <w:pPr>
                    <w:widowControl/>
                    <w:ind w:left="-105" w:leftChars="-50" w:right="-105" w:rightChars="-50"/>
                    <w:jc w:val="center"/>
                  </w:pPr>
                  <w:r>
                    <w:t>防渗区</w:t>
                  </w:r>
                </w:p>
              </w:tc>
              <w:tc>
                <w:tcPr>
                  <w:tcW w:w="1333" w:type="dxa"/>
                  <w:shd w:val="clear" w:color="auto" w:fill="auto"/>
                  <w:vAlign w:val="center"/>
                </w:tcPr>
                <w:p w14:paraId="2F4D9389">
                  <w:pPr>
                    <w:adjustRightInd w:val="0"/>
                    <w:ind w:left="-50" w:right="-50"/>
                    <w:jc w:val="center"/>
                  </w:pPr>
                  <w:r>
                    <w:rPr>
                      <w:rFonts w:hint="eastAsia"/>
                    </w:rPr>
                    <w:t>生产区、一般固废库</w:t>
                  </w:r>
                </w:p>
              </w:tc>
              <w:tc>
                <w:tcPr>
                  <w:tcW w:w="4022" w:type="dxa"/>
                  <w:shd w:val="clear" w:color="auto" w:fill="auto"/>
                  <w:vAlign w:val="center"/>
                </w:tcPr>
                <w:p w14:paraId="7FCD84CD">
                  <w:pPr>
                    <w:widowControl/>
                    <w:ind w:left="-105" w:leftChars="-50" w:right="-105" w:rightChars="-50"/>
                    <w:jc w:val="center"/>
                  </w:pPr>
                  <w:r>
                    <w:t>水泥硬化处理</w:t>
                  </w:r>
                </w:p>
              </w:tc>
              <w:tc>
                <w:tcPr>
                  <w:tcW w:w="2735" w:type="dxa"/>
                  <w:vAlign w:val="center"/>
                </w:tcPr>
                <w:p w14:paraId="6AE5410F">
                  <w:pPr>
                    <w:widowControl/>
                    <w:ind w:left="-105" w:leftChars="-50" w:right="-105" w:rightChars="-50"/>
                    <w:jc w:val="center"/>
                  </w:pPr>
                  <w:r>
                    <w:t>等效黏土防渗层Mb≥1.5 m，K≤10</w:t>
                  </w:r>
                  <w:r>
                    <w:rPr>
                      <w:vertAlign w:val="superscript"/>
                    </w:rPr>
                    <w:t>-7</w:t>
                  </w:r>
                  <w:r>
                    <w:t>cm/s；或参照GB16889执行</w:t>
                  </w:r>
                </w:p>
              </w:tc>
            </w:tr>
            <w:tr w14:paraId="645548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6" w:type="dxa"/>
                  <w:shd w:val="clear" w:color="auto" w:fill="auto"/>
                  <w:vAlign w:val="center"/>
                </w:tcPr>
                <w:p w14:paraId="4273EDAA">
                  <w:pPr>
                    <w:ind w:left="-105" w:leftChars="-50" w:right="-105" w:rightChars="-50"/>
                    <w:jc w:val="center"/>
                  </w:pPr>
                  <w:r>
                    <w:t>重点</w:t>
                  </w:r>
                </w:p>
                <w:p w14:paraId="3B4C2AB7">
                  <w:pPr>
                    <w:ind w:left="-105" w:leftChars="-50" w:right="-105" w:rightChars="-50"/>
                    <w:jc w:val="center"/>
                  </w:pPr>
                  <w:r>
                    <w:t>防渗区</w:t>
                  </w:r>
                </w:p>
              </w:tc>
              <w:tc>
                <w:tcPr>
                  <w:tcW w:w="1333" w:type="dxa"/>
                  <w:shd w:val="clear" w:color="auto" w:fill="auto"/>
                  <w:vAlign w:val="center"/>
                </w:tcPr>
                <w:p w14:paraId="65533FB4">
                  <w:pPr>
                    <w:adjustRightInd w:val="0"/>
                    <w:ind w:left="-50" w:right="-50"/>
                    <w:jc w:val="center"/>
                  </w:pPr>
                  <w:r>
                    <w:rPr>
                      <w:rFonts w:hint="eastAsia"/>
                    </w:rPr>
                    <w:t>危废</w:t>
                  </w:r>
                  <w:r>
                    <w:t>暂存间</w:t>
                  </w:r>
                </w:p>
              </w:tc>
              <w:tc>
                <w:tcPr>
                  <w:tcW w:w="4022" w:type="dxa"/>
                  <w:shd w:val="clear" w:color="auto" w:fill="auto"/>
                  <w:vAlign w:val="center"/>
                </w:tcPr>
                <w:p w14:paraId="3564332F">
                  <w:pPr>
                    <w:adjustRightInd w:val="0"/>
                    <w:ind w:left="-50" w:right="-50"/>
                    <w:jc w:val="center"/>
                  </w:pPr>
                  <w:r>
                    <w:rPr>
                      <w:rFonts w:hint="eastAsia"/>
                    </w:rPr>
                    <w:t>铺设2mm 以上HDPE膜防渗，并采用环氧树脂涂层进行防腐处理</w:t>
                  </w:r>
                </w:p>
              </w:tc>
              <w:tc>
                <w:tcPr>
                  <w:tcW w:w="2735" w:type="dxa"/>
                  <w:vAlign w:val="center"/>
                </w:tcPr>
                <w:p w14:paraId="6B7E5463">
                  <w:pPr>
                    <w:ind w:left="-50" w:right="-50"/>
                    <w:jc w:val="center"/>
                  </w:pPr>
                  <w:r>
                    <w:t>等效黏土防渗层Mb≥6.0 m，K≤10</w:t>
                  </w:r>
                  <w:r>
                    <w:rPr>
                      <w:vertAlign w:val="superscript"/>
                    </w:rPr>
                    <w:t>-7</w:t>
                  </w:r>
                  <w:r>
                    <w:t>cm/s；或参照GB18598执行</w:t>
                  </w:r>
                </w:p>
              </w:tc>
            </w:tr>
          </w:tbl>
          <w:p w14:paraId="5608E7CB">
            <w:pPr>
              <w:spacing w:line="360" w:lineRule="auto"/>
              <w:ind w:firstLine="480" w:firstLineChars="200"/>
            </w:pPr>
            <w:r>
              <w:rPr>
                <w:rFonts w:hint="eastAsia"/>
                <w:kern w:val="0"/>
                <w:sz w:val="24"/>
              </w:rPr>
              <w:t>在采取以上分区防渗措施后，可有效预防项目对地下水和土壤污染的发生。</w:t>
            </w:r>
          </w:p>
          <w:p w14:paraId="3AEEA214">
            <w:pPr>
              <w:autoSpaceDE w:val="0"/>
              <w:autoSpaceDN w:val="0"/>
              <w:adjustRightInd w:val="0"/>
              <w:spacing w:line="360" w:lineRule="auto"/>
              <w:ind w:firstLine="480" w:firstLineChars="200"/>
              <w:jc w:val="left"/>
              <w:rPr>
                <w:kern w:val="0"/>
                <w:sz w:val="24"/>
              </w:rPr>
            </w:pPr>
            <w:r>
              <w:rPr>
                <w:rFonts w:hint="eastAsia"/>
                <w:kern w:val="0"/>
                <w:sz w:val="24"/>
              </w:rPr>
              <w:t>（3）跟踪监测</w:t>
            </w:r>
          </w:p>
          <w:p w14:paraId="5DFA5659">
            <w:pPr>
              <w:adjustRightInd w:val="0"/>
              <w:snapToGrid w:val="0"/>
              <w:spacing w:line="360" w:lineRule="auto"/>
              <w:ind w:firstLine="480" w:firstLineChars="200"/>
              <w:rPr>
                <w:sz w:val="24"/>
              </w:rPr>
            </w:pPr>
            <w:r>
              <w:rPr>
                <w:rFonts w:hint="eastAsia" w:hAnsi="宋体"/>
                <w:sz w:val="24"/>
              </w:rPr>
              <w:t>根据《环境影响评价技术导则-地下水环境》（HJ610-2016）附</w:t>
            </w:r>
            <w:r>
              <w:rPr>
                <w:sz w:val="24"/>
              </w:rPr>
              <w:t>录A，本项目为</w:t>
            </w:r>
            <w:r>
              <w:rPr>
                <w:rFonts w:hint="eastAsia"/>
                <w:sz w:val="24"/>
              </w:rPr>
              <w:t>“K 机械、电子</w:t>
            </w:r>
            <w:r>
              <w:rPr>
                <w:sz w:val="24"/>
              </w:rPr>
              <w:t>，</w:t>
            </w:r>
            <w:r>
              <w:rPr>
                <w:rFonts w:hint="eastAsia"/>
                <w:sz w:val="24"/>
              </w:rPr>
              <w:t>71、通用、专用设备制造及维修”</w:t>
            </w:r>
            <w:r>
              <w:rPr>
                <w:sz w:val="24"/>
              </w:rPr>
              <w:t>中的</w:t>
            </w:r>
            <w:r>
              <w:rPr>
                <w:rFonts w:hint="eastAsia"/>
                <w:sz w:val="24"/>
              </w:rPr>
              <w:t>“</w:t>
            </w:r>
            <w:r>
              <w:rPr>
                <w:sz w:val="24"/>
              </w:rPr>
              <w:t>其他</w:t>
            </w:r>
            <w:r>
              <w:rPr>
                <w:rFonts w:hint="eastAsia"/>
                <w:sz w:val="24"/>
              </w:rPr>
              <w:t>”</w:t>
            </w:r>
            <w:r>
              <w:rPr>
                <w:sz w:val="24"/>
              </w:rPr>
              <w:t>，属于Ⅳ类</w:t>
            </w:r>
            <w:r>
              <w:rPr>
                <w:rFonts w:hint="eastAsia"/>
                <w:sz w:val="24"/>
              </w:rPr>
              <w:t>项目，</w:t>
            </w:r>
            <w:r>
              <w:rPr>
                <w:sz w:val="24"/>
              </w:rPr>
              <w:t>Ⅳ类建设</w:t>
            </w:r>
            <w:r>
              <w:rPr>
                <w:rFonts w:hint="eastAsia"/>
                <w:sz w:val="24"/>
              </w:rPr>
              <w:t>项目不开展地下水环境影响评价。</w:t>
            </w:r>
          </w:p>
          <w:p w14:paraId="252EA747">
            <w:pPr>
              <w:spacing w:line="360" w:lineRule="auto"/>
              <w:ind w:firstLine="480" w:firstLineChars="200"/>
              <w:rPr>
                <w:sz w:val="24"/>
              </w:rPr>
            </w:pPr>
            <w:r>
              <w:rPr>
                <w:rFonts w:hint="eastAsia" w:hAnsi="宋体"/>
                <w:sz w:val="24"/>
              </w:rPr>
              <w:t>根据《环境影响评价技术导则-土壤环境（试行）》（HJ</w:t>
            </w:r>
            <w:r>
              <w:rPr>
                <w:rFonts w:hAnsi="宋体"/>
                <w:sz w:val="24"/>
              </w:rPr>
              <w:t>964</w:t>
            </w:r>
            <w:r>
              <w:rPr>
                <w:rFonts w:hint="eastAsia" w:hAnsi="宋体"/>
                <w:sz w:val="24"/>
              </w:rPr>
              <w:t>-2018）附</w:t>
            </w:r>
            <w:r>
              <w:rPr>
                <w:sz w:val="24"/>
              </w:rPr>
              <w:t>录A，本项目属于</w:t>
            </w:r>
            <w:r>
              <w:rPr>
                <w:rFonts w:hint="eastAsia"/>
                <w:sz w:val="24"/>
              </w:rPr>
              <w:t>“其他行业”</w:t>
            </w:r>
            <w:r>
              <w:rPr>
                <w:sz w:val="24"/>
              </w:rPr>
              <w:t>，属于Ⅳ类</w:t>
            </w:r>
            <w:r>
              <w:rPr>
                <w:rFonts w:hint="eastAsia"/>
                <w:sz w:val="24"/>
              </w:rPr>
              <w:t>项目，可不开展土壤环境影响评价工作。</w:t>
            </w:r>
          </w:p>
          <w:p w14:paraId="12BC14FD">
            <w:pPr>
              <w:keepNext/>
              <w:keepLines/>
              <w:spacing w:line="360" w:lineRule="auto"/>
              <w:ind w:firstLine="592" w:firstLineChars="247"/>
              <w:outlineLvl w:val="2"/>
              <w:rPr>
                <w:b/>
                <w:bCs/>
                <w:sz w:val="24"/>
                <w:szCs w:val="32"/>
              </w:rPr>
            </w:pPr>
            <w:r>
              <w:rPr>
                <w:rFonts w:hint="eastAsia"/>
                <w:sz w:val="24"/>
              </w:rPr>
              <w:t>所以本项目不用进行地下水及土壤的跟踪评价。</w:t>
            </w:r>
          </w:p>
          <w:p w14:paraId="23DC24F0">
            <w:pPr>
              <w:keepNext/>
              <w:keepLines/>
              <w:spacing w:line="360" w:lineRule="auto"/>
              <w:ind w:firstLine="352" w:firstLineChars="147"/>
              <w:outlineLvl w:val="2"/>
              <w:rPr>
                <w:b/>
                <w:bCs/>
                <w:sz w:val="24"/>
                <w:szCs w:val="32"/>
              </w:rPr>
            </w:pPr>
            <w:r>
              <w:rPr>
                <w:rFonts w:hint="eastAsia"/>
                <w:sz w:val="24"/>
                <w:szCs w:val="32"/>
              </w:rPr>
              <w:t>（4）日常检查工作</w:t>
            </w:r>
          </w:p>
          <w:p w14:paraId="5D903E48">
            <w:pPr>
              <w:keepNext/>
              <w:keepLines/>
              <w:spacing w:line="360" w:lineRule="auto"/>
              <w:ind w:firstLine="480" w:firstLineChars="200"/>
              <w:outlineLvl w:val="2"/>
              <w:rPr>
                <w:sz w:val="24"/>
                <w:szCs w:val="32"/>
              </w:rPr>
            </w:pPr>
            <w:r>
              <w:rPr>
                <w:rFonts w:hint="eastAsia"/>
                <w:sz w:val="24"/>
                <w:szCs w:val="32"/>
              </w:rPr>
              <w:t>加强地下水污染源的日常管理与维护，尤其是重点防治区域，发现防渗性能有明显下降时应及时补修；定期检查项目污水管道的完好性，防止污水跑、冒、滴、漏，发现泄露时应及时维修。</w:t>
            </w:r>
          </w:p>
          <w:p w14:paraId="686BCB00">
            <w:pPr>
              <w:spacing w:line="360" w:lineRule="auto"/>
              <w:ind w:firstLine="480" w:firstLineChars="200"/>
              <w:rPr>
                <w:bCs/>
                <w:sz w:val="24"/>
              </w:rPr>
            </w:pPr>
            <w:r>
              <w:rPr>
                <w:rFonts w:hint="eastAsia"/>
                <w:sz w:val="24"/>
                <w:szCs w:val="32"/>
              </w:rPr>
              <w:t>采取上述措施后，本项目营运期基本不会对地下水水质造成影响</w:t>
            </w:r>
            <w:r>
              <w:rPr>
                <w:bCs/>
                <w:sz w:val="24"/>
              </w:rPr>
              <w:t>。</w:t>
            </w:r>
          </w:p>
          <w:p w14:paraId="13EE24CD">
            <w:pPr>
              <w:pStyle w:val="60"/>
              <w:spacing w:line="360" w:lineRule="auto"/>
              <w:ind w:firstLine="482"/>
              <w:rPr>
                <w:rFonts w:eastAsia="宋体"/>
                <w:b/>
              </w:rPr>
            </w:pPr>
            <w:r>
              <w:rPr>
                <w:rFonts w:eastAsia="宋体"/>
                <w:b/>
              </w:rPr>
              <w:t>六、环境风险分析</w:t>
            </w:r>
          </w:p>
          <w:p w14:paraId="33F06818">
            <w:pPr>
              <w:pStyle w:val="60"/>
              <w:spacing w:line="360" w:lineRule="auto"/>
              <w:ind w:firstLine="482"/>
              <w:rPr>
                <w:rFonts w:eastAsia="宋体"/>
                <w:b/>
                <w:bCs/>
              </w:rPr>
            </w:pPr>
            <w:r>
              <w:rPr>
                <w:rFonts w:eastAsia="宋体"/>
                <w:b/>
                <w:bCs/>
              </w:rPr>
              <w:t>1、环境风险</w:t>
            </w:r>
          </w:p>
          <w:p w14:paraId="336EC52C">
            <w:pPr>
              <w:spacing w:line="360" w:lineRule="auto"/>
              <w:ind w:firstLine="480" w:firstLineChars="200"/>
              <w:rPr>
                <w:sz w:val="24"/>
              </w:rPr>
            </w:pPr>
            <w:r>
              <w:rPr>
                <w:rFonts w:hint="eastAsia"/>
                <w:sz w:val="24"/>
              </w:rPr>
              <w:t>（1）风险物质识别</w:t>
            </w:r>
          </w:p>
          <w:p w14:paraId="641DB089">
            <w:pPr>
              <w:pStyle w:val="9"/>
              <w:spacing w:line="360" w:lineRule="auto"/>
              <w:ind w:firstLine="480"/>
              <w:rPr>
                <w:sz w:val="24"/>
              </w:rPr>
            </w:pPr>
            <w:r>
              <w:rPr>
                <w:sz w:val="24"/>
              </w:rPr>
              <w:t>对照《建设项目环境风险评价技术导则》（HJ169-2018）附录 B 以及《危险化学品重大危险源辨识》（GB18218-2018）进行物质危险性判定。筛选出本项目的风险物质为</w:t>
            </w:r>
            <w:r>
              <w:rPr>
                <w:rFonts w:hint="eastAsia"/>
                <w:sz w:val="24"/>
              </w:rPr>
              <w:t>机油、</w:t>
            </w:r>
            <w:r>
              <w:rPr>
                <w:sz w:val="24"/>
              </w:rPr>
              <w:t>废</w:t>
            </w:r>
            <w:r>
              <w:rPr>
                <w:rFonts w:hint="eastAsia"/>
                <w:sz w:val="24"/>
              </w:rPr>
              <w:t>机</w:t>
            </w:r>
            <w:r>
              <w:rPr>
                <w:sz w:val="24"/>
              </w:rPr>
              <w:t>油</w:t>
            </w:r>
            <w:r>
              <w:rPr>
                <w:rFonts w:hint="eastAsia"/>
                <w:sz w:val="24"/>
              </w:rPr>
              <w:t>。</w:t>
            </w:r>
          </w:p>
          <w:p w14:paraId="4EB77AA8">
            <w:pPr>
              <w:spacing w:line="360" w:lineRule="auto"/>
              <w:ind w:firstLine="480" w:firstLineChars="200"/>
              <w:rPr>
                <w:sz w:val="24"/>
              </w:rPr>
            </w:pPr>
            <w:r>
              <w:rPr>
                <w:rFonts w:hint="eastAsia"/>
                <w:sz w:val="24"/>
              </w:rPr>
              <w:t>（2）物质危险性判断</w:t>
            </w:r>
          </w:p>
          <w:p w14:paraId="71B92C4D">
            <w:pPr>
              <w:spacing w:line="360" w:lineRule="auto"/>
              <w:ind w:firstLine="480" w:firstLineChars="200"/>
              <w:rPr>
                <w:sz w:val="24"/>
              </w:rPr>
            </w:pPr>
            <w:r>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401C28A8">
            <w:pPr>
              <w:spacing w:line="360" w:lineRule="auto"/>
              <w:ind w:firstLine="480" w:firstLineChars="200"/>
              <w:rPr>
                <w:sz w:val="24"/>
              </w:rPr>
            </w:pPr>
            <w:r>
              <w:rPr>
                <w:rFonts w:hint="eastAsia"/>
                <w:sz w:val="24"/>
              </w:rPr>
              <w:t>根据《建设项目环境风险评价技术导则》（HJ 169-2018），计算所涉及的每种危险物质在厂界内的最大存在总量与其在附录B中对应临界量的比值Q。</w:t>
            </w:r>
          </w:p>
          <w:p w14:paraId="1F429F2C">
            <w:pPr>
              <w:spacing w:line="360" w:lineRule="auto"/>
              <w:ind w:firstLine="480" w:firstLineChars="200"/>
              <w:rPr>
                <w:sz w:val="24"/>
              </w:rPr>
            </w:pPr>
            <w:r>
              <w:rPr>
                <w:rFonts w:hint="eastAsia"/>
                <w:sz w:val="24"/>
              </w:rPr>
              <w:t>当只涉及一种危险物质时，计算该物质的总量与其临界量比值，即为Q；</w:t>
            </w:r>
          </w:p>
          <w:p w14:paraId="499A4FD0">
            <w:pPr>
              <w:spacing w:line="360" w:lineRule="auto"/>
              <w:ind w:firstLine="480" w:firstLineChars="200"/>
              <w:rPr>
                <w:sz w:val="24"/>
              </w:rPr>
            </w:pPr>
            <w:r>
              <w:rPr>
                <w:rFonts w:hint="eastAsia"/>
                <w:sz w:val="24"/>
              </w:rPr>
              <w:t>当存在多种危险物质时，则按下式计算物质总量与其临界量比值(Q)：</w:t>
            </w:r>
          </w:p>
          <w:p w14:paraId="2629A457">
            <w:pPr>
              <w:spacing w:line="360" w:lineRule="auto"/>
              <w:jc w:val="center"/>
            </w:pPr>
            <m:oMathPara>
              <m:oMath>
                <m:r>
                  <m:rPr>
                    <m:sty m:val="p"/>
                  </m:rPr>
                  <w:rPr>
                    <w:rFonts w:ascii="Cambria Math" w:hAnsi="Cambria Math"/>
                  </w:rPr>
                  <m:t>Q=</m:t>
                </m:r>
                <m:f>
                  <m:fPr>
                    <m:ctrlPr>
                      <w:rPr>
                        <w:rFonts w:ascii="Cambria Math" w:hAnsi="Cambria Math"/>
                      </w:rPr>
                    </m:ctrlPr>
                  </m:fPr>
                  <m:num>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rPr>
                    </m:ctrlPr>
                  </m:den>
                </m:f>
                <m:r>
                  <m:rPr/>
                  <w:rPr>
                    <w:rFonts w:ascii="Cambria Math" w:hAnsi="Cambria Math"/>
                  </w:rPr>
                  <m:t>+</m:t>
                </m:r>
                <m:f>
                  <m:fPr>
                    <m:ctrlPr>
                      <w:rPr>
                        <w:rFonts w:ascii="Cambria Math" w:hAnsi="Cambria Math"/>
                      </w:rPr>
                    </m:ctrlPr>
                  </m:fPr>
                  <m:num>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2</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2</m:t>
                        </m:r>
                        <m:ctrlPr>
                          <w:rPr>
                            <w:rFonts w:ascii="Cambria Math" w:hAnsi="Cambria Math"/>
                            <w:i/>
                          </w:rPr>
                        </m:ctrlPr>
                      </m:sub>
                    </m:sSub>
                    <m:ctrlPr>
                      <w:rPr>
                        <w:rFonts w:ascii="Cambria Math" w:hAnsi="Cambria Math"/>
                      </w:rPr>
                    </m:ctrlPr>
                  </m:den>
                </m:f>
                <m:r>
                  <m:rPr/>
                  <w:rPr>
                    <w:rFonts w:ascii="Cambria Math" w:hAnsi="Cambria Math"/>
                  </w:rPr>
                  <m:t>+⋯+</m:t>
                </m:r>
                <m:f>
                  <m:fPr>
                    <m:ctrlPr>
                      <w:rPr>
                        <w:rFonts w:ascii="Cambria Math" w:hAnsi="Cambria Math"/>
                      </w:rPr>
                    </m:ctrlPr>
                  </m:fPr>
                  <m:num>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n</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n</m:t>
                        </m:r>
                        <m:ctrlPr>
                          <w:rPr>
                            <w:rFonts w:ascii="Cambria Math" w:hAnsi="Cambria Math"/>
                            <w:i/>
                          </w:rPr>
                        </m:ctrlPr>
                      </m:sub>
                    </m:sSub>
                    <m:ctrlPr>
                      <w:rPr>
                        <w:rFonts w:ascii="Cambria Math" w:hAnsi="Cambria Math"/>
                      </w:rPr>
                    </m:ctrlPr>
                  </m:den>
                </m:f>
              </m:oMath>
            </m:oMathPara>
          </w:p>
          <w:p w14:paraId="11A2B49A">
            <w:pPr>
              <w:jc w:val="center"/>
            </w:pPr>
          </w:p>
          <w:p w14:paraId="38214B32">
            <w:pPr>
              <w:spacing w:line="360" w:lineRule="auto"/>
              <w:ind w:firstLine="482"/>
              <w:rPr>
                <w:sz w:val="24"/>
                <w:szCs w:val="18"/>
              </w:rPr>
            </w:pPr>
            <w:r>
              <w:rPr>
                <w:sz w:val="24"/>
                <w:szCs w:val="18"/>
              </w:rPr>
              <w:t>式中，q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——每种危险物质的最大存在总量，t。</w:t>
            </w:r>
          </w:p>
          <w:p w14:paraId="443E0ED2">
            <w:pPr>
              <w:spacing w:line="360" w:lineRule="auto"/>
              <w:ind w:firstLine="1200" w:firstLineChars="500"/>
              <w:rPr>
                <w:sz w:val="24"/>
                <w:szCs w:val="18"/>
              </w:rPr>
            </w:pPr>
            <w:r>
              <w:rPr>
                <w:sz w:val="24"/>
                <w:szCs w:val="18"/>
              </w:rPr>
              <w:t>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——每种危险物质的临界量，t。</w:t>
            </w:r>
          </w:p>
          <w:p w14:paraId="526C9B2D">
            <w:pPr>
              <w:spacing w:line="360" w:lineRule="auto"/>
              <w:ind w:firstLine="482"/>
              <w:rPr>
                <w:sz w:val="24"/>
                <w:szCs w:val="18"/>
              </w:rPr>
            </w:pPr>
            <w:r>
              <w:rPr>
                <w:sz w:val="24"/>
                <w:szCs w:val="18"/>
              </w:rPr>
              <w:t>当Q＜1时，该项目环境风险潜势为</w:t>
            </w:r>
            <w:r>
              <w:rPr>
                <w:sz w:val="24"/>
              </w:rPr>
              <w:fldChar w:fldCharType="begin"/>
            </w:r>
            <w:r>
              <w:rPr>
                <w:sz w:val="24"/>
              </w:rPr>
              <w:instrText xml:space="preserve"> </w:instrText>
            </w:r>
            <w:r>
              <w:rPr>
                <w:rFonts w:hint="eastAsia"/>
                <w:sz w:val="24"/>
              </w:rPr>
              <w:instrText xml:space="preserve">= 1 \* ROMAN</w:instrText>
            </w:r>
            <w:r>
              <w:rPr>
                <w:sz w:val="24"/>
              </w:rPr>
              <w:instrText xml:space="preserve"> </w:instrText>
            </w:r>
            <w:r>
              <w:rPr>
                <w:sz w:val="24"/>
              </w:rPr>
              <w:fldChar w:fldCharType="separate"/>
            </w:r>
            <w:r>
              <w:rPr>
                <w:sz w:val="24"/>
              </w:rPr>
              <w:t>I</w:t>
            </w:r>
            <w:r>
              <w:rPr>
                <w:sz w:val="24"/>
              </w:rPr>
              <w:fldChar w:fldCharType="end"/>
            </w:r>
            <w:r>
              <w:rPr>
                <w:sz w:val="24"/>
                <w:szCs w:val="18"/>
              </w:rPr>
              <w:t>。</w:t>
            </w:r>
          </w:p>
          <w:p w14:paraId="2ACFD54A">
            <w:pPr>
              <w:spacing w:line="360" w:lineRule="auto"/>
              <w:ind w:firstLine="482"/>
              <w:rPr>
                <w:sz w:val="24"/>
                <w:szCs w:val="18"/>
              </w:rPr>
            </w:pPr>
            <w:r>
              <w:rPr>
                <w:sz w:val="24"/>
                <w:szCs w:val="18"/>
              </w:rPr>
              <w:t>当Q≥1时，将Q值划分为：（1）1≤Q＜10；（2）10≤Q＜100；（3）Q≥100。</w:t>
            </w:r>
          </w:p>
          <w:p w14:paraId="69DBEAFD">
            <w:pPr>
              <w:spacing w:line="360" w:lineRule="auto"/>
              <w:ind w:firstLine="480" w:firstLineChars="200"/>
              <w:rPr>
                <w:rFonts w:ascii="Txt" w:cs="Txt" w:eastAsiaTheme="minorEastAsia"/>
                <w:sz w:val="24"/>
              </w:rPr>
            </w:pPr>
            <w:r>
              <w:rPr>
                <w:rFonts w:hint="eastAsia" w:hAnsi="宋体"/>
                <w:sz w:val="24"/>
                <w:shd w:val="clear" w:color="auto" w:fill="FFFFFF"/>
              </w:rPr>
              <w:t>汇总统计出建设项目环境风险物质临界量、储存及分布情况</w:t>
            </w:r>
            <w:r>
              <w:rPr>
                <w:rFonts w:hint="eastAsia" w:ascii="Txt" w:eastAsia="Txt" w:cs="Txt"/>
                <w:sz w:val="24"/>
              </w:rPr>
              <w:t>。</w:t>
            </w:r>
          </w:p>
          <w:p w14:paraId="37888E9F">
            <w:pPr>
              <w:autoSpaceDE w:val="0"/>
              <w:autoSpaceDN w:val="0"/>
              <w:adjustRightInd w:val="0"/>
              <w:spacing w:before="120" w:beforeLines="50"/>
              <w:jc w:val="center"/>
              <w:rPr>
                <w:rFonts w:hAnsi="宋体"/>
                <w:b/>
                <w:sz w:val="24"/>
              </w:rPr>
            </w:pPr>
            <w:r>
              <w:rPr>
                <w:rFonts w:hint="eastAsia" w:hAnsi="宋体"/>
                <w:b/>
                <w:sz w:val="24"/>
              </w:rPr>
              <w:t>表4-20  项目主要物质风险识别结果一览表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83"/>
              <w:gridCol w:w="1335"/>
              <w:gridCol w:w="648"/>
              <w:gridCol w:w="651"/>
              <w:gridCol w:w="1367"/>
              <w:gridCol w:w="1511"/>
              <w:gridCol w:w="872"/>
              <w:gridCol w:w="1006"/>
            </w:tblGrid>
            <w:tr w14:paraId="3D4DF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639" w:type="pct"/>
                  <w:vAlign w:val="center"/>
                </w:tcPr>
                <w:p w14:paraId="22C3D536">
                  <w:pPr>
                    <w:autoSpaceDE w:val="0"/>
                    <w:autoSpaceDN w:val="0"/>
                    <w:adjustRightInd w:val="0"/>
                    <w:jc w:val="center"/>
                    <w:rPr>
                      <w:b/>
                      <w:szCs w:val="21"/>
                    </w:rPr>
                  </w:pPr>
                  <w:r>
                    <w:rPr>
                      <w:rFonts w:hint="eastAsia"/>
                      <w:b/>
                      <w:szCs w:val="21"/>
                    </w:rPr>
                    <w:t>类别</w:t>
                  </w:r>
                </w:p>
              </w:tc>
              <w:tc>
                <w:tcPr>
                  <w:tcW w:w="787" w:type="pct"/>
                  <w:vAlign w:val="center"/>
                </w:tcPr>
                <w:p w14:paraId="3DDCACB1">
                  <w:pPr>
                    <w:autoSpaceDE w:val="0"/>
                    <w:autoSpaceDN w:val="0"/>
                    <w:adjustRightInd w:val="0"/>
                    <w:jc w:val="center"/>
                    <w:rPr>
                      <w:b/>
                      <w:szCs w:val="21"/>
                    </w:rPr>
                  </w:pPr>
                  <w:r>
                    <w:rPr>
                      <w:rFonts w:hint="eastAsia"/>
                      <w:b/>
                      <w:szCs w:val="21"/>
                    </w:rPr>
                    <w:t>事故类型</w:t>
                  </w:r>
                </w:p>
              </w:tc>
              <w:tc>
                <w:tcPr>
                  <w:tcW w:w="766" w:type="pct"/>
                  <w:gridSpan w:val="2"/>
                  <w:vAlign w:val="center"/>
                </w:tcPr>
                <w:p w14:paraId="0F894F15">
                  <w:pPr>
                    <w:autoSpaceDE w:val="0"/>
                    <w:autoSpaceDN w:val="0"/>
                    <w:adjustRightInd w:val="0"/>
                    <w:jc w:val="center"/>
                    <w:rPr>
                      <w:b/>
                      <w:szCs w:val="21"/>
                    </w:rPr>
                  </w:pPr>
                  <w:r>
                    <w:rPr>
                      <w:rFonts w:hint="eastAsia"/>
                      <w:b/>
                      <w:szCs w:val="21"/>
                    </w:rPr>
                    <w:t>风险</w:t>
                  </w:r>
                  <w:r>
                    <w:rPr>
                      <w:b/>
                      <w:szCs w:val="21"/>
                    </w:rPr>
                    <w:t>物质</w:t>
                  </w:r>
                </w:p>
              </w:tc>
              <w:tc>
                <w:tcPr>
                  <w:tcW w:w="806" w:type="pct"/>
                  <w:vAlign w:val="center"/>
                </w:tcPr>
                <w:p w14:paraId="48B2A6A2">
                  <w:pPr>
                    <w:autoSpaceDE w:val="0"/>
                    <w:autoSpaceDN w:val="0"/>
                    <w:adjustRightInd w:val="0"/>
                    <w:jc w:val="center"/>
                    <w:rPr>
                      <w:b/>
                      <w:szCs w:val="21"/>
                    </w:rPr>
                  </w:pPr>
                  <w:r>
                    <w:rPr>
                      <w:rFonts w:hint="eastAsia"/>
                      <w:b/>
                      <w:szCs w:val="21"/>
                    </w:rPr>
                    <w:t>分布</w:t>
                  </w:r>
                </w:p>
              </w:tc>
              <w:tc>
                <w:tcPr>
                  <w:tcW w:w="891" w:type="pct"/>
                  <w:vAlign w:val="center"/>
                </w:tcPr>
                <w:p w14:paraId="44271922">
                  <w:pPr>
                    <w:autoSpaceDE w:val="0"/>
                    <w:autoSpaceDN w:val="0"/>
                    <w:adjustRightInd w:val="0"/>
                    <w:jc w:val="center"/>
                    <w:rPr>
                      <w:b/>
                      <w:szCs w:val="21"/>
                    </w:rPr>
                  </w:pPr>
                  <w:r>
                    <w:rPr>
                      <w:rFonts w:hint="eastAsia"/>
                      <w:b/>
                      <w:szCs w:val="21"/>
                    </w:rPr>
                    <w:t>最大储存量（t）</w:t>
                  </w:r>
                </w:p>
              </w:tc>
              <w:tc>
                <w:tcPr>
                  <w:tcW w:w="514" w:type="pct"/>
                  <w:vAlign w:val="center"/>
                </w:tcPr>
                <w:p w14:paraId="3482BA51">
                  <w:pPr>
                    <w:autoSpaceDE w:val="0"/>
                    <w:autoSpaceDN w:val="0"/>
                    <w:adjustRightInd w:val="0"/>
                    <w:jc w:val="center"/>
                    <w:rPr>
                      <w:b/>
                      <w:szCs w:val="21"/>
                    </w:rPr>
                  </w:pPr>
                  <w:r>
                    <w:rPr>
                      <w:rFonts w:hint="eastAsia"/>
                      <w:b/>
                      <w:szCs w:val="21"/>
                    </w:rPr>
                    <w:t>临界量</w:t>
                  </w:r>
                </w:p>
              </w:tc>
              <w:tc>
                <w:tcPr>
                  <w:tcW w:w="593" w:type="pct"/>
                  <w:vAlign w:val="center"/>
                </w:tcPr>
                <w:p w14:paraId="628EBEF3">
                  <w:pPr>
                    <w:autoSpaceDE w:val="0"/>
                    <w:autoSpaceDN w:val="0"/>
                    <w:adjustRightInd w:val="0"/>
                    <w:jc w:val="center"/>
                    <w:rPr>
                      <w:b/>
                      <w:szCs w:val="21"/>
                    </w:rPr>
                  </w:pPr>
                  <w:r>
                    <w:rPr>
                      <w:rFonts w:hint="eastAsia"/>
                      <w:b/>
                      <w:szCs w:val="21"/>
                    </w:rPr>
                    <w:t>Q值</w:t>
                  </w:r>
                </w:p>
              </w:tc>
            </w:tr>
            <w:tr w14:paraId="25D52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39" w:type="pct"/>
                  <w:vAlign w:val="center"/>
                </w:tcPr>
                <w:p w14:paraId="196402FA">
                  <w:pPr>
                    <w:autoSpaceDE w:val="0"/>
                    <w:autoSpaceDN w:val="0"/>
                    <w:adjustRightInd w:val="0"/>
                    <w:jc w:val="center"/>
                    <w:rPr>
                      <w:szCs w:val="21"/>
                    </w:rPr>
                  </w:pPr>
                  <w:r>
                    <w:rPr>
                      <w:rFonts w:hint="eastAsia"/>
                      <w:szCs w:val="21"/>
                    </w:rPr>
                    <w:t>危险废物</w:t>
                  </w:r>
                </w:p>
              </w:tc>
              <w:tc>
                <w:tcPr>
                  <w:tcW w:w="787" w:type="pct"/>
                  <w:vAlign w:val="center"/>
                </w:tcPr>
                <w:p w14:paraId="2711DE86">
                  <w:pPr>
                    <w:jc w:val="center"/>
                    <w:rPr>
                      <w:szCs w:val="21"/>
                    </w:rPr>
                  </w:pPr>
                  <w:r>
                    <w:rPr>
                      <w:rFonts w:hint="eastAsia"/>
                      <w:szCs w:val="21"/>
                    </w:rPr>
                    <w:t>泄露、</w:t>
                  </w:r>
                  <w:r>
                    <w:rPr>
                      <w:rFonts w:hint="eastAsia"/>
                    </w:rPr>
                    <w:t>火灾</w:t>
                  </w:r>
                </w:p>
              </w:tc>
              <w:tc>
                <w:tcPr>
                  <w:tcW w:w="766" w:type="pct"/>
                  <w:gridSpan w:val="2"/>
                  <w:vAlign w:val="center"/>
                </w:tcPr>
                <w:p w14:paraId="4D86D085">
                  <w:pPr>
                    <w:jc w:val="center"/>
                    <w:rPr>
                      <w:kern w:val="0"/>
                      <w:szCs w:val="21"/>
                    </w:rPr>
                  </w:pPr>
                  <w:r>
                    <w:rPr>
                      <w:rFonts w:hint="eastAsia"/>
                      <w:szCs w:val="21"/>
                    </w:rPr>
                    <w:t>废机油</w:t>
                  </w:r>
                </w:p>
              </w:tc>
              <w:tc>
                <w:tcPr>
                  <w:tcW w:w="806" w:type="pct"/>
                  <w:vAlign w:val="center"/>
                </w:tcPr>
                <w:p w14:paraId="73CEE255">
                  <w:pPr>
                    <w:jc w:val="center"/>
                    <w:rPr>
                      <w:szCs w:val="21"/>
                    </w:rPr>
                  </w:pPr>
                  <w:r>
                    <w:rPr>
                      <w:rFonts w:hint="eastAsia"/>
                      <w:szCs w:val="21"/>
                    </w:rPr>
                    <w:t>危废暂存间</w:t>
                  </w:r>
                </w:p>
              </w:tc>
              <w:tc>
                <w:tcPr>
                  <w:tcW w:w="891" w:type="pct"/>
                  <w:vAlign w:val="center"/>
                </w:tcPr>
                <w:p w14:paraId="30344C66">
                  <w:pPr>
                    <w:jc w:val="center"/>
                    <w:rPr>
                      <w:szCs w:val="21"/>
                      <w:lang w:bidi="ar"/>
                    </w:rPr>
                  </w:pPr>
                  <w:r>
                    <w:rPr>
                      <w:rFonts w:hint="eastAsia"/>
                      <w:szCs w:val="21"/>
                      <w:lang w:bidi="ar"/>
                    </w:rPr>
                    <w:t>0.06</w:t>
                  </w:r>
                </w:p>
              </w:tc>
              <w:tc>
                <w:tcPr>
                  <w:tcW w:w="514" w:type="pct"/>
                  <w:vAlign w:val="center"/>
                </w:tcPr>
                <w:p w14:paraId="141D3CD8">
                  <w:pPr>
                    <w:jc w:val="center"/>
                    <w:rPr>
                      <w:szCs w:val="21"/>
                    </w:rPr>
                  </w:pPr>
                  <w:r>
                    <w:rPr>
                      <w:szCs w:val="21"/>
                    </w:rPr>
                    <w:t xml:space="preserve">2500 </w:t>
                  </w:r>
                  <w:r>
                    <w:rPr>
                      <w:rFonts w:hint="eastAsia"/>
                      <w:szCs w:val="21"/>
                    </w:rPr>
                    <w:t>t</w:t>
                  </w:r>
                </w:p>
              </w:tc>
              <w:tc>
                <w:tcPr>
                  <w:tcW w:w="593" w:type="pct"/>
                  <w:vAlign w:val="center"/>
                </w:tcPr>
                <w:p w14:paraId="62C2DCB7">
                  <w:pPr>
                    <w:jc w:val="center"/>
                    <w:rPr>
                      <w:szCs w:val="21"/>
                    </w:rPr>
                  </w:pPr>
                  <w:r>
                    <w:rPr>
                      <w:rFonts w:hint="eastAsia"/>
                      <w:bCs/>
                      <w:szCs w:val="21"/>
                    </w:rPr>
                    <w:t>0.000024</w:t>
                  </w:r>
                </w:p>
              </w:tc>
            </w:tr>
            <w:tr w14:paraId="5F97C3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32" w:hRule="atLeast"/>
                <w:jc w:val="center"/>
              </w:trPr>
              <w:tc>
                <w:tcPr>
                  <w:tcW w:w="639" w:type="pct"/>
                  <w:vMerge w:val="restart"/>
                  <w:vAlign w:val="center"/>
                </w:tcPr>
                <w:p w14:paraId="23C69197">
                  <w:pPr>
                    <w:autoSpaceDE w:val="0"/>
                    <w:autoSpaceDN w:val="0"/>
                    <w:adjustRightInd w:val="0"/>
                    <w:jc w:val="center"/>
                    <w:rPr>
                      <w:szCs w:val="21"/>
                    </w:rPr>
                  </w:pPr>
                  <w:r>
                    <w:rPr>
                      <w:rFonts w:hint="eastAsia"/>
                      <w:szCs w:val="21"/>
                    </w:rPr>
                    <w:t>危险废物</w:t>
                  </w:r>
                </w:p>
              </w:tc>
              <w:tc>
                <w:tcPr>
                  <w:tcW w:w="787" w:type="pct"/>
                  <w:vMerge w:val="restart"/>
                  <w:vAlign w:val="center"/>
                </w:tcPr>
                <w:p w14:paraId="7095D7F1">
                  <w:pPr>
                    <w:jc w:val="center"/>
                    <w:rPr>
                      <w:szCs w:val="21"/>
                    </w:rPr>
                  </w:pPr>
                  <w:r>
                    <w:rPr>
                      <w:rFonts w:hint="eastAsia"/>
                      <w:szCs w:val="21"/>
                    </w:rPr>
                    <w:t>泄露、</w:t>
                  </w:r>
                  <w:r>
                    <w:rPr>
                      <w:rFonts w:hint="eastAsia"/>
                    </w:rPr>
                    <w:t>火灾</w:t>
                  </w:r>
                </w:p>
              </w:tc>
              <w:tc>
                <w:tcPr>
                  <w:tcW w:w="382" w:type="pct"/>
                  <w:vMerge w:val="restart"/>
                  <w:vAlign w:val="center"/>
                </w:tcPr>
                <w:p w14:paraId="090FCABB">
                  <w:pPr>
                    <w:jc w:val="center"/>
                    <w:rPr>
                      <w:rFonts w:hint="default" w:eastAsia="宋体"/>
                      <w:kern w:val="0"/>
                      <w:szCs w:val="21"/>
                      <w:lang w:val="en-US" w:eastAsia="zh-CN"/>
                    </w:rPr>
                  </w:pPr>
                  <w:r>
                    <w:rPr>
                      <w:rFonts w:hint="eastAsia"/>
                      <w:kern w:val="0"/>
                      <w:szCs w:val="21"/>
                      <w:lang w:val="en-US" w:eastAsia="zh-CN"/>
                    </w:rPr>
                    <w:t>发泡材料</w:t>
                  </w:r>
                </w:p>
              </w:tc>
              <w:tc>
                <w:tcPr>
                  <w:tcW w:w="384" w:type="pct"/>
                  <w:vAlign w:val="center"/>
                </w:tcPr>
                <w:p w14:paraId="6B76A050">
                  <w:pPr>
                    <w:jc w:val="center"/>
                    <w:rPr>
                      <w:rFonts w:hint="default" w:eastAsia="宋体"/>
                      <w:kern w:val="0"/>
                      <w:szCs w:val="21"/>
                      <w:lang w:val="en-US" w:eastAsia="zh-CN"/>
                    </w:rPr>
                  </w:pPr>
                  <w:r>
                    <w:rPr>
                      <w:rFonts w:hint="eastAsia"/>
                      <w:kern w:val="0"/>
                      <w:szCs w:val="21"/>
                      <w:lang w:val="en-US" w:eastAsia="zh-CN"/>
                    </w:rPr>
                    <w:t>MDI</w:t>
                  </w:r>
                </w:p>
              </w:tc>
              <w:tc>
                <w:tcPr>
                  <w:tcW w:w="806" w:type="pct"/>
                  <w:vAlign w:val="center"/>
                </w:tcPr>
                <w:p w14:paraId="685EAC00">
                  <w:pPr>
                    <w:jc w:val="center"/>
                    <w:rPr>
                      <w:rFonts w:hint="default" w:eastAsia="宋体"/>
                      <w:szCs w:val="21"/>
                      <w:lang w:val="en-US" w:eastAsia="zh-CN"/>
                    </w:rPr>
                  </w:pPr>
                  <w:r>
                    <w:rPr>
                      <w:rFonts w:hint="eastAsia"/>
                      <w:szCs w:val="21"/>
                      <w:lang w:val="en-US" w:eastAsia="zh-CN"/>
                    </w:rPr>
                    <w:t>生产车间、化学品库</w:t>
                  </w:r>
                </w:p>
              </w:tc>
              <w:tc>
                <w:tcPr>
                  <w:tcW w:w="891" w:type="pct"/>
                  <w:vAlign w:val="center"/>
                </w:tcPr>
                <w:p w14:paraId="559C81AA">
                  <w:pPr>
                    <w:jc w:val="center"/>
                    <w:rPr>
                      <w:rFonts w:hint="default" w:eastAsia="宋体"/>
                      <w:szCs w:val="21"/>
                      <w:lang w:val="en-US" w:eastAsia="zh-CN" w:bidi="ar"/>
                    </w:rPr>
                  </w:pPr>
                  <w:r>
                    <w:rPr>
                      <w:rFonts w:hint="eastAsia"/>
                      <w:szCs w:val="21"/>
                      <w:lang w:val="en-US" w:eastAsia="zh-CN" w:bidi="ar"/>
                    </w:rPr>
                    <w:t>0.246</w:t>
                  </w:r>
                </w:p>
              </w:tc>
              <w:tc>
                <w:tcPr>
                  <w:tcW w:w="514" w:type="pct"/>
                  <w:vAlign w:val="center"/>
                </w:tcPr>
                <w:p w14:paraId="7A0A00B9">
                  <w:pPr>
                    <w:jc w:val="center"/>
                    <w:rPr>
                      <w:szCs w:val="21"/>
                    </w:rPr>
                  </w:pPr>
                  <w:r>
                    <w:rPr>
                      <w:rFonts w:hint="eastAsia"/>
                      <w:szCs w:val="21"/>
                      <w:lang w:val="en-US" w:eastAsia="zh-CN"/>
                    </w:rPr>
                    <w:t>0.5</w:t>
                  </w:r>
                  <w:r>
                    <w:rPr>
                      <w:szCs w:val="21"/>
                    </w:rPr>
                    <w:t xml:space="preserve"> </w:t>
                  </w:r>
                  <w:r>
                    <w:rPr>
                      <w:rFonts w:hint="eastAsia"/>
                      <w:szCs w:val="21"/>
                    </w:rPr>
                    <w:t>t</w:t>
                  </w:r>
                </w:p>
              </w:tc>
              <w:tc>
                <w:tcPr>
                  <w:tcW w:w="593" w:type="pct"/>
                  <w:vAlign w:val="center"/>
                </w:tcPr>
                <w:p w14:paraId="103AFB8D">
                  <w:pPr>
                    <w:jc w:val="center"/>
                    <w:rPr>
                      <w:rFonts w:hint="default" w:eastAsia="宋体"/>
                      <w:szCs w:val="21"/>
                      <w:lang w:val="en-US" w:eastAsia="zh-CN"/>
                    </w:rPr>
                  </w:pPr>
                  <w:r>
                    <w:rPr>
                      <w:rFonts w:hint="eastAsia"/>
                      <w:szCs w:val="21"/>
                      <w:lang w:val="en-US" w:eastAsia="zh-CN"/>
                    </w:rPr>
                    <w:t>0.492</w:t>
                  </w:r>
                </w:p>
              </w:tc>
            </w:tr>
            <w:tr w14:paraId="232E95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39" w:type="pct"/>
                  <w:vMerge w:val="continue"/>
                  <w:vAlign w:val="center"/>
                </w:tcPr>
                <w:p w14:paraId="1BFADABF">
                  <w:pPr>
                    <w:autoSpaceDE w:val="0"/>
                    <w:autoSpaceDN w:val="0"/>
                    <w:adjustRightInd w:val="0"/>
                    <w:jc w:val="center"/>
                    <w:rPr>
                      <w:rFonts w:hint="eastAsia"/>
                      <w:szCs w:val="21"/>
                    </w:rPr>
                  </w:pPr>
                </w:p>
              </w:tc>
              <w:tc>
                <w:tcPr>
                  <w:tcW w:w="787" w:type="pct"/>
                  <w:vMerge w:val="continue"/>
                  <w:vAlign w:val="center"/>
                </w:tcPr>
                <w:p w14:paraId="0FAF57EF">
                  <w:pPr>
                    <w:jc w:val="center"/>
                    <w:rPr>
                      <w:rFonts w:hint="eastAsia"/>
                      <w:szCs w:val="21"/>
                    </w:rPr>
                  </w:pPr>
                </w:p>
              </w:tc>
              <w:tc>
                <w:tcPr>
                  <w:tcW w:w="382" w:type="pct"/>
                  <w:vMerge w:val="continue"/>
                  <w:vAlign w:val="center"/>
                </w:tcPr>
                <w:p w14:paraId="4A7D9F7F">
                  <w:pPr>
                    <w:jc w:val="center"/>
                    <w:rPr>
                      <w:kern w:val="0"/>
                      <w:szCs w:val="21"/>
                    </w:rPr>
                  </w:pPr>
                </w:p>
              </w:tc>
              <w:tc>
                <w:tcPr>
                  <w:tcW w:w="384" w:type="pct"/>
                  <w:vAlign w:val="center"/>
                </w:tcPr>
                <w:p w14:paraId="7C33490D">
                  <w:pPr>
                    <w:jc w:val="center"/>
                    <w:rPr>
                      <w:rFonts w:hint="eastAsia" w:eastAsia="宋体"/>
                      <w:kern w:val="0"/>
                      <w:szCs w:val="21"/>
                      <w:lang w:val="en-US" w:eastAsia="zh-CN"/>
                    </w:rPr>
                  </w:pPr>
                  <w:r>
                    <w:rPr>
                      <w:rFonts w:hint="eastAsia"/>
                      <w:kern w:val="0"/>
                      <w:szCs w:val="21"/>
                      <w:lang w:val="en-US" w:eastAsia="zh-CN"/>
                    </w:rPr>
                    <w:t>聚醚多元醇</w:t>
                  </w:r>
                </w:p>
              </w:tc>
              <w:tc>
                <w:tcPr>
                  <w:tcW w:w="806" w:type="pct"/>
                  <w:vAlign w:val="center"/>
                </w:tcPr>
                <w:p w14:paraId="2045E5AE">
                  <w:pPr>
                    <w:jc w:val="center"/>
                    <w:rPr>
                      <w:szCs w:val="21"/>
                    </w:rPr>
                  </w:pPr>
                  <w:r>
                    <w:rPr>
                      <w:rFonts w:hint="eastAsia"/>
                      <w:szCs w:val="21"/>
                      <w:lang w:val="en-US" w:eastAsia="zh-CN"/>
                    </w:rPr>
                    <w:t>生产车间</w:t>
                  </w:r>
                </w:p>
              </w:tc>
              <w:tc>
                <w:tcPr>
                  <w:tcW w:w="891" w:type="pct"/>
                  <w:vAlign w:val="center"/>
                </w:tcPr>
                <w:p w14:paraId="325A3BA5">
                  <w:pPr>
                    <w:jc w:val="center"/>
                    <w:rPr>
                      <w:rFonts w:hint="default" w:eastAsia="宋体"/>
                      <w:szCs w:val="21"/>
                      <w:lang w:val="en-US" w:eastAsia="zh-CN" w:bidi="ar"/>
                    </w:rPr>
                  </w:pPr>
                  <w:r>
                    <w:rPr>
                      <w:rFonts w:hint="eastAsia"/>
                      <w:szCs w:val="21"/>
                      <w:lang w:val="en-US" w:eastAsia="zh-CN" w:bidi="ar"/>
                    </w:rPr>
                    <w:t>0.7</w:t>
                  </w:r>
                </w:p>
              </w:tc>
              <w:tc>
                <w:tcPr>
                  <w:tcW w:w="514" w:type="pct"/>
                  <w:vAlign w:val="center"/>
                </w:tcPr>
                <w:p w14:paraId="42B0BE18">
                  <w:pPr>
                    <w:jc w:val="center"/>
                    <w:rPr>
                      <w:rFonts w:hint="eastAsia" w:eastAsia="宋体"/>
                      <w:szCs w:val="21"/>
                      <w:lang w:val="en-US" w:eastAsia="zh-CN"/>
                    </w:rPr>
                  </w:pPr>
                  <w:r>
                    <w:rPr>
                      <w:rFonts w:hint="eastAsia"/>
                      <w:szCs w:val="21"/>
                      <w:lang w:val="en-US" w:eastAsia="zh-CN"/>
                    </w:rPr>
                    <w:t>/</w:t>
                  </w:r>
                </w:p>
              </w:tc>
              <w:tc>
                <w:tcPr>
                  <w:tcW w:w="593" w:type="pct"/>
                  <w:vAlign w:val="center"/>
                </w:tcPr>
                <w:p w14:paraId="7FB82F6E">
                  <w:pPr>
                    <w:jc w:val="center"/>
                    <w:rPr>
                      <w:rFonts w:hint="eastAsia" w:eastAsia="宋体"/>
                      <w:szCs w:val="21"/>
                      <w:lang w:val="en-US" w:eastAsia="zh-CN"/>
                    </w:rPr>
                  </w:pPr>
                  <w:r>
                    <w:rPr>
                      <w:rFonts w:hint="eastAsia"/>
                      <w:szCs w:val="21"/>
                      <w:lang w:val="en-US" w:eastAsia="zh-CN"/>
                    </w:rPr>
                    <w:t>/</w:t>
                  </w:r>
                </w:p>
              </w:tc>
            </w:tr>
            <w:tr w14:paraId="070808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39" w:type="pct"/>
                  <w:vAlign w:val="center"/>
                </w:tcPr>
                <w:p w14:paraId="63A3990B">
                  <w:pPr>
                    <w:autoSpaceDE w:val="0"/>
                    <w:autoSpaceDN w:val="0"/>
                    <w:adjustRightInd w:val="0"/>
                    <w:jc w:val="center"/>
                    <w:rPr>
                      <w:rFonts w:hint="eastAsia"/>
                      <w:szCs w:val="21"/>
                    </w:rPr>
                  </w:pPr>
                  <w:r>
                    <w:rPr>
                      <w:rFonts w:hint="eastAsia"/>
                      <w:szCs w:val="21"/>
                    </w:rPr>
                    <w:t>危险废物</w:t>
                  </w:r>
                </w:p>
              </w:tc>
              <w:tc>
                <w:tcPr>
                  <w:tcW w:w="787" w:type="pct"/>
                  <w:vAlign w:val="center"/>
                </w:tcPr>
                <w:p w14:paraId="1C2DA5FD">
                  <w:pPr>
                    <w:jc w:val="center"/>
                    <w:rPr>
                      <w:rFonts w:hint="eastAsia"/>
                      <w:szCs w:val="21"/>
                    </w:rPr>
                  </w:pPr>
                  <w:r>
                    <w:rPr>
                      <w:rFonts w:hint="eastAsia"/>
                      <w:szCs w:val="21"/>
                    </w:rPr>
                    <w:t>泄露、</w:t>
                  </w:r>
                  <w:r>
                    <w:rPr>
                      <w:rFonts w:hint="eastAsia"/>
                    </w:rPr>
                    <w:t>火灾</w:t>
                  </w:r>
                </w:p>
              </w:tc>
              <w:tc>
                <w:tcPr>
                  <w:tcW w:w="766" w:type="pct"/>
                  <w:gridSpan w:val="2"/>
                  <w:vAlign w:val="center"/>
                </w:tcPr>
                <w:p w14:paraId="4AE4C98E">
                  <w:pPr>
                    <w:jc w:val="center"/>
                    <w:rPr>
                      <w:rFonts w:hint="default" w:eastAsia="宋体"/>
                      <w:kern w:val="0"/>
                      <w:szCs w:val="21"/>
                      <w:lang w:val="en-US" w:eastAsia="zh-CN"/>
                    </w:rPr>
                  </w:pPr>
                  <w:r>
                    <w:rPr>
                      <w:rFonts w:hint="eastAsia"/>
                      <w:kern w:val="0"/>
                      <w:szCs w:val="21"/>
                      <w:lang w:val="en-US" w:eastAsia="zh-CN"/>
                    </w:rPr>
                    <w:t>水性胶</w:t>
                  </w:r>
                </w:p>
              </w:tc>
              <w:tc>
                <w:tcPr>
                  <w:tcW w:w="806" w:type="pct"/>
                  <w:vAlign w:val="center"/>
                </w:tcPr>
                <w:p w14:paraId="1BA93AF4">
                  <w:pPr>
                    <w:jc w:val="center"/>
                    <w:rPr>
                      <w:szCs w:val="21"/>
                    </w:rPr>
                  </w:pPr>
                  <w:r>
                    <w:rPr>
                      <w:rFonts w:hint="eastAsia"/>
                      <w:szCs w:val="21"/>
                      <w:lang w:val="en-US" w:eastAsia="zh-CN"/>
                    </w:rPr>
                    <w:t>生产车间</w:t>
                  </w:r>
                </w:p>
              </w:tc>
              <w:tc>
                <w:tcPr>
                  <w:tcW w:w="891" w:type="pct"/>
                  <w:vAlign w:val="center"/>
                </w:tcPr>
                <w:p w14:paraId="5966DC6A">
                  <w:pPr>
                    <w:jc w:val="center"/>
                    <w:rPr>
                      <w:rFonts w:hint="eastAsia" w:eastAsia="宋体"/>
                      <w:szCs w:val="21"/>
                      <w:lang w:val="en-US" w:eastAsia="zh-CN" w:bidi="ar"/>
                    </w:rPr>
                  </w:pPr>
                  <w:r>
                    <w:rPr>
                      <w:rFonts w:hint="eastAsia"/>
                      <w:szCs w:val="21"/>
                      <w:lang w:val="en-US" w:eastAsia="zh-CN" w:bidi="ar"/>
                    </w:rPr>
                    <w:t>1</w:t>
                  </w:r>
                </w:p>
              </w:tc>
              <w:tc>
                <w:tcPr>
                  <w:tcW w:w="514" w:type="pct"/>
                  <w:vAlign w:val="center"/>
                </w:tcPr>
                <w:p w14:paraId="529137F8">
                  <w:pPr>
                    <w:jc w:val="center"/>
                    <w:rPr>
                      <w:rFonts w:hint="eastAsia" w:eastAsia="宋体"/>
                      <w:szCs w:val="21"/>
                      <w:lang w:val="en-US" w:eastAsia="zh-CN"/>
                    </w:rPr>
                  </w:pPr>
                  <w:r>
                    <w:rPr>
                      <w:rFonts w:hint="eastAsia"/>
                      <w:szCs w:val="21"/>
                      <w:lang w:val="en-US" w:eastAsia="zh-CN"/>
                    </w:rPr>
                    <w:t>/</w:t>
                  </w:r>
                </w:p>
              </w:tc>
              <w:tc>
                <w:tcPr>
                  <w:tcW w:w="593" w:type="pct"/>
                  <w:vAlign w:val="center"/>
                </w:tcPr>
                <w:p w14:paraId="432BD211">
                  <w:pPr>
                    <w:jc w:val="center"/>
                    <w:rPr>
                      <w:rFonts w:hint="eastAsia" w:eastAsia="宋体"/>
                      <w:szCs w:val="21"/>
                      <w:lang w:val="en-US" w:eastAsia="zh-CN"/>
                    </w:rPr>
                  </w:pPr>
                  <w:r>
                    <w:rPr>
                      <w:rFonts w:hint="eastAsia"/>
                      <w:szCs w:val="21"/>
                      <w:lang w:val="en-US" w:eastAsia="zh-CN"/>
                    </w:rPr>
                    <w:t>/</w:t>
                  </w:r>
                </w:p>
              </w:tc>
            </w:tr>
          </w:tbl>
          <w:p w14:paraId="2211CE69">
            <w:pPr>
              <w:autoSpaceDE w:val="0"/>
              <w:autoSpaceDN w:val="0"/>
              <w:adjustRightInd w:val="0"/>
              <w:spacing w:line="360" w:lineRule="auto"/>
              <w:ind w:firstLine="480" w:firstLineChars="200"/>
              <w:jc w:val="left"/>
              <w:rPr>
                <w:rFonts w:hint="eastAsia" w:hAnsi="宋体"/>
                <w:sz w:val="24"/>
              </w:rPr>
            </w:pPr>
            <w:r>
              <w:rPr>
                <w:rFonts w:hint="eastAsia" w:hAnsi="宋体"/>
                <w:sz w:val="24"/>
              </w:rPr>
              <w:t>注:发泡材料中的 B 料中异氰酸聚亚甲基聚亚苯基酯</w:t>
            </w:r>
            <w:r>
              <w:rPr>
                <w:rFonts w:hint="eastAsia" w:hAnsi="宋体"/>
                <w:sz w:val="24"/>
                <w:lang w:eastAsia="zh-CN"/>
              </w:rPr>
              <w:t>（</w:t>
            </w:r>
            <w:r>
              <w:rPr>
                <w:rFonts w:hint="eastAsia" w:hAnsi="宋体"/>
                <w:sz w:val="24"/>
              </w:rPr>
              <w:t>CAS:26447-40-5</w:t>
            </w:r>
            <w:r>
              <w:rPr>
                <w:rFonts w:hint="eastAsia" w:hAnsi="宋体"/>
                <w:sz w:val="24"/>
                <w:lang w:eastAsia="zh-CN"/>
              </w:rPr>
              <w:t>）</w:t>
            </w:r>
            <w:r>
              <w:rPr>
                <w:rFonts w:hint="eastAsia" w:hAnsi="宋体"/>
                <w:sz w:val="24"/>
              </w:rPr>
              <w:t xml:space="preserve">含量约 </w:t>
            </w:r>
            <w:r>
              <w:rPr>
                <w:rFonts w:hint="eastAsia" w:hAnsi="宋体"/>
                <w:sz w:val="24"/>
                <w:lang w:val="en-US" w:eastAsia="zh-CN"/>
              </w:rPr>
              <w:t>74</w:t>
            </w:r>
            <w:r>
              <w:rPr>
                <w:rFonts w:hint="eastAsia" w:hAnsi="宋体"/>
                <w:sz w:val="24"/>
              </w:rPr>
              <w:t>%-</w:t>
            </w:r>
            <w:r>
              <w:rPr>
                <w:rFonts w:hint="eastAsia" w:hAnsi="宋体"/>
                <w:sz w:val="24"/>
                <w:lang w:val="en-US" w:eastAsia="zh-CN"/>
              </w:rPr>
              <w:t>82</w:t>
            </w:r>
            <w:r>
              <w:rPr>
                <w:rFonts w:hint="eastAsia" w:hAnsi="宋体"/>
                <w:sz w:val="24"/>
              </w:rPr>
              <w:t xml:space="preserve">%，本次取值 </w:t>
            </w:r>
            <w:r>
              <w:rPr>
                <w:rFonts w:hint="eastAsia" w:hAnsi="宋体"/>
                <w:sz w:val="24"/>
                <w:lang w:val="en-US" w:eastAsia="zh-CN"/>
              </w:rPr>
              <w:t>82</w:t>
            </w:r>
            <w:r>
              <w:rPr>
                <w:rFonts w:hint="eastAsia" w:hAnsi="宋体"/>
                <w:sz w:val="24"/>
              </w:rPr>
              <w:t>%，0.</w:t>
            </w:r>
            <w:r>
              <w:rPr>
                <w:rFonts w:hint="eastAsia" w:hAnsi="宋体"/>
                <w:sz w:val="24"/>
                <w:lang w:val="en-US" w:eastAsia="zh-CN"/>
              </w:rPr>
              <w:t>3</w:t>
            </w:r>
            <w:r>
              <w:rPr>
                <w:rFonts w:hint="eastAsia" w:hAnsi="宋体"/>
                <w:sz w:val="24"/>
              </w:rPr>
              <w:t>*</w:t>
            </w:r>
            <w:r>
              <w:rPr>
                <w:rFonts w:hint="eastAsia" w:hAnsi="宋体"/>
                <w:sz w:val="24"/>
                <w:lang w:val="en-US" w:eastAsia="zh-CN"/>
              </w:rPr>
              <w:t>82</w:t>
            </w:r>
            <w:r>
              <w:rPr>
                <w:rFonts w:hint="eastAsia" w:hAnsi="宋体"/>
                <w:sz w:val="24"/>
              </w:rPr>
              <w:t>%=0.</w:t>
            </w:r>
            <w:r>
              <w:rPr>
                <w:rFonts w:hint="eastAsia" w:hAnsi="宋体"/>
                <w:sz w:val="24"/>
                <w:lang w:val="en-US" w:eastAsia="zh-CN"/>
              </w:rPr>
              <w:t>246</w:t>
            </w:r>
            <w:r>
              <w:rPr>
                <w:rFonts w:hint="eastAsia" w:hAnsi="宋体"/>
                <w:sz w:val="24"/>
              </w:rPr>
              <w:t>t。</w:t>
            </w:r>
          </w:p>
          <w:p w14:paraId="3777B1A2">
            <w:pPr>
              <w:autoSpaceDE w:val="0"/>
              <w:autoSpaceDN w:val="0"/>
              <w:adjustRightInd w:val="0"/>
              <w:spacing w:line="360" w:lineRule="auto"/>
              <w:ind w:firstLine="480" w:firstLineChars="200"/>
              <w:jc w:val="left"/>
              <w:rPr>
                <w:rFonts w:hAnsi="宋体"/>
                <w:sz w:val="24"/>
              </w:rPr>
            </w:pPr>
            <w:r>
              <w:rPr>
                <w:rFonts w:hint="eastAsia" w:hAnsi="宋体"/>
                <w:sz w:val="24"/>
              </w:rPr>
              <w:t>根据</w:t>
            </w:r>
            <w:r>
              <w:rPr>
                <w:rFonts w:hint="eastAsia"/>
                <w:sz w:val="24"/>
              </w:rPr>
              <w:t>导则计算</w:t>
            </w:r>
            <w:r>
              <w:rPr>
                <w:rFonts w:hint="eastAsia" w:hAnsi="宋体"/>
                <w:sz w:val="24"/>
              </w:rPr>
              <w:t>危险物质数量与临界量比值：</w:t>
            </w:r>
            <w:r>
              <w:rPr>
                <w:rFonts w:hAnsi="宋体"/>
                <w:sz w:val="24"/>
              </w:rPr>
              <w:t>Q</w:t>
            </w:r>
            <w:r>
              <w:rPr>
                <w:rFonts w:hint="eastAsia" w:hAnsi="宋体"/>
                <w:sz w:val="24"/>
              </w:rPr>
              <w:t>=</w:t>
            </w:r>
            <w:r>
              <w:rPr>
                <w:sz w:val="24"/>
              </w:rPr>
              <w:t>Σqi/Qi</w:t>
            </w:r>
            <w:r>
              <w:rPr>
                <w:rFonts w:hint="eastAsia"/>
                <w:sz w:val="24"/>
              </w:rPr>
              <w:t>=</w:t>
            </w:r>
            <w:r>
              <w:rPr>
                <w:rFonts w:hint="eastAsia" w:hAnsi="宋体"/>
                <w:sz w:val="24"/>
                <w:lang w:val="en-US" w:eastAsia="zh-CN"/>
              </w:rPr>
              <w:t>0.492024</w:t>
            </w:r>
            <w:r>
              <w:rPr>
                <w:rFonts w:hint="eastAsia"/>
                <w:sz w:val="24"/>
              </w:rPr>
              <w:t>＜1，根据《建设项目环境风险评价技术导则》（HJ 169—2018），当 Q＜1 时，环境风险潜势为</w:t>
            </w:r>
            <w:r>
              <w:rPr>
                <w:sz w:val="24"/>
              </w:rPr>
              <w:fldChar w:fldCharType="begin"/>
            </w:r>
            <w:r>
              <w:rPr>
                <w:sz w:val="24"/>
              </w:rPr>
              <w:instrText xml:space="preserve"> </w:instrText>
            </w:r>
            <w:r>
              <w:rPr>
                <w:rFonts w:hint="eastAsia"/>
                <w:sz w:val="24"/>
              </w:rPr>
              <w:instrText xml:space="preserve">= 1 \* ROMAN</w:instrText>
            </w:r>
            <w:r>
              <w:rPr>
                <w:sz w:val="24"/>
              </w:rPr>
              <w:instrText xml:space="preserve"> </w:instrText>
            </w:r>
            <w:r>
              <w:rPr>
                <w:sz w:val="24"/>
              </w:rPr>
              <w:fldChar w:fldCharType="separate"/>
            </w:r>
            <w:r>
              <w:rPr>
                <w:sz w:val="24"/>
              </w:rPr>
              <w:t>I</w:t>
            </w:r>
            <w:r>
              <w:rPr>
                <w:sz w:val="24"/>
              </w:rPr>
              <w:fldChar w:fldCharType="end"/>
            </w:r>
            <w:r>
              <w:rPr>
                <w:rFonts w:hAnsi="宋体"/>
                <w:sz w:val="24"/>
              </w:rPr>
              <w:t>。</w:t>
            </w:r>
            <w:r>
              <w:rPr>
                <w:rFonts w:hint="eastAsia" w:hAnsi="宋体"/>
                <w:sz w:val="24"/>
              </w:rPr>
              <w:t>因此，项目风险评价等级定为简单分析，根据导则要求，环境风险评价作简单分析，在描述危险物质、环境影响途径、环境危害后果、风险防范措施等方面给出定性的说明。</w:t>
            </w:r>
          </w:p>
          <w:p w14:paraId="3FC849E0">
            <w:pPr>
              <w:spacing w:line="360" w:lineRule="auto"/>
              <w:ind w:firstLine="480" w:firstLineChars="200"/>
              <w:rPr>
                <w:sz w:val="24"/>
              </w:rPr>
            </w:pPr>
            <w:r>
              <w:rPr>
                <w:rFonts w:hint="eastAsia"/>
                <w:sz w:val="24"/>
              </w:rPr>
              <w:t>（3）环境风险防范</w:t>
            </w:r>
          </w:p>
          <w:p w14:paraId="24348A41">
            <w:pPr>
              <w:spacing w:line="360" w:lineRule="auto"/>
              <w:ind w:firstLine="480" w:firstLineChars="200"/>
              <w:rPr>
                <w:sz w:val="24"/>
              </w:rPr>
            </w:pPr>
            <w:r>
              <w:rPr>
                <w:rFonts w:hint="eastAsia"/>
                <w:sz w:val="24"/>
              </w:rPr>
              <w:t>1）选址、总图布置和建筑安全防范措施</w:t>
            </w:r>
          </w:p>
          <w:p w14:paraId="064F0D95">
            <w:pPr>
              <w:spacing w:line="360" w:lineRule="auto"/>
              <w:ind w:firstLine="480" w:firstLineChars="200"/>
              <w:rPr>
                <w:sz w:val="24"/>
              </w:rPr>
            </w:pPr>
            <w:r>
              <w:rPr>
                <w:rFonts w:hint="eastAsia"/>
                <w:sz w:val="24"/>
              </w:rPr>
              <w:t>本项目位于芜湖经济开发区东区，选址合理。企业租赁厂房都已按照《建筑设计防火规范》（GB50016-2014）执行，总图布置时，按照功能划分，分区布置。消防道路环绕各区，库区各个单项防火间距均符合有关防火设计规范。</w:t>
            </w:r>
          </w:p>
          <w:p w14:paraId="33918C49">
            <w:pPr>
              <w:spacing w:line="360" w:lineRule="auto"/>
              <w:ind w:firstLine="480" w:firstLineChars="200"/>
              <w:rPr>
                <w:sz w:val="24"/>
              </w:rPr>
            </w:pPr>
            <w:r>
              <w:rPr>
                <w:rFonts w:hint="eastAsia"/>
                <w:sz w:val="24"/>
              </w:rPr>
              <w:t>建、构筑物之间或与其它场所之间留有足够的防火间距，防止在火灾或爆炸时相互影响。同时设有应急救援设施及救援通道、应急疏散及避难所等，符合防范事故要求。</w:t>
            </w:r>
          </w:p>
          <w:p w14:paraId="5CE4C84F">
            <w:pPr>
              <w:spacing w:line="360" w:lineRule="auto"/>
              <w:ind w:firstLine="480" w:firstLineChars="200"/>
              <w:rPr>
                <w:sz w:val="24"/>
              </w:rPr>
            </w:pPr>
            <w:r>
              <w:rPr>
                <w:rFonts w:hint="eastAsia"/>
                <w:sz w:val="24"/>
              </w:rPr>
              <w:t>建筑设计采用国家标准及行业标准。建筑物的防火等级均按照国家现行规范要求进行设计。凡禁火区均设置明显标志牌。建立完善的消防系统，包括火灾报警系统、消防水喷淋系统和干粉灭火器等。设备操作、维护、检修作业必须使用不发火材料，工具采取严密的安全防护措施。</w:t>
            </w:r>
          </w:p>
          <w:p w14:paraId="1929E36A">
            <w:pPr>
              <w:numPr>
                <w:ilvl w:val="0"/>
                <w:numId w:val="10"/>
              </w:numPr>
              <w:spacing w:line="360" w:lineRule="auto"/>
              <w:ind w:firstLine="480" w:firstLineChars="200"/>
              <w:rPr>
                <w:sz w:val="24"/>
              </w:rPr>
            </w:pPr>
            <w:r>
              <w:rPr>
                <w:rFonts w:hint="eastAsia"/>
                <w:sz w:val="24"/>
              </w:rPr>
              <w:t>物料泄漏事故的防范措施</w:t>
            </w:r>
          </w:p>
          <w:p w14:paraId="1049EAE1">
            <w:pPr>
              <w:spacing w:line="360" w:lineRule="auto"/>
              <w:ind w:firstLine="480" w:firstLineChars="200"/>
              <w:rPr>
                <w:sz w:val="24"/>
              </w:rPr>
            </w:pPr>
            <w:r>
              <w:rPr>
                <w:rFonts w:hint="eastAsia"/>
                <w:sz w:val="24"/>
              </w:rPr>
              <w:t>桶体泄漏时及时用木楔或胶块堵漏，将泄漏的液料用黄沙、毛毡、海绵等具有可吸附性的材料清理。大量泄漏时，要立即向“119”报警，划定警戒区，控制无关人员进入，用泥土或塑料等物将流出的液体围住，防止流散。</w:t>
            </w:r>
          </w:p>
          <w:p w14:paraId="33ACBB61">
            <w:pPr>
              <w:numPr>
                <w:ilvl w:val="0"/>
                <w:numId w:val="10"/>
              </w:numPr>
              <w:spacing w:line="360" w:lineRule="auto"/>
              <w:ind w:firstLine="480" w:firstLineChars="200"/>
              <w:rPr>
                <w:sz w:val="24"/>
              </w:rPr>
            </w:pPr>
            <w:r>
              <w:rPr>
                <w:rFonts w:hint="eastAsia"/>
                <w:sz w:val="24"/>
              </w:rPr>
              <w:t>火灾爆炸事故的抢救措施</w:t>
            </w:r>
          </w:p>
          <w:p w14:paraId="6ED41255">
            <w:pPr>
              <w:adjustRightInd w:val="0"/>
              <w:snapToGrid w:val="0"/>
              <w:spacing w:line="360" w:lineRule="auto"/>
              <w:ind w:firstLine="480" w:firstLineChars="200"/>
              <w:rPr>
                <w:kern w:val="24"/>
                <w:sz w:val="24"/>
              </w:rPr>
            </w:pPr>
            <w:r>
              <w:rPr>
                <w:rFonts w:hint="eastAsia"/>
                <w:kern w:val="24"/>
                <w:sz w:val="24"/>
              </w:rPr>
              <w:t>a.利用设置的火灾自动报警系统及电话向消防部门报警，报警内容应包括：事故单位；事故发生的时间、地点、物品名称、危险程度；有无人员伤亡以及报警人姓名、电话。</w:t>
            </w:r>
          </w:p>
          <w:p w14:paraId="4EB99959">
            <w:pPr>
              <w:adjustRightInd w:val="0"/>
              <w:snapToGrid w:val="0"/>
              <w:spacing w:line="360" w:lineRule="auto"/>
              <w:ind w:firstLine="480" w:firstLineChars="200"/>
              <w:rPr>
                <w:kern w:val="24"/>
                <w:sz w:val="24"/>
              </w:rPr>
            </w:pPr>
            <w:r>
              <w:rPr>
                <w:rFonts w:hint="eastAsia"/>
                <w:kern w:val="24"/>
                <w:sz w:val="24"/>
              </w:rPr>
              <w:t>b.同时采取设置的移动式消防器材及固定式消防设施进行灭火。小火灾时用干粉或二氧化碳灭火器，大火灾时用水幕、雾状水或常规泡沫灭火。</w:t>
            </w:r>
          </w:p>
          <w:p w14:paraId="0C28B573">
            <w:pPr>
              <w:adjustRightInd w:val="0"/>
              <w:snapToGrid w:val="0"/>
              <w:spacing w:line="360" w:lineRule="auto"/>
              <w:ind w:firstLine="480" w:firstLineChars="200"/>
              <w:rPr>
                <w:kern w:val="24"/>
                <w:sz w:val="24"/>
              </w:rPr>
            </w:pPr>
            <w:r>
              <w:rPr>
                <w:rFonts w:hint="eastAsia"/>
                <w:kern w:val="24"/>
                <w:sz w:val="24"/>
              </w:rPr>
              <w:t>c.一般建筑物火灾主要采用水灭火，利用消防栓、消防车、消防水枪并配合其他消防器材进行扑救。</w:t>
            </w:r>
          </w:p>
          <w:p w14:paraId="02D83728">
            <w:pPr>
              <w:pStyle w:val="9"/>
              <w:spacing w:line="360" w:lineRule="auto"/>
              <w:rPr>
                <w:kern w:val="24"/>
                <w:sz w:val="24"/>
              </w:rPr>
            </w:pPr>
            <w:r>
              <w:rPr>
                <w:rFonts w:hint="eastAsia"/>
              </w:rPr>
              <w:t>d.</w:t>
            </w:r>
            <w:r>
              <w:rPr>
                <w:rFonts w:hint="eastAsia"/>
                <w:kern w:val="24"/>
                <w:sz w:val="24"/>
              </w:rPr>
              <w:t>隔离、疏散、转移遇险人员到安全区域，按消防专业的要求警戒区，并在通往事故现场的主要干道上实行交通管制，除消防及应急处理人员外，其他人员禁止进入警戒区，并迅速撤离无关人员。</w:t>
            </w:r>
          </w:p>
          <w:p w14:paraId="12838714">
            <w:pPr>
              <w:spacing w:line="360" w:lineRule="auto"/>
              <w:ind w:firstLine="480" w:firstLineChars="200"/>
              <w:rPr>
                <w:sz w:val="24"/>
              </w:rPr>
            </w:pPr>
            <w:r>
              <w:rPr>
                <w:rFonts w:hint="eastAsia"/>
                <w:sz w:val="24"/>
              </w:rPr>
              <w:t>4）废气污染事故防范措施</w:t>
            </w:r>
          </w:p>
          <w:p w14:paraId="3FA84901">
            <w:pPr>
              <w:spacing w:line="360" w:lineRule="auto"/>
              <w:ind w:firstLine="480" w:firstLineChars="200"/>
              <w:rPr>
                <w:sz w:val="24"/>
              </w:rPr>
            </w:pPr>
            <w:r>
              <w:rPr>
                <w:rFonts w:hint="eastAsia"/>
                <w:sz w:val="24"/>
              </w:rPr>
              <w:t>a. 制定严格的工艺操作规程，加强监督和管理，提高职工安全意识和环保意识。</w:t>
            </w:r>
          </w:p>
          <w:p w14:paraId="350AB4AD">
            <w:pPr>
              <w:spacing w:line="360" w:lineRule="auto"/>
              <w:ind w:firstLine="480" w:firstLineChars="200"/>
              <w:rPr>
                <w:sz w:val="24"/>
              </w:rPr>
            </w:pPr>
            <w:r>
              <w:rPr>
                <w:rFonts w:hint="eastAsia"/>
                <w:sz w:val="24"/>
              </w:rPr>
              <w:t>b. 加强管理，对管道、阀门、接口处进行定期检查，严禁跑、冒、滴、漏现象的发生；确保各废气处理装置正常运行。</w:t>
            </w:r>
          </w:p>
          <w:p w14:paraId="3F3444CB">
            <w:pPr>
              <w:spacing w:line="360" w:lineRule="auto"/>
              <w:ind w:firstLine="480" w:firstLineChars="200"/>
              <w:rPr>
                <w:sz w:val="24"/>
              </w:rPr>
            </w:pPr>
            <w:r>
              <w:rPr>
                <w:rFonts w:hint="eastAsia"/>
                <w:sz w:val="24"/>
              </w:rPr>
              <w:t>c. 定期排查并消除可能导致事故的诱因，加强安全管理，将非正常工况排放的几率减到最小，采取措施杜绝风险事故的发生。</w:t>
            </w:r>
          </w:p>
          <w:p w14:paraId="744CAE03">
            <w:pPr>
              <w:spacing w:line="360" w:lineRule="auto"/>
              <w:ind w:firstLine="480" w:firstLineChars="200"/>
              <w:rPr>
                <w:sz w:val="24"/>
              </w:rPr>
            </w:pPr>
            <w:r>
              <w:rPr>
                <w:rFonts w:hint="eastAsia"/>
                <w:sz w:val="24"/>
              </w:rPr>
              <w:t>d. 若废气处理装置发生故障，应立即开启紧急停车系统，从源头控制废气的产生。</w:t>
            </w:r>
          </w:p>
          <w:p w14:paraId="6F5E15A0">
            <w:pPr>
              <w:pStyle w:val="9"/>
              <w:spacing w:line="360" w:lineRule="auto"/>
              <w:ind w:firstLine="480"/>
            </w:pPr>
            <w:r>
              <w:rPr>
                <w:rFonts w:hint="eastAsia"/>
                <w:sz w:val="24"/>
              </w:rPr>
              <w:t>综上所述，项目不存在重大危险源，风险事故对外环境影响较小，项目落实环境风险防范措施基础上，其环境风险是可接受的。</w:t>
            </w:r>
          </w:p>
          <w:p w14:paraId="11E39E92">
            <w:pPr>
              <w:spacing w:before="120" w:beforeLines="50"/>
              <w:jc w:val="center"/>
              <w:rPr>
                <w:rFonts w:hAnsi="宋体"/>
                <w:b/>
                <w:sz w:val="24"/>
              </w:rPr>
            </w:pPr>
            <w:r>
              <w:rPr>
                <w:rFonts w:hint="eastAsia" w:hAnsi="宋体"/>
                <w:b/>
                <w:sz w:val="24"/>
              </w:rPr>
              <w:t xml:space="preserve">表4-21 </w:t>
            </w:r>
            <w:r>
              <w:rPr>
                <w:rFonts w:hAnsi="宋体"/>
                <w:b/>
                <w:sz w:val="24"/>
              </w:rPr>
              <w:t xml:space="preserve"> </w:t>
            </w:r>
            <w:r>
              <w:rPr>
                <w:rFonts w:hint="eastAsia" w:hAnsi="宋体"/>
                <w:b/>
                <w:sz w:val="24"/>
              </w:rPr>
              <w:t>建设环境风险简单分析内容一览表</w:t>
            </w:r>
          </w:p>
          <w:tbl>
            <w:tblPr>
              <w:tblStyle w:val="29"/>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82"/>
              <w:gridCol w:w="6794"/>
            </w:tblGrid>
            <w:tr w14:paraId="6C1AAB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2" w:type="pct"/>
                  <w:shd w:val="clear" w:color="auto" w:fill="auto"/>
                  <w:vAlign w:val="center"/>
                </w:tcPr>
                <w:p w14:paraId="3A8D74F2">
                  <w:pPr>
                    <w:snapToGrid w:val="0"/>
                    <w:jc w:val="center"/>
                    <w:rPr>
                      <w:b/>
                      <w:szCs w:val="21"/>
                    </w:rPr>
                  </w:pPr>
                  <w:r>
                    <w:rPr>
                      <w:rFonts w:hint="eastAsia"/>
                      <w:b/>
                      <w:szCs w:val="21"/>
                    </w:rPr>
                    <w:t>建设项目名称</w:t>
                  </w:r>
                </w:p>
              </w:tc>
              <w:tc>
                <w:tcPr>
                  <w:tcW w:w="4007" w:type="pct"/>
                  <w:shd w:val="clear" w:color="auto" w:fill="auto"/>
                  <w:vAlign w:val="center"/>
                </w:tcPr>
                <w:p w14:paraId="412A4F79">
                  <w:pPr>
                    <w:snapToGrid w:val="0"/>
                    <w:jc w:val="center"/>
                    <w:rPr>
                      <w:b/>
                      <w:szCs w:val="21"/>
                    </w:rPr>
                  </w:pPr>
                  <w:r>
                    <w:rPr>
                      <w:rFonts w:hint="eastAsia"/>
                      <w:bCs/>
                      <w:szCs w:val="21"/>
                    </w:rPr>
                    <w:t>年产150万个汽车内饰包覆件产品项目</w:t>
                  </w:r>
                </w:p>
              </w:tc>
            </w:tr>
            <w:tr w14:paraId="2F5F84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2" w:type="pct"/>
                  <w:shd w:val="clear" w:color="auto" w:fill="auto"/>
                  <w:vAlign w:val="center"/>
                </w:tcPr>
                <w:p w14:paraId="5FF33499">
                  <w:pPr>
                    <w:snapToGrid w:val="0"/>
                    <w:jc w:val="center"/>
                    <w:rPr>
                      <w:b/>
                      <w:szCs w:val="21"/>
                    </w:rPr>
                  </w:pPr>
                  <w:r>
                    <w:rPr>
                      <w:rFonts w:hint="eastAsia"/>
                      <w:b/>
                      <w:szCs w:val="21"/>
                    </w:rPr>
                    <w:t>建设地点</w:t>
                  </w:r>
                </w:p>
              </w:tc>
              <w:tc>
                <w:tcPr>
                  <w:tcW w:w="4007" w:type="pct"/>
                  <w:shd w:val="clear" w:color="auto" w:fill="auto"/>
                  <w:vAlign w:val="center"/>
                </w:tcPr>
                <w:p w14:paraId="60843CB3">
                  <w:pPr>
                    <w:snapToGrid w:val="0"/>
                    <w:ind w:left="-105" w:leftChars="-50" w:right="-105" w:rightChars="-50"/>
                    <w:jc w:val="center"/>
                    <w:rPr>
                      <w:rFonts w:hint="eastAsia" w:eastAsia="宋体"/>
                      <w:szCs w:val="21"/>
                      <w:lang w:eastAsia="zh-CN"/>
                    </w:rPr>
                  </w:pPr>
                  <w:r>
                    <w:rPr>
                      <w:rFonts w:hint="eastAsia"/>
                      <w:szCs w:val="21"/>
                    </w:rPr>
                    <w:t>安徽省</w:t>
                  </w:r>
                  <w:r>
                    <w:rPr>
                      <w:rFonts w:hint="eastAsia"/>
                      <w:szCs w:val="21"/>
                      <w:lang w:eastAsia="zh-CN"/>
                    </w:rPr>
                    <w:t>芜湖市鸠江经济开发区徽州路152号</w:t>
                  </w:r>
                </w:p>
              </w:tc>
            </w:tr>
            <w:tr w14:paraId="47E257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2" w:type="pct"/>
                  <w:shd w:val="clear" w:color="auto" w:fill="auto"/>
                  <w:vAlign w:val="center"/>
                </w:tcPr>
                <w:p w14:paraId="62C8291D">
                  <w:pPr>
                    <w:snapToGrid w:val="0"/>
                    <w:jc w:val="center"/>
                    <w:rPr>
                      <w:b/>
                      <w:szCs w:val="21"/>
                    </w:rPr>
                  </w:pPr>
                  <w:r>
                    <w:rPr>
                      <w:rFonts w:hint="eastAsia"/>
                      <w:b/>
                      <w:szCs w:val="21"/>
                    </w:rPr>
                    <w:t>地理坐标</w:t>
                  </w:r>
                </w:p>
              </w:tc>
              <w:tc>
                <w:tcPr>
                  <w:tcW w:w="4007" w:type="pct"/>
                  <w:shd w:val="clear" w:color="auto" w:fill="auto"/>
                  <w:vAlign w:val="center"/>
                </w:tcPr>
                <w:p w14:paraId="41F8A89D">
                  <w:pPr>
                    <w:snapToGrid w:val="0"/>
                    <w:jc w:val="center"/>
                    <w:rPr>
                      <w:szCs w:val="21"/>
                    </w:rPr>
                  </w:pPr>
                  <w:r>
                    <w:rPr>
                      <w:rFonts w:hint="eastAsia"/>
                      <w:szCs w:val="21"/>
                    </w:rPr>
                    <w:t>北纬N 31°2</w:t>
                  </w:r>
                  <w:r>
                    <w:rPr>
                      <w:rFonts w:hint="eastAsia"/>
                      <w:szCs w:val="21"/>
                      <w:lang w:val="en-US" w:eastAsia="zh-CN"/>
                    </w:rPr>
                    <w:t>3</w:t>
                  </w:r>
                  <w:r>
                    <w:rPr>
                      <w:rFonts w:hint="eastAsia"/>
                      <w:szCs w:val="21"/>
                    </w:rPr>
                    <w:t>' 13.044″ 东经E 118°2</w:t>
                  </w:r>
                  <w:r>
                    <w:rPr>
                      <w:rFonts w:hint="eastAsia"/>
                      <w:szCs w:val="21"/>
                      <w:lang w:val="en-US" w:eastAsia="zh-CN"/>
                    </w:rPr>
                    <w:t>6</w:t>
                  </w:r>
                  <w:r>
                    <w:rPr>
                      <w:rFonts w:hint="eastAsia"/>
                      <w:szCs w:val="21"/>
                    </w:rPr>
                    <w:t>' 53.091″</w:t>
                  </w:r>
                </w:p>
              </w:tc>
            </w:tr>
            <w:tr w14:paraId="53300C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992" w:type="pct"/>
                  <w:shd w:val="clear" w:color="auto" w:fill="auto"/>
                  <w:vAlign w:val="center"/>
                </w:tcPr>
                <w:p w14:paraId="67D775B4">
                  <w:pPr>
                    <w:snapToGrid w:val="0"/>
                    <w:ind w:left="-105" w:leftChars="-50" w:right="-105" w:rightChars="-50"/>
                    <w:jc w:val="center"/>
                    <w:rPr>
                      <w:b/>
                      <w:szCs w:val="21"/>
                    </w:rPr>
                  </w:pPr>
                  <w:r>
                    <w:rPr>
                      <w:rFonts w:hint="eastAsia"/>
                      <w:b/>
                      <w:szCs w:val="21"/>
                    </w:rPr>
                    <w:t>主要危险物质及分布</w:t>
                  </w:r>
                </w:p>
              </w:tc>
              <w:tc>
                <w:tcPr>
                  <w:tcW w:w="4007" w:type="pct"/>
                  <w:shd w:val="clear" w:color="auto" w:fill="auto"/>
                  <w:vAlign w:val="center"/>
                </w:tcPr>
                <w:p w14:paraId="45BD7F9C">
                  <w:pPr>
                    <w:snapToGrid w:val="0"/>
                    <w:jc w:val="center"/>
                    <w:rPr>
                      <w:szCs w:val="21"/>
                    </w:rPr>
                  </w:pPr>
                  <w:r>
                    <w:rPr>
                      <w:rFonts w:hint="eastAsia"/>
                      <w:szCs w:val="21"/>
                    </w:rPr>
                    <w:t>机油、废机油分别分布于原料区、危废仓库，最大贮存量分别为0.1t、0.06t。</w:t>
                  </w:r>
                </w:p>
              </w:tc>
            </w:tr>
            <w:tr w14:paraId="22C73F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2" w:type="pct"/>
                  <w:shd w:val="clear" w:color="auto" w:fill="auto"/>
                  <w:vAlign w:val="center"/>
                </w:tcPr>
                <w:p w14:paraId="3EBCF8C8">
                  <w:pPr>
                    <w:snapToGrid w:val="0"/>
                    <w:jc w:val="center"/>
                    <w:rPr>
                      <w:b/>
                      <w:szCs w:val="21"/>
                    </w:rPr>
                  </w:pPr>
                  <w:r>
                    <w:rPr>
                      <w:rFonts w:hint="eastAsia"/>
                      <w:b/>
                      <w:szCs w:val="21"/>
                    </w:rPr>
                    <w:t>环境影响途径及危害</w:t>
                  </w:r>
                </w:p>
              </w:tc>
              <w:tc>
                <w:tcPr>
                  <w:tcW w:w="4007" w:type="pct"/>
                  <w:shd w:val="clear" w:color="auto" w:fill="auto"/>
                  <w:vAlign w:val="center"/>
                </w:tcPr>
                <w:p w14:paraId="759547A4">
                  <w:pPr>
                    <w:autoSpaceDE w:val="0"/>
                    <w:autoSpaceDN w:val="0"/>
                    <w:snapToGrid w:val="0"/>
                    <w:rPr>
                      <w:rFonts w:hAnsi="宋体"/>
                      <w:szCs w:val="21"/>
                    </w:rPr>
                  </w:pPr>
                  <w:r>
                    <w:rPr>
                      <w:rFonts w:hint="eastAsia" w:hAnsi="宋体"/>
                      <w:szCs w:val="21"/>
                    </w:rPr>
                    <w:t>污染大气环境：机油、废机油等易燃物质遇高温明火等原因发生火事故时，燃烧产生的 CO、烟尘产物等进入大气，将对空气环境造成影响。</w:t>
                  </w:r>
                </w:p>
                <w:p w14:paraId="51D55A51">
                  <w:pPr>
                    <w:autoSpaceDE w:val="0"/>
                    <w:autoSpaceDN w:val="0"/>
                    <w:snapToGrid w:val="0"/>
                    <w:rPr>
                      <w:rFonts w:hAnsi="宋体"/>
                      <w:szCs w:val="21"/>
                    </w:rPr>
                  </w:pPr>
                  <w:r>
                    <w:rPr>
                      <w:rFonts w:hint="eastAsia" w:hAnsi="宋体"/>
                      <w:szCs w:val="21"/>
                    </w:rPr>
                    <w:t>污染地表水环境：发生火灾会产生大量的消防废水，消防废水如不及时进行收集，可能通过雨水管网，进入厂界外环境，将对周边水体造成影响，必须引起足够的重视。</w:t>
                  </w:r>
                </w:p>
              </w:tc>
            </w:tr>
            <w:tr w14:paraId="25240A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2" w:type="pct"/>
                  <w:shd w:val="clear" w:color="auto" w:fill="auto"/>
                  <w:vAlign w:val="center"/>
                </w:tcPr>
                <w:p w14:paraId="46B64EE8">
                  <w:pPr>
                    <w:snapToGrid w:val="0"/>
                    <w:jc w:val="center"/>
                    <w:rPr>
                      <w:b/>
                      <w:szCs w:val="21"/>
                    </w:rPr>
                  </w:pPr>
                  <w:r>
                    <w:rPr>
                      <w:b/>
                      <w:szCs w:val="21"/>
                    </w:rPr>
                    <w:t>风险防范</w:t>
                  </w:r>
                  <w:r>
                    <w:rPr>
                      <w:rFonts w:hint="eastAsia"/>
                      <w:b/>
                      <w:szCs w:val="21"/>
                    </w:rPr>
                    <w:t>要求</w:t>
                  </w:r>
                </w:p>
              </w:tc>
              <w:tc>
                <w:tcPr>
                  <w:tcW w:w="4007" w:type="pct"/>
                  <w:shd w:val="clear" w:color="auto" w:fill="auto"/>
                  <w:vAlign w:val="center"/>
                </w:tcPr>
                <w:p w14:paraId="46324E80">
                  <w:pPr>
                    <w:snapToGrid w:val="0"/>
                    <w:jc w:val="left"/>
                    <w:rPr>
                      <w:szCs w:val="21"/>
                    </w:rPr>
                  </w:pPr>
                  <w:r>
                    <w:rPr>
                      <w:rFonts w:hint="eastAsia"/>
                      <w:szCs w:val="21"/>
                    </w:rPr>
                    <w:t>（1）选址、总图布置和建筑安全防范措施</w:t>
                  </w:r>
                </w:p>
                <w:p w14:paraId="7816D840">
                  <w:pPr>
                    <w:snapToGrid w:val="0"/>
                    <w:jc w:val="left"/>
                    <w:rPr>
                      <w:szCs w:val="21"/>
                    </w:rPr>
                  </w:pPr>
                  <w:r>
                    <w:rPr>
                      <w:rFonts w:hint="eastAsia"/>
                      <w:szCs w:val="21"/>
                    </w:rPr>
                    <w:t>（2）物料泄漏事故的防范措施</w:t>
                  </w:r>
                </w:p>
                <w:p w14:paraId="26285818">
                  <w:pPr>
                    <w:snapToGrid w:val="0"/>
                    <w:jc w:val="left"/>
                    <w:rPr>
                      <w:szCs w:val="21"/>
                    </w:rPr>
                  </w:pPr>
                  <w:r>
                    <w:rPr>
                      <w:rFonts w:hint="eastAsia"/>
                      <w:szCs w:val="21"/>
                    </w:rPr>
                    <w:t>（3）火灾爆炸事故的抢救措施</w:t>
                  </w:r>
                </w:p>
                <w:p w14:paraId="53B91C18">
                  <w:pPr>
                    <w:snapToGrid w:val="0"/>
                    <w:jc w:val="left"/>
                    <w:rPr>
                      <w:szCs w:val="21"/>
                    </w:rPr>
                  </w:pPr>
                  <w:r>
                    <w:rPr>
                      <w:rFonts w:hint="eastAsia"/>
                      <w:szCs w:val="21"/>
                    </w:rPr>
                    <w:t>（4）废气污染事故防范措施</w:t>
                  </w:r>
                </w:p>
              </w:tc>
            </w:tr>
            <w:tr w14:paraId="64BE36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92" w:type="pct"/>
                  <w:shd w:val="clear" w:color="auto" w:fill="auto"/>
                  <w:vAlign w:val="center"/>
                </w:tcPr>
                <w:p w14:paraId="60370137">
                  <w:pPr>
                    <w:snapToGrid w:val="0"/>
                    <w:jc w:val="center"/>
                    <w:rPr>
                      <w:b/>
                      <w:szCs w:val="21"/>
                    </w:rPr>
                  </w:pPr>
                  <w:r>
                    <w:rPr>
                      <w:rFonts w:hint="eastAsia"/>
                      <w:b/>
                      <w:szCs w:val="21"/>
                    </w:rPr>
                    <w:t>填表说明（列出</w:t>
                  </w:r>
                </w:p>
                <w:p w14:paraId="7AE71DAD">
                  <w:pPr>
                    <w:snapToGrid w:val="0"/>
                    <w:jc w:val="center"/>
                    <w:rPr>
                      <w:b/>
                      <w:szCs w:val="21"/>
                    </w:rPr>
                  </w:pPr>
                  <w:r>
                    <w:rPr>
                      <w:rFonts w:hint="eastAsia"/>
                      <w:b/>
                      <w:szCs w:val="21"/>
                    </w:rPr>
                    <w:t>项目相关信息</w:t>
                  </w:r>
                </w:p>
                <w:p w14:paraId="3A27770F">
                  <w:pPr>
                    <w:snapToGrid w:val="0"/>
                    <w:jc w:val="center"/>
                    <w:rPr>
                      <w:b/>
                      <w:szCs w:val="21"/>
                    </w:rPr>
                  </w:pPr>
                  <w:r>
                    <w:rPr>
                      <w:rFonts w:hint="eastAsia"/>
                      <w:b/>
                      <w:szCs w:val="21"/>
                    </w:rPr>
                    <w:t>及评价说明）</w:t>
                  </w:r>
                </w:p>
              </w:tc>
              <w:tc>
                <w:tcPr>
                  <w:tcW w:w="4007" w:type="pct"/>
                  <w:shd w:val="clear" w:color="auto" w:fill="auto"/>
                  <w:vAlign w:val="center"/>
                </w:tcPr>
                <w:p w14:paraId="1EA8D9E1">
                  <w:pPr>
                    <w:snapToGrid w:val="0"/>
                    <w:jc w:val="left"/>
                    <w:rPr>
                      <w:szCs w:val="21"/>
                    </w:rPr>
                  </w:pPr>
                  <w:r>
                    <w:rPr>
                      <w:rFonts w:hint="eastAsia"/>
                      <w:szCs w:val="21"/>
                    </w:rPr>
                    <w:t>本项目环境风险潜势为Ⅰ，只需对项目的环境风险进行简单分析。建设单位应加强风险管理，认真落实各种风险防范措施，通过相应的技术手段降低风险发生概率，并在风险事故发生后，及时采取风险防范措施，</w:t>
                  </w:r>
                </w:p>
                <w:p w14:paraId="4F607888">
                  <w:pPr>
                    <w:snapToGrid w:val="0"/>
                    <w:jc w:val="left"/>
                    <w:rPr>
                      <w:szCs w:val="21"/>
                    </w:rPr>
                  </w:pPr>
                  <w:r>
                    <w:rPr>
                      <w:rFonts w:hint="eastAsia"/>
                      <w:szCs w:val="21"/>
                    </w:rPr>
                    <w:t>项目在确保各项环境风险防范措施的前提下，从环境风险的角度是可以接受的。</w:t>
                  </w:r>
                </w:p>
              </w:tc>
            </w:tr>
          </w:tbl>
          <w:p w14:paraId="633EBD7E">
            <w:pPr>
              <w:adjustRightInd w:val="0"/>
              <w:snapToGrid w:val="0"/>
              <w:spacing w:line="360" w:lineRule="auto"/>
              <w:ind w:firstLine="482" w:firstLineChars="200"/>
              <w:rPr>
                <w:b/>
                <w:sz w:val="24"/>
                <w:szCs w:val="28"/>
              </w:rPr>
            </w:pPr>
            <w:r>
              <w:rPr>
                <w:b/>
                <w:sz w:val="24"/>
                <w:szCs w:val="28"/>
              </w:rPr>
              <w:t>七、</w:t>
            </w:r>
            <w:r>
              <w:rPr>
                <w:b/>
                <w:sz w:val="24"/>
                <w:szCs w:val="20"/>
              </w:rPr>
              <w:t>环境</w:t>
            </w:r>
            <w:r>
              <w:rPr>
                <w:rFonts w:hint="eastAsia"/>
                <w:b/>
                <w:sz w:val="24"/>
                <w:szCs w:val="20"/>
              </w:rPr>
              <w:t>管理</w:t>
            </w:r>
          </w:p>
          <w:p w14:paraId="43116BBE">
            <w:pPr>
              <w:adjustRightInd w:val="0"/>
              <w:snapToGrid w:val="0"/>
              <w:spacing w:line="360" w:lineRule="auto"/>
              <w:ind w:firstLine="482" w:firstLineChars="200"/>
              <w:rPr>
                <w:b/>
                <w:sz w:val="24"/>
                <w:szCs w:val="28"/>
              </w:rPr>
            </w:pPr>
            <w:r>
              <w:rPr>
                <w:rFonts w:hint="eastAsia"/>
                <w:b/>
                <w:kern w:val="0"/>
                <w:sz w:val="24"/>
              </w:rPr>
              <w:t>1、环境管理监测计划</w:t>
            </w:r>
          </w:p>
          <w:p w14:paraId="679B3456">
            <w:pPr>
              <w:adjustRightInd w:val="0"/>
              <w:snapToGrid w:val="0"/>
              <w:spacing w:line="360" w:lineRule="auto"/>
              <w:ind w:firstLine="480" w:firstLineChars="200"/>
              <w:rPr>
                <w:bCs/>
                <w:sz w:val="24"/>
                <w:szCs w:val="28"/>
              </w:rPr>
            </w:pPr>
            <w:r>
              <w:rPr>
                <w:rFonts w:hint="eastAsia"/>
                <w:sz w:val="24"/>
              </w:rPr>
              <w:t>厂内应定期进行环境监测，</w:t>
            </w:r>
            <w:r>
              <w:rPr>
                <w:sz w:val="24"/>
              </w:rPr>
              <w:t>参照</w:t>
            </w:r>
            <w:r>
              <w:rPr>
                <w:rFonts w:hint="eastAsia"/>
                <w:sz w:val="24"/>
              </w:rPr>
              <w:t>《排污单位自行监测技术指南 橡胶和塑料制品工业》（HJ1122—2020）</w:t>
            </w:r>
            <w:r>
              <w:rPr>
                <w:rFonts w:hint="eastAsia"/>
                <w:sz w:val="24"/>
                <w:lang w:eastAsia="zh-CN"/>
              </w:rPr>
              <w:t>、</w:t>
            </w:r>
            <w:r>
              <w:rPr>
                <w:rFonts w:hint="eastAsia" w:ascii="宋体" w:hAnsi="宋体" w:eastAsia="宋体" w:cs="宋体"/>
                <w:color w:val="auto"/>
                <w:sz w:val="24"/>
              </w:rPr>
              <w:t>《排污单位自行监测技术指南</w:t>
            </w:r>
            <w:r>
              <w:rPr>
                <w:rFonts w:hint="eastAsia" w:ascii="宋体" w:hAnsi="宋体" w:eastAsia="宋体" w:cs="宋体"/>
                <w:color w:val="auto"/>
                <w:sz w:val="24"/>
                <w:lang w:val="en-US" w:eastAsia="zh-CN"/>
              </w:rPr>
              <w:t>涂装</w:t>
            </w:r>
            <w:r>
              <w:rPr>
                <w:rFonts w:hint="eastAsia" w:ascii="宋体" w:hAnsi="宋体" w:eastAsia="宋体" w:cs="宋体"/>
                <w:color w:val="auto"/>
                <w:sz w:val="24"/>
              </w:rPr>
              <w:t>》（HJ</w:t>
            </w:r>
            <w:r>
              <w:rPr>
                <w:rFonts w:hint="eastAsia" w:ascii="宋体" w:hAnsi="宋体" w:eastAsia="宋体" w:cs="宋体"/>
                <w:color w:val="auto"/>
                <w:sz w:val="24"/>
                <w:lang w:val="en-US" w:eastAsia="zh-CN"/>
              </w:rPr>
              <w:t>1086</w:t>
            </w:r>
            <w:r>
              <w:rPr>
                <w:rFonts w:hint="eastAsia" w:ascii="宋体" w:hAnsi="宋体" w:eastAsia="宋体" w:cs="宋体"/>
                <w:color w:val="auto"/>
                <w:sz w:val="24"/>
              </w:rPr>
              <w:t>-20</w:t>
            </w:r>
            <w:r>
              <w:rPr>
                <w:rFonts w:hint="eastAsia" w:ascii="宋体" w:hAnsi="宋体" w:eastAsia="宋体" w:cs="宋体"/>
                <w:color w:val="auto"/>
                <w:sz w:val="24"/>
                <w:lang w:val="en-US" w:eastAsia="zh-CN"/>
              </w:rPr>
              <w:t>20</w:t>
            </w:r>
            <w:r>
              <w:rPr>
                <w:rFonts w:hint="eastAsia" w:ascii="宋体" w:hAnsi="宋体" w:eastAsia="宋体" w:cs="宋体"/>
                <w:color w:val="auto"/>
                <w:sz w:val="24"/>
              </w:rPr>
              <w:t>）</w:t>
            </w:r>
            <w:r>
              <w:rPr>
                <w:rFonts w:hint="eastAsia"/>
                <w:sz w:val="24"/>
              </w:rPr>
              <w:t>、《排污单位自行监测技术指南 总则》（</w:t>
            </w:r>
            <w:r>
              <w:rPr>
                <w:sz w:val="24"/>
              </w:rPr>
              <w:t>HJ 819-2017</w:t>
            </w:r>
            <w:r>
              <w:rPr>
                <w:rFonts w:hint="eastAsia"/>
                <w:sz w:val="24"/>
              </w:rPr>
              <w:t>）</w:t>
            </w:r>
            <w:r>
              <w:rPr>
                <w:sz w:val="24"/>
              </w:rPr>
              <w:t>的相关要求，排污单位可自行或委托第三方监测机构开展监测工作，并安排专人专职对监测数据进行记录、整理、统计和分析。排污单位对监测结果的真实性、准确性、完整性负责。</w:t>
            </w:r>
            <w:r>
              <w:rPr>
                <w:sz w:val="24"/>
                <w:szCs w:val="20"/>
              </w:rPr>
              <w:t>本项目运营期环境监测计划见下表</w:t>
            </w:r>
            <w:r>
              <w:rPr>
                <w:bCs/>
                <w:kern w:val="0"/>
                <w:sz w:val="24"/>
                <w:szCs w:val="20"/>
              </w:rPr>
              <w:t>。</w:t>
            </w:r>
          </w:p>
          <w:p w14:paraId="21045050">
            <w:pPr>
              <w:autoSpaceDE w:val="0"/>
              <w:autoSpaceDN w:val="0"/>
              <w:adjustRightInd w:val="0"/>
              <w:jc w:val="center"/>
              <w:rPr>
                <w:b/>
                <w:kern w:val="0"/>
                <w:sz w:val="24"/>
                <w:szCs w:val="20"/>
                <w:lang w:val="zh-CN"/>
              </w:rPr>
            </w:pPr>
            <w:r>
              <w:rPr>
                <w:b/>
                <w:kern w:val="0"/>
                <w:sz w:val="24"/>
                <w:szCs w:val="20"/>
                <w:lang w:val="zh-CN"/>
              </w:rPr>
              <w:t>表</w:t>
            </w:r>
            <w:r>
              <w:rPr>
                <w:b/>
                <w:kern w:val="0"/>
                <w:sz w:val="24"/>
                <w:szCs w:val="20"/>
              </w:rPr>
              <w:t>4-</w:t>
            </w:r>
            <w:r>
              <w:rPr>
                <w:rFonts w:hint="eastAsia"/>
                <w:b/>
                <w:kern w:val="0"/>
                <w:sz w:val="24"/>
                <w:szCs w:val="20"/>
              </w:rPr>
              <w:t>22</w:t>
            </w:r>
            <w:r>
              <w:rPr>
                <w:b/>
                <w:kern w:val="0"/>
                <w:sz w:val="24"/>
                <w:szCs w:val="20"/>
                <w:lang w:val="zh-CN"/>
              </w:rPr>
              <w:t xml:space="preserve"> 项目</w:t>
            </w:r>
            <w:r>
              <w:rPr>
                <w:rFonts w:hint="eastAsia"/>
                <w:b/>
                <w:kern w:val="0"/>
                <w:sz w:val="24"/>
                <w:szCs w:val="20"/>
              </w:rPr>
              <w:t>运营期环境监测</w:t>
            </w:r>
            <w:r>
              <w:rPr>
                <w:b/>
                <w:kern w:val="0"/>
                <w:sz w:val="24"/>
                <w:szCs w:val="20"/>
                <w:lang w:val="zh-CN"/>
              </w:rPr>
              <w:t>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2"/>
              <w:gridCol w:w="907"/>
              <w:gridCol w:w="1328"/>
              <w:gridCol w:w="1814"/>
              <w:gridCol w:w="1267"/>
              <w:gridCol w:w="2265"/>
            </w:tblGrid>
            <w:tr w14:paraId="67AC1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shd w:val="clear" w:color="auto" w:fill="auto"/>
                  <w:vAlign w:val="center"/>
                </w:tcPr>
                <w:p w14:paraId="10969C36">
                  <w:pPr>
                    <w:widowControl/>
                    <w:snapToGrid w:val="0"/>
                    <w:ind w:left="-105" w:leftChars="-50" w:right="-105" w:rightChars="-50"/>
                    <w:jc w:val="center"/>
                    <w:rPr>
                      <w:rFonts w:eastAsia="黑体"/>
                      <w:b/>
                      <w:kern w:val="0"/>
                      <w:szCs w:val="21"/>
                    </w:rPr>
                  </w:pPr>
                  <w:r>
                    <w:rPr>
                      <w:rFonts w:hint="eastAsia" w:cs="宋体"/>
                      <w:b/>
                      <w:kern w:val="0"/>
                      <w:szCs w:val="21"/>
                    </w:rPr>
                    <w:t>类别</w:t>
                  </w:r>
                </w:p>
              </w:tc>
              <w:tc>
                <w:tcPr>
                  <w:tcW w:w="535" w:type="pct"/>
                  <w:shd w:val="clear" w:color="auto" w:fill="auto"/>
                  <w:vAlign w:val="center"/>
                </w:tcPr>
                <w:p w14:paraId="72061BD1">
                  <w:pPr>
                    <w:widowControl/>
                    <w:snapToGrid w:val="0"/>
                    <w:jc w:val="center"/>
                    <w:rPr>
                      <w:rFonts w:cs="宋体"/>
                      <w:b/>
                      <w:kern w:val="0"/>
                      <w:szCs w:val="21"/>
                    </w:rPr>
                  </w:pPr>
                  <w:r>
                    <w:rPr>
                      <w:rFonts w:hint="eastAsia" w:cs="宋体"/>
                      <w:b/>
                      <w:kern w:val="0"/>
                      <w:szCs w:val="21"/>
                    </w:rPr>
                    <w:t>排放口类型</w:t>
                  </w:r>
                </w:p>
              </w:tc>
              <w:tc>
                <w:tcPr>
                  <w:tcW w:w="783" w:type="pct"/>
                  <w:shd w:val="clear" w:color="auto" w:fill="auto"/>
                  <w:vAlign w:val="center"/>
                </w:tcPr>
                <w:p w14:paraId="73DD8BF6">
                  <w:pPr>
                    <w:widowControl/>
                    <w:snapToGrid w:val="0"/>
                    <w:jc w:val="center"/>
                    <w:rPr>
                      <w:rFonts w:eastAsia="黑体"/>
                      <w:b/>
                      <w:kern w:val="0"/>
                      <w:szCs w:val="21"/>
                    </w:rPr>
                  </w:pPr>
                  <w:r>
                    <w:rPr>
                      <w:rFonts w:hint="eastAsia" w:cs="宋体"/>
                      <w:b/>
                      <w:kern w:val="0"/>
                      <w:szCs w:val="21"/>
                    </w:rPr>
                    <w:t>监测点位</w:t>
                  </w:r>
                </w:p>
              </w:tc>
              <w:tc>
                <w:tcPr>
                  <w:tcW w:w="1070" w:type="pct"/>
                  <w:shd w:val="clear" w:color="auto" w:fill="auto"/>
                  <w:vAlign w:val="center"/>
                </w:tcPr>
                <w:p w14:paraId="0E832D5F">
                  <w:pPr>
                    <w:widowControl/>
                    <w:snapToGrid w:val="0"/>
                    <w:jc w:val="center"/>
                    <w:rPr>
                      <w:rFonts w:eastAsia="黑体"/>
                      <w:b/>
                      <w:kern w:val="0"/>
                      <w:szCs w:val="21"/>
                    </w:rPr>
                  </w:pPr>
                  <w:r>
                    <w:rPr>
                      <w:rFonts w:hint="eastAsia" w:cs="宋体"/>
                      <w:b/>
                      <w:kern w:val="0"/>
                      <w:szCs w:val="21"/>
                    </w:rPr>
                    <w:t>监测项目</w:t>
                  </w:r>
                </w:p>
              </w:tc>
              <w:tc>
                <w:tcPr>
                  <w:tcW w:w="747" w:type="pct"/>
                  <w:shd w:val="clear" w:color="auto" w:fill="auto"/>
                  <w:vAlign w:val="center"/>
                </w:tcPr>
                <w:p w14:paraId="1D6791A3">
                  <w:pPr>
                    <w:widowControl/>
                    <w:snapToGrid w:val="0"/>
                    <w:jc w:val="center"/>
                    <w:rPr>
                      <w:rFonts w:eastAsia="黑体"/>
                      <w:b/>
                      <w:kern w:val="0"/>
                      <w:szCs w:val="21"/>
                    </w:rPr>
                  </w:pPr>
                  <w:r>
                    <w:rPr>
                      <w:rFonts w:hint="eastAsia" w:cs="宋体"/>
                      <w:b/>
                      <w:kern w:val="0"/>
                      <w:szCs w:val="21"/>
                    </w:rPr>
                    <w:t>监测频次</w:t>
                  </w:r>
                </w:p>
              </w:tc>
              <w:tc>
                <w:tcPr>
                  <w:tcW w:w="1336" w:type="pct"/>
                  <w:shd w:val="clear" w:color="auto" w:fill="auto"/>
                  <w:vAlign w:val="center"/>
                </w:tcPr>
                <w:p w14:paraId="7375F245">
                  <w:pPr>
                    <w:widowControl/>
                    <w:snapToGrid w:val="0"/>
                    <w:jc w:val="center"/>
                    <w:rPr>
                      <w:rFonts w:cs="宋体"/>
                      <w:b/>
                      <w:kern w:val="0"/>
                      <w:szCs w:val="21"/>
                    </w:rPr>
                  </w:pPr>
                  <w:r>
                    <w:rPr>
                      <w:rFonts w:hint="eastAsia" w:cs="宋体"/>
                      <w:b/>
                      <w:kern w:val="0"/>
                      <w:szCs w:val="21"/>
                    </w:rPr>
                    <w:t>执行标准</w:t>
                  </w:r>
                </w:p>
              </w:tc>
            </w:tr>
            <w:tr w14:paraId="27D34A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vMerge w:val="restart"/>
                  <w:shd w:val="clear" w:color="auto" w:fill="auto"/>
                  <w:vAlign w:val="center"/>
                </w:tcPr>
                <w:p w14:paraId="2A689300">
                  <w:pPr>
                    <w:widowControl/>
                    <w:autoSpaceDE w:val="0"/>
                    <w:autoSpaceDN w:val="0"/>
                    <w:adjustRightInd w:val="0"/>
                    <w:snapToGrid w:val="0"/>
                    <w:ind w:left="-105" w:leftChars="-50" w:right="-105" w:rightChars="-50"/>
                    <w:jc w:val="center"/>
                    <w:rPr>
                      <w:rFonts w:cs="宋体"/>
                      <w:kern w:val="0"/>
                      <w:szCs w:val="21"/>
                    </w:rPr>
                  </w:pPr>
                  <w:r>
                    <w:rPr>
                      <w:rFonts w:hint="eastAsia" w:cs="宋体"/>
                      <w:kern w:val="0"/>
                      <w:szCs w:val="21"/>
                    </w:rPr>
                    <w:t>废气</w:t>
                  </w:r>
                </w:p>
              </w:tc>
              <w:tc>
                <w:tcPr>
                  <w:tcW w:w="535" w:type="pct"/>
                  <w:vMerge w:val="restart"/>
                  <w:shd w:val="clear" w:color="auto" w:fill="auto"/>
                  <w:vAlign w:val="center"/>
                </w:tcPr>
                <w:p w14:paraId="491A2C9A">
                  <w:pPr>
                    <w:widowControl/>
                    <w:jc w:val="center"/>
                    <w:rPr>
                      <w:kern w:val="0"/>
                      <w:szCs w:val="21"/>
                    </w:rPr>
                  </w:pPr>
                  <w:r>
                    <w:rPr>
                      <w:kern w:val="0"/>
                      <w:szCs w:val="21"/>
                    </w:rPr>
                    <w:t>一般排放口</w:t>
                  </w:r>
                </w:p>
              </w:tc>
              <w:tc>
                <w:tcPr>
                  <w:tcW w:w="783" w:type="pct"/>
                  <w:vMerge w:val="restart"/>
                  <w:shd w:val="clear" w:color="auto" w:fill="auto"/>
                  <w:vAlign w:val="center"/>
                </w:tcPr>
                <w:p w14:paraId="65EAFD5F">
                  <w:pPr>
                    <w:widowControl/>
                    <w:jc w:val="center"/>
                    <w:rPr>
                      <w:kern w:val="0"/>
                      <w:szCs w:val="21"/>
                    </w:rPr>
                  </w:pPr>
                  <w:r>
                    <w:rPr>
                      <w:kern w:val="0"/>
                      <w:szCs w:val="21"/>
                    </w:rPr>
                    <w:t>DA00</w:t>
                  </w:r>
                  <w:r>
                    <w:rPr>
                      <w:rFonts w:hint="eastAsia"/>
                      <w:kern w:val="0"/>
                      <w:szCs w:val="21"/>
                    </w:rPr>
                    <w:t>1</w:t>
                  </w:r>
                </w:p>
              </w:tc>
              <w:tc>
                <w:tcPr>
                  <w:tcW w:w="1070" w:type="pct"/>
                  <w:shd w:val="clear" w:color="auto" w:fill="auto"/>
                  <w:vAlign w:val="center"/>
                </w:tcPr>
                <w:p w14:paraId="340F271C">
                  <w:pPr>
                    <w:widowControl/>
                    <w:jc w:val="center"/>
                    <w:rPr>
                      <w:kern w:val="0"/>
                      <w:szCs w:val="21"/>
                    </w:rPr>
                  </w:pPr>
                  <w:r>
                    <w:rPr>
                      <w:rFonts w:hint="eastAsia"/>
                      <w:kern w:val="0"/>
                      <w:szCs w:val="21"/>
                    </w:rPr>
                    <w:t>非甲烷总烃</w:t>
                  </w:r>
                </w:p>
              </w:tc>
              <w:tc>
                <w:tcPr>
                  <w:tcW w:w="747" w:type="pct"/>
                  <w:shd w:val="clear" w:color="auto" w:fill="auto"/>
                  <w:vAlign w:val="center"/>
                </w:tcPr>
                <w:p w14:paraId="6FB226E2">
                  <w:pPr>
                    <w:widowControl/>
                    <w:jc w:val="center"/>
                    <w:rPr>
                      <w:kern w:val="0"/>
                      <w:szCs w:val="21"/>
                    </w:rPr>
                  </w:pPr>
                  <w:r>
                    <w:rPr>
                      <w:rFonts w:hint="eastAsia"/>
                      <w:kern w:val="0"/>
                      <w:szCs w:val="21"/>
                    </w:rPr>
                    <w:t>一次/半年</w:t>
                  </w:r>
                </w:p>
              </w:tc>
              <w:tc>
                <w:tcPr>
                  <w:tcW w:w="1336" w:type="pct"/>
                  <w:shd w:val="clear" w:color="auto" w:fill="auto"/>
                  <w:vAlign w:val="center"/>
                </w:tcPr>
                <w:p w14:paraId="0604E81C">
                  <w:pPr>
                    <w:widowControl/>
                    <w:jc w:val="center"/>
                    <w:rPr>
                      <w:kern w:val="0"/>
                      <w:szCs w:val="21"/>
                    </w:rPr>
                  </w:pPr>
                  <w:r>
                    <w:rPr>
                      <w:rFonts w:hint="eastAsia" w:ascii="Times New Roman" w:hAnsi="Times New Roman" w:eastAsia="宋体" w:cs="Times New Roman"/>
                      <w:bCs/>
                      <w:kern w:val="2"/>
                      <w:sz w:val="21"/>
                      <w:szCs w:val="21"/>
                      <w:lang w:val="en-US" w:eastAsia="zh-CN" w:bidi="ar-SA"/>
                    </w:rPr>
                    <w:t>安徽省地方标准《固定源挥发性有机物综合排放标准第6部分：其他行业》（DB34/4812.6-2024）</w:t>
                  </w:r>
                </w:p>
              </w:tc>
            </w:tr>
            <w:tr w14:paraId="619003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vMerge w:val="continue"/>
                  <w:shd w:val="clear" w:color="auto" w:fill="auto"/>
                  <w:vAlign w:val="center"/>
                </w:tcPr>
                <w:p w14:paraId="3D09CD08">
                  <w:pPr>
                    <w:widowControl/>
                    <w:autoSpaceDE w:val="0"/>
                    <w:autoSpaceDN w:val="0"/>
                    <w:adjustRightInd w:val="0"/>
                    <w:snapToGrid w:val="0"/>
                    <w:ind w:left="-105" w:leftChars="-50" w:right="-105" w:rightChars="-50"/>
                    <w:jc w:val="center"/>
                    <w:rPr>
                      <w:rFonts w:cs="宋体"/>
                      <w:kern w:val="0"/>
                      <w:szCs w:val="21"/>
                    </w:rPr>
                  </w:pPr>
                </w:p>
              </w:tc>
              <w:tc>
                <w:tcPr>
                  <w:tcW w:w="535" w:type="pct"/>
                  <w:vMerge w:val="continue"/>
                  <w:shd w:val="clear" w:color="auto" w:fill="auto"/>
                  <w:vAlign w:val="center"/>
                </w:tcPr>
                <w:p w14:paraId="6BAA4915">
                  <w:pPr>
                    <w:widowControl/>
                    <w:jc w:val="center"/>
                    <w:rPr>
                      <w:kern w:val="0"/>
                      <w:szCs w:val="21"/>
                    </w:rPr>
                  </w:pPr>
                </w:p>
              </w:tc>
              <w:tc>
                <w:tcPr>
                  <w:tcW w:w="783" w:type="pct"/>
                  <w:vMerge w:val="continue"/>
                  <w:shd w:val="clear" w:color="auto" w:fill="auto"/>
                  <w:vAlign w:val="center"/>
                </w:tcPr>
                <w:p w14:paraId="463479C8">
                  <w:pPr>
                    <w:widowControl/>
                    <w:jc w:val="center"/>
                    <w:rPr>
                      <w:kern w:val="0"/>
                      <w:szCs w:val="21"/>
                    </w:rPr>
                  </w:pPr>
                </w:p>
              </w:tc>
              <w:tc>
                <w:tcPr>
                  <w:tcW w:w="1070" w:type="pct"/>
                  <w:shd w:val="clear" w:color="auto" w:fill="auto"/>
                  <w:vAlign w:val="center"/>
                </w:tcPr>
                <w:p w14:paraId="3F63FF4F">
                  <w:pPr>
                    <w:widowControl/>
                    <w:jc w:val="center"/>
                    <w:rPr>
                      <w:kern w:val="0"/>
                      <w:szCs w:val="21"/>
                    </w:rPr>
                  </w:pPr>
                  <w:r>
                    <w:rPr>
                      <w:rFonts w:hint="default" w:ascii="Times New Roman" w:hAnsi="Times New Roman" w:eastAsia="宋体" w:cs="Times New Roman"/>
                      <w:bCs/>
                      <w:kern w:val="2"/>
                      <w:sz w:val="21"/>
                      <w:szCs w:val="21"/>
                      <w:lang w:val="en-US" w:eastAsia="zh-CN" w:bidi="ar-SA"/>
                    </w:rPr>
                    <w:t>多亚甲基多苯基异氰酸酯</w:t>
                  </w:r>
                  <w:r>
                    <w:rPr>
                      <w:rFonts w:hint="eastAsia" w:ascii="Times New Roman" w:hAnsi="Times New Roman" w:eastAsia="宋体" w:cs="Times New Roman"/>
                      <w:bCs/>
                      <w:kern w:val="2"/>
                      <w:sz w:val="21"/>
                      <w:szCs w:val="21"/>
                      <w:lang w:val="en-US" w:eastAsia="zh-CN" w:bidi="ar-SA"/>
                    </w:rPr>
                    <w:t>①（PAPI）</w:t>
                  </w:r>
                </w:p>
              </w:tc>
              <w:tc>
                <w:tcPr>
                  <w:tcW w:w="747" w:type="pct"/>
                  <w:shd w:val="clear" w:color="auto" w:fill="auto"/>
                  <w:vAlign w:val="center"/>
                </w:tcPr>
                <w:p w14:paraId="7CB91604">
                  <w:pPr>
                    <w:widowControl/>
                    <w:jc w:val="center"/>
                    <w:rPr>
                      <w:kern w:val="0"/>
                      <w:szCs w:val="21"/>
                    </w:rPr>
                  </w:pPr>
                  <w:r>
                    <w:rPr>
                      <w:rFonts w:hint="eastAsia"/>
                      <w:kern w:val="0"/>
                      <w:szCs w:val="21"/>
                    </w:rPr>
                    <w:t>一次/年</w:t>
                  </w:r>
                </w:p>
              </w:tc>
              <w:tc>
                <w:tcPr>
                  <w:tcW w:w="1336" w:type="pct"/>
                  <w:shd w:val="clear" w:color="auto" w:fill="auto"/>
                  <w:vAlign w:val="center"/>
                </w:tcPr>
                <w:p w14:paraId="47F98A26">
                  <w:pPr>
                    <w:widowControl/>
                    <w:jc w:val="center"/>
                    <w:rPr>
                      <w:kern w:val="0"/>
                      <w:szCs w:val="21"/>
                    </w:rPr>
                  </w:pPr>
                  <w:r>
                    <w:rPr>
                      <w:rFonts w:hint="eastAsia" w:ascii="Times New Roman" w:hAnsi="Times New Roman" w:eastAsia="宋体" w:cs="Times New Roman"/>
                      <w:bCs/>
                      <w:kern w:val="2"/>
                      <w:sz w:val="21"/>
                      <w:szCs w:val="21"/>
                      <w:lang w:val="en-US" w:eastAsia="zh-CN" w:bidi="ar-SA"/>
                    </w:rPr>
                    <w:t>《合成树脂工业污染物排放标准》（GB31572-2015）表5</w:t>
                  </w:r>
                </w:p>
              </w:tc>
            </w:tr>
            <w:tr w14:paraId="399E29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vMerge w:val="continue"/>
                  <w:shd w:val="clear" w:color="auto" w:fill="auto"/>
                  <w:vAlign w:val="center"/>
                </w:tcPr>
                <w:p w14:paraId="6F7BAF53">
                  <w:pPr>
                    <w:widowControl/>
                    <w:autoSpaceDE w:val="0"/>
                    <w:autoSpaceDN w:val="0"/>
                    <w:adjustRightInd w:val="0"/>
                    <w:snapToGrid w:val="0"/>
                    <w:ind w:left="-105" w:leftChars="-50" w:right="-105" w:rightChars="-50"/>
                    <w:jc w:val="center"/>
                    <w:rPr>
                      <w:rFonts w:cs="宋体"/>
                      <w:kern w:val="0"/>
                      <w:szCs w:val="21"/>
                    </w:rPr>
                  </w:pPr>
                </w:p>
              </w:tc>
              <w:tc>
                <w:tcPr>
                  <w:tcW w:w="535" w:type="pct"/>
                  <w:shd w:val="clear" w:color="auto" w:fill="auto"/>
                  <w:vAlign w:val="center"/>
                </w:tcPr>
                <w:p w14:paraId="0FC0A96A">
                  <w:pPr>
                    <w:widowControl/>
                    <w:jc w:val="center"/>
                    <w:rPr>
                      <w:kern w:val="0"/>
                      <w:szCs w:val="21"/>
                    </w:rPr>
                  </w:pPr>
                  <w:r>
                    <w:rPr>
                      <w:kern w:val="0"/>
                      <w:szCs w:val="21"/>
                    </w:rPr>
                    <w:t>一般排放口</w:t>
                  </w:r>
                </w:p>
              </w:tc>
              <w:tc>
                <w:tcPr>
                  <w:tcW w:w="783" w:type="pct"/>
                  <w:shd w:val="clear" w:color="auto" w:fill="auto"/>
                  <w:vAlign w:val="center"/>
                </w:tcPr>
                <w:p w14:paraId="45A9A3F7">
                  <w:pPr>
                    <w:widowControl/>
                    <w:jc w:val="center"/>
                    <w:rPr>
                      <w:rFonts w:hint="eastAsia" w:eastAsia="宋体"/>
                      <w:kern w:val="0"/>
                      <w:szCs w:val="21"/>
                      <w:lang w:val="en-US" w:eastAsia="zh-CN"/>
                    </w:rPr>
                  </w:pPr>
                  <w:r>
                    <w:rPr>
                      <w:kern w:val="0"/>
                      <w:szCs w:val="21"/>
                    </w:rPr>
                    <w:t>DA00</w:t>
                  </w:r>
                  <w:r>
                    <w:rPr>
                      <w:rFonts w:hint="eastAsia"/>
                      <w:kern w:val="0"/>
                      <w:szCs w:val="21"/>
                      <w:lang w:val="en-US" w:eastAsia="zh-CN"/>
                    </w:rPr>
                    <w:t>2</w:t>
                  </w:r>
                </w:p>
              </w:tc>
              <w:tc>
                <w:tcPr>
                  <w:tcW w:w="1070" w:type="pct"/>
                  <w:shd w:val="clear" w:color="auto" w:fill="auto"/>
                  <w:vAlign w:val="center"/>
                </w:tcPr>
                <w:p w14:paraId="00826929">
                  <w:pPr>
                    <w:widowControl/>
                    <w:jc w:val="center"/>
                    <w:rPr>
                      <w:rFonts w:hint="default" w:ascii="Times New Roman" w:hAnsi="Times New Roman" w:eastAsia="宋体" w:cs="Times New Roman"/>
                      <w:bCs/>
                      <w:kern w:val="2"/>
                      <w:sz w:val="21"/>
                      <w:szCs w:val="21"/>
                      <w:lang w:val="en-US" w:eastAsia="zh-CN" w:bidi="ar-SA"/>
                    </w:rPr>
                  </w:pPr>
                  <w:r>
                    <w:rPr>
                      <w:rFonts w:hint="eastAsia"/>
                      <w:kern w:val="0"/>
                      <w:szCs w:val="21"/>
                    </w:rPr>
                    <w:t>非甲烷总烃</w:t>
                  </w:r>
                </w:p>
              </w:tc>
              <w:tc>
                <w:tcPr>
                  <w:tcW w:w="747" w:type="pct"/>
                  <w:shd w:val="clear" w:color="auto" w:fill="auto"/>
                  <w:vAlign w:val="center"/>
                </w:tcPr>
                <w:p w14:paraId="4C5B8B66">
                  <w:pPr>
                    <w:widowControl/>
                    <w:jc w:val="center"/>
                    <w:rPr>
                      <w:rFonts w:hint="eastAsia"/>
                      <w:kern w:val="0"/>
                      <w:szCs w:val="21"/>
                    </w:rPr>
                  </w:pPr>
                  <w:r>
                    <w:rPr>
                      <w:rFonts w:hint="eastAsia"/>
                      <w:kern w:val="0"/>
                      <w:szCs w:val="21"/>
                    </w:rPr>
                    <w:t>一次/年</w:t>
                  </w:r>
                </w:p>
              </w:tc>
              <w:tc>
                <w:tcPr>
                  <w:tcW w:w="1336" w:type="pct"/>
                  <w:shd w:val="clear" w:color="auto" w:fill="auto"/>
                  <w:vAlign w:val="center"/>
                </w:tcPr>
                <w:p w14:paraId="55873DD9">
                  <w:pPr>
                    <w:widowControl/>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《大气污染物综合排放标准》（GB16297-1996）表2</w:t>
                  </w:r>
                </w:p>
              </w:tc>
            </w:tr>
            <w:tr w14:paraId="3A6E77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vMerge w:val="continue"/>
                  <w:shd w:val="clear" w:color="auto" w:fill="auto"/>
                  <w:vAlign w:val="center"/>
                </w:tcPr>
                <w:p w14:paraId="57824421">
                  <w:pPr>
                    <w:widowControl/>
                    <w:autoSpaceDE w:val="0"/>
                    <w:autoSpaceDN w:val="0"/>
                    <w:adjustRightInd w:val="0"/>
                    <w:snapToGrid w:val="0"/>
                    <w:ind w:left="-105" w:leftChars="-50" w:right="-105" w:rightChars="-50"/>
                    <w:jc w:val="center"/>
                    <w:rPr>
                      <w:rFonts w:cs="宋体"/>
                      <w:kern w:val="0"/>
                      <w:szCs w:val="21"/>
                    </w:rPr>
                  </w:pPr>
                </w:p>
              </w:tc>
              <w:tc>
                <w:tcPr>
                  <w:tcW w:w="535" w:type="pct"/>
                  <w:vMerge w:val="restart"/>
                  <w:shd w:val="clear" w:color="auto" w:fill="auto"/>
                  <w:vAlign w:val="center"/>
                </w:tcPr>
                <w:p w14:paraId="1C15C0BC">
                  <w:pPr>
                    <w:widowControl/>
                    <w:jc w:val="center"/>
                    <w:rPr>
                      <w:kern w:val="0"/>
                      <w:szCs w:val="21"/>
                    </w:rPr>
                  </w:pPr>
                  <w:r>
                    <w:rPr>
                      <w:kern w:val="0"/>
                      <w:szCs w:val="21"/>
                    </w:rPr>
                    <w:t>无组织废气</w:t>
                  </w:r>
                </w:p>
              </w:tc>
              <w:tc>
                <w:tcPr>
                  <w:tcW w:w="783" w:type="pct"/>
                  <w:shd w:val="clear" w:color="auto" w:fill="auto"/>
                  <w:vAlign w:val="center"/>
                </w:tcPr>
                <w:p w14:paraId="01250EC5">
                  <w:pPr>
                    <w:widowControl/>
                    <w:jc w:val="center"/>
                    <w:rPr>
                      <w:kern w:val="0"/>
                      <w:szCs w:val="21"/>
                    </w:rPr>
                  </w:pPr>
                  <w:r>
                    <w:rPr>
                      <w:kern w:val="0"/>
                      <w:szCs w:val="21"/>
                    </w:rPr>
                    <w:t>厂界无组织监控点</w:t>
                  </w:r>
                </w:p>
              </w:tc>
              <w:tc>
                <w:tcPr>
                  <w:tcW w:w="1070" w:type="pct"/>
                  <w:shd w:val="clear" w:color="auto" w:fill="auto"/>
                  <w:vAlign w:val="center"/>
                </w:tcPr>
                <w:p w14:paraId="4070CA18">
                  <w:pPr>
                    <w:widowControl/>
                    <w:jc w:val="center"/>
                    <w:rPr>
                      <w:kern w:val="0"/>
                      <w:szCs w:val="21"/>
                    </w:rPr>
                  </w:pPr>
                  <w:r>
                    <w:rPr>
                      <w:rFonts w:hint="eastAsia"/>
                      <w:kern w:val="0"/>
                      <w:szCs w:val="21"/>
                    </w:rPr>
                    <w:t>非甲烷总烃</w:t>
                  </w:r>
                </w:p>
              </w:tc>
              <w:tc>
                <w:tcPr>
                  <w:tcW w:w="747" w:type="pct"/>
                  <w:shd w:val="clear" w:color="auto" w:fill="auto"/>
                  <w:vAlign w:val="center"/>
                </w:tcPr>
                <w:p w14:paraId="2B4EF2E4">
                  <w:pPr>
                    <w:widowControl/>
                    <w:jc w:val="center"/>
                    <w:rPr>
                      <w:kern w:val="0"/>
                      <w:szCs w:val="21"/>
                    </w:rPr>
                  </w:pPr>
                  <w:r>
                    <w:rPr>
                      <w:rFonts w:hint="eastAsia"/>
                      <w:kern w:val="0"/>
                      <w:szCs w:val="21"/>
                    </w:rPr>
                    <w:t>一次/年</w:t>
                  </w:r>
                </w:p>
              </w:tc>
              <w:tc>
                <w:tcPr>
                  <w:tcW w:w="1336" w:type="pct"/>
                  <w:vMerge w:val="restart"/>
                  <w:shd w:val="clear" w:color="auto" w:fill="auto"/>
                  <w:vAlign w:val="center"/>
                </w:tcPr>
                <w:p w14:paraId="1247CECE">
                  <w:pPr>
                    <w:widowControl/>
                    <w:jc w:val="center"/>
                    <w:rPr>
                      <w:kern w:val="0"/>
                      <w:szCs w:val="21"/>
                    </w:rPr>
                  </w:pPr>
                  <w:r>
                    <w:rPr>
                      <w:rFonts w:hint="eastAsia"/>
                      <w:szCs w:val="21"/>
                    </w:rPr>
                    <w:t>安徽省地方标准《固定源挥发性有机物综合排放标准第6部分：其他行业》（DB34/4812.6-2024）</w:t>
                  </w:r>
                </w:p>
              </w:tc>
            </w:tr>
            <w:tr w14:paraId="076482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vMerge w:val="continue"/>
                  <w:shd w:val="clear" w:color="auto" w:fill="auto"/>
                  <w:vAlign w:val="center"/>
                </w:tcPr>
                <w:p w14:paraId="0613706E">
                  <w:pPr>
                    <w:widowControl/>
                    <w:autoSpaceDE w:val="0"/>
                    <w:autoSpaceDN w:val="0"/>
                    <w:adjustRightInd w:val="0"/>
                    <w:snapToGrid w:val="0"/>
                    <w:ind w:left="-105" w:leftChars="-50" w:right="-105" w:rightChars="-50"/>
                    <w:jc w:val="center"/>
                    <w:rPr>
                      <w:rFonts w:cs="宋体"/>
                      <w:kern w:val="0"/>
                      <w:szCs w:val="21"/>
                    </w:rPr>
                  </w:pPr>
                </w:p>
              </w:tc>
              <w:tc>
                <w:tcPr>
                  <w:tcW w:w="535" w:type="pct"/>
                  <w:vMerge w:val="continue"/>
                  <w:shd w:val="clear" w:color="auto" w:fill="auto"/>
                  <w:vAlign w:val="center"/>
                </w:tcPr>
                <w:p w14:paraId="4399073F">
                  <w:pPr>
                    <w:widowControl/>
                    <w:jc w:val="center"/>
                    <w:rPr>
                      <w:kern w:val="0"/>
                      <w:szCs w:val="21"/>
                    </w:rPr>
                  </w:pPr>
                </w:p>
              </w:tc>
              <w:tc>
                <w:tcPr>
                  <w:tcW w:w="783" w:type="pct"/>
                  <w:shd w:val="clear" w:color="auto" w:fill="auto"/>
                  <w:vAlign w:val="center"/>
                </w:tcPr>
                <w:p w14:paraId="25CA3843">
                  <w:pPr>
                    <w:widowControl/>
                    <w:jc w:val="center"/>
                    <w:rPr>
                      <w:kern w:val="0"/>
                      <w:szCs w:val="21"/>
                    </w:rPr>
                  </w:pPr>
                  <w:r>
                    <w:rPr>
                      <w:rFonts w:hint="eastAsia"/>
                      <w:kern w:val="0"/>
                      <w:szCs w:val="21"/>
                    </w:rPr>
                    <w:t>厂房外无组织监控点</w:t>
                  </w:r>
                </w:p>
              </w:tc>
              <w:tc>
                <w:tcPr>
                  <w:tcW w:w="1070" w:type="pct"/>
                  <w:shd w:val="clear" w:color="auto" w:fill="auto"/>
                  <w:vAlign w:val="center"/>
                </w:tcPr>
                <w:p w14:paraId="08D04DE7">
                  <w:pPr>
                    <w:widowControl/>
                    <w:jc w:val="center"/>
                    <w:rPr>
                      <w:kern w:val="0"/>
                      <w:szCs w:val="21"/>
                    </w:rPr>
                  </w:pPr>
                  <w:r>
                    <w:rPr>
                      <w:rFonts w:hint="eastAsia"/>
                      <w:kern w:val="0"/>
                      <w:szCs w:val="21"/>
                    </w:rPr>
                    <w:t>非甲烷总烃</w:t>
                  </w:r>
                </w:p>
              </w:tc>
              <w:tc>
                <w:tcPr>
                  <w:tcW w:w="747" w:type="pct"/>
                  <w:shd w:val="clear" w:color="auto" w:fill="auto"/>
                  <w:vAlign w:val="center"/>
                </w:tcPr>
                <w:p w14:paraId="15C7783B">
                  <w:pPr>
                    <w:widowControl/>
                    <w:jc w:val="center"/>
                    <w:rPr>
                      <w:kern w:val="0"/>
                      <w:szCs w:val="21"/>
                    </w:rPr>
                  </w:pPr>
                  <w:r>
                    <w:rPr>
                      <w:rFonts w:hint="eastAsia"/>
                      <w:kern w:val="0"/>
                      <w:szCs w:val="21"/>
                    </w:rPr>
                    <w:t>一次/年</w:t>
                  </w:r>
                </w:p>
              </w:tc>
              <w:tc>
                <w:tcPr>
                  <w:tcW w:w="1336" w:type="pct"/>
                  <w:vMerge w:val="continue"/>
                  <w:tcBorders/>
                  <w:shd w:val="clear" w:color="auto" w:fill="auto"/>
                  <w:vAlign w:val="center"/>
                </w:tcPr>
                <w:p w14:paraId="6820C5FA">
                  <w:pPr>
                    <w:widowControl/>
                    <w:jc w:val="center"/>
                    <w:rPr>
                      <w:kern w:val="0"/>
                      <w:szCs w:val="21"/>
                    </w:rPr>
                  </w:pPr>
                </w:p>
              </w:tc>
            </w:tr>
            <w:tr w14:paraId="087937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shd w:val="clear" w:color="auto" w:fill="auto"/>
                  <w:vAlign w:val="center"/>
                </w:tcPr>
                <w:p w14:paraId="4C9EC4DA">
                  <w:pPr>
                    <w:widowControl/>
                    <w:snapToGrid w:val="0"/>
                    <w:ind w:left="-105" w:leftChars="-50" w:right="-105" w:rightChars="-50"/>
                    <w:jc w:val="center"/>
                    <w:rPr>
                      <w:rFonts w:cs="宋体"/>
                      <w:kern w:val="0"/>
                      <w:szCs w:val="21"/>
                    </w:rPr>
                  </w:pPr>
                  <w:r>
                    <w:rPr>
                      <w:rFonts w:hint="eastAsia" w:cs="宋体"/>
                      <w:kern w:val="0"/>
                      <w:szCs w:val="21"/>
                    </w:rPr>
                    <w:t>废水</w:t>
                  </w:r>
                </w:p>
              </w:tc>
              <w:tc>
                <w:tcPr>
                  <w:tcW w:w="535" w:type="pct"/>
                  <w:shd w:val="clear" w:color="auto" w:fill="auto"/>
                  <w:vAlign w:val="center"/>
                </w:tcPr>
                <w:p w14:paraId="557DC60A">
                  <w:pPr>
                    <w:widowControl/>
                    <w:snapToGrid w:val="0"/>
                    <w:jc w:val="center"/>
                    <w:rPr>
                      <w:rFonts w:cs="宋体"/>
                      <w:kern w:val="0"/>
                      <w:szCs w:val="21"/>
                    </w:rPr>
                  </w:pPr>
                  <w:r>
                    <w:rPr>
                      <w:rFonts w:hint="eastAsia" w:cs="宋体"/>
                      <w:kern w:val="0"/>
                      <w:szCs w:val="21"/>
                    </w:rPr>
                    <w:t>厂区废水总排口</w:t>
                  </w:r>
                </w:p>
              </w:tc>
              <w:tc>
                <w:tcPr>
                  <w:tcW w:w="783" w:type="pct"/>
                  <w:shd w:val="clear" w:color="auto" w:fill="auto"/>
                  <w:vAlign w:val="center"/>
                </w:tcPr>
                <w:p w14:paraId="46F97AA0">
                  <w:pPr>
                    <w:widowControl/>
                    <w:snapToGrid w:val="0"/>
                    <w:jc w:val="center"/>
                    <w:rPr>
                      <w:rFonts w:cs="宋体"/>
                      <w:kern w:val="0"/>
                      <w:szCs w:val="21"/>
                    </w:rPr>
                  </w:pPr>
                  <w:r>
                    <w:rPr>
                      <w:rFonts w:hint="eastAsia" w:cs="宋体"/>
                      <w:kern w:val="0"/>
                      <w:szCs w:val="21"/>
                    </w:rPr>
                    <w:t>DW001</w:t>
                  </w:r>
                </w:p>
              </w:tc>
              <w:tc>
                <w:tcPr>
                  <w:tcW w:w="1070" w:type="pct"/>
                  <w:shd w:val="clear" w:color="auto" w:fill="auto"/>
                  <w:vAlign w:val="center"/>
                </w:tcPr>
                <w:p w14:paraId="43184459">
                  <w:pPr>
                    <w:widowControl/>
                    <w:snapToGrid w:val="0"/>
                    <w:jc w:val="center"/>
                    <w:rPr>
                      <w:rFonts w:cs="宋体"/>
                      <w:kern w:val="0"/>
                      <w:szCs w:val="21"/>
                    </w:rPr>
                  </w:pPr>
                  <w:r>
                    <w:rPr>
                      <w:rFonts w:hint="eastAsia" w:cs="宋体"/>
                      <w:kern w:val="0"/>
                      <w:szCs w:val="21"/>
                    </w:rPr>
                    <w:t>pH、</w:t>
                  </w:r>
                  <w:r>
                    <w:rPr>
                      <w:rFonts w:eastAsia="TimesNewRomanPSMT" w:cs="TimesNewRomanPSMT"/>
                      <w:kern w:val="0"/>
                      <w:szCs w:val="21"/>
                    </w:rPr>
                    <w:t>COD</w:t>
                  </w:r>
                  <w:r>
                    <w:rPr>
                      <w:rFonts w:hint="eastAsia" w:cs="宋体"/>
                      <w:kern w:val="0"/>
                      <w:szCs w:val="21"/>
                    </w:rPr>
                    <w:t>、BOD</w:t>
                  </w:r>
                  <w:r>
                    <w:rPr>
                      <w:rFonts w:hint="eastAsia" w:cs="宋体"/>
                      <w:kern w:val="0"/>
                      <w:szCs w:val="21"/>
                      <w:vertAlign w:val="subscript"/>
                    </w:rPr>
                    <w:t>5</w:t>
                  </w:r>
                  <w:r>
                    <w:rPr>
                      <w:rFonts w:hint="eastAsia" w:cs="宋体"/>
                      <w:kern w:val="0"/>
                      <w:szCs w:val="21"/>
                    </w:rPr>
                    <w:t>、</w:t>
                  </w:r>
                  <w:r>
                    <w:rPr>
                      <w:rFonts w:eastAsia="TimesNewRomanPSMT" w:cs="TimesNewRomanPSMT"/>
                      <w:kern w:val="0"/>
                      <w:szCs w:val="21"/>
                    </w:rPr>
                    <w:t>SS</w:t>
                  </w:r>
                  <w:r>
                    <w:rPr>
                      <w:rFonts w:hint="eastAsia" w:cs="宋体"/>
                      <w:kern w:val="0"/>
                      <w:szCs w:val="21"/>
                    </w:rPr>
                    <w:t>、NH</w:t>
                  </w:r>
                  <w:r>
                    <w:rPr>
                      <w:rFonts w:hint="eastAsia" w:cs="宋体"/>
                      <w:kern w:val="0"/>
                      <w:szCs w:val="21"/>
                      <w:vertAlign w:val="subscript"/>
                    </w:rPr>
                    <w:t>3</w:t>
                  </w:r>
                  <w:r>
                    <w:rPr>
                      <w:rFonts w:hint="eastAsia" w:cs="宋体"/>
                      <w:kern w:val="0"/>
                      <w:szCs w:val="21"/>
                    </w:rPr>
                    <w:t>-N</w:t>
                  </w:r>
                </w:p>
              </w:tc>
              <w:tc>
                <w:tcPr>
                  <w:tcW w:w="747" w:type="pct"/>
                  <w:shd w:val="clear" w:color="auto" w:fill="auto"/>
                  <w:vAlign w:val="center"/>
                </w:tcPr>
                <w:p w14:paraId="01B6C225">
                  <w:pPr>
                    <w:widowControl/>
                    <w:snapToGrid w:val="0"/>
                    <w:jc w:val="center"/>
                    <w:rPr>
                      <w:kern w:val="0"/>
                      <w:szCs w:val="21"/>
                    </w:rPr>
                  </w:pPr>
                  <w:r>
                    <w:rPr>
                      <w:rFonts w:hint="eastAsia"/>
                      <w:kern w:val="0"/>
                      <w:szCs w:val="21"/>
                    </w:rPr>
                    <w:t>一次/年</w:t>
                  </w:r>
                </w:p>
              </w:tc>
              <w:tc>
                <w:tcPr>
                  <w:tcW w:w="1336" w:type="pct"/>
                  <w:shd w:val="clear" w:color="auto" w:fill="auto"/>
                  <w:vAlign w:val="center"/>
                </w:tcPr>
                <w:p w14:paraId="3CA8E949">
                  <w:pPr>
                    <w:widowControl/>
                    <w:snapToGrid w:val="0"/>
                    <w:jc w:val="center"/>
                    <w:rPr>
                      <w:kern w:val="0"/>
                      <w:szCs w:val="21"/>
                    </w:rPr>
                  </w:pPr>
                  <w:r>
                    <w:rPr>
                      <w:rFonts w:hint="eastAsia"/>
                      <w:kern w:val="0"/>
                      <w:szCs w:val="21"/>
                    </w:rPr>
                    <w:t>《污水综合排放标准》（GB8978-1996）</w:t>
                  </w:r>
                </w:p>
                <w:p w14:paraId="4DFD2355">
                  <w:pPr>
                    <w:widowControl/>
                    <w:snapToGrid w:val="0"/>
                    <w:jc w:val="center"/>
                    <w:rPr>
                      <w:kern w:val="0"/>
                      <w:szCs w:val="21"/>
                    </w:rPr>
                  </w:pPr>
                  <w:r>
                    <w:rPr>
                      <w:rFonts w:hint="eastAsia"/>
                      <w:kern w:val="0"/>
                      <w:szCs w:val="21"/>
                    </w:rPr>
                    <w:t>中三级标准值</w:t>
                  </w:r>
                </w:p>
              </w:tc>
            </w:tr>
            <w:tr w14:paraId="682DB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6" w:type="pct"/>
                  <w:shd w:val="clear" w:color="auto" w:fill="auto"/>
                  <w:vAlign w:val="center"/>
                </w:tcPr>
                <w:p w14:paraId="0572A965">
                  <w:pPr>
                    <w:widowControl/>
                    <w:snapToGrid w:val="0"/>
                    <w:ind w:left="-105" w:leftChars="-50" w:right="-105" w:rightChars="-50"/>
                    <w:jc w:val="center"/>
                    <w:rPr>
                      <w:rFonts w:eastAsia="黑体"/>
                      <w:kern w:val="0"/>
                      <w:szCs w:val="21"/>
                    </w:rPr>
                  </w:pPr>
                  <w:r>
                    <w:rPr>
                      <w:rFonts w:hint="eastAsia" w:cs="宋体"/>
                      <w:kern w:val="0"/>
                      <w:szCs w:val="21"/>
                    </w:rPr>
                    <w:t>噪声</w:t>
                  </w:r>
                </w:p>
              </w:tc>
              <w:tc>
                <w:tcPr>
                  <w:tcW w:w="535" w:type="pct"/>
                  <w:shd w:val="clear" w:color="auto" w:fill="auto"/>
                  <w:vAlign w:val="center"/>
                </w:tcPr>
                <w:p w14:paraId="246DDB64">
                  <w:pPr>
                    <w:widowControl/>
                    <w:snapToGrid w:val="0"/>
                    <w:jc w:val="center"/>
                    <w:rPr>
                      <w:rFonts w:cs="宋体"/>
                      <w:kern w:val="0"/>
                      <w:szCs w:val="21"/>
                    </w:rPr>
                  </w:pPr>
                  <w:r>
                    <w:rPr>
                      <w:rFonts w:hint="eastAsia" w:cs="宋体"/>
                      <w:kern w:val="0"/>
                      <w:szCs w:val="21"/>
                    </w:rPr>
                    <w:t>/</w:t>
                  </w:r>
                </w:p>
              </w:tc>
              <w:tc>
                <w:tcPr>
                  <w:tcW w:w="783" w:type="pct"/>
                  <w:shd w:val="clear" w:color="auto" w:fill="auto"/>
                  <w:vAlign w:val="center"/>
                </w:tcPr>
                <w:p w14:paraId="27AB6D5A">
                  <w:pPr>
                    <w:widowControl/>
                    <w:snapToGrid w:val="0"/>
                    <w:jc w:val="center"/>
                    <w:rPr>
                      <w:rFonts w:eastAsia="黑体"/>
                      <w:kern w:val="0"/>
                      <w:szCs w:val="21"/>
                    </w:rPr>
                  </w:pPr>
                  <w:r>
                    <w:rPr>
                      <w:rFonts w:hint="eastAsia" w:cs="宋体"/>
                      <w:kern w:val="0"/>
                      <w:szCs w:val="21"/>
                    </w:rPr>
                    <w:t>项目四周厂界</w:t>
                  </w:r>
                </w:p>
              </w:tc>
              <w:tc>
                <w:tcPr>
                  <w:tcW w:w="1070" w:type="pct"/>
                  <w:shd w:val="clear" w:color="auto" w:fill="auto"/>
                  <w:vAlign w:val="center"/>
                </w:tcPr>
                <w:p w14:paraId="5F77C834">
                  <w:pPr>
                    <w:widowControl/>
                    <w:snapToGrid w:val="0"/>
                    <w:jc w:val="center"/>
                    <w:rPr>
                      <w:rFonts w:eastAsia="黑体"/>
                      <w:kern w:val="0"/>
                      <w:szCs w:val="21"/>
                    </w:rPr>
                  </w:pPr>
                  <w:r>
                    <w:rPr>
                      <w:rFonts w:hint="eastAsia" w:cs="宋体"/>
                      <w:kern w:val="0"/>
                      <w:szCs w:val="21"/>
                    </w:rPr>
                    <w:t>连续等效</w:t>
                  </w:r>
                  <w:r>
                    <w:rPr>
                      <w:rFonts w:eastAsia="TimesNewRomanPSMT" w:cs="TimesNewRomanPSMT"/>
                      <w:kern w:val="0"/>
                      <w:szCs w:val="21"/>
                    </w:rPr>
                    <w:t>A</w:t>
                  </w:r>
                  <w:r>
                    <w:rPr>
                      <w:rFonts w:hint="eastAsia" w:cs="宋体"/>
                      <w:kern w:val="0"/>
                      <w:szCs w:val="21"/>
                    </w:rPr>
                    <w:t>声级</w:t>
                  </w:r>
                </w:p>
              </w:tc>
              <w:tc>
                <w:tcPr>
                  <w:tcW w:w="747" w:type="pct"/>
                  <w:shd w:val="clear" w:color="auto" w:fill="auto"/>
                  <w:vAlign w:val="center"/>
                </w:tcPr>
                <w:p w14:paraId="53AA89CA">
                  <w:pPr>
                    <w:widowControl/>
                    <w:snapToGrid w:val="0"/>
                    <w:jc w:val="center"/>
                    <w:rPr>
                      <w:kern w:val="0"/>
                      <w:szCs w:val="21"/>
                    </w:rPr>
                  </w:pPr>
                  <w:r>
                    <w:rPr>
                      <w:rFonts w:hint="eastAsia"/>
                      <w:kern w:val="0"/>
                      <w:szCs w:val="21"/>
                    </w:rPr>
                    <w:t>一次/季度</w:t>
                  </w:r>
                </w:p>
              </w:tc>
              <w:tc>
                <w:tcPr>
                  <w:tcW w:w="1336" w:type="pct"/>
                  <w:shd w:val="clear" w:color="auto" w:fill="auto"/>
                  <w:vAlign w:val="center"/>
                </w:tcPr>
                <w:p w14:paraId="48353D22">
                  <w:pPr>
                    <w:widowControl/>
                    <w:snapToGrid w:val="0"/>
                    <w:jc w:val="center"/>
                    <w:rPr>
                      <w:kern w:val="0"/>
                      <w:szCs w:val="21"/>
                    </w:rPr>
                  </w:pPr>
                  <w:r>
                    <w:rPr>
                      <w:rFonts w:hint="eastAsia"/>
                      <w:kern w:val="0"/>
                      <w:szCs w:val="21"/>
                    </w:rPr>
                    <w:t>《工业企业厂界环</w:t>
                  </w:r>
                </w:p>
                <w:p w14:paraId="0CA667C3">
                  <w:pPr>
                    <w:widowControl/>
                    <w:snapToGrid w:val="0"/>
                    <w:jc w:val="center"/>
                    <w:rPr>
                      <w:kern w:val="0"/>
                      <w:szCs w:val="21"/>
                    </w:rPr>
                  </w:pPr>
                  <w:r>
                    <w:rPr>
                      <w:rFonts w:hint="eastAsia"/>
                      <w:kern w:val="0"/>
                      <w:szCs w:val="21"/>
                    </w:rPr>
                    <w:t>境噪声排放标准》 （GB12348-2008）3类</w:t>
                  </w:r>
                </w:p>
              </w:tc>
            </w:tr>
          </w:tbl>
          <w:p w14:paraId="0EF4B82A">
            <w:pPr>
              <w:spacing w:before="120" w:beforeLines="50" w:line="360" w:lineRule="auto"/>
              <w:ind w:firstLine="482" w:firstLineChars="200"/>
              <w:jc w:val="left"/>
              <w:rPr>
                <w:b/>
                <w:bCs/>
                <w:sz w:val="24"/>
              </w:rPr>
            </w:pPr>
            <w:r>
              <w:rPr>
                <w:rFonts w:hint="eastAsia"/>
                <w:b/>
                <w:bCs/>
                <w:sz w:val="24"/>
              </w:rPr>
              <w:t>2、排污口规范化设置</w:t>
            </w:r>
          </w:p>
          <w:p w14:paraId="20D6176B">
            <w:pPr>
              <w:spacing w:line="360" w:lineRule="auto"/>
              <w:ind w:firstLine="600" w:firstLineChars="250"/>
              <w:rPr>
                <w:sz w:val="24"/>
              </w:rPr>
            </w:pPr>
            <w:r>
              <w:rPr>
                <w:rFonts w:hint="eastAsia"/>
                <w:sz w:val="24"/>
              </w:rPr>
              <w:t>（1）废水排放口</w:t>
            </w:r>
          </w:p>
          <w:p w14:paraId="4478F00A">
            <w:pPr>
              <w:spacing w:line="360" w:lineRule="auto"/>
              <w:ind w:firstLine="600" w:firstLineChars="250"/>
              <w:rPr>
                <w:sz w:val="24"/>
              </w:rPr>
            </w:pPr>
            <w:r>
              <w:rPr>
                <w:sz w:val="24"/>
              </w:rPr>
              <w:t>建设项目厂区的排水体制必须实施“清污分流、雨污分流”制，设雨水排放口1个，污水接管口</w:t>
            </w:r>
            <w:r>
              <w:rPr>
                <w:rFonts w:hint="eastAsia"/>
                <w:sz w:val="24"/>
              </w:rPr>
              <w:t>1</w:t>
            </w:r>
            <w:r>
              <w:rPr>
                <w:sz w:val="24"/>
              </w:rPr>
              <w:t>个</w:t>
            </w:r>
            <w:r>
              <w:rPr>
                <w:rFonts w:hint="eastAsia"/>
                <w:sz w:val="24"/>
              </w:rPr>
              <w:t>。</w:t>
            </w:r>
          </w:p>
          <w:p w14:paraId="00A3F48F">
            <w:pPr>
              <w:spacing w:line="360" w:lineRule="auto"/>
              <w:ind w:firstLine="600" w:firstLineChars="250"/>
              <w:rPr>
                <w:sz w:val="24"/>
              </w:rPr>
            </w:pPr>
            <w:r>
              <w:rPr>
                <w:rFonts w:hint="eastAsia"/>
                <w:sz w:val="24"/>
              </w:rPr>
              <w:t>（2）废气排放口</w:t>
            </w:r>
          </w:p>
          <w:p w14:paraId="5AD46491">
            <w:pPr>
              <w:spacing w:line="360" w:lineRule="auto"/>
              <w:ind w:firstLine="480" w:firstLineChars="200"/>
              <w:jc w:val="left"/>
              <w:rPr>
                <w:sz w:val="24"/>
              </w:rPr>
            </w:pPr>
            <w:r>
              <w:rPr>
                <w:rFonts w:hint="eastAsia"/>
                <w:sz w:val="24"/>
              </w:rPr>
              <w:t>①厂区</w:t>
            </w:r>
            <w:r>
              <w:rPr>
                <w:sz w:val="24"/>
              </w:rPr>
              <w:t>共</w:t>
            </w:r>
            <w:r>
              <w:rPr>
                <w:rFonts w:hint="eastAsia"/>
                <w:sz w:val="24"/>
              </w:rPr>
              <w:t>设置有组织</w:t>
            </w:r>
            <w:r>
              <w:rPr>
                <w:sz w:val="24"/>
              </w:rPr>
              <w:t>排气筒</w:t>
            </w:r>
            <w:r>
              <w:rPr>
                <w:rFonts w:hint="eastAsia"/>
                <w:sz w:val="24"/>
                <w:lang w:val="en-US" w:eastAsia="zh-CN"/>
              </w:rPr>
              <w:t>2</w:t>
            </w:r>
            <w:r>
              <w:rPr>
                <w:sz w:val="24"/>
              </w:rPr>
              <w:t>个</w:t>
            </w:r>
            <w:r>
              <w:rPr>
                <w:rFonts w:hint="eastAsia"/>
                <w:sz w:val="24"/>
              </w:rPr>
              <w:t>，</w:t>
            </w:r>
            <w:r>
              <w:rPr>
                <w:sz w:val="24"/>
              </w:rPr>
              <w:t>在排气筒附近醒目位置设置环保图形标志牌，标明排气筒高度、出口内径、排放污染物种类等；</w:t>
            </w:r>
          </w:p>
          <w:p w14:paraId="484FAA40">
            <w:pPr>
              <w:autoSpaceDE w:val="0"/>
              <w:autoSpaceDN w:val="0"/>
              <w:adjustRightInd w:val="0"/>
              <w:spacing w:line="360" w:lineRule="auto"/>
              <w:ind w:firstLine="480" w:firstLineChars="200"/>
              <w:jc w:val="left"/>
              <w:rPr>
                <w:rFonts w:hAnsi="宋体"/>
                <w:kern w:val="0"/>
                <w:sz w:val="24"/>
              </w:rPr>
            </w:pPr>
            <w:r>
              <w:rPr>
                <w:rFonts w:hint="eastAsia" w:ascii="宋体" w:hAnsi="宋体"/>
                <w:kern w:val="0"/>
                <w:sz w:val="24"/>
              </w:rPr>
              <w:t>②</w:t>
            </w:r>
            <w:r>
              <w:rPr>
                <w:rFonts w:hAnsi="宋体"/>
                <w:kern w:val="0"/>
                <w:sz w:val="24"/>
              </w:rPr>
              <w:t>企业应在排气筒预留采样位置，采样位置优先选择在垂直管段，避开弯头、阀门、变径管等部件下游方向不小于6倍直径，上游方向不小于3倍直径，采样位置应避开对测试人员操作有危险的场所；</w:t>
            </w:r>
          </w:p>
          <w:p w14:paraId="610D1C99">
            <w:pPr>
              <w:autoSpaceDE w:val="0"/>
              <w:autoSpaceDN w:val="0"/>
              <w:adjustRightInd w:val="0"/>
              <w:spacing w:line="360" w:lineRule="auto"/>
              <w:ind w:firstLine="480" w:firstLineChars="200"/>
              <w:jc w:val="left"/>
              <w:rPr>
                <w:rFonts w:hAnsi="宋体"/>
                <w:kern w:val="0"/>
                <w:sz w:val="24"/>
              </w:rPr>
            </w:pPr>
            <w:r>
              <w:rPr>
                <w:rFonts w:hint="eastAsia" w:hAnsi="宋体"/>
                <w:kern w:val="0"/>
                <w:sz w:val="24"/>
              </w:rPr>
              <w:t>（3）工业固体废弃物厂内暂贮处</w:t>
            </w:r>
          </w:p>
          <w:p w14:paraId="0D01264F">
            <w:pPr>
              <w:spacing w:line="360" w:lineRule="auto"/>
              <w:ind w:firstLine="480" w:firstLineChars="200"/>
              <w:rPr>
                <w:sz w:val="24"/>
              </w:rPr>
            </w:pPr>
            <w:r>
              <w:rPr>
                <w:rFonts w:hint="eastAsia"/>
                <w:sz w:val="24"/>
              </w:rPr>
              <w:t>本项目设置固废临时暂贮场及危险固废暂贮库。</w:t>
            </w:r>
            <w:r>
              <w:rPr>
                <w:sz w:val="24"/>
              </w:rPr>
              <w:t>固体废物堆放场所必须有防火、防</w:t>
            </w:r>
            <w:r>
              <w:rPr>
                <w:rFonts w:hint="eastAsia"/>
                <w:sz w:val="24"/>
              </w:rPr>
              <w:t>腐蚀、防流失等措施，并应设置标志牌。</w:t>
            </w:r>
          </w:p>
          <w:p w14:paraId="6F6A4D3F">
            <w:pPr>
              <w:widowControl/>
              <w:spacing w:line="480" w:lineRule="exact"/>
              <w:ind w:firstLine="480" w:firstLineChars="200"/>
              <w:jc w:val="left"/>
              <w:rPr>
                <w:sz w:val="24"/>
              </w:rPr>
            </w:pPr>
            <w:r>
              <w:rPr>
                <w:rFonts w:hint="eastAsia"/>
                <w:sz w:val="24"/>
              </w:rPr>
              <w:t>项目建设完成后，应对所有污染排放口的名称、位置、数量，以及排放污染物名称、数量等内容进行统计，并登记上报当地环保部门，以便进行验收和排放口的规范化管理。</w:t>
            </w:r>
          </w:p>
          <w:p w14:paraId="6E421DFE">
            <w:pPr>
              <w:widowControl/>
              <w:spacing w:line="480" w:lineRule="exact"/>
              <w:ind w:firstLine="482" w:firstLineChars="200"/>
              <w:jc w:val="left"/>
              <w:rPr>
                <w:b/>
                <w:kern w:val="0"/>
                <w:sz w:val="24"/>
              </w:rPr>
            </w:pPr>
            <w:r>
              <w:rPr>
                <w:rFonts w:hint="eastAsia"/>
                <w:b/>
                <w:kern w:val="0"/>
                <w:sz w:val="24"/>
              </w:rPr>
              <w:t>八、环保投资估算</w:t>
            </w:r>
          </w:p>
          <w:p w14:paraId="2862F83F">
            <w:pPr>
              <w:widowControl/>
              <w:spacing w:line="480" w:lineRule="exact"/>
              <w:ind w:firstLine="480" w:firstLineChars="200"/>
              <w:jc w:val="left"/>
              <w:rPr>
                <w:kern w:val="0"/>
                <w:sz w:val="24"/>
              </w:rPr>
            </w:pPr>
            <w:r>
              <w:rPr>
                <w:rFonts w:hint="eastAsia"/>
                <w:kern w:val="0"/>
                <w:sz w:val="24"/>
              </w:rPr>
              <w:t>本项目环保投资约</w:t>
            </w:r>
            <w:r>
              <w:rPr>
                <w:rFonts w:hint="eastAsia"/>
                <w:kern w:val="0"/>
                <w:sz w:val="24"/>
                <w:lang w:val="en-US" w:eastAsia="zh-CN"/>
              </w:rPr>
              <w:t>6</w:t>
            </w:r>
            <w:r>
              <w:rPr>
                <w:rFonts w:hint="eastAsia"/>
                <w:kern w:val="0"/>
                <w:sz w:val="24"/>
              </w:rPr>
              <w:t>1万元，环境保护投资估算详见表4-23。</w:t>
            </w:r>
          </w:p>
          <w:p w14:paraId="757F645A">
            <w:pPr>
              <w:widowControl/>
              <w:adjustRightInd w:val="0"/>
              <w:snapToGrid w:val="0"/>
              <w:spacing w:before="100" w:beforeAutospacing="1"/>
              <w:jc w:val="center"/>
              <w:rPr>
                <w:b/>
                <w:kern w:val="0"/>
                <w:sz w:val="24"/>
                <w:szCs w:val="20"/>
              </w:rPr>
            </w:pPr>
            <w:r>
              <w:rPr>
                <w:b/>
                <w:kern w:val="0"/>
                <w:sz w:val="24"/>
                <w:szCs w:val="20"/>
              </w:rPr>
              <w:t>表</w:t>
            </w:r>
            <w:r>
              <w:rPr>
                <w:rFonts w:hint="eastAsia"/>
                <w:b/>
                <w:kern w:val="0"/>
                <w:sz w:val="24"/>
                <w:szCs w:val="20"/>
              </w:rPr>
              <w:t>4</w:t>
            </w:r>
            <w:r>
              <w:rPr>
                <w:b/>
                <w:kern w:val="0"/>
                <w:sz w:val="24"/>
                <w:szCs w:val="20"/>
              </w:rPr>
              <w:t>-</w:t>
            </w:r>
            <w:r>
              <w:rPr>
                <w:rFonts w:hint="eastAsia"/>
                <w:b/>
                <w:kern w:val="0"/>
                <w:sz w:val="24"/>
                <w:szCs w:val="20"/>
              </w:rPr>
              <w:t xml:space="preserve">23  </w:t>
            </w:r>
            <w:r>
              <w:rPr>
                <w:b/>
                <w:kern w:val="0"/>
                <w:sz w:val="24"/>
                <w:szCs w:val="20"/>
              </w:rPr>
              <w:t>本项目污染防治措施投资估算一览表</w:t>
            </w:r>
            <w:r>
              <w:rPr>
                <w:rFonts w:hint="eastAsia"/>
                <w:b/>
                <w:kern w:val="0"/>
                <w:sz w:val="24"/>
                <w:szCs w:val="20"/>
              </w:rPr>
              <w:t xml:space="preserve">  单位：</w:t>
            </w:r>
            <w:r>
              <w:rPr>
                <w:b/>
                <w:kern w:val="0"/>
                <w:sz w:val="24"/>
                <w:szCs w:val="20"/>
              </w:rPr>
              <w:t>万元</w:t>
            </w:r>
          </w:p>
          <w:tbl>
            <w:tblPr>
              <w:tblStyle w:val="29"/>
              <w:tblpPr w:leftFromText="180" w:rightFromText="180" w:vertAnchor="text" w:horzAnchor="margin" w:tblpY="54"/>
              <w:tblOverlap w:val="never"/>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6"/>
              <w:gridCol w:w="1175"/>
              <w:gridCol w:w="2884"/>
              <w:gridCol w:w="719"/>
              <w:gridCol w:w="2431"/>
              <w:gridCol w:w="698"/>
            </w:tblGrid>
            <w:tr w14:paraId="0D438B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67" w:hRule="atLeast"/>
                <w:tblHeader/>
              </w:trPr>
              <w:tc>
                <w:tcPr>
                  <w:tcW w:w="334" w:type="pct"/>
                  <w:vAlign w:val="center"/>
                </w:tcPr>
                <w:p w14:paraId="51E6B15F">
                  <w:pPr>
                    <w:widowControl/>
                    <w:adjustRightInd w:val="0"/>
                    <w:snapToGrid w:val="0"/>
                    <w:ind w:left="-105" w:leftChars="-50" w:right="-105" w:rightChars="-50"/>
                    <w:jc w:val="center"/>
                    <w:rPr>
                      <w:b/>
                      <w:kern w:val="0"/>
                      <w:szCs w:val="21"/>
                    </w:rPr>
                  </w:pPr>
                  <w:r>
                    <w:rPr>
                      <w:b/>
                      <w:kern w:val="0"/>
                      <w:szCs w:val="21"/>
                    </w:rPr>
                    <w:t>分类</w:t>
                  </w:r>
                </w:p>
              </w:tc>
              <w:tc>
                <w:tcPr>
                  <w:tcW w:w="693" w:type="pct"/>
                  <w:vAlign w:val="center"/>
                </w:tcPr>
                <w:p w14:paraId="17166A0E">
                  <w:pPr>
                    <w:widowControl/>
                    <w:ind w:left="-105" w:leftChars="-50" w:right="-105" w:rightChars="-50"/>
                    <w:jc w:val="center"/>
                    <w:rPr>
                      <w:b/>
                      <w:kern w:val="0"/>
                      <w:szCs w:val="21"/>
                    </w:rPr>
                  </w:pPr>
                  <w:r>
                    <w:rPr>
                      <w:b/>
                      <w:kern w:val="0"/>
                      <w:szCs w:val="21"/>
                    </w:rPr>
                    <w:t>治理对象</w:t>
                  </w:r>
                </w:p>
              </w:tc>
              <w:tc>
                <w:tcPr>
                  <w:tcW w:w="1701" w:type="pct"/>
                  <w:vAlign w:val="center"/>
                </w:tcPr>
                <w:p w14:paraId="669663D9">
                  <w:pPr>
                    <w:widowControl/>
                    <w:adjustRightInd w:val="0"/>
                    <w:snapToGrid w:val="0"/>
                    <w:ind w:left="-105" w:leftChars="-50" w:right="-105" w:rightChars="-50"/>
                    <w:jc w:val="center"/>
                    <w:rPr>
                      <w:b/>
                      <w:kern w:val="0"/>
                      <w:szCs w:val="21"/>
                    </w:rPr>
                  </w:pPr>
                  <w:r>
                    <w:rPr>
                      <w:b/>
                      <w:kern w:val="0"/>
                      <w:szCs w:val="21"/>
                    </w:rPr>
                    <w:t>污染防治措施</w:t>
                  </w:r>
                </w:p>
              </w:tc>
              <w:tc>
                <w:tcPr>
                  <w:tcW w:w="424" w:type="pct"/>
                  <w:vAlign w:val="center"/>
                </w:tcPr>
                <w:p w14:paraId="72E9AE2A">
                  <w:pPr>
                    <w:widowControl/>
                    <w:adjustRightInd w:val="0"/>
                    <w:snapToGrid w:val="0"/>
                    <w:ind w:left="-105" w:leftChars="-50" w:right="-105" w:rightChars="-50"/>
                    <w:jc w:val="center"/>
                    <w:rPr>
                      <w:b/>
                      <w:kern w:val="0"/>
                      <w:szCs w:val="21"/>
                    </w:rPr>
                  </w:pPr>
                  <w:r>
                    <w:rPr>
                      <w:b/>
                      <w:kern w:val="0"/>
                      <w:szCs w:val="21"/>
                    </w:rPr>
                    <w:t>数量</w:t>
                  </w:r>
                </w:p>
              </w:tc>
              <w:tc>
                <w:tcPr>
                  <w:tcW w:w="1434" w:type="pct"/>
                  <w:vAlign w:val="center"/>
                </w:tcPr>
                <w:p w14:paraId="192BECB9">
                  <w:pPr>
                    <w:widowControl/>
                    <w:adjustRightInd w:val="0"/>
                    <w:snapToGrid w:val="0"/>
                    <w:ind w:left="-105" w:leftChars="-50" w:right="-105" w:rightChars="-50"/>
                    <w:jc w:val="center"/>
                    <w:rPr>
                      <w:b/>
                      <w:kern w:val="0"/>
                      <w:szCs w:val="21"/>
                    </w:rPr>
                  </w:pPr>
                  <w:r>
                    <w:rPr>
                      <w:b/>
                      <w:kern w:val="0"/>
                      <w:szCs w:val="21"/>
                    </w:rPr>
                    <w:t>预期治理效果</w:t>
                  </w:r>
                </w:p>
              </w:tc>
              <w:tc>
                <w:tcPr>
                  <w:tcW w:w="411" w:type="pct"/>
                  <w:vAlign w:val="center"/>
                </w:tcPr>
                <w:p w14:paraId="78EA35EC">
                  <w:pPr>
                    <w:widowControl/>
                    <w:adjustRightInd w:val="0"/>
                    <w:snapToGrid w:val="0"/>
                    <w:ind w:left="-105" w:leftChars="-50" w:right="-105" w:rightChars="-50"/>
                    <w:jc w:val="center"/>
                    <w:rPr>
                      <w:b/>
                      <w:kern w:val="0"/>
                      <w:szCs w:val="21"/>
                    </w:rPr>
                  </w:pPr>
                  <w:r>
                    <w:rPr>
                      <w:b/>
                      <w:kern w:val="0"/>
                      <w:szCs w:val="21"/>
                    </w:rPr>
                    <w:t>投资</w:t>
                  </w:r>
                </w:p>
              </w:tc>
            </w:tr>
            <w:tr w14:paraId="665DFD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34" w:type="pct"/>
                  <w:vAlign w:val="center"/>
                </w:tcPr>
                <w:p w14:paraId="177E327E">
                  <w:pPr>
                    <w:widowControl/>
                    <w:adjustRightInd w:val="0"/>
                    <w:snapToGrid w:val="0"/>
                    <w:ind w:left="-50" w:right="-50"/>
                    <w:jc w:val="center"/>
                    <w:rPr>
                      <w:kern w:val="0"/>
                      <w:szCs w:val="21"/>
                    </w:rPr>
                  </w:pPr>
                  <w:r>
                    <w:rPr>
                      <w:kern w:val="0"/>
                      <w:szCs w:val="21"/>
                    </w:rPr>
                    <w:t>废水</w:t>
                  </w:r>
                </w:p>
              </w:tc>
              <w:tc>
                <w:tcPr>
                  <w:tcW w:w="693" w:type="pct"/>
                  <w:vAlign w:val="center"/>
                </w:tcPr>
                <w:p w14:paraId="0EF7F617">
                  <w:pPr>
                    <w:widowControl/>
                    <w:adjustRightInd w:val="0"/>
                    <w:snapToGrid w:val="0"/>
                    <w:ind w:left="-50" w:right="-50"/>
                    <w:jc w:val="center"/>
                    <w:rPr>
                      <w:kern w:val="0"/>
                      <w:szCs w:val="21"/>
                    </w:rPr>
                  </w:pPr>
                  <w:r>
                    <w:rPr>
                      <w:rFonts w:hint="eastAsia"/>
                      <w:snapToGrid w:val="0"/>
                      <w:spacing w:val="6"/>
                      <w:kern w:val="0"/>
                      <w:szCs w:val="21"/>
                    </w:rPr>
                    <w:t>生活污水</w:t>
                  </w:r>
                </w:p>
              </w:tc>
              <w:tc>
                <w:tcPr>
                  <w:tcW w:w="1701" w:type="pct"/>
                  <w:vAlign w:val="center"/>
                </w:tcPr>
                <w:p w14:paraId="6BBEBDC2">
                  <w:pPr>
                    <w:widowControl/>
                    <w:adjustRightInd w:val="0"/>
                    <w:snapToGrid w:val="0"/>
                    <w:ind w:left="-50" w:right="-50"/>
                    <w:jc w:val="center"/>
                    <w:rPr>
                      <w:kern w:val="0"/>
                      <w:szCs w:val="21"/>
                    </w:rPr>
                  </w:pPr>
                  <w:r>
                    <w:rPr>
                      <w:rFonts w:hint="eastAsia"/>
                      <w:kern w:val="0"/>
                      <w:szCs w:val="21"/>
                    </w:rPr>
                    <w:t>化粪池</w:t>
                  </w:r>
                </w:p>
              </w:tc>
              <w:tc>
                <w:tcPr>
                  <w:tcW w:w="424" w:type="pct"/>
                  <w:vAlign w:val="center"/>
                </w:tcPr>
                <w:p w14:paraId="613D7CE9">
                  <w:pPr>
                    <w:widowControl/>
                    <w:adjustRightInd w:val="0"/>
                    <w:snapToGrid w:val="0"/>
                    <w:ind w:left="-50" w:right="-50"/>
                    <w:jc w:val="center"/>
                    <w:rPr>
                      <w:kern w:val="0"/>
                      <w:szCs w:val="21"/>
                    </w:rPr>
                  </w:pPr>
                  <w:r>
                    <w:rPr>
                      <w:kern w:val="0"/>
                      <w:szCs w:val="21"/>
                    </w:rPr>
                    <w:t>1</w:t>
                  </w:r>
                </w:p>
              </w:tc>
              <w:tc>
                <w:tcPr>
                  <w:tcW w:w="1434" w:type="pct"/>
                  <w:vAlign w:val="center"/>
                </w:tcPr>
                <w:p w14:paraId="2B7E1E08">
                  <w:pPr>
                    <w:widowControl/>
                    <w:autoSpaceDE w:val="0"/>
                    <w:autoSpaceDN w:val="0"/>
                    <w:adjustRightInd w:val="0"/>
                    <w:ind w:left="-50" w:right="-50"/>
                    <w:jc w:val="center"/>
                    <w:rPr>
                      <w:kern w:val="0"/>
                      <w:szCs w:val="21"/>
                    </w:rPr>
                  </w:pPr>
                  <w:r>
                    <w:rPr>
                      <w:rFonts w:hint="eastAsia"/>
                      <w:szCs w:val="21"/>
                    </w:rPr>
                    <w:t>污水管网达《污水综合排放标准》（GB8978-1996）表4中三级标准后排入市政污水管网，进入城东污水处理厂</w:t>
                  </w:r>
                </w:p>
              </w:tc>
              <w:tc>
                <w:tcPr>
                  <w:tcW w:w="411" w:type="pct"/>
                  <w:vAlign w:val="center"/>
                </w:tcPr>
                <w:p w14:paraId="54DB8C26">
                  <w:pPr>
                    <w:widowControl/>
                    <w:adjustRightInd w:val="0"/>
                    <w:snapToGrid w:val="0"/>
                    <w:ind w:left="-50" w:right="-50"/>
                    <w:jc w:val="center"/>
                    <w:rPr>
                      <w:kern w:val="0"/>
                      <w:szCs w:val="21"/>
                    </w:rPr>
                  </w:pPr>
                  <w:r>
                    <w:rPr>
                      <w:kern w:val="0"/>
                      <w:szCs w:val="21"/>
                    </w:rPr>
                    <w:t>0</w:t>
                  </w:r>
                </w:p>
              </w:tc>
            </w:tr>
            <w:tr w14:paraId="6A1299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334" w:type="pct"/>
                  <w:vMerge w:val="restart"/>
                  <w:vAlign w:val="center"/>
                </w:tcPr>
                <w:p w14:paraId="0947CD2C">
                  <w:pPr>
                    <w:widowControl/>
                    <w:adjustRightInd w:val="0"/>
                    <w:snapToGrid w:val="0"/>
                    <w:ind w:left="-50" w:right="-50"/>
                    <w:jc w:val="center"/>
                    <w:rPr>
                      <w:kern w:val="0"/>
                      <w:szCs w:val="21"/>
                    </w:rPr>
                  </w:pPr>
                  <w:r>
                    <w:rPr>
                      <w:kern w:val="0"/>
                      <w:szCs w:val="21"/>
                    </w:rPr>
                    <w:t>废气</w:t>
                  </w:r>
                </w:p>
              </w:tc>
              <w:tc>
                <w:tcPr>
                  <w:tcW w:w="693" w:type="pct"/>
                  <w:vAlign w:val="center"/>
                </w:tcPr>
                <w:p w14:paraId="53DEA391">
                  <w:pPr>
                    <w:widowControl/>
                    <w:autoSpaceDE w:val="0"/>
                    <w:autoSpaceDN w:val="0"/>
                    <w:ind w:left="-105" w:leftChars="-50" w:right="-105" w:rightChars="-50"/>
                    <w:jc w:val="center"/>
                    <w:rPr>
                      <w:kern w:val="0"/>
                      <w:szCs w:val="21"/>
                    </w:rPr>
                  </w:pPr>
                  <w:r>
                    <w:rPr>
                      <w:rFonts w:hint="eastAsia"/>
                      <w:kern w:val="0"/>
                      <w:szCs w:val="21"/>
                      <w:lang w:val="en-US" w:eastAsia="zh-CN"/>
                    </w:rPr>
                    <w:t>发泡脱模</w:t>
                  </w:r>
                  <w:r>
                    <w:rPr>
                      <w:rFonts w:hint="eastAsia"/>
                      <w:kern w:val="0"/>
                      <w:szCs w:val="21"/>
                    </w:rPr>
                    <w:t>废气</w:t>
                  </w:r>
                </w:p>
              </w:tc>
              <w:tc>
                <w:tcPr>
                  <w:tcW w:w="1701" w:type="pct"/>
                  <w:vAlign w:val="center"/>
                </w:tcPr>
                <w:p w14:paraId="4B6A65B9">
                  <w:pPr>
                    <w:widowControl/>
                    <w:autoSpaceDE w:val="0"/>
                    <w:autoSpaceDN w:val="0"/>
                    <w:ind w:left="8" w:leftChars="1" w:right="-50" w:hanging="6" w:hangingChars="3"/>
                    <w:jc w:val="center"/>
                    <w:rPr>
                      <w:kern w:val="0"/>
                      <w:szCs w:val="21"/>
                    </w:rPr>
                  </w:pPr>
                  <w:r>
                    <w:rPr>
                      <w:rFonts w:hint="eastAsia"/>
                      <w:szCs w:val="21"/>
                    </w:rPr>
                    <w:t>集气罩收集+二级活性炭吸附+15米高排气筒（DA001）</w:t>
                  </w:r>
                </w:p>
              </w:tc>
              <w:tc>
                <w:tcPr>
                  <w:tcW w:w="424" w:type="pct"/>
                  <w:vAlign w:val="center"/>
                </w:tcPr>
                <w:p w14:paraId="75F70CD2">
                  <w:pPr>
                    <w:widowControl/>
                    <w:adjustRightInd w:val="0"/>
                    <w:snapToGrid w:val="0"/>
                    <w:ind w:left="-50" w:right="-50"/>
                    <w:jc w:val="center"/>
                    <w:rPr>
                      <w:kern w:val="0"/>
                      <w:szCs w:val="21"/>
                    </w:rPr>
                  </w:pPr>
                  <w:r>
                    <w:rPr>
                      <w:rFonts w:hint="eastAsia"/>
                      <w:kern w:val="0"/>
                      <w:szCs w:val="21"/>
                    </w:rPr>
                    <w:t>1</w:t>
                  </w:r>
                </w:p>
              </w:tc>
              <w:tc>
                <w:tcPr>
                  <w:tcW w:w="1434" w:type="pct"/>
                  <w:vAlign w:val="center"/>
                </w:tcPr>
                <w:p w14:paraId="17CCB8F3">
                  <w:pPr>
                    <w:widowControl/>
                    <w:autoSpaceDE w:val="0"/>
                    <w:autoSpaceDN w:val="0"/>
                    <w:adjustRightInd w:val="0"/>
                    <w:ind w:left="-50" w:right="-50"/>
                    <w:jc w:val="center"/>
                    <w:rPr>
                      <w:rFonts w:hint="eastAsia" w:eastAsia="宋体"/>
                      <w:kern w:val="0"/>
                      <w:szCs w:val="21"/>
                      <w:lang w:eastAsia="zh-CN"/>
                    </w:rPr>
                  </w:pPr>
                  <w:r>
                    <w:rPr>
                      <w:rFonts w:hint="eastAsia" w:ascii="Times New Roman" w:hAnsi="Times New Roman" w:eastAsia="宋体" w:cs="Times New Roman"/>
                      <w:bCs/>
                      <w:kern w:val="2"/>
                      <w:sz w:val="21"/>
                      <w:szCs w:val="21"/>
                      <w:lang w:val="en-US" w:eastAsia="zh-CN" w:bidi="ar-SA"/>
                    </w:rPr>
                    <w:t>安徽省地方标准《固定源挥发性有机物综合排放标准第6部分：其他行业》（DB34/4812.6-2024）</w:t>
                  </w:r>
                  <w:r>
                    <w:rPr>
                      <w:rFonts w:hint="eastAsia"/>
                      <w:szCs w:val="21"/>
                      <w:lang w:eastAsia="zh-CN"/>
                    </w:rPr>
                    <w:t>；</w:t>
                  </w:r>
                  <w:r>
                    <w:rPr>
                      <w:rFonts w:hint="eastAsia" w:ascii="Times New Roman" w:hAnsi="Times New Roman" w:eastAsia="宋体" w:cs="Times New Roman"/>
                      <w:bCs/>
                      <w:kern w:val="2"/>
                      <w:sz w:val="21"/>
                      <w:szCs w:val="21"/>
                      <w:lang w:val="en-US" w:eastAsia="zh-CN" w:bidi="ar-SA"/>
                    </w:rPr>
                    <w:t>《合成树脂工业污染物排放标准》（GB31572-2015）表5</w:t>
                  </w:r>
                </w:p>
              </w:tc>
              <w:tc>
                <w:tcPr>
                  <w:tcW w:w="411" w:type="pct"/>
                  <w:vAlign w:val="center"/>
                </w:tcPr>
                <w:p w14:paraId="180D753C">
                  <w:pPr>
                    <w:widowControl/>
                    <w:adjustRightInd w:val="0"/>
                    <w:snapToGrid w:val="0"/>
                    <w:ind w:left="-50" w:right="-50"/>
                    <w:jc w:val="center"/>
                    <w:rPr>
                      <w:kern w:val="0"/>
                      <w:szCs w:val="21"/>
                    </w:rPr>
                  </w:pPr>
                  <w:r>
                    <w:rPr>
                      <w:rFonts w:hint="eastAsia"/>
                      <w:kern w:val="0"/>
                      <w:szCs w:val="21"/>
                    </w:rPr>
                    <w:t>20</w:t>
                  </w:r>
                </w:p>
              </w:tc>
            </w:tr>
            <w:tr w14:paraId="79FC59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334" w:type="pct"/>
                  <w:vMerge w:val="continue"/>
                  <w:tcBorders/>
                  <w:vAlign w:val="center"/>
                </w:tcPr>
                <w:p w14:paraId="7E109600">
                  <w:pPr>
                    <w:widowControl/>
                    <w:adjustRightInd w:val="0"/>
                    <w:snapToGrid w:val="0"/>
                    <w:ind w:left="-50" w:right="-50"/>
                    <w:jc w:val="center"/>
                    <w:rPr>
                      <w:kern w:val="0"/>
                      <w:szCs w:val="21"/>
                    </w:rPr>
                  </w:pPr>
                </w:p>
              </w:tc>
              <w:tc>
                <w:tcPr>
                  <w:tcW w:w="693" w:type="pct"/>
                  <w:vAlign w:val="center"/>
                </w:tcPr>
                <w:p w14:paraId="12C55DC4">
                  <w:pPr>
                    <w:widowControl/>
                    <w:autoSpaceDE w:val="0"/>
                    <w:autoSpaceDN w:val="0"/>
                    <w:ind w:left="-105" w:leftChars="-50" w:right="-105" w:rightChars="-50"/>
                    <w:jc w:val="center"/>
                    <w:rPr>
                      <w:rFonts w:hint="default"/>
                      <w:kern w:val="0"/>
                      <w:szCs w:val="21"/>
                      <w:lang w:val="en-US" w:eastAsia="zh-CN"/>
                    </w:rPr>
                  </w:pPr>
                  <w:r>
                    <w:rPr>
                      <w:rFonts w:hint="eastAsia"/>
                      <w:kern w:val="0"/>
                      <w:szCs w:val="21"/>
                      <w:lang w:val="en-US" w:eastAsia="zh-CN"/>
                    </w:rPr>
                    <w:t>喷胶固化废气</w:t>
                  </w:r>
                </w:p>
              </w:tc>
              <w:tc>
                <w:tcPr>
                  <w:tcW w:w="1701" w:type="pct"/>
                  <w:vAlign w:val="center"/>
                </w:tcPr>
                <w:p w14:paraId="6A46F884">
                  <w:pPr>
                    <w:widowControl/>
                    <w:autoSpaceDE w:val="0"/>
                    <w:autoSpaceDN w:val="0"/>
                    <w:ind w:left="8" w:leftChars="1" w:right="-50" w:hanging="6" w:hangingChars="3"/>
                    <w:jc w:val="center"/>
                    <w:rPr>
                      <w:rFonts w:hint="eastAsia"/>
                      <w:szCs w:val="21"/>
                    </w:rPr>
                  </w:pPr>
                  <w:r>
                    <w:rPr>
                      <w:rFonts w:hint="eastAsia"/>
                      <w:szCs w:val="21"/>
                    </w:rPr>
                    <w:t>集气罩收集+二级活性炭吸附</w:t>
                  </w:r>
                  <w:r>
                    <w:rPr>
                      <w:rFonts w:hint="eastAsia"/>
                      <w:szCs w:val="21"/>
                      <w:lang w:val="en-US" w:eastAsia="zh-CN"/>
                    </w:rPr>
                    <w:t>+过滤棉</w:t>
                  </w:r>
                  <w:r>
                    <w:rPr>
                      <w:rFonts w:hint="eastAsia"/>
                      <w:szCs w:val="21"/>
                    </w:rPr>
                    <w:t>+15米高排气筒（DA001）</w:t>
                  </w:r>
                </w:p>
              </w:tc>
              <w:tc>
                <w:tcPr>
                  <w:tcW w:w="424" w:type="pct"/>
                  <w:vAlign w:val="center"/>
                </w:tcPr>
                <w:p w14:paraId="013C8E49">
                  <w:pPr>
                    <w:widowControl/>
                    <w:adjustRightInd w:val="0"/>
                    <w:snapToGrid w:val="0"/>
                    <w:ind w:left="-50" w:right="-50"/>
                    <w:jc w:val="center"/>
                    <w:rPr>
                      <w:rFonts w:hint="eastAsia" w:eastAsia="宋体"/>
                      <w:kern w:val="0"/>
                      <w:szCs w:val="21"/>
                      <w:lang w:val="en-US" w:eastAsia="zh-CN"/>
                    </w:rPr>
                  </w:pPr>
                  <w:r>
                    <w:rPr>
                      <w:rFonts w:hint="eastAsia"/>
                      <w:kern w:val="0"/>
                      <w:szCs w:val="21"/>
                      <w:lang w:val="en-US" w:eastAsia="zh-CN"/>
                    </w:rPr>
                    <w:t>1</w:t>
                  </w:r>
                </w:p>
              </w:tc>
              <w:tc>
                <w:tcPr>
                  <w:tcW w:w="2431" w:type="dxa"/>
                  <w:vAlign w:val="center"/>
                </w:tcPr>
                <w:p w14:paraId="577AFE72">
                  <w:pPr>
                    <w:widowControl/>
                    <w:autoSpaceDE w:val="0"/>
                    <w:autoSpaceDN w:val="0"/>
                    <w:adjustRightInd w:val="0"/>
                    <w:ind w:left="-50" w:leftChars="0" w:right="-50" w:rightChars="0"/>
                    <w:jc w:val="center"/>
                    <w:rPr>
                      <w:szCs w:val="21"/>
                    </w:rPr>
                  </w:pPr>
                  <w:r>
                    <w:rPr>
                      <w:rFonts w:hint="eastAsia" w:ascii="Times New Roman" w:hAnsi="Times New Roman" w:eastAsia="宋体" w:cs="Times New Roman"/>
                      <w:bCs/>
                      <w:kern w:val="2"/>
                      <w:sz w:val="21"/>
                      <w:szCs w:val="21"/>
                      <w:lang w:val="en-US" w:eastAsia="zh-CN" w:bidi="ar-SA"/>
                    </w:rPr>
                    <w:t>《大气污染物综合排放标准》（GB16297-1996）表2</w:t>
                  </w:r>
                </w:p>
              </w:tc>
              <w:tc>
                <w:tcPr>
                  <w:tcW w:w="698" w:type="dxa"/>
                  <w:vAlign w:val="center"/>
                </w:tcPr>
                <w:p w14:paraId="33721B3F">
                  <w:pPr>
                    <w:widowControl/>
                    <w:adjustRightInd w:val="0"/>
                    <w:snapToGrid w:val="0"/>
                    <w:ind w:left="-50" w:leftChars="0" w:right="-50" w:rightChars="0"/>
                    <w:jc w:val="center"/>
                    <w:rPr>
                      <w:rFonts w:hint="eastAsia"/>
                      <w:kern w:val="0"/>
                      <w:szCs w:val="21"/>
                    </w:rPr>
                  </w:pPr>
                  <w:r>
                    <w:rPr>
                      <w:rFonts w:hint="eastAsia"/>
                      <w:kern w:val="0"/>
                      <w:szCs w:val="21"/>
                    </w:rPr>
                    <w:t>20</w:t>
                  </w:r>
                </w:p>
              </w:tc>
            </w:tr>
            <w:tr w14:paraId="15D5D1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 w:hRule="atLeast"/>
              </w:trPr>
              <w:tc>
                <w:tcPr>
                  <w:tcW w:w="334" w:type="pct"/>
                  <w:vAlign w:val="center"/>
                </w:tcPr>
                <w:p w14:paraId="71273CE9">
                  <w:pPr>
                    <w:widowControl/>
                    <w:adjustRightInd w:val="0"/>
                    <w:snapToGrid w:val="0"/>
                    <w:ind w:left="-50" w:right="-50"/>
                    <w:jc w:val="center"/>
                    <w:rPr>
                      <w:kern w:val="0"/>
                      <w:szCs w:val="21"/>
                    </w:rPr>
                  </w:pPr>
                  <w:r>
                    <w:rPr>
                      <w:kern w:val="0"/>
                      <w:szCs w:val="21"/>
                    </w:rPr>
                    <w:t>噪声</w:t>
                  </w:r>
                </w:p>
              </w:tc>
              <w:tc>
                <w:tcPr>
                  <w:tcW w:w="693" w:type="pct"/>
                  <w:vAlign w:val="center"/>
                </w:tcPr>
                <w:p w14:paraId="1518C374">
                  <w:pPr>
                    <w:widowControl/>
                    <w:adjustRightInd w:val="0"/>
                    <w:snapToGrid w:val="0"/>
                    <w:ind w:left="-50" w:right="-50"/>
                    <w:jc w:val="center"/>
                    <w:rPr>
                      <w:kern w:val="0"/>
                      <w:szCs w:val="21"/>
                    </w:rPr>
                  </w:pPr>
                  <w:r>
                    <w:rPr>
                      <w:kern w:val="0"/>
                      <w:szCs w:val="21"/>
                    </w:rPr>
                    <w:t>设备噪声</w:t>
                  </w:r>
                </w:p>
              </w:tc>
              <w:tc>
                <w:tcPr>
                  <w:tcW w:w="1701" w:type="pct"/>
                  <w:vAlign w:val="center"/>
                </w:tcPr>
                <w:p w14:paraId="3D723FEB">
                  <w:pPr>
                    <w:widowControl/>
                    <w:adjustRightInd w:val="0"/>
                    <w:snapToGrid w:val="0"/>
                    <w:ind w:left="-50" w:right="-50"/>
                    <w:jc w:val="center"/>
                    <w:rPr>
                      <w:kern w:val="0"/>
                      <w:szCs w:val="21"/>
                    </w:rPr>
                  </w:pPr>
                  <w:r>
                    <w:rPr>
                      <w:kern w:val="0"/>
                      <w:szCs w:val="21"/>
                    </w:rPr>
                    <w:t>合理布局、隔声、减振、消声等措施</w:t>
                  </w:r>
                </w:p>
              </w:tc>
              <w:tc>
                <w:tcPr>
                  <w:tcW w:w="424" w:type="pct"/>
                  <w:vAlign w:val="center"/>
                </w:tcPr>
                <w:p w14:paraId="3E5C0510">
                  <w:pPr>
                    <w:widowControl/>
                    <w:adjustRightInd w:val="0"/>
                    <w:snapToGrid w:val="0"/>
                    <w:ind w:left="-50" w:right="-50"/>
                    <w:jc w:val="center"/>
                    <w:rPr>
                      <w:kern w:val="0"/>
                      <w:szCs w:val="21"/>
                    </w:rPr>
                  </w:pPr>
                  <w:r>
                    <w:rPr>
                      <w:kern w:val="0"/>
                      <w:szCs w:val="21"/>
                    </w:rPr>
                    <w:t>若干</w:t>
                  </w:r>
                </w:p>
              </w:tc>
              <w:tc>
                <w:tcPr>
                  <w:tcW w:w="1434" w:type="pct"/>
                  <w:vAlign w:val="center"/>
                </w:tcPr>
                <w:p w14:paraId="7F100C08">
                  <w:pPr>
                    <w:widowControl/>
                    <w:adjustRightInd w:val="0"/>
                    <w:snapToGrid w:val="0"/>
                    <w:ind w:left="-105" w:leftChars="-50" w:right="-105" w:rightChars="-50"/>
                    <w:jc w:val="center"/>
                    <w:rPr>
                      <w:kern w:val="0"/>
                      <w:szCs w:val="21"/>
                    </w:rPr>
                  </w:pPr>
                  <w:r>
                    <w:rPr>
                      <w:kern w:val="0"/>
                      <w:szCs w:val="21"/>
                    </w:rPr>
                    <w:t>满足</w:t>
                  </w:r>
                  <w:r>
                    <w:rPr>
                      <w:spacing w:val="-2"/>
                      <w:kern w:val="0"/>
                      <w:szCs w:val="21"/>
                    </w:rPr>
                    <w:t>《工业企业厂界环境噪声排放标准》（GB12348-2008）</w:t>
                  </w:r>
                  <w:r>
                    <w:rPr>
                      <w:rFonts w:hint="eastAsia"/>
                      <w:spacing w:val="-2"/>
                      <w:kern w:val="0"/>
                      <w:szCs w:val="21"/>
                    </w:rPr>
                    <w:t>3</w:t>
                  </w:r>
                  <w:r>
                    <w:rPr>
                      <w:spacing w:val="-2"/>
                      <w:kern w:val="0"/>
                      <w:szCs w:val="21"/>
                    </w:rPr>
                    <w:t>类标准</w:t>
                  </w:r>
                </w:p>
              </w:tc>
              <w:tc>
                <w:tcPr>
                  <w:tcW w:w="411" w:type="pct"/>
                  <w:vAlign w:val="center"/>
                </w:tcPr>
                <w:p w14:paraId="5A2C94C3">
                  <w:pPr>
                    <w:widowControl/>
                    <w:adjustRightInd w:val="0"/>
                    <w:snapToGrid w:val="0"/>
                    <w:ind w:left="-50" w:right="-50"/>
                    <w:jc w:val="center"/>
                    <w:rPr>
                      <w:kern w:val="0"/>
                      <w:szCs w:val="21"/>
                    </w:rPr>
                  </w:pPr>
                  <w:r>
                    <w:rPr>
                      <w:rFonts w:hint="eastAsia"/>
                      <w:kern w:val="0"/>
                      <w:szCs w:val="21"/>
                    </w:rPr>
                    <w:t>15</w:t>
                  </w:r>
                </w:p>
              </w:tc>
            </w:tr>
            <w:tr w14:paraId="69F232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34" w:type="pct"/>
                  <w:vMerge w:val="restart"/>
                  <w:vAlign w:val="center"/>
                </w:tcPr>
                <w:p w14:paraId="0F07A2E1">
                  <w:pPr>
                    <w:widowControl/>
                    <w:adjustRightInd w:val="0"/>
                    <w:snapToGrid w:val="0"/>
                    <w:ind w:left="-50" w:right="-50"/>
                    <w:jc w:val="center"/>
                    <w:rPr>
                      <w:kern w:val="0"/>
                      <w:szCs w:val="21"/>
                    </w:rPr>
                  </w:pPr>
                  <w:r>
                    <w:rPr>
                      <w:kern w:val="0"/>
                      <w:szCs w:val="21"/>
                    </w:rPr>
                    <w:t>固废</w:t>
                  </w:r>
                </w:p>
              </w:tc>
              <w:tc>
                <w:tcPr>
                  <w:tcW w:w="693" w:type="pct"/>
                  <w:vAlign w:val="center"/>
                </w:tcPr>
                <w:p w14:paraId="4EA130B9">
                  <w:pPr>
                    <w:adjustRightInd w:val="0"/>
                    <w:snapToGrid w:val="0"/>
                    <w:ind w:left="-50" w:right="-50"/>
                    <w:jc w:val="center"/>
                    <w:rPr>
                      <w:kern w:val="0"/>
                      <w:szCs w:val="21"/>
                    </w:rPr>
                  </w:pPr>
                  <w:r>
                    <w:rPr>
                      <w:kern w:val="0"/>
                      <w:szCs w:val="21"/>
                    </w:rPr>
                    <w:t>一般固废</w:t>
                  </w:r>
                </w:p>
              </w:tc>
              <w:tc>
                <w:tcPr>
                  <w:tcW w:w="1701" w:type="pct"/>
                  <w:vAlign w:val="center"/>
                </w:tcPr>
                <w:p w14:paraId="461EC8EF">
                  <w:pPr>
                    <w:autoSpaceDE w:val="0"/>
                    <w:autoSpaceDN w:val="0"/>
                    <w:adjustRightInd w:val="0"/>
                    <w:ind w:left="-50" w:right="-50"/>
                    <w:jc w:val="center"/>
                    <w:rPr>
                      <w:kern w:val="0"/>
                      <w:szCs w:val="21"/>
                    </w:rPr>
                  </w:pPr>
                  <w:r>
                    <w:rPr>
                      <w:kern w:val="0"/>
                      <w:szCs w:val="21"/>
                    </w:rPr>
                    <w:t>一般固废库收集暂存，</w:t>
                  </w:r>
                  <w:r>
                    <w:rPr>
                      <w:rFonts w:hint="eastAsia"/>
                      <w:kern w:val="0"/>
                      <w:szCs w:val="21"/>
                    </w:rPr>
                    <w:t>委托具有一般固废处理资质的单位处置</w:t>
                  </w:r>
                </w:p>
              </w:tc>
              <w:tc>
                <w:tcPr>
                  <w:tcW w:w="424" w:type="pct"/>
                  <w:vAlign w:val="center"/>
                </w:tcPr>
                <w:p w14:paraId="32744C1E">
                  <w:pPr>
                    <w:adjustRightInd w:val="0"/>
                    <w:snapToGrid w:val="0"/>
                    <w:ind w:left="-50" w:right="-50"/>
                    <w:jc w:val="center"/>
                    <w:rPr>
                      <w:kern w:val="0"/>
                      <w:szCs w:val="21"/>
                    </w:rPr>
                  </w:pPr>
                  <w:r>
                    <w:rPr>
                      <w:rFonts w:hint="eastAsia"/>
                      <w:kern w:val="0"/>
                      <w:szCs w:val="21"/>
                    </w:rPr>
                    <w:t>1</w:t>
                  </w:r>
                </w:p>
              </w:tc>
              <w:tc>
                <w:tcPr>
                  <w:tcW w:w="1434" w:type="pct"/>
                  <w:vMerge w:val="restart"/>
                  <w:vAlign w:val="center"/>
                </w:tcPr>
                <w:p w14:paraId="39ADC11F">
                  <w:pPr>
                    <w:adjustRightInd w:val="0"/>
                    <w:snapToGrid w:val="0"/>
                    <w:ind w:left="-50" w:right="-50"/>
                    <w:jc w:val="center"/>
                    <w:rPr>
                      <w:kern w:val="0"/>
                      <w:szCs w:val="21"/>
                    </w:rPr>
                  </w:pPr>
                  <w:r>
                    <w:rPr>
                      <w:rFonts w:hint="eastAsia"/>
                      <w:kern w:val="0"/>
                      <w:szCs w:val="21"/>
                      <w:lang w:val="zh-CN"/>
                    </w:rPr>
                    <w:t>一般工业固废</w:t>
                  </w:r>
                  <w:r>
                    <w:rPr>
                      <w:kern w:val="0"/>
                      <w:szCs w:val="21"/>
                      <w:lang w:val="zh-CN"/>
                    </w:rPr>
                    <w:t>分类收集，</w:t>
                  </w:r>
                  <w:r>
                    <w:rPr>
                      <w:rFonts w:hint="eastAsia"/>
                      <w:kern w:val="0"/>
                      <w:szCs w:val="21"/>
                      <w:lang w:val="zh-CN"/>
                    </w:rPr>
                    <w:t>综合</w:t>
                  </w:r>
                  <w:r>
                    <w:rPr>
                      <w:kern w:val="0"/>
                      <w:szCs w:val="21"/>
                      <w:lang w:val="zh-CN"/>
                    </w:rPr>
                    <w:t>利用；</w:t>
                  </w:r>
                  <w:r>
                    <w:rPr>
                      <w:rFonts w:hint="eastAsia"/>
                      <w:kern w:val="0"/>
                      <w:szCs w:val="21"/>
                      <w:lang w:val="zh-CN"/>
                    </w:rPr>
                    <w:t>危废委托资质单位处理</w:t>
                  </w:r>
                </w:p>
              </w:tc>
              <w:tc>
                <w:tcPr>
                  <w:tcW w:w="411" w:type="pct"/>
                  <w:vAlign w:val="center"/>
                </w:tcPr>
                <w:p w14:paraId="6B412A13">
                  <w:pPr>
                    <w:adjustRightInd w:val="0"/>
                    <w:snapToGrid w:val="0"/>
                    <w:ind w:left="-50" w:right="-50"/>
                    <w:jc w:val="center"/>
                    <w:rPr>
                      <w:kern w:val="0"/>
                      <w:szCs w:val="21"/>
                    </w:rPr>
                  </w:pPr>
                  <w:r>
                    <w:rPr>
                      <w:rFonts w:hint="eastAsia"/>
                      <w:kern w:val="0"/>
                      <w:szCs w:val="21"/>
                    </w:rPr>
                    <w:t>1</w:t>
                  </w:r>
                </w:p>
              </w:tc>
            </w:tr>
            <w:tr w14:paraId="2AE7D7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334" w:type="pct"/>
                  <w:vMerge w:val="continue"/>
                  <w:vAlign w:val="center"/>
                </w:tcPr>
                <w:p w14:paraId="278FEDFD">
                  <w:pPr>
                    <w:widowControl/>
                    <w:adjustRightInd w:val="0"/>
                    <w:snapToGrid w:val="0"/>
                    <w:ind w:left="-50" w:right="-50"/>
                    <w:jc w:val="center"/>
                    <w:rPr>
                      <w:kern w:val="0"/>
                      <w:szCs w:val="21"/>
                    </w:rPr>
                  </w:pPr>
                </w:p>
              </w:tc>
              <w:tc>
                <w:tcPr>
                  <w:tcW w:w="693" w:type="pct"/>
                  <w:vAlign w:val="center"/>
                </w:tcPr>
                <w:p w14:paraId="0220FCDB">
                  <w:pPr>
                    <w:widowControl/>
                    <w:adjustRightInd w:val="0"/>
                    <w:snapToGrid w:val="0"/>
                    <w:ind w:left="-105" w:leftChars="-50" w:right="-105" w:rightChars="-50"/>
                    <w:jc w:val="center"/>
                    <w:rPr>
                      <w:kern w:val="0"/>
                      <w:szCs w:val="21"/>
                    </w:rPr>
                  </w:pPr>
                  <w:r>
                    <w:rPr>
                      <w:kern w:val="0"/>
                      <w:szCs w:val="21"/>
                    </w:rPr>
                    <w:t>危险废物</w:t>
                  </w:r>
                </w:p>
              </w:tc>
              <w:tc>
                <w:tcPr>
                  <w:tcW w:w="1701" w:type="pct"/>
                  <w:vAlign w:val="center"/>
                </w:tcPr>
                <w:p w14:paraId="1E830CC8">
                  <w:pPr>
                    <w:widowControl/>
                    <w:adjustRightInd w:val="0"/>
                    <w:snapToGrid w:val="0"/>
                    <w:ind w:left="-105" w:leftChars="-50" w:right="-105" w:rightChars="-50"/>
                    <w:jc w:val="center"/>
                    <w:rPr>
                      <w:kern w:val="0"/>
                      <w:szCs w:val="21"/>
                    </w:rPr>
                  </w:pPr>
                  <w:r>
                    <w:rPr>
                      <w:kern w:val="0"/>
                      <w:szCs w:val="21"/>
                    </w:rPr>
                    <w:t>危废暂存场所</w:t>
                  </w:r>
                  <w:r>
                    <w:rPr>
                      <w:rFonts w:hAnsi="宋体"/>
                      <w:kern w:val="0"/>
                      <w:szCs w:val="21"/>
                    </w:rPr>
                    <w:t>，</w:t>
                  </w:r>
                  <w:r>
                    <w:rPr>
                      <w:rFonts w:hint="eastAsia" w:hAnsi="宋体"/>
                      <w:kern w:val="0"/>
                      <w:szCs w:val="21"/>
                    </w:rPr>
                    <w:t>占地</w:t>
                  </w:r>
                  <w:r>
                    <w:rPr>
                      <w:rFonts w:hint="eastAsia" w:hAnsi="宋体"/>
                      <w:kern w:val="0"/>
                      <w:szCs w:val="21"/>
                      <w:lang w:val="en-US" w:eastAsia="zh-CN"/>
                    </w:rPr>
                    <w:t>10</w:t>
                  </w:r>
                  <w:r>
                    <w:rPr>
                      <w:kern w:val="0"/>
                      <w:szCs w:val="21"/>
                    </w:rPr>
                    <w:t>m</w:t>
                  </w:r>
                  <w:r>
                    <w:rPr>
                      <w:kern w:val="0"/>
                      <w:szCs w:val="21"/>
                      <w:vertAlign w:val="superscript"/>
                    </w:rPr>
                    <w:t>2</w:t>
                  </w:r>
                  <w:r>
                    <w:rPr>
                      <w:rFonts w:hAnsi="宋体"/>
                      <w:kern w:val="0"/>
                      <w:szCs w:val="21"/>
                    </w:rPr>
                    <w:t>，</w:t>
                  </w:r>
                  <w:r>
                    <w:rPr>
                      <w:kern w:val="0"/>
                      <w:szCs w:val="21"/>
                    </w:rPr>
                    <w:t>并采取防风、防雨、防渗和防腐措施；危废收集后及时</w:t>
                  </w:r>
                  <w:r>
                    <w:rPr>
                      <w:rFonts w:hint="eastAsia"/>
                      <w:kern w:val="0"/>
                      <w:szCs w:val="21"/>
                    </w:rPr>
                    <w:t>委托资质单位处理</w:t>
                  </w:r>
                </w:p>
              </w:tc>
              <w:tc>
                <w:tcPr>
                  <w:tcW w:w="424" w:type="pct"/>
                  <w:vAlign w:val="center"/>
                </w:tcPr>
                <w:p w14:paraId="5BF7CE8F">
                  <w:pPr>
                    <w:widowControl/>
                    <w:adjustRightInd w:val="0"/>
                    <w:snapToGrid w:val="0"/>
                    <w:ind w:left="-50" w:right="-50"/>
                    <w:jc w:val="center"/>
                    <w:rPr>
                      <w:kern w:val="0"/>
                      <w:szCs w:val="21"/>
                    </w:rPr>
                  </w:pPr>
                  <w:r>
                    <w:rPr>
                      <w:kern w:val="0"/>
                      <w:szCs w:val="21"/>
                    </w:rPr>
                    <w:t>1</w:t>
                  </w:r>
                </w:p>
              </w:tc>
              <w:tc>
                <w:tcPr>
                  <w:tcW w:w="1434" w:type="pct"/>
                  <w:vMerge w:val="continue"/>
                  <w:vAlign w:val="center"/>
                </w:tcPr>
                <w:p w14:paraId="519961E0">
                  <w:pPr>
                    <w:widowControl/>
                    <w:adjustRightInd w:val="0"/>
                    <w:snapToGrid w:val="0"/>
                    <w:ind w:left="-50" w:right="-50"/>
                    <w:jc w:val="center"/>
                    <w:rPr>
                      <w:kern w:val="0"/>
                      <w:szCs w:val="21"/>
                    </w:rPr>
                  </w:pPr>
                </w:p>
              </w:tc>
              <w:tc>
                <w:tcPr>
                  <w:tcW w:w="411" w:type="pct"/>
                  <w:vAlign w:val="center"/>
                </w:tcPr>
                <w:p w14:paraId="22044499">
                  <w:pPr>
                    <w:widowControl/>
                    <w:adjustRightInd w:val="0"/>
                    <w:snapToGrid w:val="0"/>
                    <w:ind w:left="-50" w:right="-50"/>
                    <w:jc w:val="center"/>
                    <w:rPr>
                      <w:kern w:val="0"/>
                      <w:szCs w:val="21"/>
                    </w:rPr>
                  </w:pPr>
                  <w:r>
                    <w:rPr>
                      <w:rFonts w:hint="eastAsia"/>
                      <w:kern w:val="0"/>
                      <w:szCs w:val="21"/>
                    </w:rPr>
                    <w:t>5</w:t>
                  </w:r>
                </w:p>
              </w:tc>
            </w:tr>
            <w:tr w14:paraId="780461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027" w:type="pct"/>
                  <w:gridSpan w:val="2"/>
                  <w:vAlign w:val="center"/>
                </w:tcPr>
                <w:p w14:paraId="1852E71C">
                  <w:pPr>
                    <w:widowControl/>
                    <w:adjustRightInd w:val="0"/>
                    <w:snapToGrid w:val="0"/>
                    <w:ind w:left="-50" w:right="-50"/>
                    <w:jc w:val="center"/>
                    <w:rPr>
                      <w:kern w:val="0"/>
                      <w:szCs w:val="21"/>
                    </w:rPr>
                  </w:pPr>
                  <w:r>
                    <w:rPr>
                      <w:kern w:val="0"/>
                      <w:szCs w:val="21"/>
                    </w:rPr>
                    <w:t>合计</w:t>
                  </w:r>
                </w:p>
              </w:tc>
              <w:tc>
                <w:tcPr>
                  <w:tcW w:w="1701" w:type="pct"/>
                  <w:vAlign w:val="center"/>
                </w:tcPr>
                <w:p w14:paraId="6C9C0682">
                  <w:pPr>
                    <w:widowControl/>
                    <w:adjustRightInd w:val="0"/>
                    <w:snapToGrid w:val="0"/>
                    <w:ind w:left="-50" w:right="-50"/>
                    <w:jc w:val="center"/>
                    <w:rPr>
                      <w:kern w:val="0"/>
                      <w:szCs w:val="21"/>
                    </w:rPr>
                  </w:pPr>
                  <w:r>
                    <w:rPr>
                      <w:kern w:val="0"/>
                      <w:szCs w:val="21"/>
                    </w:rPr>
                    <w:t>/</w:t>
                  </w:r>
                </w:p>
              </w:tc>
              <w:tc>
                <w:tcPr>
                  <w:tcW w:w="424" w:type="pct"/>
                  <w:vAlign w:val="center"/>
                </w:tcPr>
                <w:p w14:paraId="287967B7">
                  <w:pPr>
                    <w:widowControl/>
                    <w:adjustRightInd w:val="0"/>
                    <w:snapToGrid w:val="0"/>
                    <w:ind w:left="-50" w:right="-50"/>
                    <w:jc w:val="center"/>
                    <w:rPr>
                      <w:kern w:val="0"/>
                      <w:szCs w:val="21"/>
                    </w:rPr>
                  </w:pPr>
                  <w:r>
                    <w:rPr>
                      <w:kern w:val="0"/>
                      <w:szCs w:val="21"/>
                    </w:rPr>
                    <w:t>/</w:t>
                  </w:r>
                </w:p>
              </w:tc>
              <w:tc>
                <w:tcPr>
                  <w:tcW w:w="1434" w:type="pct"/>
                  <w:vAlign w:val="center"/>
                </w:tcPr>
                <w:p w14:paraId="61E19B5F">
                  <w:pPr>
                    <w:widowControl/>
                    <w:adjustRightInd w:val="0"/>
                    <w:snapToGrid w:val="0"/>
                    <w:ind w:left="-50" w:right="-50"/>
                    <w:jc w:val="center"/>
                    <w:rPr>
                      <w:kern w:val="0"/>
                      <w:szCs w:val="21"/>
                    </w:rPr>
                  </w:pPr>
                  <w:r>
                    <w:rPr>
                      <w:kern w:val="0"/>
                      <w:szCs w:val="21"/>
                    </w:rPr>
                    <w:t>/</w:t>
                  </w:r>
                </w:p>
              </w:tc>
              <w:tc>
                <w:tcPr>
                  <w:tcW w:w="411" w:type="pct"/>
                  <w:vAlign w:val="center"/>
                </w:tcPr>
                <w:p w14:paraId="25796740">
                  <w:pPr>
                    <w:widowControl/>
                    <w:adjustRightInd w:val="0"/>
                    <w:snapToGrid w:val="0"/>
                    <w:ind w:left="-50" w:right="-50"/>
                    <w:jc w:val="center"/>
                    <w:rPr>
                      <w:kern w:val="0"/>
                      <w:szCs w:val="21"/>
                    </w:rPr>
                  </w:pPr>
                  <w:r>
                    <w:rPr>
                      <w:rFonts w:hint="eastAsia"/>
                      <w:kern w:val="0"/>
                      <w:szCs w:val="21"/>
                      <w:lang w:val="en-US" w:eastAsia="zh-CN"/>
                    </w:rPr>
                    <w:t>6</w:t>
                  </w:r>
                  <w:r>
                    <w:rPr>
                      <w:rFonts w:hint="eastAsia"/>
                      <w:kern w:val="0"/>
                      <w:szCs w:val="21"/>
                    </w:rPr>
                    <w:t>1</w:t>
                  </w:r>
                </w:p>
              </w:tc>
            </w:tr>
          </w:tbl>
          <w:p w14:paraId="16F142DF">
            <w:pPr>
              <w:adjustRightInd w:val="0"/>
              <w:snapToGrid w:val="0"/>
              <w:spacing w:line="360" w:lineRule="auto"/>
              <w:rPr>
                <w:bCs/>
              </w:rPr>
            </w:pPr>
          </w:p>
        </w:tc>
      </w:tr>
    </w:tbl>
    <w:p w14:paraId="6AD36D72">
      <w:pPr>
        <w:adjustRightInd w:val="0"/>
        <w:snapToGrid w:val="0"/>
        <w:spacing w:line="360" w:lineRule="auto"/>
        <w:rPr>
          <w:b/>
          <w:kern w:val="0"/>
          <w:sz w:val="28"/>
          <w:szCs w:val="28"/>
        </w:rPr>
        <w:sectPr>
          <w:pgSz w:w="11907" w:h="16840"/>
          <w:pgMar w:top="1701" w:right="1531" w:bottom="2127" w:left="1531" w:header="851" w:footer="851" w:gutter="0"/>
          <w:cols w:space="720" w:num="1"/>
          <w:docGrid w:linePitch="312" w:charSpace="0"/>
        </w:sectPr>
      </w:pPr>
    </w:p>
    <w:p w14:paraId="56C3A781">
      <w:pPr>
        <w:pStyle w:val="27"/>
        <w:adjustRightInd w:val="0"/>
        <w:snapToGrid w:val="0"/>
        <w:spacing w:before="0" w:beforeAutospacing="0" w:after="0" w:afterAutospacing="0"/>
        <w:jc w:val="center"/>
        <w:outlineLvl w:val="0"/>
        <w:rPr>
          <w:rFonts w:ascii="Times New Roman" w:hAnsi="Times New Roman"/>
          <w:b/>
          <w:bCs/>
          <w:snapToGrid w:val="0"/>
          <w:sz w:val="30"/>
          <w:szCs w:val="30"/>
          <w:highlight w:val="yellow"/>
        </w:rPr>
      </w:pPr>
      <w:bookmarkStart w:id="11" w:name="_Toc12595"/>
      <w:r>
        <w:rPr>
          <w:rFonts w:ascii="Times New Roman" w:hAnsi="Times New Roman"/>
          <w:b/>
          <w:bCs/>
          <w:snapToGrid w:val="0"/>
          <w:sz w:val="30"/>
          <w:szCs w:val="30"/>
        </w:rPr>
        <w:t>五、</w:t>
      </w:r>
      <w:bookmarkStart w:id="12" w:name="_Hlk54167917"/>
      <w:r>
        <w:rPr>
          <w:rFonts w:ascii="Times New Roman" w:hAnsi="Times New Roman"/>
          <w:b/>
          <w:bCs/>
          <w:snapToGrid w:val="0"/>
          <w:sz w:val="30"/>
          <w:szCs w:val="30"/>
        </w:rPr>
        <w:t>环境保护措施监督检查清单</w:t>
      </w:r>
      <w:bookmarkEnd w:id="11"/>
      <w:bookmarkEnd w:id="12"/>
    </w:p>
    <w:tbl>
      <w:tblPr>
        <w:tblStyle w:val="29"/>
        <w:tblW w:w="90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2"/>
        <w:gridCol w:w="881"/>
        <w:gridCol w:w="1080"/>
        <w:gridCol w:w="1680"/>
        <w:gridCol w:w="2090"/>
        <w:gridCol w:w="2362"/>
      </w:tblGrid>
      <w:tr w14:paraId="157528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62" w:type="dxa"/>
            <w:tcBorders>
              <w:top w:val="single" w:color="auto" w:sz="12" w:space="0"/>
              <w:left w:val="single" w:color="auto" w:sz="12" w:space="0"/>
              <w:bottom w:val="single" w:color="auto" w:sz="4" w:space="0"/>
              <w:tl2br w:val="single" w:color="auto" w:sz="4" w:space="0"/>
            </w:tcBorders>
          </w:tcPr>
          <w:p w14:paraId="4F9CB00F">
            <w:pPr>
              <w:adjustRightInd w:val="0"/>
              <w:snapToGrid w:val="0"/>
              <w:ind w:firstLine="211" w:firstLineChars="100"/>
              <w:rPr>
                <w:rFonts w:cs="宋体"/>
                <w:b/>
                <w:szCs w:val="21"/>
              </w:rPr>
            </w:pPr>
            <w:r>
              <w:rPr>
                <w:rFonts w:hint="eastAsia" w:cs="宋体"/>
                <w:b/>
                <w:szCs w:val="21"/>
              </w:rPr>
              <w:t>内容</w:t>
            </w:r>
          </w:p>
          <w:p w14:paraId="6478042D">
            <w:pPr>
              <w:adjustRightInd w:val="0"/>
              <w:snapToGrid w:val="0"/>
              <w:rPr>
                <w:rFonts w:cs="宋体"/>
                <w:b/>
                <w:szCs w:val="21"/>
              </w:rPr>
            </w:pPr>
          </w:p>
          <w:p w14:paraId="0DEBD6D9">
            <w:pPr>
              <w:adjustRightInd w:val="0"/>
              <w:snapToGrid w:val="0"/>
              <w:rPr>
                <w:rFonts w:cs="宋体"/>
                <w:b/>
                <w:szCs w:val="21"/>
              </w:rPr>
            </w:pPr>
            <w:r>
              <w:rPr>
                <w:rFonts w:hint="eastAsia" w:cs="宋体"/>
                <w:b/>
                <w:szCs w:val="21"/>
              </w:rPr>
              <w:t>要素</w:t>
            </w:r>
          </w:p>
        </w:tc>
        <w:tc>
          <w:tcPr>
            <w:tcW w:w="1961" w:type="dxa"/>
            <w:gridSpan w:val="2"/>
            <w:tcBorders>
              <w:top w:val="single" w:color="auto" w:sz="12" w:space="0"/>
              <w:bottom w:val="single" w:color="auto" w:sz="4" w:space="0"/>
            </w:tcBorders>
            <w:vAlign w:val="center"/>
          </w:tcPr>
          <w:p w14:paraId="5A3C918C">
            <w:pPr>
              <w:adjustRightInd w:val="0"/>
              <w:snapToGrid w:val="0"/>
              <w:jc w:val="center"/>
              <w:rPr>
                <w:rFonts w:cs="宋体"/>
                <w:b/>
                <w:szCs w:val="21"/>
              </w:rPr>
            </w:pPr>
            <w:r>
              <w:rPr>
                <w:rFonts w:hint="eastAsia" w:cs="宋体"/>
                <w:b/>
                <w:szCs w:val="21"/>
              </w:rPr>
              <w:t>排放口(编号、名称)/污染源</w:t>
            </w:r>
          </w:p>
        </w:tc>
        <w:tc>
          <w:tcPr>
            <w:tcW w:w="1680" w:type="dxa"/>
            <w:tcBorders>
              <w:top w:val="single" w:color="auto" w:sz="12" w:space="0"/>
              <w:bottom w:val="single" w:color="auto" w:sz="4" w:space="0"/>
            </w:tcBorders>
            <w:vAlign w:val="center"/>
          </w:tcPr>
          <w:p w14:paraId="1A84EED6">
            <w:pPr>
              <w:adjustRightInd w:val="0"/>
              <w:snapToGrid w:val="0"/>
              <w:jc w:val="center"/>
              <w:rPr>
                <w:rFonts w:cs="宋体"/>
                <w:b/>
                <w:szCs w:val="21"/>
              </w:rPr>
            </w:pPr>
            <w:r>
              <w:rPr>
                <w:rFonts w:hint="eastAsia" w:cs="宋体"/>
                <w:b/>
                <w:szCs w:val="21"/>
              </w:rPr>
              <w:t>污染物项目</w:t>
            </w:r>
          </w:p>
        </w:tc>
        <w:tc>
          <w:tcPr>
            <w:tcW w:w="2090" w:type="dxa"/>
            <w:tcBorders>
              <w:top w:val="single" w:color="auto" w:sz="12" w:space="0"/>
              <w:bottom w:val="single" w:color="auto" w:sz="4" w:space="0"/>
            </w:tcBorders>
            <w:vAlign w:val="center"/>
          </w:tcPr>
          <w:p w14:paraId="7B9A3B8A">
            <w:pPr>
              <w:adjustRightInd w:val="0"/>
              <w:snapToGrid w:val="0"/>
              <w:jc w:val="center"/>
              <w:rPr>
                <w:rFonts w:cs="宋体"/>
                <w:b/>
                <w:szCs w:val="21"/>
              </w:rPr>
            </w:pPr>
            <w:r>
              <w:rPr>
                <w:rFonts w:hint="eastAsia" w:cs="宋体"/>
                <w:b/>
                <w:szCs w:val="21"/>
              </w:rPr>
              <w:t>环境保护措施</w:t>
            </w:r>
          </w:p>
        </w:tc>
        <w:tc>
          <w:tcPr>
            <w:tcW w:w="2362" w:type="dxa"/>
            <w:tcBorders>
              <w:top w:val="single" w:color="auto" w:sz="12" w:space="0"/>
              <w:bottom w:val="single" w:color="auto" w:sz="4" w:space="0"/>
              <w:right w:val="single" w:color="auto" w:sz="12" w:space="0"/>
            </w:tcBorders>
            <w:vAlign w:val="center"/>
          </w:tcPr>
          <w:p w14:paraId="6197E5DF">
            <w:pPr>
              <w:adjustRightInd w:val="0"/>
              <w:snapToGrid w:val="0"/>
              <w:jc w:val="center"/>
              <w:rPr>
                <w:rFonts w:cs="宋体"/>
                <w:b/>
                <w:szCs w:val="21"/>
              </w:rPr>
            </w:pPr>
            <w:r>
              <w:rPr>
                <w:rFonts w:hint="eastAsia" w:cs="宋体"/>
                <w:b/>
                <w:szCs w:val="21"/>
              </w:rPr>
              <w:t>执行标准</w:t>
            </w:r>
          </w:p>
        </w:tc>
      </w:tr>
      <w:tr w14:paraId="03A22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62" w:type="dxa"/>
            <w:vMerge w:val="restart"/>
            <w:tcBorders>
              <w:top w:val="single" w:color="auto" w:sz="4" w:space="0"/>
              <w:left w:val="single" w:color="auto" w:sz="12" w:space="0"/>
            </w:tcBorders>
            <w:vAlign w:val="center"/>
          </w:tcPr>
          <w:p w14:paraId="29C71299">
            <w:pPr>
              <w:adjustRightInd w:val="0"/>
              <w:snapToGrid w:val="0"/>
              <w:jc w:val="center"/>
              <w:rPr>
                <w:rFonts w:cs="宋体"/>
                <w:szCs w:val="21"/>
              </w:rPr>
            </w:pPr>
            <w:r>
              <w:rPr>
                <w:rFonts w:hint="eastAsia" w:cs="宋体"/>
                <w:szCs w:val="21"/>
              </w:rPr>
              <w:t>大气环境</w:t>
            </w:r>
          </w:p>
        </w:tc>
        <w:tc>
          <w:tcPr>
            <w:tcW w:w="881" w:type="dxa"/>
            <w:vMerge w:val="restart"/>
            <w:tcBorders>
              <w:top w:val="single" w:color="auto" w:sz="4" w:space="0"/>
            </w:tcBorders>
            <w:vAlign w:val="center"/>
          </w:tcPr>
          <w:p w14:paraId="4EAF9F7C">
            <w:pPr>
              <w:adjustRightInd w:val="0"/>
              <w:snapToGrid w:val="0"/>
              <w:jc w:val="center"/>
              <w:rPr>
                <w:szCs w:val="21"/>
              </w:rPr>
            </w:pPr>
            <w:r>
              <w:rPr>
                <w:rFonts w:hint="eastAsia"/>
                <w:szCs w:val="21"/>
              </w:rPr>
              <w:t>DA001</w:t>
            </w:r>
          </w:p>
        </w:tc>
        <w:tc>
          <w:tcPr>
            <w:tcW w:w="1080" w:type="dxa"/>
            <w:vMerge w:val="restart"/>
            <w:tcBorders>
              <w:top w:val="single" w:color="auto" w:sz="4" w:space="0"/>
            </w:tcBorders>
            <w:vAlign w:val="center"/>
          </w:tcPr>
          <w:p w14:paraId="61FD7746">
            <w:pPr>
              <w:widowControl/>
              <w:autoSpaceDE w:val="0"/>
              <w:autoSpaceDN w:val="0"/>
              <w:ind w:left="-105" w:leftChars="-50" w:right="-105" w:rightChars="-50"/>
              <w:jc w:val="center"/>
              <w:rPr>
                <w:szCs w:val="21"/>
              </w:rPr>
            </w:pPr>
            <w:r>
              <w:rPr>
                <w:rFonts w:hint="eastAsia"/>
                <w:kern w:val="0"/>
                <w:szCs w:val="21"/>
                <w:lang w:val="en-US" w:eastAsia="zh-CN"/>
              </w:rPr>
              <w:t>发泡脱模</w:t>
            </w:r>
            <w:r>
              <w:rPr>
                <w:rFonts w:hint="eastAsia"/>
                <w:kern w:val="0"/>
                <w:szCs w:val="21"/>
              </w:rPr>
              <w:t>废气</w:t>
            </w:r>
          </w:p>
        </w:tc>
        <w:tc>
          <w:tcPr>
            <w:tcW w:w="1680" w:type="dxa"/>
            <w:tcBorders>
              <w:top w:val="single" w:color="auto" w:sz="4" w:space="0"/>
              <w:bottom w:val="single" w:color="auto" w:sz="4" w:space="0"/>
            </w:tcBorders>
            <w:vAlign w:val="center"/>
          </w:tcPr>
          <w:p w14:paraId="2E5FEC3A">
            <w:pPr>
              <w:pStyle w:val="52"/>
              <w:rPr>
                <w:szCs w:val="21"/>
              </w:rPr>
            </w:pPr>
            <w:r>
              <w:rPr>
                <w:rFonts w:hint="eastAsia" w:ascii="Times New Roman" w:hAnsi="Times New Roman" w:eastAsia="宋体" w:cs="Times New Roman"/>
                <w:bCs/>
                <w:kern w:val="2"/>
                <w:sz w:val="21"/>
                <w:szCs w:val="21"/>
                <w:lang w:val="en-US" w:eastAsia="zh-CN" w:bidi="ar-SA"/>
              </w:rPr>
              <w:t>非甲烷总烃</w:t>
            </w:r>
          </w:p>
        </w:tc>
        <w:tc>
          <w:tcPr>
            <w:tcW w:w="2090" w:type="dxa"/>
            <w:vMerge w:val="restart"/>
            <w:tcBorders>
              <w:top w:val="single" w:color="auto" w:sz="4" w:space="0"/>
            </w:tcBorders>
            <w:vAlign w:val="center"/>
          </w:tcPr>
          <w:p w14:paraId="4F9F20E9">
            <w:pPr>
              <w:autoSpaceDE w:val="0"/>
              <w:autoSpaceDN w:val="0"/>
              <w:snapToGrid w:val="0"/>
              <w:ind w:left="-105" w:leftChars="-50" w:right="-105" w:rightChars="-50"/>
              <w:jc w:val="center"/>
              <w:rPr>
                <w:kern w:val="0"/>
                <w:szCs w:val="21"/>
              </w:rPr>
            </w:pPr>
            <w:r>
              <w:rPr>
                <w:rFonts w:hint="eastAsia"/>
                <w:kern w:val="0"/>
                <w:szCs w:val="21"/>
              </w:rPr>
              <w:t>集气罩+二级活性炭吸附+15米高排气筒</w:t>
            </w:r>
          </w:p>
        </w:tc>
        <w:tc>
          <w:tcPr>
            <w:tcW w:w="2362" w:type="dxa"/>
            <w:tcBorders>
              <w:top w:val="single" w:color="auto" w:sz="4" w:space="0"/>
              <w:right w:val="single" w:color="auto" w:sz="12" w:space="0"/>
            </w:tcBorders>
            <w:vAlign w:val="center"/>
          </w:tcPr>
          <w:p w14:paraId="7076CEDD">
            <w:pPr>
              <w:pStyle w:val="52"/>
              <w:rPr>
                <w:szCs w:val="21"/>
              </w:rPr>
            </w:pPr>
            <w:r>
              <w:rPr>
                <w:rFonts w:hint="eastAsia" w:ascii="Times New Roman" w:hAnsi="Times New Roman" w:eastAsia="宋体" w:cs="Times New Roman"/>
                <w:bCs/>
                <w:kern w:val="2"/>
                <w:sz w:val="21"/>
                <w:szCs w:val="21"/>
                <w:lang w:val="en-US" w:eastAsia="zh-CN" w:bidi="ar-SA"/>
              </w:rPr>
              <w:t>安徽省地方标准《固定源挥发性有机物综合排放标准第6部分：其他行业》（DB34/4812.6-2024）</w:t>
            </w:r>
          </w:p>
        </w:tc>
      </w:tr>
      <w:tr w14:paraId="60E349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62" w:type="dxa"/>
            <w:vMerge w:val="continue"/>
            <w:tcBorders>
              <w:left w:val="single" w:color="auto" w:sz="12" w:space="0"/>
            </w:tcBorders>
            <w:vAlign w:val="center"/>
          </w:tcPr>
          <w:p w14:paraId="656BB785">
            <w:pPr>
              <w:adjustRightInd w:val="0"/>
              <w:snapToGrid w:val="0"/>
              <w:jc w:val="center"/>
              <w:rPr>
                <w:rFonts w:cs="宋体"/>
                <w:szCs w:val="21"/>
              </w:rPr>
            </w:pPr>
          </w:p>
        </w:tc>
        <w:tc>
          <w:tcPr>
            <w:tcW w:w="881" w:type="dxa"/>
            <w:vMerge w:val="continue"/>
            <w:vAlign w:val="center"/>
          </w:tcPr>
          <w:p w14:paraId="5FC9C7AB">
            <w:pPr>
              <w:adjustRightInd w:val="0"/>
              <w:snapToGrid w:val="0"/>
              <w:jc w:val="center"/>
              <w:rPr>
                <w:szCs w:val="21"/>
              </w:rPr>
            </w:pPr>
          </w:p>
        </w:tc>
        <w:tc>
          <w:tcPr>
            <w:tcW w:w="1080" w:type="dxa"/>
            <w:vMerge w:val="continue"/>
            <w:vAlign w:val="center"/>
          </w:tcPr>
          <w:p w14:paraId="67972DA6">
            <w:pPr>
              <w:adjustRightInd w:val="0"/>
              <w:snapToGrid w:val="0"/>
              <w:jc w:val="center"/>
              <w:rPr>
                <w:szCs w:val="21"/>
              </w:rPr>
            </w:pPr>
          </w:p>
        </w:tc>
        <w:tc>
          <w:tcPr>
            <w:tcW w:w="1680" w:type="dxa"/>
            <w:tcBorders>
              <w:top w:val="single" w:color="auto" w:sz="4" w:space="0"/>
              <w:bottom w:val="single" w:color="auto" w:sz="4" w:space="0"/>
            </w:tcBorders>
            <w:vAlign w:val="center"/>
          </w:tcPr>
          <w:p w14:paraId="3392CF44">
            <w:pPr>
              <w:adjustRightInd w:val="0"/>
              <w:snapToGrid w:val="0"/>
              <w:spacing w:line="240" w:lineRule="auto"/>
              <w:jc w:val="center"/>
              <w:rPr>
                <w:szCs w:val="21"/>
              </w:rPr>
            </w:pPr>
            <w:r>
              <w:rPr>
                <w:rFonts w:hint="default" w:ascii="Times New Roman" w:hAnsi="Times New Roman" w:eastAsia="宋体" w:cs="Times New Roman"/>
                <w:bCs/>
                <w:kern w:val="2"/>
                <w:sz w:val="21"/>
                <w:szCs w:val="21"/>
                <w:lang w:val="en-US" w:eastAsia="zh-CN" w:bidi="ar-SA"/>
              </w:rPr>
              <w:t>多亚甲基多苯基异氰酸酯</w:t>
            </w:r>
            <w:r>
              <w:rPr>
                <w:rFonts w:hint="eastAsia" w:ascii="Times New Roman" w:hAnsi="Times New Roman" w:eastAsia="宋体" w:cs="Times New Roman"/>
                <w:bCs/>
                <w:kern w:val="2"/>
                <w:sz w:val="21"/>
                <w:szCs w:val="21"/>
                <w:lang w:val="en-US" w:eastAsia="zh-CN" w:bidi="ar-SA"/>
              </w:rPr>
              <w:t>（PAPI）</w:t>
            </w:r>
          </w:p>
        </w:tc>
        <w:tc>
          <w:tcPr>
            <w:tcW w:w="2090" w:type="dxa"/>
            <w:vMerge w:val="continue"/>
            <w:vAlign w:val="center"/>
          </w:tcPr>
          <w:p w14:paraId="4BBEBB24">
            <w:pPr>
              <w:autoSpaceDE w:val="0"/>
              <w:autoSpaceDN w:val="0"/>
              <w:snapToGrid w:val="0"/>
              <w:ind w:left="-105" w:leftChars="-50" w:right="-105" w:rightChars="-50"/>
              <w:jc w:val="center"/>
              <w:rPr>
                <w:kern w:val="0"/>
                <w:szCs w:val="21"/>
              </w:rPr>
            </w:pPr>
          </w:p>
        </w:tc>
        <w:tc>
          <w:tcPr>
            <w:tcW w:w="2362" w:type="dxa"/>
            <w:tcBorders>
              <w:top w:val="single" w:color="auto" w:sz="4" w:space="0"/>
              <w:right w:val="single" w:color="auto" w:sz="12" w:space="0"/>
            </w:tcBorders>
            <w:vAlign w:val="center"/>
          </w:tcPr>
          <w:p w14:paraId="126B6ECB">
            <w:pPr>
              <w:pStyle w:val="52"/>
              <w:rPr>
                <w:szCs w:val="21"/>
              </w:rPr>
            </w:pPr>
            <w:r>
              <w:rPr>
                <w:rFonts w:hint="eastAsia" w:ascii="Times New Roman" w:hAnsi="Times New Roman" w:eastAsia="宋体" w:cs="Times New Roman"/>
                <w:bCs/>
                <w:kern w:val="2"/>
                <w:sz w:val="21"/>
                <w:szCs w:val="21"/>
                <w:lang w:val="en-US" w:eastAsia="zh-CN" w:bidi="ar-SA"/>
              </w:rPr>
              <w:t>《合成树脂工业污染物排放标准》（GB31572-2015）表5</w:t>
            </w:r>
          </w:p>
        </w:tc>
      </w:tr>
      <w:tr w14:paraId="7B4FA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62" w:type="dxa"/>
            <w:vMerge w:val="continue"/>
            <w:tcBorders>
              <w:left w:val="single" w:color="auto" w:sz="12" w:space="0"/>
            </w:tcBorders>
            <w:vAlign w:val="center"/>
          </w:tcPr>
          <w:p w14:paraId="484C304B">
            <w:pPr>
              <w:adjustRightInd w:val="0"/>
              <w:snapToGrid w:val="0"/>
              <w:jc w:val="center"/>
              <w:rPr>
                <w:rFonts w:cs="宋体"/>
                <w:szCs w:val="21"/>
              </w:rPr>
            </w:pPr>
          </w:p>
        </w:tc>
        <w:tc>
          <w:tcPr>
            <w:tcW w:w="881" w:type="dxa"/>
            <w:vAlign w:val="center"/>
          </w:tcPr>
          <w:p w14:paraId="2F05AD9E">
            <w:pPr>
              <w:adjustRightInd w:val="0"/>
              <w:snapToGrid w:val="0"/>
              <w:jc w:val="center"/>
              <w:rPr>
                <w:rFonts w:hint="eastAsia" w:eastAsia="宋体"/>
                <w:szCs w:val="21"/>
                <w:lang w:val="en-US" w:eastAsia="zh-CN"/>
              </w:rPr>
            </w:pPr>
            <w:r>
              <w:rPr>
                <w:rFonts w:hint="eastAsia"/>
                <w:szCs w:val="21"/>
              </w:rPr>
              <w:t>DA00</w:t>
            </w:r>
            <w:r>
              <w:rPr>
                <w:rFonts w:hint="eastAsia"/>
                <w:szCs w:val="21"/>
                <w:lang w:val="en-US" w:eastAsia="zh-CN"/>
              </w:rPr>
              <w:t>2</w:t>
            </w:r>
          </w:p>
        </w:tc>
        <w:tc>
          <w:tcPr>
            <w:tcW w:w="1080" w:type="dxa"/>
            <w:vAlign w:val="center"/>
          </w:tcPr>
          <w:p w14:paraId="5D20861E">
            <w:pPr>
              <w:widowControl/>
              <w:autoSpaceDE w:val="0"/>
              <w:autoSpaceDN w:val="0"/>
              <w:ind w:left="-105" w:leftChars="-50" w:right="-105" w:rightChars="-50"/>
              <w:jc w:val="center"/>
              <w:rPr>
                <w:szCs w:val="21"/>
              </w:rPr>
            </w:pPr>
            <w:r>
              <w:rPr>
                <w:rFonts w:hint="eastAsia"/>
                <w:kern w:val="0"/>
                <w:szCs w:val="21"/>
                <w:lang w:val="en-US" w:eastAsia="zh-CN"/>
              </w:rPr>
              <w:t>喷胶固化废气</w:t>
            </w:r>
          </w:p>
        </w:tc>
        <w:tc>
          <w:tcPr>
            <w:tcW w:w="1680" w:type="dxa"/>
            <w:tcBorders>
              <w:top w:val="single" w:color="auto" w:sz="4" w:space="0"/>
              <w:bottom w:val="single" w:color="auto" w:sz="4" w:space="0"/>
            </w:tcBorders>
            <w:vAlign w:val="center"/>
          </w:tcPr>
          <w:p w14:paraId="1D282974">
            <w:pPr>
              <w:ind w:left="-105" w:leftChars="-50" w:right="-105" w:rightChars="-50"/>
              <w:jc w:val="center"/>
              <w:rPr>
                <w:rFonts w:hint="eastAsia"/>
                <w:szCs w:val="21"/>
              </w:rPr>
            </w:pPr>
            <w:r>
              <w:rPr>
                <w:rFonts w:hint="eastAsia" w:ascii="Times New Roman" w:hAnsi="Times New Roman" w:eastAsia="宋体" w:cs="Times New Roman"/>
                <w:bCs/>
                <w:kern w:val="2"/>
                <w:sz w:val="21"/>
                <w:szCs w:val="21"/>
                <w:lang w:val="en-US" w:eastAsia="zh-CN" w:bidi="ar-SA"/>
              </w:rPr>
              <w:t>非甲烷总烃</w:t>
            </w:r>
          </w:p>
        </w:tc>
        <w:tc>
          <w:tcPr>
            <w:tcW w:w="2090" w:type="dxa"/>
            <w:vAlign w:val="center"/>
          </w:tcPr>
          <w:p w14:paraId="03A1F5E4">
            <w:pPr>
              <w:autoSpaceDE w:val="0"/>
              <w:autoSpaceDN w:val="0"/>
              <w:snapToGrid w:val="0"/>
              <w:ind w:left="-105" w:leftChars="-50" w:right="-105" w:rightChars="-50"/>
              <w:jc w:val="center"/>
              <w:rPr>
                <w:kern w:val="0"/>
                <w:szCs w:val="21"/>
              </w:rPr>
            </w:pPr>
            <w:r>
              <w:rPr>
                <w:rFonts w:hint="eastAsia"/>
                <w:kern w:val="0"/>
                <w:szCs w:val="21"/>
              </w:rPr>
              <w:t>集气罩+</w:t>
            </w:r>
            <w:r>
              <w:rPr>
                <w:rFonts w:hint="eastAsia"/>
                <w:kern w:val="0"/>
                <w:szCs w:val="21"/>
                <w:lang w:val="en-US" w:eastAsia="zh-CN"/>
              </w:rPr>
              <w:t>过滤棉+</w:t>
            </w:r>
            <w:r>
              <w:rPr>
                <w:rFonts w:hint="eastAsia"/>
                <w:kern w:val="0"/>
                <w:szCs w:val="21"/>
              </w:rPr>
              <w:t>二级活性炭吸附+15米高排气筒</w:t>
            </w:r>
          </w:p>
        </w:tc>
        <w:tc>
          <w:tcPr>
            <w:tcW w:w="2362" w:type="dxa"/>
            <w:tcBorders>
              <w:top w:val="single" w:color="auto" w:sz="4" w:space="0"/>
              <w:right w:val="single" w:color="auto" w:sz="12" w:space="0"/>
            </w:tcBorders>
            <w:vAlign w:val="center"/>
          </w:tcPr>
          <w:p w14:paraId="3942A30F">
            <w:pPr>
              <w:widowControl/>
              <w:autoSpaceDE w:val="0"/>
              <w:autoSpaceDN w:val="0"/>
              <w:adjustRightInd w:val="0"/>
              <w:ind w:left="-50" w:right="-50"/>
              <w:jc w:val="center"/>
              <w:rPr>
                <w:rFonts w:hint="eastAsia"/>
                <w:szCs w:val="21"/>
              </w:rPr>
            </w:pPr>
            <w:r>
              <w:rPr>
                <w:rFonts w:hint="eastAsia" w:ascii="Times New Roman" w:hAnsi="Times New Roman" w:eastAsia="宋体" w:cs="Times New Roman"/>
                <w:bCs/>
                <w:kern w:val="2"/>
                <w:sz w:val="21"/>
                <w:szCs w:val="21"/>
                <w:lang w:val="en-US" w:eastAsia="zh-CN" w:bidi="ar-SA"/>
              </w:rPr>
              <w:t>《大气污染物综合排放标准》（GB16297-1996）表2</w:t>
            </w:r>
          </w:p>
        </w:tc>
      </w:tr>
      <w:tr w14:paraId="01C314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962" w:type="dxa"/>
            <w:vMerge w:val="continue"/>
            <w:tcBorders>
              <w:left w:val="single" w:color="auto" w:sz="12" w:space="0"/>
            </w:tcBorders>
            <w:vAlign w:val="center"/>
          </w:tcPr>
          <w:p w14:paraId="7D1031FD">
            <w:pPr>
              <w:adjustRightInd w:val="0"/>
              <w:snapToGrid w:val="0"/>
              <w:jc w:val="center"/>
              <w:rPr>
                <w:rFonts w:cs="宋体"/>
                <w:szCs w:val="21"/>
              </w:rPr>
            </w:pPr>
          </w:p>
        </w:tc>
        <w:tc>
          <w:tcPr>
            <w:tcW w:w="1961" w:type="dxa"/>
            <w:gridSpan w:val="2"/>
            <w:tcBorders>
              <w:top w:val="single" w:color="auto" w:sz="4" w:space="0"/>
            </w:tcBorders>
            <w:vAlign w:val="center"/>
          </w:tcPr>
          <w:p w14:paraId="6961B53E">
            <w:pPr>
              <w:adjustRightInd w:val="0"/>
              <w:snapToGrid w:val="0"/>
              <w:jc w:val="center"/>
              <w:rPr>
                <w:szCs w:val="21"/>
              </w:rPr>
            </w:pPr>
            <w:r>
              <w:rPr>
                <w:rFonts w:hint="eastAsia"/>
                <w:szCs w:val="21"/>
              </w:rPr>
              <w:t>厂界</w:t>
            </w:r>
          </w:p>
        </w:tc>
        <w:tc>
          <w:tcPr>
            <w:tcW w:w="1680" w:type="dxa"/>
            <w:tcBorders>
              <w:top w:val="single" w:color="auto" w:sz="4" w:space="0"/>
              <w:bottom w:val="single" w:color="auto" w:sz="4" w:space="0"/>
            </w:tcBorders>
            <w:vAlign w:val="center"/>
          </w:tcPr>
          <w:p w14:paraId="1394E583">
            <w:pPr>
              <w:ind w:left="-105" w:leftChars="-50" w:right="-105" w:rightChars="-50"/>
              <w:jc w:val="center"/>
              <w:rPr>
                <w:szCs w:val="21"/>
              </w:rPr>
            </w:pPr>
            <w:r>
              <w:rPr>
                <w:rFonts w:hint="eastAsia"/>
                <w:szCs w:val="21"/>
              </w:rPr>
              <w:t>非甲烷总烃</w:t>
            </w:r>
          </w:p>
        </w:tc>
        <w:tc>
          <w:tcPr>
            <w:tcW w:w="2090" w:type="dxa"/>
            <w:tcBorders>
              <w:top w:val="single" w:color="auto" w:sz="4" w:space="0"/>
            </w:tcBorders>
            <w:vAlign w:val="center"/>
          </w:tcPr>
          <w:p w14:paraId="158176AB">
            <w:pPr>
              <w:autoSpaceDE w:val="0"/>
              <w:autoSpaceDN w:val="0"/>
              <w:snapToGrid w:val="0"/>
              <w:ind w:left="-105" w:leftChars="-50" w:right="-105" w:rightChars="-50"/>
              <w:jc w:val="center"/>
              <w:rPr>
                <w:szCs w:val="21"/>
              </w:rPr>
            </w:pPr>
            <w:r>
              <w:rPr>
                <w:rFonts w:hint="eastAsia"/>
                <w:szCs w:val="21"/>
              </w:rPr>
              <w:t>加强管理</w:t>
            </w:r>
          </w:p>
        </w:tc>
        <w:tc>
          <w:tcPr>
            <w:tcW w:w="2362" w:type="dxa"/>
            <w:tcBorders>
              <w:top w:val="single" w:color="auto" w:sz="4" w:space="0"/>
              <w:right w:val="single" w:color="auto" w:sz="12" w:space="0"/>
            </w:tcBorders>
            <w:vAlign w:val="center"/>
          </w:tcPr>
          <w:p w14:paraId="0AA53E08">
            <w:pPr>
              <w:widowControl/>
              <w:adjustRightInd w:val="0"/>
              <w:snapToGrid w:val="0"/>
              <w:ind w:left="-105" w:leftChars="-50" w:right="-105" w:rightChars="-50"/>
              <w:jc w:val="center"/>
              <w:rPr>
                <w:rFonts w:ascii="宋体" w:hAnsi="宋体" w:cs="宋体"/>
                <w:kern w:val="0"/>
                <w:szCs w:val="21"/>
                <w:lang w:bidi="ar"/>
              </w:rPr>
            </w:pPr>
            <w:r>
              <w:rPr>
                <w:rFonts w:hint="eastAsia"/>
                <w:szCs w:val="21"/>
              </w:rPr>
              <w:t>安徽省地方标准《固定源挥发性有机物综合排放标准第6部分：其他行业》（DB34/4812.6-2024）</w:t>
            </w:r>
          </w:p>
        </w:tc>
      </w:tr>
      <w:tr w14:paraId="62D9B8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962" w:type="dxa"/>
            <w:tcBorders>
              <w:top w:val="single" w:color="auto" w:sz="4" w:space="0"/>
              <w:left w:val="single" w:color="auto" w:sz="12" w:space="0"/>
            </w:tcBorders>
            <w:vAlign w:val="center"/>
          </w:tcPr>
          <w:p w14:paraId="30B63627">
            <w:pPr>
              <w:adjustRightInd w:val="0"/>
              <w:snapToGrid w:val="0"/>
              <w:jc w:val="center"/>
              <w:rPr>
                <w:rFonts w:cs="宋体"/>
                <w:szCs w:val="21"/>
              </w:rPr>
            </w:pPr>
            <w:r>
              <w:rPr>
                <w:rFonts w:hint="eastAsia" w:cs="宋体"/>
                <w:szCs w:val="21"/>
              </w:rPr>
              <w:t>地表水环境</w:t>
            </w:r>
          </w:p>
        </w:tc>
        <w:tc>
          <w:tcPr>
            <w:tcW w:w="1961" w:type="dxa"/>
            <w:gridSpan w:val="2"/>
            <w:tcBorders>
              <w:top w:val="single" w:color="auto" w:sz="4" w:space="0"/>
              <w:bottom w:val="single" w:color="auto" w:sz="4" w:space="0"/>
            </w:tcBorders>
            <w:vAlign w:val="center"/>
          </w:tcPr>
          <w:p w14:paraId="7D085F7A">
            <w:pPr>
              <w:adjustRightInd w:val="0"/>
              <w:snapToGrid w:val="0"/>
              <w:ind w:left="-105" w:leftChars="-50" w:right="-105" w:rightChars="-50"/>
              <w:jc w:val="center"/>
              <w:rPr>
                <w:szCs w:val="21"/>
              </w:rPr>
            </w:pPr>
            <w:r>
              <w:rPr>
                <w:rFonts w:hint="eastAsia"/>
                <w:szCs w:val="21"/>
              </w:rPr>
              <w:t>生活污水</w:t>
            </w:r>
          </w:p>
        </w:tc>
        <w:tc>
          <w:tcPr>
            <w:tcW w:w="1680" w:type="dxa"/>
            <w:tcBorders>
              <w:top w:val="single" w:color="auto" w:sz="4" w:space="0"/>
              <w:bottom w:val="single" w:color="auto" w:sz="4" w:space="0"/>
            </w:tcBorders>
            <w:vAlign w:val="center"/>
          </w:tcPr>
          <w:p w14:paraId="628FE062">
            <w:pPr>
              <w:jc w:val="center"/>
              <w:outlineLvl w:val="0"/>
              <w:rPr>
                <w:rFonts w:cs="TimesNewRomanPSMT"/>
                <w:kern w:val="0"/>
                <w:szCs w:val="21"/>
              </w:rPr>
            </w:pPr>
            <w:r>
              <w:rPr>
                <w:rFonts w:hint="eastAsia" w:eastAsia="TimesNewRomanPSMT" w:cs="TimesNewRomanPSMT"/>
                <w:kern w:val="0"/>
                <w:szCs w:val="21"/>
              </w:rPr>
              <w:t>pH</w:t>
            </w:r>
            <w:r>
              <w:rPr>
                <w:rFonts w:hint="eastAsia" w:ascii="宋体" w:hAnsi="宋体" w:cs="宋体"/>
                <w:kern w:val="0"/>
                <w:szCs w:val="21"/>
              </w:rPr>
              <w:t>、</w:t>
            </w:r>
            <w:r>
              <w:rPr>
                <w:rFonts w:eastAsia="TimesNewRomanPSMT" w:cs="TimesNewRomanPSMT"/>
                <w:kern w:val="0"/>
                <w:szCs w:val="21"/>
              </w:rPr>
              <w:t>COD</w:t>
            </w:r>
            <w:r>
              <w:rPr>
                <w:rFonts w:hint="eastAsia" w:cs="宋体"/>
                <w:kern w:val="0"/>
                <w:szCs w:val="21"/>
              </w:rPr>
              <w:t>、BOD</w:t>
            </w:r>
            <w:r>
              <w:rPr>
                <w:rFonts w:hint="eastAsia" w:cs="宋体"/>
                <w:kern w:val="0"/>
                <w:szCs w:val="21"/>
                <w:vertAlign w:val="subscript"/>
              </w:rPr>
              <w:t>5</w:t>
            </w:r>
            <w:r>
              <w:rPr>
                <w:rFonts w:hint="eastAsia" w:cs="宋体"/>
                <w:kern w:val="0"/>
                <w:szCs w:val="21"/>
              </w:rPr>
              <w:t>、</w:t>
            </w:r>
            <w:r>
              <w:rPr>
                <w:rFonts w:eastAsia="TimesNewRomanPSMT" w:cs="TimesNewRomanPSMT"/>
                <w:kern w:val="0"/>
                <w:szCs w:val="21"/>
              </w:rPr>
              <w:t>SS</w:t>
            </w:r>
            <w:r>
              <w:rPr>
                <w:rFonts w:hint="eastAsia" w:cs="宋体"/>
                <w:kern w:val="0"/>
                <w:szCs w:val="21"/>
              </w:rPr>
              <w:t>、NH</w:t>
            </w:r>
            <w:r>
              <w:rPr>
                <w:rFonts w:hint="eastAsia" w:cs="宋体"/>
                <w:kern w:val="0"/>
                <w:szCs w:val="21"/>
                <w:shd w:val="clear" w:color="FFFFFF" w:fill="D9D9D9"/>
                <w:vertAlign w:val="subscript"/>
              </w:rPr>
              <w:t>3</w:t>
            </w:r>
            <w:r>
              <w:rPr>
                <w:rFonts w:hint="eastAsia" w:cs="宋体"/>
                <w:kern w:val="0"/>
                <w:szCs w:val="21"/>
              </w:rPr>
              <w:t>-N</w:t>
            </w:r>
          </w:p>
        </w:tc>
        <w:tc>
          <w:tcPr>
            <w:tcW w:w="2090" w:type="dxa"/>
            <w:tcBorders>
              <w:top w:val="single" w:color="auto" w:sz="4" w:space="0"/>
              <w:bottom w:val="single" w:color="auto" w:sz="4" w:space="0"/>
            </w:tcBorders>
            <w:vAlign w:val="center"/>
          </w:tcPr>
          <w:p w14:paraId="266D7625">
            <w:pPr>
              <w:autoSpaceDE w:val="0"/>
              <w:autoSpaceDN w:val="0"/>
              <w:snapToGrid w:val="0"/>
              <w:ind w:left="-105" w:leftChars="-50" w:right="-105" w:rightChars="-50"/>
              <w:jc w:val="center"/>
              <w:rPr>
                <w:kern w:val="0"/>
                <w:szCs w:val="21"/>
              </w:rPr>
            </w:pPr>
            <w:r>
              <w:rPr>
                <w:rFonts w:hint="eastAsia"/>
                <w:szCs w:val="21"/>
              </w:rPr>
              <w:t>经化粪池预处理后，接污水管网，进入城东污水处理厂进行处理，最终排入青弋江</w:t>
            </w:r>
          </w:p>
        </w:tc>
        <w:tc>
          <w:tcPr>
            <w:tcW w:w="2362" w:type="dxa"/>
            <w:tcBorders>
              <w:top w:val="single" w:color="auto" w:sz="4" w:space="0"/>
              <w:right w:val="single" w:color="auto" w:sz="12" w:space="0"/>
            </w:tcBorders>
            <w:vAlign w:val="center"/>
          </w:tcPr>
          <w:p w14:paraId="3CFF3447">
            <w:pPr>
              <w:autoSpaceDE w:val="0"/>
              <w:autoSpaceDN w:val="0"/>
              <w:snapToGrid w:val="0"/>
              <w:ind w:left="-105" w:leftChars="-50" w:right="-105" w:rightChars="-50"/>
              <w:jc w:val="center"/>
              <w:rPr>
                <w:kern w:val="0"/>
                <w:szCs w:val="21"/>
              </w:rPr>
            </w:pPr>
            <w:bookmarkStart w:id="13" w:name="_Toc63415137"/>
            <w:r>
              <w:rPr>
                <w:rFonts w:hint="eastAsia"/>
                <w:kern w:val="0"/>
                <w:szCs w:val="21"/>
              </w:rPr>
              <w:t>执行</w:t>
            </w:r>
            <w:r>
              <w:rPr>
                <w:kern w:val="0"/>
                <w:szCs w:val="21"/>
              </w:rPr>
              <w:t>《污水综合排放标准》（GB8978-1996）表4中的三级标准</w:t>
            </w:r>
            <w:bookmarkEnd w:id="13"/>
          </w:p>
        </w:tc>
      </w:tr>
      <w:tr w14:paraId="0CD8C7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62" w:type="dxa"/>
            <w:tcBorders>
              <w:top w:val="single" w:color="auto" w:sz="4" w:space="0"/>
              <w:left w:val="single" w:color="auto" w:sz="12" w:space="0"/>
              <w:bottom w:val="single" w:color="auto" w:sz="4" w:space="0"/>
            </w:tcBorders>
            <w:vAlign w:val="center"/>
          </w:tcPr>
          <w:p w14:paraId="2A15AFCF">
            <w:pPr>
              <w:adjustRightInd w:val="0"/>
              <w:snapToGrid w:val="0"/>
              <w:jc w:val="center"/>
              <w:rPr>
                <w:rFonts w:cs="宋体"/>
                <w:szCs w:val="21"/>
              </w:rPr>
            </w:pPr>
            <w:r>
              <w:rPr>
                <w:rFonts w:hint="eastAsia" w:cs="宋体"/>
                <w:szCs w:val="21"/>
              </w:rPr>
              <w:t>声环境</w:t>
            </w:r>
          </w:p>
        </w:tc>
        <w:tc>
          <w:tcPr>
            <w:tcW w:w="1961" w:type="dxa"/>
            <w:gridSpan w:val="2"/>
            <w:tcBorders>
              <w:top w:val="single" w:color="auto" w:sz="4" w:space="0"/>
              <w:bottom w:val="single" w:color="auto" w:sz="4" w:space="0"/>
            </w:tcBorders>
            <w:vAlign w:val="center"/>
          </w:tcPr>
          <w:p w14:paraId="79070EC3">
            <w:pPr>
              <w:adjustRightInd w:val="0"/>
              <w:snapToGrid w:val="0"/>
              <w:jc w:val="center"/>
              <w:rPr>
                <w:rFonts w:cs="宋体"/>
                <w:szCs w:val="21"/>
              </w:rPr>
            </w:pPr>
            <w:r>
              <w:rPr>
                <w:rFonts w:hint="eastAsia" w:cs="宋体"/>
                <w:szCs w:val="21"/>
              </w:rPr>
              <w:t>生产设备</w:t>
            </w:r>
          </w:p>
        </w:tc>
        <w:tc>
          <w:tcPr>
            <w:tcW w:w="1680" w:type="dxa"/>
            <w:tcBorders>
              <w:top w:val="single" w:color="auto" w:sz="4" w:space="0"/>
              <w:bottom w:val="single" w:color="auto" w:sz="4" w:space="0"/>
            </w:tcBorders>
            <w:vAlign w:val="center"/>
          </w:tcPr>
          <w:p w14:paraId="43907DEF">
            <w:pPr>
              <w:adjustRightInd w:val="0"/>
              <w:snapToGrid w:val="0"/>
              <w:jc w:val="center"/>
              <w:rPr>
                <w:rFonts w:cs="宋体"/>
                <w:szCs w:val="21"/>
              </w:rPr>
            </w:pPr>
            <w:r>
              <w:rPr>
                <w:rFonts w:hint="eastAsia" w:cs="宋体"/>
                <w:szCs w:val="21"/>
              </w:rPr>
              <w:t>/</w:t>
            </w:r>
          </w:p>
        </w:tc>
        <w:tc>
          <w:tcPr>
            <w:tcW w:w="2090" w:type="dxa"/>
            <w:tcBorders>
              <w:top w:val="single" w:color="auto" w:sz="4" w:space="0"/>
              <w:bottom w:val="single" w:color="auto" w:sz="4" w:space="0"/>
            </w:tcBorders>
            <w:vAlign w:val="center"/>
          </w:tcPr>
          <w:p w14:paraId="325361C2">
            <w:pPr>
              <w:adjustRightInd w:val="0"/>
              <w:snapToGrid w:val="0"/>
              <w:jc w:val="center"/>
              <w:rPr>
                <w:rFonts w:cs="宋体"/>
                <w:szCs w:val="21"/>
              </w:rPr>
            </w:pPr>
            <w:r>
              <w:rPr>
                <w:rFonts w:hint="eastAsia" w:cs="宋体"/>
                <w:szCs w:val="21"/>
              </w:rPr>
              <w:t>减振、建筑隔声</w:t>
            </w:r>
          </w:p>
        </w:tc>
        <w:tc>
          <w:tcPr>
            <w:tcW w:w="2362" w:type="dxa"/>
            <w:tcBorders>
              <w:top w:val="single" w:color="auto" w:sz="4" w:space="0"/>
              <w:bottom w:val="single" w:color="auto" w:sz="4" w:space="0"/>
              <w:right w:val="single" w:color="auto" w:sz="12" w:space="0"/>
            </w:tcBorders>
            <w:vAlign w:val="center"/>
          </w:tcPr>
          <w:p w14:paraId="007382A0">
            <w:pPr>
              <w:adjustRightInd w:val="0"/>
              <w:snapToGrid w:val="0"/>
              <w:jc w:val="center"/>
              <w:rPr>
                <w:rFonts w:cs="宋体"/>
                <w:szCs w:val="21"/>
              </w:rPr>
            </w:pPr>
            <w:r>
              <w:rPr>
                <w:rFonts w:hint="eastAsia" w:cs="宋体"/>
                <w:szCs w:val="21"/>
              </w:rPr>
              <w:t>《工业企业厂界环境噪声排放标准》</w:t>
            </w:r>
            <w:r>
              <w:rPr>
                <w:rFonts w:cs="宋体"/>
                <w:szCs w:val="21"/>
              </w:rPr>
              <w:t>(GB12348-2008)</w:t>
            </w:r>
            <w:r>
              <w:rPr>
                <w:rFonts w:hint="eastAsia" w:cs="宋体"/>
                <w:szCs w:val="21"/>
              </w:rPr>
              <w:t>中3类标准</w:t>
            </w:r>
          </w:p>
        </w:tc>
      </w:tr>
      <w:tr w14:paraId="12E14B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62" w:type="dxa"/>
            <w:tcBorders>
              <w:top w:val="single" w:color="auto" w:sz="4" w:space="0"/>
              <w:left w:val="single" w:color="auto" w:sz="12" w:space="0"/>
              <w:bottom w:val="single" w:color="auto" w:sz="4" w:space="0"/>
            </w:tcBorders>
            <w:vAlign w:val="center"/>
          </w:tcPr>
          <w:p w14:paraId="2A4A6D84">
            <w:pPr>
              <w:adjustRightInd w:val="0"/>
              <w:snapToGrid w:val="0"/>
              <w:jc w:val="center"/>
              <w:rPr>
                <w:rFonts w:cs="宋体"/>
                <w:szCs w:val="21"/>
              </w:rPr>
            </w:pPr>
            <w:r>
              <w:rPr>
                <w:rFonts w:hint="eastAsia" w:cs="宋体"/>
                <w:szCs w:val="21"/>
              </w:rPr>
              <w:t>电磁辐射</w:t>
            </w:r>
          </w:p>
        </w:tc>
        <w:tc>
          <w:tcPr>
            <w:tcW w:w="1961" w:type="dxa"/>
            <w:gridSpan w:val="2"/>
            <w:tcBorders>
              <w:top w:val="single" w:color="auto" w:sz="4" w:space="0"/>
              <w:bottom w:val="single" w:color="auto" w:sz="4" w:space="0"/>
            </w:tcBorders>
            <w:vAlign w:val="center"/>
          </w:tcPr>
          <w:p w14:paraId="0A309EEA">
            <w:pPr>
              <w:adjustRightInd w:val="0"/>
              <w:snapToGrid w:val="0"/>
              <w:jc w:val="center"/>
              <w:rPr>
                <w:rFonts w:cs="宋体"/>
                <w:szCs w:val="21"/>
              </w:rPr>
            </w:pPr>
            <w:r>
              <w:rPr>
                <w:rFonts w:hint="eastAsia" w:cs="宋体"/>
                <w:szCs w:val="21"/>
              </w:rPr>
              <w:t>/</w:t>
            </w:r>
          </w:p>
        </w:tc>
        <w:tc>
          <w:tcPr>
            <w:tcW w:w="1680" w:type="dxa"/>
            <w:tcBorders>
              <w:top w:val="single" w:color="auto" w:sz="4" w:space="0"/>
              <w:bottom w:val="single" w:color="auto" w:sz="4" w:space="0"/>
            </w:tcBorders>
            <w:vAlign w:val="center"/>
          </w:tcPr>
          <w:p w14:paraId="4B76EECD">
            <w:pPr>
              <w:adjustRightInd w:val="0"/>
              <w:snapToGrid w:val="0"/>
              <w:jc w:val="center"/>
              <w:rPr>
                <w:rFonts w:cs="宋体"/>
                <w:szCs w:val="21"/>
              </w:rPr>
            </w:pPr>
            <w:r>
              <w:rPr>
                <w:rFonts w:hint="eastAsia" w:cs="宋体"/>
                <w:szCs w:val="21"/>
              </w:rPr>
              <w:t>/</w:t>
            </w:r>
          </w:p>
        </w:tc>
        <w:tc>
          <w:tcPr>
            <w:tcW w:w="2090" w:type="dxa"/>
            <w:tcBorders>
              <w:top w:val="single" w:color="auto" w:sz="4" w:space="0"/>
              <w:bottom w:val="single" w:color="auto" w:sz="4" w:space="0"/>
            </w:tcBorders>
            <w:vAlign w:val="center"/>
          </w:tcPr>
          <w:p w14:paraId="228131ED">
            <w:pPr>
              <w:adjustRightInd w:val="0"/>
              <w:snapToGrid w:val="0"/>
              <w:jc w:val="center"/>
              <w:rPr>
                <w:rFonts w:cs="宋体"/>
                <w:szCs w:val="21"/>
              </w:rPr>
            </w:pPr>
            <w:r>
              <w:rPr>
                <w:rFonts w:hint="eastAsia" w:cs="宋体"/>
                <w:szCs w:val="21"/>
              </w:rPr>
              <w:t>/</w:t>
            </w:r>
          </w:p>
        </w:tc>
        <w:tc>
          <w:tcPr>
            <w:tcW w:w="2362" w:type="dxa"/>
            <w:tcBorders>
              <w:top w:val="single" w:color="auto" w:sz="4" w:space="0"/>
              <w:bottom w:val="single" w:color="auto" w:sz="4" w:space="0"/>
              <w:right w:val="single" w:color="auto" w:sz="12" w:space="0"/>
            </w:tcBorders>
            <w:vAlign w:val="center"/>
          </w:tcPr>
          <w:p w14:paraId="5D4C505A">
            <w:pPr>
              <w:adjustRightInd w:val="0"/>
              <w:snapToGrid w:val="0"/>
              <w:jc w:val="center"/>
              <w:rPr>
                <w:rFonts w:cs="宋体"/>
                <w:szCs w:val="21"/>
              </w:rPr>
            </w:pPr>
            <w:r>
              <w:rPr>
                <w:rFonts w:hint="eastAsia" w:cs="宋体"/>
                <w:szCs w:val="21"/>
              </w:rPr>
              <w:t>/</w:t>
            </w:r>
          </w:p>
        </w:tc>
      </w:tr>
      <w:tr w14:paraId="071AB2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962" w:type="dxa"/>
            <w:tcBorders>
              <w:top w:val="single" w:color="auto" w:sz="4" w:space="0"/>
              <w:left w:val="single" w:color="auto" w:sz="12" w:space="0"/>
              <w:bottom w:val="single" w:color="auto" w:sz="4" w:space="0"/>
            </w:tcBorders>
            <w:vAlign w:val="center"/>
          </w:tcPr>
          <w:p w14:paraId="72FFEB0C">
            <w:pPr>
              <w:adjustRightInd w:val="0"/>
              <w:snapToGrid w:val="0"/>
              <w:jc w:val="center"/>
              <w:rPr>
                <w:rFonts w:cs="宋体"/>
                <w:szCs w:val="21"/>
              </w:rPr>
            </w:pPr>
            <w:r>
              <w:rPr>
                <w:rFonts w:hint="eastAsia" w:cs="宋体"/>
                <w:szCs w:val="21"/>
              </w:rPr>
              <w:t>固体废物</w:t>
            </w:r>
          </w:p>
        </w:tc>
        <w:tc>
          <w:tcPr>
            <w:tcW w:w="8093" w:type="dxa"/>
            <w:gridSpan w:val="5"/>
            <w:tcBorders>
              <w:top w:val="single" w:color="auto" w:sz="4" w:space="0"/>
              <w:bottom w:val="single" w:color="auto" w:sz="4" w:space="0"/>
              <w:right w:val="single" w:color="auto" w:sz="12" w:space="0"/>
            </w:tcBorders>
            <w:vAlign w:val="center"/>
          </w:tcPr>
          <w:p w14:paraId="277C7C9D">
            <w:pPr>
              <w:adjustRightInd w:val="0"/>
              <w:snapToGrid w:val="0"/>
              <w:jc w:val="center"/>
              <w:rPr>
                <w:rFonts w:cs="宋体"/>
                <w:szCs w:val="21"/>
              </w:rPr>
            </w:pPr>
            <w:r>
              <w:rPr>
                <w:rFonts w:hint="eastAsia"/>
                <w:szCs w:val="21"/>
              </w:rPr>
              <w:t>一般固废</w:t>
            </w:r>
            <w:r>
              <w:rPr>
                <w:rFonts w:hint="eastAsia"/>
                <w:szCs w:val="21"/>
                <w:lang w:val="en-US" w:eastAsia="zh-CN"/>
              </w:rPr>
              <w:t>定期</w:t>
            </w:r>
            <w:r>
              <w:rPr>
                <w:rFonts w:hint="eastAsia"/>
                <w:szCs w:val="21"/>
              </w:rPr>
              <w:t>收集后</w:t>
            </w:r>
            <w:r>
              <w:rPr>
                <w:rFonts w:hint="eastAsia"/>
                <w:szCs w:val="21"/>
                <w:lang w:val="en-US" w:eastAsia="zh-CN"/>
              </w:rPr>
              <w:t>交由物资回收单位处理</w:t>
            </w:r>
            <w:r>
              <w:rPr>
                <w:rFonts w:hint="eastAsia"/>
                <w:szCs w:val="21"/>
              </w:rPr>
              <w:t>；危险废物收集后暂存于危废库，定期委托有危废处理资质单位处置；</w:t>
            </w:r>
            <w:r>
              <w:rPr>
                <w:szCs w:val="21"/>
              </w:rPr>
              <w:t>生活垃圾委托环卫部门</w:t>
            </w:r>
            <w:r>
              <w:rPr>
                <w:rFonts w:hint="eastAsia"/>
                <w:szCs w:val="21"/>
              </w:rPr>
              <w:t>定期</w:t>
            </w:r>
            <w:r>
              <w:rPr>
                <w:szCs w:val="21"/>
              </w:rPr>
              <w:t>清运</w:t>
            </w:r>
            <w:r>
              <w:rPr>
                <w:rFonts w:hint="eastAsia"/>
                <w:szCs w:val="21"/>
              </w:rPr>
              <w:t>。</w:t>
            </w:r>
          </w:p>
        </w:tc>
      </w:tr>
      <w:tr w14:paraId="115158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962" w:type="dxa"/>
            <w:tcBorders>
              <w:top w:val="single" w:color="auto" w:sz="4" w:space="0"/>
              <w:left w:val="single" w:color="auto" w:sz="12" w:space="0"/>
              <w:bottom w:val="single" w:color="auto" w:sz="4" w:space="0"/>
            </w:tcBorders>
            <w:vAlign w:val="center"/>
          </w:tcPr>
          <w:p w14:paraId="3EBC2B02">
            <w:pPr>
              <w:adjustRightInd w:val="0"/>
              <w:snapToGrid w:val="0"/>
              <w:jc w:val="center"/>
              <w:rPr>
                <w:rFonts w:cs="宋体"/>
                <w:szCs w:val="21"/>
              </w:rPr>
            </w:pPr>
            <w:r>
              <w:rPr>
                <w:rFonts w:hint="eastAsia" w:cs="宋体"/>
                <w:szCs w:val="21"/>
              </w:rPr>
              <w:t>土壤及地下水</w:t>
            </w:r>
          </w:p>
          <w:p w14:paraId="086BFBEC">
            <w:pPr>
              <w:adjustRightInd w:val="0"/>
              <w:snapToGrid w:val="0"/>
              <w:jc w:val="center"/>
              <w:rPr>
                <w:rFonts w:cs="宋体"/>
                <w:szCs w:val="21"/>
              </w:rPr>
            </w:pPr>
            <w:r>
              <w:rPr>
                <w:rFonts w:hint="eastAsia" w:cs="宋体"/>
                <w:szCs w:val="21"/>
              </w:rPr>
              <w:t>污染防治措施</w:t>
            </w:r>
          </w:p>
        </w:tc>
        <w:tc>
          <w:tcPr>
            <w:tcW w:w="8093" w:type="dxa"/>
            <w:gridSpan w:val="5"/>
            <w:tcBorders>
              <w:top w:val="single" w:color="auto" w:sz="4" w:space="0"/>
              <w:bottom w:val="single" w:color="auto" w:sz="4" w:space="0"/>
              <w:right w:val="single" w:color="auto" w:sz="12" w:space="0"/>
            </w:tcBorders>
            <w:vAlign w:val="center"/>
          </w:tcPr>
          <w:p w14:paraId="4985506B">
            <w:pPr>
              <w:adjustRightInd w:val="0"/>
              <w:snapToGrid w:val="0"/>
              <w:jc w:val="center"/>
              <w:rPr>
                <w:rFonts w:cs="宋体"/>
                <w:szCs w:val="21"/>
              </w:rPr>
            </w:pPr>
            <w:r>
              <w:rPr>
                <w:rFonts w:hint="eastAsia"/>
                <w:szCs w:val="21"/>
              </w:rPr>
              <w:t>生产车间、一般固废仓库</w:t>
            </w:r>
            <w:r>
              <w:rPr>
                <w:szCs w:val="21"/>
              </w:rPr>
              <w:t>等</w:t>
            </w:r>
            <w:r>
              <w:rPr>
                <w:rFonts w:hint="eastAsia"/>
                <w:szCs w:val="21"/>
              </w:rPr>
              <w:t>做</w:t>
            </w:r>
            <w:r>
              <w:rPr>
                <w:szCs w:val="21"/>
              </w:rPr>
              <w:t>一般防渗</w:t>
            </w:r>
            <w:r>
              <w:rPr>
                <w:rFonts w:hint="eastAsia"/>
                <w:szCs w:val="21"/>
              </w:rPr>
              <w:t>、危废</w:t>
            </w:r>
            <w:r>
              <w:rPr>
                <w:szCs w:val="21"/>
              </w:rPr>
              <w:t>暂存间</w:t>
            </w:r>
            <w:r>
              <w:rPr>
                <w:rFonts w:hint="eastAsia"/>
                <w:szCs w:val="21"/>
              </w:rPr>
              <w:t>做</w:t>
            </w:r>
            <w:r>
              <w:rPr>
                <w:szCs w:val="21"/>
              </w:rPr>
              <w:t>重点防渗</w:t>
            </w:r>
            <w:r>
              <w:rPr>
                <w:rFonts w:hint="eastAsia"/>
                <w:szCs w:val="21"/>
              </w:rPr>
              <w:t>，防渗技术要求：等效黏土防渗层Mb≥6.0m，K≤1×10</w:t>
            </w:r>
            <w:r>
              <w:rPr>
                <w:rFonts w:hint="eastAsia"/>
                <w:szCs w:val="21"/>
                <w:vertAlign w:val="superscript"/>
              </w:rPr>
              <w:t>-7</w:t>
            </w:r>
            <w:r>
              <w:rPr>
                <w:rFonts w:hint="eastAsia"/>
                <w:szCs w:val="21"/>
              </w:rPr>
              <w:t>cm/s</w:t>
            </w:r>
          </w:p>
        </w:tc>
      </w:tr>
      <w:tr w14:paraId="72AE1D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962" w:type="dxa"/>
            <w:tcBorders>
              <w:top w:val="single" w:color="auto" w:sz="4" w:space="0"/>
              <w:left w:val="single" w:color="auto" w:sz="12" w:space="0"/>
              <w:bottom w:val="single" w:color="auto" w:sz="4" w:space="0"/>
            </w:tcBorders>
            <w:vAlign w:val="center"/>
          </w:tcPr>
          <w:p w14:paraId="0FCF4B19">
            <w:pPr>
              <w:adjustRightInd w:val="0"/>
              <w:snapToGrid w:val="0"/>
              <w:jc w:val="center"/>
              <w:rPr>
                <w:rFonts w:cs="宋体"/>
                <w:szCs w:val="21"/>
              </w:rPr>
            </w:pPr>
            <w:r>
              <w:rPr>
                <w:rFonts w:hint="eastAsia" w:cs="宋体"/>
                <w:szCs w:val="21"/>
              </w:rPr>
              <w:t>生态保护措施</w:t>
            </w:r>
          </w:p>
        </w:tc>
        <w:tc>
          <w:tcPr>
            <w:tcW w:w="8093" w:type="dxa"/>
            <w:gridSpan w:val="5"/>
            <w:tcBorders>
              <w:top w:val="single" w:color="auto" w:sz="4" w:space="0"/>
              <w:bottom w:val="single" w:color="auto" w:sz="4" w:space="0"/>
              <w:right w:val="single" w:color="auto" w:sz="12" w:space="0"/>
            </w:tcBorders>
            <w:vAlign w:val="center"/>
          </w:tcPr>
          <w:p w14:paraId="63252F04">
            <w:pPr>
              <w:adjustRightInd w:val="0"/>
              <w:snapToGrid w:val="0"/>
              <w:jc w:val="center"/>
              <w:rPr>
                <w:rFonts w:cs="宋体"/>
                <w:szCs w:val="21"/>
              </w:rPr>
            </w:pPr>
            <w:r>
              <w:rPr>
                <w:rFonts w:hint="eastAsia" w:cs="宋体"/>
                <w:szCs w:val="21"/>
              </w:rPr>
              <w:t>无</w:t>
            </w:r>
          </w:p>
        </w:tc>
      </w:tr>
      <w:tr w14:paraId="76D8E8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962" w:type="dxa"/>
            <w:tcBorders>
              <w:top w:val="single" w:color="auto" w:sz="4" w:space="0"/>
              <w:left w:val="single" w:color="auto" w:sz="12" w:space="0"/>
              <w:bottom w:val="single" w:color="auto" w:sz="4" w:space="0"/>
            </w:tcBorders>
            <w:vAlign w:val="center"/>
          </w:tcPr>
          <w:p w14:paraId="690B9BC2">
            <w:pPr>
              <w:adjustRightInd w:val="0"/>
              <w:snapToGrid w:val="0"/>
              <w:jc w:val="center"/>
              <w:rPr>
                <w:rFonts w:cs="宋体"/>
                <w:spacing w:val="-8"/>
                <w:szCs w:val="21"/>
              </w:rPr>
            </w:pPr>
            <w:r>
              <w:rPr>
                <w:rFonts w:hint="eastAsia" w:cs="宋体"/>
                <w:spacing w:val="-8"/>
                <w:szCs w:val="21"/>
              </w:rPr>
              <w:t>环境风险防范措施</w:t>
            </w:r>
          </w:p>
        </w:tc>
        <w:tc>
          <w:tcPr>
            <w:tcW w:w="8093" w:type="dxa"/>
            <w:gridSpan w:val="5"/>
            <w:tcBorders>
              <w:top w:val="single" w:color="auto" w:sz="4" w:space="0"/>
              <w:bottom w:val="single" w:color="auto" w:sz="4" w:space="0"/>
              <w:right w:val="single" w:color="auto" w:sz="12" w:space="0"/>
            </w:tcBorders>
            <w:vAlign w:val="center"/>
          </w:tcPr>
          <w:p w14:paraId="7D072437">
            <w:pPr>
              <w:snapToGrid w:val="0"/>
              <w:jc w:val="left"/>
              <w:rPr>
                <w:szCs w:val="21"/>
              </w:rPr>
            </w:pPr>
            <w:r>
              <w:rPr>
                <w:rFonts w:hint="eastAsia"/>
                <w:szCs w:val="21"/>
              </w:rPr>
              <w:t>（1）选址、总图布置和建筑安全防范措施</w:t>
            </w:r>
          </w:p>
          <w:p w14:paraId="51AF82FF">
            <w:pPr>
              <w:snapToGrid w:val="0"/>
              <w:jc w:val="left"/>
              <w:rPr>
                <w:szCs w:val="21"/>
              </w:rPr>
            </w:pPr>
            <w:r>
              <w:rPr>
                <w:rFonts w:hint="eastAsia"/>
                <w:szCs w:val="21"/>
              </w:rPr>
              <w:t>（2）物料泄漏事故的防范措施</w:t>
            </w:r>
          </w:p>
          <w:p w14:paraId="420EBC71">
            <w:pPr>
              <w:snapToGrid w:val="0"/>
              <w:jc w:val="left"/>
              <w:rPr>
                <w:szCs w:val="21"/>
              </w:rPr>
            </w:pPr>
            <w:r>
              <w:rPr>
                <w:rFonts w:hint="eastAsia"/>
                <w:szCs w:val="21"/>
              </w:rPr>
              <w:t>（3）火灾爆炸事故的抢救措施</w:t>
            </w:r>
          </w:p>
          <w:p w14:paraId="547FB9D4">
            <w:pPr>
              <w:adjustRightInd w:val="0"/>
              <w:snapToGrid w:val="0"/>
              <w:rPr>
                <w:rFonts w:cs="宋体"/>
                <w:szCs w:val="21"/>
              </w:rPr>
            </w:pPr>
            <w:r>
              <w:rPr>
                <w:rFonts w:hint="eastAsia"/>
                <w:szCs w:val="21"/>
              </w:rPr>
              <w:t>（4）废气污染事故防范措施</w:t>
            </w:r>
          </w:p>
        </w:tc>
      </w:tr>
      <w:tr w14:paraId="06587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962" w:type="dxa"/>
            <w:tcBorders>
              <w:top w:val="single" w:color="auto" w:sz="4" w:space="0"/>
              <w:left w:val="single" w:color="auto" w:sz="12" w:space="0"/>
              <w:bottom w:val="single" w:color="auto" w:sz="12" w:space="0"/>
            </w:tcBorders>
            <w:vAlign w:val="center"/>
          </w:tcPr>
          <w:p w14:paraId="7B23D94E">
            <w:pPr>
              <w:adjustRightInd w:val="0"/>
              <w:snapToGrid w:val="0"/>
              <w:jc w:val="center"/>
              <w:rPr>
                <w:rFonts w:cs="宋体"/>
                <w:spacing w:val="-8"/>
                <w:szCs w:val="21"/>
              </w:rPr>
            </w:pPr>
            <w:r>
              <w:rPr>
                <w:rFonts w:hint="eastAsia" w:cs="宋体"/>
                <w:spacing w:val="-8"/>
                <w:szCs w:val="21"/>
              </w:rPr>
              <w:t>其他环境管理要求</w:t>
            </w:r>
          </w:p>
        </w:tc>
        <w:tc>
          <w:tcPr>
            <w:tcW w:w="8093" w:type="dxa"/>
            <w:gridSpan w:val="5"/>
            <w:tcBorders>
              <w:top w:val="single" w:color="auto" w:sz="4" w:space="0"/>
              <w:bottom w:val="single" w:color="auto" w:sz="12" w:space="0"/>
              <w:right w:val="single" w:color="auto" w:sz="12" w:space="0"/>
            </w:tcBorders>
            <w:vAlign w:val="center"/>
          </w:tcPr>
          <w:p w14:paraId="4F5D927A">
            <w:pPr>
              <w:adjustRightInd w:val="0"/>
              <w:snapToGrid w:val="0"/>
              <w:spacing w:line="360" w:lineRule="auto"/>
              <w:ind w:firstLine="422" w:firstLineChars="200"/>
              <w:jc w:val="left"/>
              <w:rPr>
                <w:rFonts w:cs="宋体"/>
                <w:b/>
                <w:bCs/>
                <w:szCs w:val="21"/>
              </w:rPr>
            </w:pPr>
            <w:r>
              <w:rPr>
                <w:rFonts w:hint="eastAsia" w:cs="宋体"/>
                <w:b/>
                <w:bCs/>
                <w:szCs w:val="21"/>
              </w:rPr>
              <w:t>1、环境管理制度建设</w:t>
            </w:r>
          </w:p>
          <w:p w14:paraId="39665B06">
            <w:pPr>
              <w:pStyle w:val="9"/>
              <w:spacing w:line="360" w:lineRule="auto"/>
            </w:pPr>
            <w:r>
              <w:rPr>
                <w:rFonts w:hint="eastAsia"/>
              </w:rPr>
              <w:t>营运期间的环境管理主要任务是管理、维护各项环保措施，确保其正常运 转和达标排放，充分发挥其作用，并做好环境监测工作，及时掌握各项环保设施的运行状况，环境影响动态，必要时采取适当的污染防治措施。</w:t>
            </w:r>
          </w:p>
          <w:p w14:paraId="29B4FF22">
            <w:pPr>
              <w:pStyle w:val="9"/>
              <w:spacing w:line="360" w:lineRule="auto"/>
            </w:pPr>
            <w:r>
              <w:rPr>
                <w:rFonts w:hint="eastAsia"/>
              </w:rPr>
              <w:t>环境管理职责：项目设置专门的环境管理人员，负责检查、督促各项具体工作的落实情况，协调各部门的环境管理工作。</w:t>
            </w:r>
          </w:p>
          <w:p w14:paraId="6C6DE86E">
            <w:pPr>
              <w:pStyle w:val="9"/>
              <w:spacing w:line="360" w:lineRule="auto"/>
            </w:pPr>
            <w:r>
              <w:rPr>
                <w:rFonts w:hint="eastAsia"/>
              </w:rPr>
              <w:t>①认真贯彻执行国家和芜湖市的有关环境保护法律、法规和标准，协助协 调项目建设、运行活动与环境保护活动。</w:t>
            </w:r>
          </w:p>
          <w:p w14:paraId="25E9777C">
            <w:pPr>
              <w:pStyle w:val="9"/>
              <w:spacing w:line="360" w:lineRule="auto"/>
            </w:pPr>
            <w:r>
              <w:rPr>
                <w:rFonts w:hint="eastAsia"/>
              </w:rPr>
              <w:t>②建立项目的污染源档案及相关台账，并负责编制环境监测和环境质量报告。</w:t>
            </w:r>
          </w:p>
          <w:p w14:paraId="2C4FC12C">
            <w:pPr>
              <w:pStyle w:val="9"/>
              <w:spacing w:line="360" w:lineRule="auto"/>
            </w:pPr>
            <w:r>
              <w:rPr>
                <w:rFonts w:hint="eastAsia"/>
              </w:rPr>
              <w:t>③监督环保公用设施的运行、维修，以确保其正常稳定运行；负责污染物排放口的规范管理；处理解决环境事故。</w:t>
            </w:r>
          </w:p>
          <w:p w14:paraId="49B7DB5D">
            <w:pPr>
              <w:pStyle w:val="9"/>
              <w:spacing w:line="360" w:lineRule="auto"/>
            </w:pPr>
            <w:r>
              <w:rPr>
                <w:rFonts w:hint="eastAsia"/>
              </w:rPr>
              <w:t>④负责有关环境事务方面的对外联络，取得资料；并负责对公众的联络、解释、答复和协调有关涉及公众利益的活动及相应措施等。</w:t>
            </w:r>
          </w:p>
          <w:p w14:paraId="3C0BB317">
            <w:pPr>
              <w:adjustRightInd w:val="0"/>
              <w:snapToGrid w:val="0"/>
              <w:spacing w:line="360" w:lineRule="auto"/>
              <w:ind w:firstLine="422" w:firstLineChars="200"/>
              <w:jc w:val="left"/>
              <w:rPr>
                <w:rFonts w:cs="宋体"/>
                <w:b/>
                <w:bCs/>
                <w:szCs w:val="21"/>
              </w:rPr>
            </w:pPr>
            <w:r>
              <w:rPr>
                <w:rFonts w:hint="eastAsia" w:cs="宋体"/>
                <w:b/>
                <w:bCs/>
                <w:szCs w:val="21"/>
              </w:rPr>
              <w:t>2、排污口规范化设置</w:t>
            </w:r>
          </w:p>
          <w:p w14:paraId="7DFB9A5F">
            <w:pPr>
              <w:adjustRightInd w:val="0"/>
              <w:snapToGrid w:val="0"/>
              <w:spacing w:line="360" w:lineRule="auto"/>
              <w:jc w:val="left"/>
              <w:rPr>
                <w:rFonts w:cs="宋体"/>
                <w:szCs w:val="21"/>
              </w:rPr>
            </w:pPr>
            <w:r>
              <w:rPr>
                <w:rFonts w:hint="eastAsia" w:cs="宋体"/>
                <w:szCs w:val="21"/>
              </w:rPr>
              <w:t>根据国家环境保护部《关于开展排污口规范化整治试点工作的意见》《关于加快排污口规范化整治试点工作的通知》和《安徽省污染源排放口规范化整治管理办法》精神，企业所有排放口（包括水、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绘制企业排污口分布图，对治理设施安装运行监控装置、排污口的规范化要符合有关要求。</w:t>
            </w:r>
          </w:p>
          <w:p w14:paraId="537C8583">
            <w:pPr>
              <w:adjustRightInd w:val="0"/>
              <w:snapToGrid w:val="0"/>
              <w:spacing w:line="360" w:lineRule="auto"/>
              <w:jc w:val="center"/>
              <w:rPr>
                <w:rFonts w:cs="宋体"/>
                <w:b/>
                <w:bCs/>
                <w:szCs w:val="21"/>
              </w:rPr>
            </w:pPr>
            <w:r>
              <w:rPr>
                <w:rFonts w:hint="eastAsia" w:cs="宋体"/>
                <w:b/>
                <w:bCs/>
                <w:szCs w:val="21"/>
              </w:rPr>
              <w:t>表 5-1 环境保护图形标志一览表</w:t>
            </w:r>
          </w:p>
          <w:tbl>
            <w:tblPr>
              <w:tblStyle w:val="30"/>
              <w:tblW w:w="7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950"/>
              <w:gridCol w:w="1830"/>
              <w:gridCol w:w="1560"/>
              <w:gridCol w:w="1874"/>
            </w:tblGrid>
            <w:tr w14:paraId="54996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Borders>
                    <w:tl2br w:val="nil"/>
                    <w:tr2bl w:val="nil"/>
                  </w:tcBorders>
                  <w:vAlign w:val="center"/>
                </w:tcPr>
                <w:p w14:paraId="2BE9EE21">
                  <w:pPr>
                    <w:adjustRightInd w:val="0"/>
                    <w:snapToGrid w:val="0"/>
                    <w:spacing w:line="360" w:lineRule="auto"/>
                    <w:jc w:val="center"/>
                    <w:rPr>
                      <w:rFonts w:cs="宋体"/>
                      <w:b/>
                      <w:bCs/>
                      <w:szCs w:val="21"/>
                    </w:rPr>
                  </w:pPr>
                  <w:r>
                    <w:rPr>
                      <w:rFonts w:hint="eastAsia" w:cs="宋体"/>
                      <w:b/>
                      <w:bCs/>
                      <w:szCs w:val="21"/>
                    </w:rPr>
                    <w:t>序号</w:t>
                  </w:r>
                </w:p>
              </w:tc>
              <w:tc>
                <w:tcPr>
                  <w:tcW w:w="1950" w:type="dxa"/>
                  <w:tcBorders>
                    <w:tl2br w:val="nil"/>
                    <w:tr2bl w:val="nil"/>
                  </w:tcBorders>
                  <w:vAlign w:val="center"/>
                </w:tcPr>
                <w:p w14:paraId="04D8503C">
                  <w:pPr>
                    <w:adjustRightInd w:val="0"/>
                    <w:snapToGrid w:val="0"/>
                    <w:spacing w:line="360" w:lineRule="auto"/>
                    <w:jc w:val="center"/>
                    <w:rPr>
                      <w:rFonts w:cs="宋体"/>
                      <w:b/>
                      <w:bCs/>
                      <w:szCs w:val="21"/>
                    </w:rPr>
                  </w:pPr>
                  <w:r>
                    <w:rPr>
                      <w:rFonts w:hint="eastAsia" w:cs="宋体"/>
                      <w:b/>
                      <w:bCs/>
                      <w:szCs w:val="21"/>
                    </w:rPr>
                    <w:t>提示图形符号</w:t>
                  </w:r>
                </w:p>
              </w:tc>
              <w:tc>
                <w:tcPr>
                  <w:tcW w:w="1830" w:type="dxa"/>
                  <w:tcBorders>
                    <w:tl2br w:val="nil"/>
                    <w:tr2bl w:val="nil"/>
                  </w:tcBorders>
                  <w:vAlign w:val="center"/>
                </w:tcPr>
                <w:p w14:paraId="3FD4410F">
                  <w:pPr>
                    <w:adjustRightInd w:val="0"/>
                    <w:snapToGrid w:val="0"/>
                    <w:spacing w:line="360" w:lineRule="auto"/>
                    <w:jc w:val="center"/>
                    <w:rPr>
                      <w:rFonts w:cs="宋体"/>
                      <w:b/>
                      <w:bCs/>
                      <w:szCs w:val="21"/>
                    </w:rPr>
                  </w:pPr>
                  <w:r>
                    <w:rPr>
                      <w:rFonts w:hint="eastAsia" w:cs="宋体"/>
                      <w:b/>
                      <w:bCs/>
                      <w:szCs w:val="21"/>
                    </w:rPr>
                    <w:t>警示图形符号</w:t>
                  </w:r>
                </w:p>
              </w:tc>
              <w:tc>
                <w:tcPr>
                  <w:tcW w:w="1560" w:type="dxa"/>
                  <w:tcBorders>
                    <w:tl2br w:val="nil"/>
                    <w:tr2bl w:val="nil"/>
                  </w:tcBorders>
                  <w:vAlign w:val="center"/>
                </w:tcPr>
                <w:p w14:paraId="7E55C84B">
                  <w:pPr>
                    <w:adjustRightInd w:val="0"/>
                    <w:snapToGrid w:val="0"/>
                    <w:spacing w:line="360" w:lineRule="auto"/>
                    <w:jc w:val="center"/>
                    <w:rPr>
                      <w:rFonts w:cs="宋体"/>
                      <w:b/>
                      <w:bCs/>
                      <w:szCs w:val="21"/>
                    </w:rPr>
                  </w:pPr>
                  <w:r>
                    <w:rPr>
                      <w:rFonts w:hint="eastAsia" w:cs="宋体"/>
                      <w:b/>
                      <w:bCs/>
                      <w:szCs w:val="21"/>
                    </w:rPr>
                    <w:t>名称</w:t>
                  </w:r>
                </w:p>
              </w:tc>
              <w:tc>
                <w:tcPr>
                  <w:tcW w:w="1874" w:type="dxa"/>
                  <w:tcBorders>
                    <w:tl2br w:val="nil"/>
                    <w:tr2bl w:val="nil"/>
                  </w:tcBorders>
                  <w:vAlign w:val="center"/>
                </w:tcPr>
                <w:p w14:paraId="196F3A8C">
                  <w:pPr>
                    <w:adjustRightInd w:val="0"/>
                    <w:snapToGrid w:val="0"/>
                    <w:spacing w:line="360" w:lineRule="auto"/>
                    <w:jc w:val="center"/>
                    <w:rPr>
                      <w:rFonts w:cs="宋体"/>
                      <w:b/>
                      <w:bCs/>
                      <w:szCs w:val="21"/>
                    </w:rPr>
                  </w:pPr>
                  <w:r>
                    <w:rPr>
                      <w:rFonts w:hint="eastAsia" w:cs="宋体"/>
                      <w:b/>
                      <w:bCs/>
                      <w:szCs w:val="21"/>
                    </w:rPr>
                    <w:t>功能</w:t>
                  </w:r>
                </w:p>
              </w:tc>
            </w:tr>
            <w:tr w14:paraId="6EE4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663" w:type="dxa"/>
                  <w:tcBorders>
                    <w:tl2br w:val="nil"/>
                    <w:tr2bl w:val="nil"/>
                  </w:tcBorders>
                  <w:vAlign w:val="center"/>
                </w:tcPr>
                <w:p w14:paraId="14964680">
                  <w:pPr>
                    <w:adjustRightInd w:val="0"/>
                    <w:snapToGrid w:val="0"/>
                    <w:spacing w:line="360" w:lineRule="auto"/>
                    <w:jc w:val="center"/>
                    <w:rPr>
                      <w:rFonts w:cs="宋体"/>
                      <w:szCs w:val="21"/>
                    </w:rPr>
                  </w:pPr>
                  <w:r>
                    <w:rPr>
                      <w:rFonts w:hint="eastAsia" w:cs="宋体"/>
                      <w:szCs w:val="21"/>
                    </w:rPr>
                    <w:t>1</w:t>
                  </w:r>
                </w:p>
              </w:tc>
              <w:tc>
                <w:tcPr>
                  <w:tcW w:w="1950" w:type="dxa"/>
                  <w:tcBorders>
                    <w:tl2br w:val="nil"/>
                    <w:tr2bl w:val="nil"/>
                  </w:tcBorders>
                  <w:vAlign w:val="center"/>
                </w:tcPr>
                <w:p w14:paraId="14D21A00">
                  <w:pPr>
                    <w:adjustRightInd w:val="0"/>
                    <w:snapToGrid w:val="0"/>
                    <w:spacing w:line="360" w:lineRule="auto"/>
                    <w:jc w:val="center"/>
                    <w:rPr>
                      <w:rFonts w:cs="宋体"/>
                      <w:szCs w:val="21"/>
                    </w:rPr>
                  </w:pPr>
                  <w:r>
                    <w:rPr>
                      <w:szCs w:val="21"/>
                    </w:rPr>
                    <w:drawing>
                      <wp:inline distT="0" distB="0" distL="0" distR="0">
                        <wp:extent cx="1051560" cy="640080"/>
                        <wp:effectExtent l="0" t="0" r="15240" b="7620"/>
                        <wp:docPr id="2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jpeg"/>
                                <pic:cNvPicPr>
                                  <a:picLocks noChangeAspect="1"/>
                                </pic:cNvPicPr>
                              </pic:nvPicPr>
                              <pic:blipFill>
                                <a:blip r:embed="rId18" cstate="print"/>
                                <a:stretch>
                                  <a:fillRect/>
                                </a:stretch>
                              </pic:blipFill>
                              <pic:spPr>
                                <a:xfrm>
                                  <a:off x="0" y="0"/>
                                  <a:ext cx="1051824" cy="640175"/>
                                </a:xfrm>
                                <a:prstGeom prst="rect">
                                  <a:avLst/>
                                </a:prstGeom>
                              </pic:spPr>
                            </pic:pic>
                          </a:graphicData>
                        </a:graphic>
                      </wp:inline>
                    </w:drawing>
                  </w:r>
                </w:p>
              </w:tc>
              <w:tc>
                <w:tcPr>
                  <w:tcW w:w="1830" w:type="dxa"/>
                  <w:tcBorders>
                    <w:tl2br w:val="nil"/>
                    <w:tr2bl w:val="nil"/>
                  </w:tcBorders>
                  <w:vAlign w:val="center"/>
                </w:tcPr>
                <w:p w14:paraId="25131F0A">
                  <w:pPr>
                    <w:adjustRightInd w:val="0"/>
                    <w:snapToGrid w:val="0"/>
                    <w:spacing w:line="360" w:lineRule="auto"/>
                    <w:jc w:val="center"/>
                    <w:rPr>
                      <w:rFonts w:cs="宋体"/>
                      <w:szCs w:val="21"/>
                    </w:rPr>
                  </w:pPr>
                  <w:r>
                    <w:rPr>
                      <w:szCs w:val="21"/>
                    </w:rPr>
                    <w:drawing>
                      <wp:inline distT="0" distB="0" distL="0" distR="0">
                        <wp:extent cx="653415" cy="653415"/>
                        <wp:effectExtent l="0" t="0" r="13335" b="13335"/>
                        <wp:docPr id="2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jpeg"/>
                                <pic:cNvPicPr>
                                  <a:picLocks noChangeAspect="1"/>
                                </pic:cNvPicPr>
                              </pic:nvPicPr>
                              <pic:blipFill>
                                <a:blip r:embed="rId19" cstate="print"/>
                                <a:stretch>
                                  <a:fillRect/>
                                </a:stretch>
                              </pic:blipFill>
                              <pic:spPr>
                                <a:xfrm>
                                  <a:off x="0" y="0"/>
                                  <a:ext cx="653719" cy="653796"/>
                                </a:xfrm>
                                <a:prstGeom prst="rect">
                                  <a:avLst/>
                                </a:prstGeom>
                              </pic:spPr>
                            </pic:pic>
                          </a:graphicData>
                        </a:graphic>
                      </wp:inline>
                    </w:drawing>
                  </w:r>
                </w:p>
              </w:tc>
              <w:tc>
                <w:tcPr>
                  <w:tcW w:w="1560" w:type="dxa"/>
                  <w:tcBorders>
                    <w:tl2br w:val="nil"/>
                    <w:tr2bl w:val="nil"/>
                  </w:tcBorders>
                  <w:vAlign w:val="center"/>
                </w:tcPr>
                <w:p w14:paraId="22E6E48E">
                  <w:pPr>
                    <w:adjustRightInd w:val="0"/>
                    <w:snapToGrid w:val="0"/>
                    <w:spacing w:line="360" w:lineRule="auto"/>
                    <w:jc w:val="center"/>
                    <w:rPr>
                      <w:rFonts w:cs="宋体"/>
                      <w:szCs w:val="21"/>
                    </w:rPr>
                  </w:pPr>
                  <w:r>
                    <w:rPr>
                      <w:rFonts w:hint="eastAsia" w:cs="宋体"/>
                      <w:szCs w:val="21"/>
                    </w:rPr>
                    <w:t>污水总排口</w:t>
                  </w:r>
                </w:p>
              </w:tc>
              <w:tc>
                <w:tcPr>
                  <w:tcW w:w="1874" w:type="dxa"/>
                  <w:tcBorders>
                    <w:tl2br w:val="nil"/>
                    <w:tr2bl w:val="nil"/>
                  </w:tcBorders>
                  <w:vAlign w:val="center"/>
                </w:tcPr>
                <w:p w14:paraId="45ECFAD7">
                  <w:pPr>
                    <w:adjustRightInd w:val="0"/>
                    <w:snapToGrid w:val="0"/>
                    <w:spacing w:line="360" w:lineRule="auto"/>
                    <w:jc w:val="center"/>
                    <w:rPr>
                      <w:rFonts w:cs="宋体"/>
                      <w:szCs w:val="21"/>
                    </w:rPr>
                  </w:pPr>
                  <w:r>
                    <w:rPr>
                      <w:szCs w:val="21"/>
                    </w:rPr>
                    <w:t>表示污水向水体排放</w:t>
                  </w:r>
                </w:p>
              </w:tc>
            </w:tr>
            <w:tr w14:paraId="1FD33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Borders>
                    <w:tl2br w:val="nil"/>
                    <w:tr2bl w:val="nil"/>
                  </w:tcBorders>
                  <w:vAlign w:val="center"/>
                </w:tcPr>
                <w:p w14:paraId="1E2DC802">
                  <w:pPr>
                    <w:adjustRightInd w:val="0"/>
                    <w:snapToGrid w:val="0"/>
                    <w:spacing w:line="360" w:lineRule="auto"/>
                    <w:jc w:val="center"/>
                    <w:rPr>
                      <w:rFonts w:cs="宋体"/>
                      <w:szCs w:val="21"/>
                    </w:rPr>
                  </w:pPr>
                  <w:r>
                    <w:rPr>
                      <w:rFonts w:hint="eastAsia" w:cs="宋体"/>
                      <w:szCs w:val="21"/>
                    </w:rPr>
                    <w:t>2</w:t>
                  </w:r>
                </w:p>
              </w:tc>
              <w:tc>
                <w:tcPr>
                  <w:tcW w:w="1950" w:type="dxa"/>
                  <w:tcBorders>
                    <w:tl2br w:val="nil"/>
                    <w:tr2bl w:val="nil"/>
                  </w:tcBorders>
                  <w:vAlign w:val="center"/>
                </w:tcPr>
                <w:p w14:paraId="18AD4690">
                  <w:pPr>
                    <w:adjustRightInd w:val="0"/>
                    <w:snapToGrid w:val="0"/>
                    <w:spacing w:line="360" w:lineRule="auto"/>
                    <w:jc w:val="center"/>
                    <w:rPr>
                      <w:rFonts w:cs="宋体"/>
                      <w:szCs w:val="21"/>
                    </w:rPr>
                  </w:pPr>
                  <w:r>
                    <w:rPr>
                      <w:szCs w:val="21"/>
                    </w:rPr>
                    <w:drawing>
                      <wp:inline distT="0" distB="0" distL="0" distR="0">
                        <wp:extent cx="1100455" cy="662305"/>
                        <wp:effectExtent l="0" t="0" r="4445" b="4445"/>
                        <wp:docPr id="25"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jpeg"/>
                                <pic:cNvPicPr>
                                  <a:picLocks noChangeAspect="1"/>
                                </pic:cNvPicPr>
                              </pic:nvPicPr>
                              <pic:blipFill>
                                <a:blip r:embed="rId20" cstate="print"/>
                                <a:stretch>
                                  <a:fillRect/>
                                </a:stretch>
                              </pic:blipFill>
                              <pic:spPr>
                                <a:xfrm>
                                  <a:off x="0" y="0"/>
                                  <a:ext cx="1100994" cy="662749"/>
                                </a:xfrm>
                                <a:prstGeom prst="rect">
                                  <a:avLst/>
                                </a:prstGeom>
                              </pic:spPr>
                            </pic:pic>
                          </a:graphicData>
                        </a:graphic>
                      </wp:inline>
                    </w:drawing>
                  </w:r>
                </w:p>
              </w:tc>
              <w:tc>
                <w:tcPr>
                  <w:tcW w:w="1830" w:type="dxa"/>
                  <w:tcBorders>
                    <w:tl2br w:val="nil"/>
                    <w:tr2bl w:val="nil"/>
                  </w:tcBorders>
                  <w:vAlign w:val="center"/>
                </w:tcPr>
                <w:p w14:paraId="0039C722">
                  <w:pPr>
                    <w:adjustRightInd w:val="0"/>
                    <w:snapToGrid w:val="0"/>
                    <w:spacing w:line="360" w:lineRule="auto"/>
                    <w:jc w:val="center"/>
                    <w:rPr>
                      <w:rFonts w:cs="宋体"/>
                      <w:szCs w:val="21"/>
                    </w:rPr>
                  </w:pPr>
                  <w:r>
                    <w:rPr>
                      <w:szCs w:val="21"/>
                    </w:rPr>
                    <w:drawing>
                      <wp:inline distT="0" distB="0" distL="0" distR="0">
                        <wp:extent cx="665480" cy="666115"/>
                        <wp:effectExtent l="0" t="0" r="1270" b="635"/>
                        <wp:docPr id="27"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7.jpeg"/>
                                <pic:cNvPicPr>
                                  <a:picLocks noChangeAspect="1"/>
                                </pic:cNvPicPr>
                              </pic:nvPicPr>
                              <pic:blipFill>
                                <a:blip r:embed="rId21" cstate="print"/>
                                <a:stretch>
                                  <a:fillRect/>
                                </a:stretch>
                              </pic:blipFill>
                              <pic:spPr>
                                <a:xfrm>
                                  <a:off x="0" y="0"/>
                                  <a:ext cx="665836" cy="666368"/>
                                </a:xfrm>
                                <a:prstGeom prst="rect">
                                  <a:avLst/>
                                </a:prstGeom>
                              </pic:spPr>
                            </pic:pic>
                          </a:graphicData>
                        </a:graphic>
                      </wp:inline>
                    </w:drawing>
                  </w:r>
                </w:p>
              </w:tc>
              <w:tc>
                <w:tcPr>
                  <w:tcW w:w="1560" w:type="dxa"/>
                  <w:tcBorders>
                    <w:tl2br w:val="nil"/>
                    <w:tr2bl w:val="nil"/>
                  </w:tcBorders>
                </w:tcPr>
                <w:p w14:paraId="26ED2977">
                  <w:pPr>
                    <w:pStyle w:val="71"/>
                    <w:rPr>
                      <w:b/>
                      <w:szCs w:val="21"/>
                    </w:rPr>
                  </w:pPr>
                </w:p>
                <w:p w14:paraId="3FC110DE">
                  <w:pPr>
                    <w:pStyle w:val="71"/>
                    <w:spacing w:before="173"/>
                    <w:ind w:left="62" w:right="51"/>
                    <w:rPr>
                      <w:szCs w:val="21"/>
                    </w:rPr>
                  </w:pPr>
                  <w:r>
                    <w:rPr>
                      <w:szCs w:val="21"/>
                    </w:rPr>
                    <w:t>废气排放口</w:t>
                  </w:r>
                </w:p>
              </w:tc>
              <w:tc>
                <w:tcPr>
                  <w:tcW w:w="1874" w:type="dxa"/>
                  <w:tcBorders>
                    <w:tl2br w:val="nil"/>
                    <w:tr2bl w:val="nil"/>
                  </w:tcBorders>
                </w:tcPr>
                <w:p w14:paraId="5F819835">
                  <w:pPr>
                    <w:pStyle w:val="71"/>
                    <w:spacing w:before="4"/>
                    <w:rPr>
                      <w:b/>
                      <w:szCs w:val="21"/>
                    </w:rPr>
                  </w:pPr>
                </w:p>
                <w:p w14:paraId="3E78E882">
                  <w:pPr>
                    <w:pStyle w:val="71"/>
                    <w:spacing w:line="242" w:lineRule="auto"/>
                    <w:ind w:left="170" w:right="41" w:hanging="120"/>
                    <w:rPr>
                      <w:szCs w:val="21"/>
                    </w:rPr>
                  </w:pPr>
                  <w:r>
                    <w:rPr>
                      <w:szCs w:val="21"/>
                    </w:rPr>
                    <w:t>表示废气向大气环境排放</w:t>
                  </w:r>
                </w:p>
              </w:tc>
            </w:tr>
            <w:tr w14:paraId="1F6C0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Borders>
                    <w:tl2br w:val="nil"/>
                    <w:tr2bl w:val="nil"/>
                  </w:tcBorders>
                  <w:vAlign w:val="center"/>
                </w:tcPr>
                <w:p w14:paraId="24CA4A21">
                  <w:pPr>
                    <w:adjustRightInd w:val="0"/>
                    <w:snapToGrid w:val="0"/>
                    <w:spacing w:line="360" w:lineRule="auto"/>
                    <w:jc w:val="center"/>
                    <w:rPr>
                      <w:rFonts w:cs="宋体"/>
                      <w:szCs w:val="21"/>
                    </w:rPr>
                  </w:pPr>
                  <w:r>
                    <w:rPr>
                      <w:rFonts w:hint="eastAsia" w:cs="宋体"/>
                      <w:szCs w:val="21"/>
                    </w:rPr>
                    <w:t>3</w:t>
                  </w:r>
                </w:p>
              </w:tc>
              <w:tc>
                <w:tcPr>
                  <w:tcW w:w="1950" w:type="dxa"/>
                  <w:tcBorders>
                    <w:tl2br w:val="nil"/>
                    <w:tr2bl w:val="nil"/>
                  </w:tcBorders>
                  <w:vAlign w:val="center"/>
                </w:tcPr>
                <w:p w14:paraId="37AC9121">
                  <w:pPr>
                    <w:adjustRightInd w:val="0"/>
                    <w:snapToGrid w:val="0"/>
                    <w:spacing w:line="360" w:lineRule="auto"/>
                    <w:jc w:val="center"/>
                    <w:rPr>
                      <w:rFonts w:cs="宋体"/>
                      <w:szCs w:val="21"/>
                    </w:rPr>
                  </w:pPr>
                  <w:r>
                    <w:rPr>
                      <w:szCs w:val="21"/>
                    </w:rPr>
                    <w:drawing>
                      <wp:inline distT="0" distB="0" distL="0" distR="0">
                        <wp:extent cx="1051560" cy="635000"/>
                        <wp:effectExtent l="0" t="0" r="15240" b="12700"/>
                        <wp:docPr id="29"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8.jpeg"/>
                                <pic:cNvPicPr>
                                  <a:picLocks noChangeAspect="1"/>
                                </pic:cNvPicPr>
                              </pic:nvPicPr>
                              <pic:blipFill>
                                <a:blip r:embed="rId22" cstate="print"/>
                                <a:stretch>
                                  <a:fillRect/>
                                </a:stretch>
                              </pic:blipFill>
                              <pic:spPr>
                                <a:xfrm>
                                  <a:off x="0" y="0"/>
                                  <a:ext cx="1052135" cy="635508"/>
                                </a:xfrm>
                                <a:prstGeom prst="rect">
                                  <a:avLst/>
                                </a:prstGeom>
                              </pic:spPr>
                            </pic:pic>
                          </a:graphicData>
                        </a:graphic>
                      </wp:inline>
                    </w:drawing>
                  </w:r>
                </w:p>
              </w:tc>
              <w:tc>
                <w:tcPr>
                  <w:tcW w:w="1830" w:type="dxa"/>
                  <w:tcBorders>
                    <w:tl2br w:val="nil"/>
                    <w:tr2bl w:val="nil"/>
                  </w:tcBorders>
                  <w:vAlign w:val="center"/>
                </w:tcPr>
                <w:p w14:paraId="24E19FA8">
                  <w:pPr>
                    <w:adjustRightInd w:val="0"/>
                    <w:snapToGrid w:val="0"/>
                    <w:spacing w:line="360" w:lineRule="auto"/>
                    <w:jc w:val="center"/>
                    <w:rPr>
                      <w:rFonts w:cs="宋体"/>
                      <w:szCs w:val="21"/>
                    </w:rPr>
                  </w:pPr>
                  <w:r>
                    <w:rPr>
                      <w:szCs w:val="21"/>
                    </w:rPr>
                    <w:drawing>
                      <wp:inline distT="0" distB="0" distL="0" distR="0">
                        <wp:extent cx="671830" cy="672465"/>
                        <wp:effectExtent l="0" t="0" r="13970" b="13335"/>
                        <wp:docPr id="31"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jpeg"/>
                                <pic:cNvPicPr>
                                  <a:picLocks noChangeAspect="1"/>
                                </pic:cNvPicPr>
                              </pic:nvPicPr>
                              <pic:blipFill>
                                <a:blip r:embed="rId23" cstate="print"/>
                                <a:stretch>
                                  <a:fillRect/>
                                </a:stretch>
                              </pic:blipFill>
                              <pic:spPr>
                                <a:xfrm>
                                  <a:off x="0" y="0"/>
                                  <a:ext cx="671957" cy="672655"/>
                                </a:xfrm>
                                <a:prstGeom prst="rect">
                                  <a:avLst/>
                                </a:prstGeom>
                              </pic:spPr>
                            </pic:pic>
                          </a:graphicData>
                        </a:graphic>
                      </wp:inline>
                    </w:drawing>
                  </w:r>
                </w:p>
              </w:tc>
              <w:tc>
                <w:tcPr>
                  <w:tcW w:w="1560" w:type="dxa"/>
                  <w:tcBorders>
                    <w:tl2br w:val="nil"/>
                    <w:tr2bl w:val="nil"/>
                  </w:tcBorders>
                </w:tcPr>
                <w:p w14:paraId="2788370A">
                  <w:pPr>
                    <w:pStyle w:val="71"/>
                    <w:rPr>
                      <w:b/>
                      <w:szCs w:val="21"/>
                    </w:rPr>
                  </w:pPr>
                </w:p>
                <w:p w14:paraId="156FF376">
                  <w:pPr>
                    <w:pStyle w:val="71"/>
                    <w:spacing w:before="175"/>
                    <w:ind w:left="62" w:right="51"/>
                    <w:rPr>
                      <w:rFonts w:cs="宋体"/>
                      <w:szCs w:val="21"/>
                    </w:rPr>
                  </w:pPr>
                  <w:r>
                    <w:rPr>
                      <w:szCs w:val="21"/>
                    </w:rPr>
                    <w:t>噪声排放源</w:t>
                  </w:r>
                </w:p>
              </w:tc>
              <w:tc>
                <w:tcPr>
                  <w:tcW w:w="1874" w:type="dxa"/>
                  <w:tcBorders>
                    <w:tl2br w:val="nil"/>
                    <w:tr2bl w:val="nil"/>
                  </w:tcBorders>
                </w:tcPr>
                <w:p w14:paraId="6A35EDD6">
                  <w:pPr>
                    <w:pStyle w:val="71"/>
                    <w:spacing w:before="6"/>
                    <w:rPr>
                      <w:b/>
                      <w:szCs w:val="21"/>
                    </w:rPr>
                  </w:pPr>
                </w:p>
                <w:p w14:paraId="194BCD34">
                  <w:pPr>
                    <w:pStyle w:val="71"/>
                    <w:spacing w:before="1" w:line="242" w:lineRule="auto"/>
                    <w:ind w:left="290" w:right="41" w:hanging="240"/>
                    <w:rPr>
                      <w:rFonts w:cs="宋体"/>
                      <w:szCs w:val="21"/>
                    </w:rPr>
                  </w:pPr>
                  <w:r>
                    <w:rPr>
                      <w:szCs w:val="21"/>
                    </w:rPr>
                    <w:t>表示噪声向外环境排放</w:t>
                  </w:r>
                </w:p>
              </w:tc>
            </w:tr>
            <w:tr w14:paraId="6C980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Borders>
                    <w:tl2br w:val="nil"/>
                    <w:tr2bl w:val="nil"/>
                  </w:tcBorders>
                  <w:vAlign w:val="center"/>
                </w:tcPr>
                <w:p w14:paraId="367536B6">
                  <w:pPr>
                    <w:adjustRightInd w:val="0"/>
                    <w:snapToGrid w:val="0"/>
                    <w:spacing w:line="360" w:lineRule="auto"/>
                    <w:jc w:val="center"/>
                    <w:rPr>
                      <w:rFonts w:cs="宋体"/>
                      <w:szCs w:val="21"/>
                    </w:rPr>
                  </w:pPr>
                  <w:r>
                    <w:rPr>
                      <w:rFonts w:hint="eastAsia" w:cs="宋体"/>
                      <w:szCs w:val="21"/>
                    </w:rPr>
                    <w:t>4</w:t>
                  </w:r>
                </w:p>
              </w:tc>
              <w:tc>
                <w:tcPr>
                  <w:tcW w:w="1950" w:type="dxa"/>
                  <w:tcBorders>
                    <w:tl2br w:val="nil"/>
                    <w:tr2bl w:val="nil"/>
                  </w:tcBorders>
                  <w:vAlign w:val="center"/>
                </w:tcPr>
                <w:p w14:paraId="36C95352">
                  <w:pPr>
                    <w:adjustRightInd w:val="0"/>
                    <w:snapToGrid w:val="0"/>
                    <w:spacing w:line="360" w:lineRule="auto"/>
                    <w:jc w:val="center"/>
                    <w:rPr>
                      <w:rFonts w:cs="宋体"/>
                      <w:szCs w:val="21"/>
                    </w:rPr>
                  </w:pPr>
                  <w:r>
                    <w:rPr>
                      <w:szCs w:val="21"/>
                    </w:rPr>
                    <w:drawing>
                      <wp:inline distT="0" distB="0" distL="0" distR="0">
                        <wp:extent cx="1007745" cy="608330"/>
                        <wp:effectExtent l="0" t="0" r="1905" b="1270"/>
                        <wp:docPr id="33"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0.jpeg"/>
                                <pic:cNvPicPr>
                                  <a:picLocks noChangeAspect="1"/>
                                </pic:cNvPicPr>
                              </pic:nvPicPr>
                              <pic:blipFill>
                                <a:blip r:embed="rId24" cstate="print"/>
                                <a:stretch>
                                  <a:fillRect/>
                                </a:stretch>
                              </pic:blipFill>
                              <pic:spPr>
                                <a:xfrm>
                                  <a:off x="0" y="0"/>
                                  <a:ext cx="1008310" cy="608647"/>
                                </a:xfrm>
                                <a:prstGeom prst="rect">
                                  <a:avLst/>
                                </a:prstGeom>
                              </pic:spPr>
                            </pic:pic>
                          </a:graphicData>
                        </a:graphic>
                      </wp:inline>
                    </w:drawing>
                  </w:r>
                </w:p>
              </w:tc>
              <w:tc>
                <w:tcPr>
                  <w:tcW w:w="1830" w:type="dxa"/>
                  <w:tcBorders>
                    <w:tl2br w:val="nil"/>
                    <w:tr2bl w:val="nil"/>
                  </w:tcBorders>
                  <w:vAlign w:val="center"/>
                </w:tcPr>
                <w:p w14:paraId="1B79AC2D">
                  <w:pPr>
                    <w:adjustRightInd w:val="0"/>
                    <w:snapToGrid w:val="0"/>
                    <w:spacing w:line="360" w:lineRule="auto"/>
                    <w:jc w:val="center"/>
                    <w:rPr>
                      <w:rFonts w:cs="宋体"/>
                      <w:szCs w:val="21"/>
                    </w:rPr>
                  </w:pPr>
                  <w:r>
                    <w:rPr>
                      <w:szCs w:val="21"/>
                    </w:rPr>
                    <w:drawing>
                      <wp:inline distT="0" distB="0" distL="0" distR="0">
                        <wp:extent cx="692785" cy="652780"/>
                        <wp:effectExtent l="0" t="0" r="12065" b="13970"/>
                        <wp:docPr id="35"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jpeg"/>
                                <pic:cNvPicPr>
                                  <a:picLocks noChangeAspect="1"/>
                                </pic:cNvPicPr>
                              </pic:nvPicPr>
                              <pic:blipFill>
                                <a:blip r:embed="rId25" cstate="print"/>
                                <a:stretch>
                                  <a:fillRect/>
                                </a:stretch>
                              </pic:blipFill>
                              <pic:spPr>
                                <a:xfrm>
                                  <a:off x="0" y="0"/>
                                  <a:ext cx="692869" cy="653414"/>
                                </a:xfrm>
                                <a:prstGeom prst="rect">
                                  <a:avLst/>
                                </a:prstGeom>
                              </pic:spPr>
                            </pic:pic>
                          </a:graphicData>
                        </a:graphic>
                      </wp:inline>
                    </w:drawing>
                  </w:r>
                </w:p>
              </w:tc>
              <w:tc>
                <w:tcPr>
                  <w:tcW w:w="1560" w:type="dxa"/>
                  <w:tcBorders>
                    <w:tl2br w:val="nil"/>
                    <w:tr2bl w:val="nil"/>
                  </w:tcBorders>
                </w:tcPr>
                <w:p w14:paraId="097737AA">
                  <w:pPr>
                    <w:pStyle w:val="71"/>
                    <w:spacing w:before="208" w:line="242" w:lineRule="auto"/>
                    <w:ind w:left="322" w:right="69" w:hanging="240"/>
                    <w:rPr>
                      <w:rFonts w:cs="宋体"/>
                      <w:szCs w:val="21"/>
                    </w:rPr>
                  </w:pPr>
                  <w:r>
                    <w:rPr>
                      <w:szCs w:val="21"/>
                    </w:rPr>
                    <w:t>一般固体废物表示</w:t>
                  </w:r>
                </w:p>
              </w:tc>
              <w:tc>
                <w:tcPr>
                  <w:tcW w:w="1874" w:type="dxa"/>
                  <w:tcBorders>
                    <w:tl2br w:val="nil"/>
                    <w:tr2bl w:val="nil"/>
                  </w:tcBorders>
                </w:tcPr>
                <w:p w14:paraId="269D4814">
                  <w:pPr>
                    <w:pStyle w:val="71"/>
                    <w:spacing w:before="208" w:line="242" w:lineRule="auto"/>
                    <w:ind w:left="50" w:right="41"/>
                    <w:rPr>
                      <w:rFonts w:cs="宋体"/>
                      <w:szCs w:val="21"/>
                    </w:rPr>
                  </w:pPr>
                  <w:r>
                    <w:rPr>
                      <w:szCs w:val="21"/>
                    </w:rPr>
                    <w:t>一般固体废物贮存、处置场</w:t>
                  </w:r>
                </w:p>
              </w:tc>
            </w:tr>
            <w:tr w14:paraId="03BFD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Borders>
                    <w:tl2br w:val="nil"/>
                    <w:tr2bl w:val="nil"/>
                  </w:tcBorders>
                  <w:vAlign w:val="center"/>
                </w:tcPr>
                <w:p w14:paraId="3D8625D5">
                  <w:pPr>
                    <w:adjustRightInd w:val="0"/>
                    <w:snapToGrid w:val="0"/>
                    <w:spacing w:line="360" w:lineRule="auto"/>
                    <w:jc w:val="center"/>
                    <w:rPr>
                      <w:rFonts w:cs="宋体"/>
                      <w:szCs w:val="21"/>
                    </w:rPr>
                  </w:pPr>
                  <w:r>
                    <w:rPr>
                      <w:rFonts w:hint="eastAsia" w:cs="宋体"/>
                      <w:szCs w:val="21"/>
                    </w:rPr>
                    <w:t>5</w:t>
                  </w:r>
                </w:p>
              </w:tc>
              <w:tc>
                <w:tcPr>
                  <w:tcW w:w="1950" w:type="dxa"/>
                  <w:tcBorders>
                    <w:tl2br w:val="nil"/>
                    <w:tr2bl w:val="nil"/>
                  </w:tcBorders>
                  <w:vAlign w:val="center"/>
                </w:tcPr>
                <w:p w14:paraId="7C983E06">
                  <w:pPr>
                    <w:adjustRightInd w:val="0"/>
                    <w:snapToGrid w:val="0"/>
                    <w:spacing w:line="360" w:lineRule="auto"/>
                    <w:jc w:val="center"/>
                    <w:rPr>
                      <w:rFonts w:cs="宋体"/>
                      <w:szCs w:val="21"/>
                    </w:rPr>
                  </w:pPr>
                  <w:r>
                    <w:rPr>
                      <w:szCs w:val="21"/>
                    </w:rPr>
                    <w:drawing>
                      <wp:inline distT="0" distB="0" distL="0" distR="0">
                        <wp:extent cx="1134745" cy="721995"/>
                        <wp:effectExtent l="0" t="0" r="8255" b="1905"/>
                        <wp:docPr id="37"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2.jpeg"/>
                                <pic:cNvPicPr>
                                  <a:picLocks noChangeAspect="1"/>
                                </pic:cNvPicPr>
                              </pic:nvPicPr>
                              <pic:blipFill>
                                <a:blip r:embed="rId26" cstate="print"/>
                                <a:stretch>
                                  <a:fillRect/>
                                </a:stretch>
                              </pic:blipFill>
                              <pic:spPr>
                                <a:xfrm>
                                  <a:off x="0" y="0"/>
                                  <a:ext cx="1135156" cy="722090"/>
                                </a:xfrm>
                                <a:prstGeom prst="rect">
                                  <a:avLst/>
                                </a:prstGeom>
                              </pic:spPr>
                            </pic:pic>
                          </a:graphicData>
                        </a:graphic>
                      </wp:inline>
                    </w:drawing>
                  </w:r>
                </w:p>
              </w:tc>
              <w:tc>
                <w:tcPr>
                  <w:tcW w:w="1830" w:type="dxa"/>
                  <w:tcBorders>
                    <w:tl2br w:val="nil"/>
                    <w:tr2bl w:val="nil"/>
                  </w:tcBorders>
                  <w:vAlign w:val="center"/>
                </w:tcPr>
                <w:p w14:paraId="5FEC69EB">
                  <w:pPr>
                    <w:adjustRightInd w:val="0"/>
                    <w:snapToGrid w:val="0"/>
                    <w:spacing w:line="360" w:lineRule="auto"/>
                    <w:jc w:val="center"/>
                    <w:rPr>
                      <w:rFonts w:cs="宋体"/>
                      <w:szCs w:val="21"/>
                    </w:rPr>
                  </w:pPr>
                  <w:r>
                    <w:rPr>
                      <w:szCs w:val="21"/>
                    </w:rPr>
                    <w:drawing>
                      <wp:inline distT="0" distB="0" distL="0" distR="0">
                        <wp:extent cx="738505" cy="669925"/>
                        <wp:effectExtent l="0" t="0" r="4445" b="15875"/>
                        <wp:docPr id="39"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3.jpeg"/>
                                <pic:cNvPicPr>
                                  <a:picLocks noChangeAspect="1"/>
                                </pic:cNvPicPr>
                              </pic:nvPicPr>
                              <pic:blipFill>
                                <a:blip r:embed="rId27" cstate="print"/>
                                <a:stretch>
                                  <a:fillRect/>
                                </a:stretch>
                              </pic:blipFill>
                              <pic:spPr>
                                <a:xfrm>
                                  <a:off x="0" y="0"/>
                                  <a:ext cx="738675" cy="670559"/>
                                </a:xfrm>
                                <a:prstGeom prst="rect">
                                  <a:avLst/>
                                </a:prstGeom>
                              </pic:spPr>
                            </pic:pic>
                          </a:graphicData>
                        </a:graphic>
                      </wp:inline>
                    </w:drawing>
                  </w:r>
                </w:p>
              </w:tc>
              <w:tc>
                <w:tcPr>
                  <w:tcW w:w="1560" w:type="dxa"/>
                  <w:tcBorders>
                    <w:tl2br w:val="nil"/>
                    <w:tr2bl w:val="nil"/>
                  </w:tcBorders>
                </w:tcPr>
                <w:p w14:paraId="4204D77A">
                  <w:pPr>
                    <w:pStyle w:val="71"/>
                    <w:spacing w:before="2"/>
                    <w:rPr>
                      <w:b/>
                      <w:szCs w:val="21"/>
                    </w:rPr>
                  </w:pPr>
                </w:p>
                <w:p w14:paraId="441D3931">
                  <w:pPr>
                    <w:pStyle w:val="71"/>
                    <w:spacing w:line="242" w:lineRule="auto"/>
                    <w:ind w:left="322" w:right="69" w:hanging="240"/>
                    <w:rPr>
                      <w:rFonts w:cs="宋体"/>
                      <w:szCs w:val="21"/>
                    </w:rPr>
                  </w:pPr>
                  <w:r>
                    <w:rPr>
                      <w:szCs w:val="21"/>
                    </w:rPr>
                    <w:t>危险固体废物表示</w:t>
                  </w:r>
                </w:p>
              </w:tc>
              <w:tc>
                <w:tcPr>
                  <w:tcW w:w="1874" w:type="dxa"/>
                  <w:tcBorders>
                    <w:tl2br w:val="nil"/>
                    <w:tr2bl w:val="nil"/>
                  </w:tcBorders>
                </w:tcPr>
                <w:p w14:paraId="524C547F">
                  <w:pPr>
                    <w:pStyle w:val="71"/>
                    <w:spacing w:before="2"/>
                    <w:rPr>
                      <w:b/>
                      <w:szCs w:val="21"/>
                    </w:rPr>
                  </w:pPr>
                </w:p>
                <w:p w14:paraId="39EA5037">
                  <w:pPr>
                    <w:pStyle w:val="71"/>
                    <w:spacing w:line="242" w:lineRule="auto"/>
                    <w:ind w:left="50" w:right="41"/>
                    <w:rPr>
                      <w:rFonts w:cs="宋体"/>
                      <w:szCs w:val="21"/>
                    </w:rPr>
                  </w:pPr>
                  <w:r>
                    <w:rPr>
                      <w:szCs w:val="21"/>
                    </w:rPr>
                    <w:t>危险固体废物贮存、处置场</w:t>
                  </w:r>
                </w:p>
              </w:tc>
            </w:tr>
          </w:tbl>
          <w:p w14:paraId="10727F7F">
            <w:pPr>
              <w:spacing w:before="113" w:line="360" w:lineRule="auto"/>
              <w:ind w:firstLine="422" w:firstLineChars="200"/>
              <w:jc w:val="left"/>
              <w:rPr>
                <w:b/>
                <w:bCs/>
                <w:szCs w:val="21"/>
              </w:rPr>
            </w:pPr>
            <w:r>
              <w:rPr>
                <w:rFonts w:hint="eastAsia"/>
                <w:b/>
                <w:bCs/>
                <w:szCs w:val="21"/>
              </w:rPr>
              <w:t>3、</w:t>
            </w:r>
            <w:r>
              <w:rPr>
                <w:b/>
                <w:bCs/>
                <w:szCs w:val="21"/>
              </w:rPr>
              <w:t>环保设施安全管理</w:t>
            </w:r>
          </w:p>
          <w:p w14:paraId="292764C8">
            <w:pPr>
              <w:adjustRightInd w:val="0"/>
              <w:snapToGrid w:val="0"/>
              <w:spacing w:line="360" w:lineRule="auto"/>
              <w:ind w:firstLine="420" w:firstLineChars="200"/>
              <w:jc w:val="left"/>
              <w:rPr>
                <w:rFonts w:cs="宋体"/>
                <w:szCs w:val="21"/>
              </w:rPr>
            </w:pPr>
            <w:r>
              <w:rPr>
                <w:szCs w:val="21"/>
              </w:rPr>
              <w:t>参考《环保治理设施安全风险防范告知书》，企业要把本单位环保治理设施安全运行纳入到日常安全生产管理之中，严格落实企业安全生产主体责任。</w:t>
            </w:r>
          </w:p>
          <w:p w14:paraId="1F4B96FE">
            <w:pPr>
              <w:adjustRightInd w:val="0"/>
              <w:snapToGrid w:val="0"/>
              <w:spacing w:line="360" w:lineRule="auto"/>
              <w:jc w:val="center"/>
              <w:rPr>
                <w:rFonts w:cs="宋体"/>
                <w:szCs w:val="21"/>
              </w:rPr>
            </w:pPr>
          </w:p>
        </w:tc>
      </w:tr>
    </w:tbl>
    <w:p w14:paraId="68B6E793">
      <w:pPr>
        <w:pStyle w:val="27"/>
        <w:adjustRightInd w:val="0"/>
        <w:snapToGrid w:val="0"/>
        <w:spacing w:before="0" w:beforeAutospacing="0" w:after="0" w:afterAutospacing="0"/>
        <w:jc w:val="center"/>
        <w:outlineLvl w:val="0"/>
        <w:rPr>
          <w:rFonts w:ascii="Times New Roman" w:hAnsi="Times New Roman"/>
          <w:snapToGrid w:val="0"/>
          <w:sz w:val="30"/>
          <w:szCs w:val="30"/>
        </w:rPr>
      </w:pPr>
      <w:r>
        <w:rPr>
          <w:rFonts w:ascii="Times New Roman" w:hAnsi="Times New Roman"/>
          <w:snapToGrid w:val="0"/>
        </w:rPr>
        <w:br w:type="page"/>
      </w:r>
      <w:bookmarkStart w:id="14" w:name="_Toc28029"/>
      <w:r>
        <w:rPr>
          <w:rFonts w:ascii="Times New Roman" w:hAnsi="Times New Roman"/>
          <w:b/>
          <w:bCs/>
          <w:snapToGrid w:val="0"/>
          <w:sz w:val="30"/>
          <w:szCs w:val="30"/>
        </w:rPr>
        <w:t>六、结论</w:t>
      </w:r>
      <w:bookmarkEnd w:id="14"/>
    </w:p>
    <w:tbl>
      <w:tblPr>
        <w:tblStyle w:val="29"/>
        <w:tblW w:w="8865"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8865"/>
      </w:tblGrid>
      <w:tr w14:paraId="1CD13EB8">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1991" w:hRule="atLeast"/>
          <w:jc w:val="center"/>
        </w:trPr>
        <w:tc>
          <w:tcPr>
            <w:tcW w:w="8865" w:type="dxa"/>
            <w:tcBorders>
              <w:tl2br w:val="nil"/>
              <w:tr2bl w:val="nil"/>
            </w:tcBorders>
            <w:vAlign w:val="center"/>
          </w:tcPr>
          <w:p w14:paraId="606AE49E">
            <w:pPr>
              <w:spacing w:line="360" w:lineRule="auto"/>
              <w:ind w:firstLine="480" w:firstLineChars="200"/>
              <w:rPr>
                <w:bCs/>
                <w:sz w:val="24"/>
              </w:rPr>
            </w:pPr>
            <w:r>
              <w:rPr>
                <w:bCs/>
                <w:sz w:val="24"/>
              </w:rPr>
              <w:t>综上所述，</w:t>
            </w:r>
            <w:r>
              <w:rPr>
                <w:rFonts w:hint="eastAsia"/>
                <w:bCs/>
                <w:sz w:val="24"/>
              </w:rPr>
              <w:t>安徽源峰汽车部件</w:t>
            </w:r>
            <w:r>
              <w:rPr>
                <w:rFonts w:hint="eastAsia"/>
                <w:sz w:val="24"/>
                <w:lang w:val="zh-CN"/>
              </w:rPr>
              <w:t>有限公司“</w:t>
            </w:r>
            <w:r>
              <w:rPr>
                <w:rFonts w:hint="eastAsia"/>
                <w:sz w:val="24"/>
              </w:rPr>
              <w:t>年产150万个汽车内饰包覆件产品项目</w:t>
            </w:r>
            <w:r>
              <w:rPr>
                <w:rFonts w:hint="eastAsia"/>
                <w:sz w:val="24"/>
                <w:lang w:val="zh-CN"/>
              </w:rPr>
              <w:t>”</w:t>
            </w:r>
            <w:r>
              <w:rPr>
                <w:bCs/>
                <w:sz w:val="24"/>
              </w:rPr>
              <w:t>的建设符合国家和地方产业政策，选址合理，项目在落实环评中的污染防治措施后，各项污染物可以达标排放，对环境的影响也比较小，不会造成区域环境功能的改变，从环境保护的角度来讲，本评价认为项目在坚持“三同时”原则并采取一定的环保措施后，项目建设是可行的。</w:t>
            </w:r>
          </w:p>
        </w:tc>
      </w:tr>
    </w:tbl>
    <w:p w14:paraId="3CA29A0D">
      <w:pPr>
        <w:sectPr>
          <w:pgSz w:w="11906" w:h="16838"/>
          <w:pgMar w:top="1701" w:right="1531" w:bottom="1701" w:left="1531" w:header="851" w:footer="851" w:gutter="0"/>
          <w:cols w:space="720" w:num="1"/>
          <w:docGrid w:linePitch="312" w:charSpace="0"/>
        </w:sectPr>
      </w:pPr>
    </w:p>
    <w:p w14:paraId="15CFB3AA">
      <w:pPr>
        <w:pStyle w:val="27"/>
        <w:adjustRightInd w:val="0"/>
        <w:snapToGrid w:val="0"/>
        <w:spacing w:before="0" w:beforeAutospacing="0" w:after="0" w:afterAutospacing="0"/>
        <w:outlineLvl w:val="0"/>
        <w:rPr>
          <w:rFonts w:ascii="Times New Roman" w:hAnsi="Times New Roman"/>
          <w:b/>
          <w:bCs/>
          <w:snapToGrid w:val="0"/>
          <w:sz w:val="30"/>
          <w:szCs w:val="30"/>
        </w:rPr>
      </w:pPr>
      <w:bookmarkStart w:id="15" w:name="_Toc1603"/>
      <w:r>
        <w:rPr>
          <w:rFonts w:ascii="Times New Roman" w:hAnsi="Times New Roman"/>
          <w:b/>
          <w:bCs/>
          <w:snapToGrid w:val="0"/>
          <w:sz w:val="30"/>
          <w:szCs w:val="30"/>
        </w:rPr>
        <w:t>附表</w:t>
      </w:r>
      <w:bookmarkEnd w:id="15"/>
    </w:p>
    <w:p w14:paraId="68D5B057">
      <w:pPr>
        <w:pStyle w:val="27"/>
        <w:adjustRightInd w:val="0"/>
        <w:snapToGrid w:val="0"/>
        <w:spacing w:before="0" w:beforeAutospacing="0" w:after="0" w:afterAutospacing="0"/>
        <w:jc w:val="center"/>
        <w:rPr>
          <w:rFonts w:ascii="Times New Roman" w:hAnsi="Times New Roman"/>
          <w:b/>
          <w:bCs/>
          <w:snapToGrid w:val="0"/>
          <w:sz w:val="30"/>
          <w:szCs w:val="30"/>
        </w:rPr>
      </w:pPr>
      <w:r>
        <w:rPr>
          <w:rFonts w:ascii="Times New Roman" w:hAnsi="Times New Roman"/>
          <w:b/>
          <w:bCs/>
          <w:snapToGrid w:val="0"/>
          <w:sz w:val="30"/>
          <w:szCs w:val="30"/>
        </w:rPr>
        <w:t>建设项目污染物排放量汇总表</w:t>
      </w:r>
    </w:p>
    <w:tbl>
      <w:tblPr>
        <w:tblStyle w:val="29"/>
        <w:tblW w:w="1349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528"/>
        <w:gridCol w:w="1666"/>
        <w:gridCol w:w="1385"/>
        <w:gridCol w:w="1385"/>
        <w:gridCol w:w="1944"/>
        <w:gridCol w:w="1385"/>
        <w:gridCol w:w="1806"/>
        <w:gridCol w:w="1259"/>
      </w:tblGrid>
      <w:tr w14:paraId="5E28B2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tcBorders>
              <w:tl2br w:val="single" w:color="auto" w:sz="4" w:space="0"/>
            </w:tcBorders>
            <w:tcMar>
              <w:left w:w="28" w:type="dxa"/>
              <w:right w:w="28" w:type="dxa"/>
            </w:tcMar>
            <w:vAlign w:val="center"/>
          </w:tcPr>
          <w:p w14:paraId="57C38624">
            <w:pPr>
              <w:pStyle w:val="52"/>
              <w:spacing w:beforeLines="0" w:afterLines="0" w:line="280" w:lineRule="exact"/>
              <w:rPr>
                <w:rFonts w:ascii="Times New Roman" w:cs="宋体"/>
                <w:snapToGrid w:val="0"/>
                <w:spacing w:val="-6"/>
                <w:kern w:val="21"/>
                <w:szCs w:val="21"/>
              </w:rPr>
            </w:pPr>
            <w:r>
              <w:rPr>
                <w:rFonts w:hint="eastAsia" w:ascii="Times New Roman" w:cs="宋体"/>
                <w:snapToGrid w:val="0"/>
                <w:spacing w:val="-6"/>
                <w:kern w:val="21"/>
                <w:szCs w:val="21"/>
              </w:rPr>
              <w:t xml:space="preserve">   项目</w:t>
            </w:r>
          </w:p>
          <w:p w14:paraId="5FC349F0">
            <w:pPr>
              <w:pStyle w:val="52"/>
              <w:spacing w:beforeLines="0" w:afterLines="0" w:line="280" w:lineRule="exact"/>
              <w:jc w:val="both"/>
              <w:rPr>
                <w:rFonts w:ascii="Times New Roman" w:cs="宋体"/>
                <w:snapToGrid w:val="0"/>
                <w:spacing w:val="-6"/>
                <w:kern w:val="21"/>
                <w:szCs w:val="21"/>
              </w:rPr>
            </w:pPr>
            <w:r>
              <w:rPr>
                <w:rFonts w:hint="eastAsia" w:ascii="Times New Roman" w:cs="宋体"/>
                <w:snapToGrid w:val="0"/>
                <w:spacing w:val="-6"/>
                <w:kern w:val="21"/>
                <w:szCs w:val="21"/>
              </w:rPr>
              <w:t>分类</w:t>
            </w:r>
          </w:p>
        </w:tc>
        <w:tc>
          <w:tcPr>
            <w:tcW w:w="1528" w:type="dxa"/>
            <w:tcMar>
              <w:left w:w="28" w:type="dxa"/>
              <w:right w:w="28" w:type="dxa"/>
            </w:tcMar>
            <w:vAlign w:val="center"/>
          </w:tcPr>
          <w:p w14:paraId="2D01DC34">
            <w:pPr>
              <w:pStyle w:val="52"/>
              <w:spacing w:beforeLines="0" w:afterLines="0" w:line="280" w:lineRule="exact"/>
              <w:rPr>
                <w:rFonts w:ascii="Times New Roman" w:cs="宋体"/>
                <w:snapToGrid w:val="0"/>
                <w:spacing w:val="-6"/>
                <w:kern w:val="21"/>
                <w:szCs w:val="21"/>
              </w:rPr>
            </w:pPr>
            <w:r>
              <w:rPr>
                <w:rFonts w:hint="eastAsia" w:ascii="Times New Roman" w:cs="宋体"/>
                <w:snapToGrid w:val="0"/>
                <w:spacing w:val="-6"/>
                <w:kern w:val="21"/>
                <w:szCs w:val="21"/>
              </w:rPr>
              <w:t>污染物名称</w:t>
            </w:r>
          </w:p>
        </w:tc>
        <w:tc>
          <w:tcPr>
            <w:tcW w:w="1666" w:type="dxa"/>
            <w:tcMar>
              <w:left w:w="28" w:type="dxa"/>
              <w:right w:w="28" w:type="dxa"/>
            </w:tcMar>
            <w:vAlign w:val="center"/>
          </w:tcPr>
          <w:p w14:paraId="193DF48F">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现有工程</w:t>
            </w:r>
          </w:p>
          <w:p w14:paraId="0DD4A033">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排放量（固</w:t>
            </w:r>
            <w:r>
              <w:rPr>
                <w:rFonts w:hint="eastAsia" w:ascii="Times New Roman"/>
                <w:snapToGrid w:val="0"/>
                <w:spacing w:val="-6"/>
                <w:kern w:val="21"/>
                <w:szCs w:val="21"/>
              </w:rPr>
              <w:t>体</w:t>
            </w:r>
            <w:r>
              <w:rPr>
                <w:rFonts w:ascii="Times New Roman"/>
                <w:snapToGrid w:val="0"/>
                <w:spacing w:val="-6"/>
                <w:kern w:val="21"/>
                <w:szCs w:val="21"/>
              </w:rPr>
              <w:t>废</w:t>
            </w:r>
            <w:r>
              <w:rPr>
                <w:rFonts w:hint="eastAsia" w:ascii="Times New Roman"/>
                <w:snapToGrid w:val="0"/>
                <w:spacing w:val="-6"/>
                <w:kern w:val="21"/>
                <w:szCs w:val="21"/>
              </w:rPr>
              <w:t>物</w:t>
            </w:r>
            <w:r>
              <w:rPr>
                <w:rFonts w:ascii="Times New Roman"/>
                <w:snapToGrid w:val="0"/>
                <w:spacing w:val="-6"/>
                <w:kern w:val="21"/>
                <w:szCs w:val="21"/>
              </w:rPr>
              <w:t>产生量）</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ascii="Times New Roman" w:cs="宋体"/>
                <w:kern w:val="2"/>
                <w:szCs w:val="21"/>
              </w:rPr>
              <w:t>①</w:t>
            </w:r>
            <w:r>
              <w:rPr>
                <w:rFonts w:ascii="Times New Roman"/>
                <w:snapToGrid w:val="0"/>
                <w:spacing w:val="-6"/>
                <w:kern w:val="21"/>
                <w:szCs w:val="21"/>
              </w:rPr>
              <w:fldChar w:fldCharType="end"/>
            </w:r>
          </w:p>
        </w:tc>
        <w:tc>
          <w:tcPr>
            <w:tcW w:w="1385" w:type="dxa"/>
            <w:tcMar>
              <w:left w:w="28" w:type="dxa"/>
              <w:right w:w="28" w:type="dxa"/>
            </w:tcMar>
            <w:vAlign w:val="center"/>
          </w:tcPr>
          <w:p w14:paraId="1032304A">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现有工程</w:t>
            </w:r>
          </w:p>
          <w:p w14:paraId="5031EC64">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许可排放量</w:t>
            </w:r>
          </w:p>
          <w:p w14:paraId="6360C635">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2 \* GB3 \* MERGEFORMAT </w:instrText>
            </w:r>
            <w:r>
              <w:rPr>
                <w:rFonts w:ascii="Times New Roman"/>
                <w:snapToGrid w:val="0"/>
                <w:spacing w:val="-6"/>
                <w:kern w:val="21"/>
                <w:szCs w:val="21"/>
              </w:rPr>
              <w:fldChar w:fldCharType="separate"/>
            </w:r>
            <w:r>
              <w:rPr>
                <w:rFonts w:hint="eastAsia" w:ascii="Times New Roman" w:cs="宋体"/>
                <w:snapToGrid w:val="0"/>
                <w:spacing w:val="-6"/>
                <w:kern w:val="21"/>
                <w:szCs w:val="21"/>
              </w:rPr>
              <w:t>②</w:t>
            </w:r>
            <w:r>
              <w:rPr>
                <w:rFonts w:ascii="Times New Roman"/>
                <w:snapToGrid w:val="0"/>
                <w:spacing w:val="-6"/>
                <w:kern w:val="21"/>
                <w:szCs w:val="21"/>
              </w:rPr>
              <w:fldChar w:fldCharType="end"/>
            </w:r>
          </w:p>
        </w:tc>
        <w:tc>
          <w:tcPr>
            <w:tcW w:w="1385" w:type="dxa"/>
            <w:tcMar>
              <w:left w:w="28" w:type="dxa"/>
              <w:right w:w="28" w:type="dxa"/>
            </w:tcMar>
            <w:vAlign w:val="center"/>
          </w:tcPr>
          <w:p w14:paraId="0CFBC0AD">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在建工程</w:t>
            </w:r>
          </w:p>
          <w:p w14:paraId="7D1F4003">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排放量（固</w:t>
            </w:r>
            <w:r>
              <w:rPr>
                <w:rFonts w:hint="eastAsia" w:ascii="Times New Roman"/>
                <w:snapToGrid w:val="0"/>
                <w:spacing w:val="-6"/>
                <w:kern w:val="21"/>
                <w:szCs w:val="21"/>
              </w:rPr>
              <w:t>体</w:t>
            </w:r>
            <w:r>
              <w:rPr>
                <w:rFonts w:ascii="Times New Roman"/>
                <w:snapToGrid w:val="0"/>
                <w:spacing w:val="-6"/>
                <w:kern w:val="21"/>
                <w:szCs w:val="21"/>
              </w:rPr>
              <w:t>废</w:t>
            </w:r>
            <w:r>
              <w:rPr>
                <w:rFonts w:hint="eastAsia" w:ascii="Times New Roman"/>
                <w:snapToGrid w:val="0"/>
                <w:spacing w:val="-6"/>
                <w:kern w:val="21"/>
                <w:szCs w:val="21"/>
              </w:rPr>
              <w:t>物</w:t>
            </w:r>
            <w:r>
              <w:rPr>
                <w:rFonts w:ascii="Times New Roman"/>
                <w:snapToGrid w:val="0"/>
                <w:spacing w:val="-6"/>
                <w:kern w:val="21"/>
                <w:szCs w:val="21"/>
              </w:rPr>
              <w:t>产生量）</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ascii="Times New Roman" w:cs="宋体"/>
                <w:kern w:val="2"/>
                <w:szCs w:val="21"/>
              </w:rPr>
              <w:t>③</w:t>
            </w:r>
            <w:r>
              <w:rPr>
                <w:rFonts w:ascii="Times New Roman"/>
                <w:snapToGrid w:val="0"/>
                <w:spacing w:val="-6"/>
                <w:kern w:val="21"/>
                <w:szCs w:val="21"/>
              </w:rPr>
              <w:fldChar w:fldCharType="end"/>
            </w:r>
          </w:p>
        </w:tc>
        <w:tc>
          <w:tcPr>
            <w:tcW w:w="1944" w:type="dxa"/>
            <w:tcMar>
              <w:left w:w="28" w:type="dxa"/>
              <w:right w:w="28" w:type="dxa"/>
            </w:tcMar>
            <w:vAlign w:val="center"/>
          </w:tcPr>
          <w:p w14:paraId="75BDE200">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本项目排放量（固</w:t>
            </w:r>
            <w:r>
              <w:rPr>
                <w:rFonts w:hint="eastAsia" w:ascii="Times New Roman"/>
                <w:snapToGrid w:val="0"/>
                <w:spacing w:val="-6"/>
                <w:kern w:val="21"/>
                <w:szCs w:val="21"/>
              </w:rPr>
              <w:t>体</w:t>
            </w:r>
            <w:r>
              <w:rPr>
                <w:rFonts w:ascii="Times New Roman"/>
                <w:snapToGrid w:val="0"/>
                <w:spacing w:val="-6"/>
                <w:kern w:val="21"/>
                <w:szCs w:val="21"/>
              </w:rPr>
              <w:t>废</w:t>
            </w:r>
            <w:r>
              <w:rPr>
                <w:rFonts w:hint="eastAsia" w:ascii="Times New Roman"/>
                <w:snapToGrid w:val="0"/>
                <w:spacing w:val="-6"/>
                <w:kern w:val="21"/>
                <w:szCs w:val="21"/>
              </w:rPr>
              <w:t>物</w:t>
            </w:r>
            <w:r>
              <w:rPr>
                <w:rFonts w:ascii="Times New Roman"/>
                <w:snapToGrid w:val="0"/>
                <w:spacing w:val="-6"/>
                <w:kern w:val="21"/>
                <w:szCs w:val="21"/>
              </w:rPr>
              <w:t>产生量）</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ascii="Times New Roman" w:cs="宋体"/>
                <w:kern w:val="2"/>
                <w:szCs w:val="21"/>
              </w:rPr>
              <w:t>④</w:t>
            </w:r>
            <w:r>
              <w:rPr>
                <w:rFonts w:ascii="Times New Roman"/>
                <w:snapToGrid w:val="0"/>
                <w:spacing w:val="-6"/>
                <w:kern w:val="21"/>
                <w:szCs w:val="21"/>
              </w:rPr>
              <w:fldChar w:fldCharType="end"/>
            </w:r>
          </w:p>
        </w:tc>
        <w:tc>
          <w:tcPr>
            <w:tcW w:w="1385" w:type="dxa"/>
            <w:tcMar>
              <w:left w:w="28" w:type="dxa"/>
              <w:right w:w="28" w:type="dxa"/>
            </w:tcMar>
            <w:vAlign w:val="center"/>
          </w:tcPr>
          <w:p w14:paraId="66F57C1F">
            <w:pPr>
              <w:pStyle w:val="52"/>
              <w:spacing w:beforeLines="0" w:afterLines="0" w:line="280" w:lineRule="exact"/>
              <w:rPr>
                <w:rFonts w:ascii="Times New Roman"/>
                <w:snapToGrid w:val="0"/>
                <w:spacing w:val="-16"/>
                <w:kern w:val="21"/>
                <w:szCs w:val="21"/>
              </w:rPr>
            </w:pPr>
            <w:r>
              <w:rPr>
                <w:rFonts w:ascii="Times New Roman"/>
                <w:snapToGrid w:val="0"/>
                <w:spacing w:val="-16"/>
                <w:kern w:val="21"/>
                <w:szCs w:val="21"/>
              </w:rPr>
              <w:t>以新带老削减量</w:t>
            </w:r>
          </w:p>
          <w:p w14:paraId="0FC8C56B">
            <w:pPr>
              <w:pStyle w:val="52"/>
              <w:spacing w:beforeLines="0" w:afterLines="0" w:line="280" w:lineRule="exact"/>
              <w:rPr>
                <w:rFonts w:ascii="Times New Roman"/>
                <w:snapToGrid w:val="0"/>
                <w:spacing w:val="-16"/>
                <w:kern w:val="21"/>
                <w:szCs w:val="21"/>
              </w:rPr>
            </w:pPr>
            <w:r>
              <w:rPr>
                <w:rFonts w:ascii="Times New Roman"/>
                <w:snapToGrid w:val="0"/>
                <w:spacing w:val="-16"/>
                <w:kern w:val="21"/>
                <w:szCs w:val="21"/>
              </w:rPr>
              <w:t>（新建项目不填）</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ascii="Times New Roman" w:cs="宋体"/>
                <w:kern w:val="2"/>
                <w:szCs w:val="21"/>
              </w:rPr>
              <w:t>⑤</w:t>
            </w:r>
            <w:r>
              <w:rPr>
                <w:rFonts w:ascii="Times New Roman"/>
                <w:snapToGrid w:val="0"/>
                <w:spacing w:val="-16"/>
                <w:kern w:val="21"/>
                <w:szCs w:val="21"/>
              </w:rPr>
              <w:fldChar w:fldCharType="end"/>
            </w:r>
          </w:p>
        </w:tc>
        <w:tc>
          <w:tcPr>
            <w:tcW w:w="1806" w:type="dxa"/>
            <w:tcMar>
              <w:left w:w="28" w:type="dxa"/>
              <w:right w:w="28" w:type="dxa"/>
            </w:tcMar>
            <w:vAlign w:val="center"/>
          </w:tcPr>
          <w:p w14:paraId="78AC65B0">
            <w:pPr>
              <w:pStyle w:val="52"/>
              <w:spacing w:beforeLines="0" w:afterLines="0" w:line="280" w:lineRule="exact"/>
              <w:rPr>
                <w:rFonts w:ascii="Times New Roman"/>
                <w:snapToGrid w:val="0"/>
                <w:spacing w:val="-16"/>
                <w:kern w:val="21"/>
                <w:szCs w:val="21"/>
              </w:rPr>
            </w:pPr>
            <w:r>
              <w:rPr>
                <w:rFonts w:ascii="Times New Roman"/>
                <w:snapToGrid w:val="0"/>
                <w:spacing w:val="-16"/>
                <w:kern w:val="21"/>
                <w:szCs w:val="21"/>
              </w:rPr>
              <w:t>本项目建成后</w:t>
            </w:r>
          </w:p>
          <w:p w14:paraId="4482D0EB">
            <w:pPr>
              <w:pStyle w:val="52"/>
              <w:spacing w:beforeLines="0" w:afterLines="0" w:line="280" w:lineRule="exact"/>
              <w:rPr>
                <w:rFonts w:ascii="Times New Roman"/>
                <w:snapToGrid w:val="0"/>
                <w:spacing w:val="-16"/>
                <w:kern w:val="21"/>
                <w:szCs w:val="21"/>
              </w:rPr>
            </w:pPr>
            <w:r>
              <w:rPr>
                <w:rFonts w:hint="eastAsia" w:ascii="Times New Roman"/>
                <w:snapToGrid w:val="0"/>
                <w:spacing w:val="-16"/>
                <w:kern w:val="21"/>
                <w:szCs w:val="21"/>
              </w:rPr>
              <w:t>全厂</w:t>
            </w:r>
            <w:r>
              <w:rPr>
                <w:rFonts w:ascii="Times New Roman"/>
                <w:snapToGrid w:val="0"/>
                <w:spacing w:val="-16"/>
                <w:kern w:val="21"/>
                <w:szCs w:val="21"/>
              </w:rPr>
              <w:t>排放量（固</w:t>
            </w:r>
            <w:r>
              <w:rPr>
                <w:rFonts w:hint="eastAsia" w:ascii="Times New Roman"/>
                <w:snapToGrid w:val="0"/>
                <w:spacing w:val="-16"/>
                <w:kern w:val="21"/>
                <w:szCs w:val="21"/>
              </w:rPr>
              <w:t>体</w:t>
            </w:r>
            <w:r>
              <w:rPr>
                <w:rFonts w:ascii="Times New Roman"/>
                <w:snapToGrid w:val="0"/>
                <w:spacing w:val="-16"/>
                <w:kern w:val="21"/>
                <w:szCs w:val="21"/>
              </w:rPr>
              <w:t>废</w:t>
            </w:r>
            <w:r>
              <w:rPr>
                <w:rFonts w:hint="eastAsia" w:ascii="Times New Roman"/>
                <w:snapToGrid w:val="0"/>
                <w:spacing w:val="-16"/>
                <w:kern w:val="21"/>
                <w:szCs w:val="21"/>
              </w:rPr>
              <w:t>物</w:t>
            </w:r>
            <w:r>
              <w:rPr>
                <w:rFonts w:ascii="Times New Roman"/>
                <w:snapToGrid w:val="0"/>
                <w:spacing w:val="-16"/>
                <w:kern w:val="21"/>
                <w:szCs w:val="21"/>
              </w:rPr>
              <w:t>产生量）</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cs="宋体"/>
                <w:kern w:val="2"/>
                <w:szCs w:val="21"/>
              </w:rPr>
              <w:t>⑥</w:t>
            </w:r>
            <w:r>
              <w:rPr>
                <w:rFonts w:ascii="Times New Roman"/>
                <w:snapToGrid w:val="0"/>
                <w:spacing w:val="-16"/>
                <w:kern w:val="21"/>
                <w:szCs w:val="21"/>
              </w:rPr>
              <w:fldChar w:fldCharType="end"/>
            </w:r>
          </w:p>
        </w:tc>
        <w:tc>
          <w:tcPr>
            <w:tcW w:w="1259" w:type="dxa"/>
            <w:tcMar>
              <w:left w:w="28" w:type="dxa"/>
              <w:right w:w="28" w:type="dxa"/>
            </w:tcMar>
            <w:vAlign w:val="center"/>
          </w:tcPr>
          <w:p w14:paraId="776BC9AB">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t>变化量</w:t>
            </w:r>
          </w:p>
          <w:p w14:paraId="6793483D">
            <w:pPr>
              <w:pStyle w:val="52"/>
              <w:spacing w:beforeLines="0" w:afterLines="0" w:line="280" w:lineRule="exact"/>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ascii="Times New Roman" w:cs="宋体"/>
                <w:kern w:val="2"/>
                <w:szCs w:val="21"/>
              </w:rPr>
              <w:t>⑦</w:t>
            </w:r>
            <w:r>
              <w:rPr>
                <w:rFonts w:ascii="Times New Roman"/>
                <w:snapToGrid w:val="0"/>
                <w:spacing w:val="-6"/>
                <w:kern w:val="21"/>
                <w:szCs w:val="21"/>
              </w:rPr>
              <w:fldChar w:fldCharType="end"/>
            </w:r>
          </w:p>
        </w:tc>
      </w:tr>
      <w:tr w14:paraId="071066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134" w:type="dxa"/>
            <w:vMerge w:val="restart"/>
            <w:vAlign w:val="center"/>
          </w:tcPr>
          <w:p w14:paraId="12A45684">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废气</w:t>
            </w:r>
          </w:p>
        </w:tc>
        <w:tc>
          <w:tcPr>
            <w:tcW w:w="1528" w:type="dxa"/>
            <w:vAlign w:val="center"/>
          </w:tcPr>
          <w:p w14:paraId="2D9ECDFD">
            <w:pPr>
              <w:snapToGrid w:val="0"/>
              <w:spacing w:line="280" w:lineRule="exact"/>
              <w:jc w:val="center"/>
              <w:rPr>
                <w:szCs w:val="21"/>
              </w:rPr>
            </w:pPr>
            <w:r>
              <w:rPr>
                <w:rFonts w:hint="eastAsia"/>
                <w:szCs w:val="21"/>
              </w:rPr>
              <w:t>非甲烷总烃</w:t>
            </w:r>
          </w:p>
        </w:tc>
        <w:tc>
          <w:tcPr>
            <w:tcW w:w="1666" w:type="dxa"/>
            <w:vAlign w:val="center"/>
          </w:tcPr>
          <w:p w14:paraId="2CBE920F">
            <w:pPr>
              <w:pStyle w:val="52"/>
              <w:spacing w:beforeLines="0" w:afterLines="0" w:line="280" w:lineRule="exact"/>
              <w:rPr>
                <w:rFonts w:ascii="Times New Roman" w:cs="宋体"/>
                <w:snapToGrid w:val="0"/>
                <w:kern w:val="21"/>
                <w:szCs w:val="21"/>
              </w:rPr>
            </w:pPr>
            <w:r>
              <w:rPr>
                <w:rFonts w:hint="eastAsia" w:ascii="Times New Roman"/>
                <w:kern w:val="2"/>
                <w:szCs w:val="21"/>
              </w:rPr>
              <w:t>0</w:t>
            </w:r>
          </w:p>
        </w:tc>
        <w:tc>
          <w:tcPr>
            <w:tcW w:w="1385" w:type="dxa"/>
            <w:vAlign w:val="center"/>
          </w:tcPr>
          <w:p w14:paraId="06D254B8">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223B37FE">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313F70B9">
            <w:pPr>
              <w:spacing w:line="280" w:lineRule="exact"/>
              <w:jc w:val="center"/>
              <w:rPr>
                <w:szCs w:val="21"/>
              </w:rPr>
            </w:pPr>
            <w:r>
              <w:rPr>
                <w:rFonts w:hint="eastAsia"/>
                <w:szCs w:val="21"/>
                <w:lang w:val="en-US" w:eastAsia="zh-CN"/>
              </w:rPr>
              <w:t>1.145</w:t>
            </w:r>
            <w:r>
              <w:rPr>
                <w:szCs w:val="21"/>
              </w:rPr>
              <w:t>t/a</w:t>
            </w:r>
          </w:p>
        </w:tc>
        <w:tc>
          <w:tcPr>
            <w:tcW w:w="1385" w:type="dxa"/>
            <w:vAlign w:val="center"/>
          </w:tcPr>
          <w:p w14:paraId="3D430624">
            <w:pPr>
              <w:spacing w:line="280" w:lineRule="exact"/>
              <w:jc w:val="center"/>
              <w:rPr>
                <w:sz w:val="22"/>
                <w:szCs w:val="22"/>
              </w:rPr>
            </w:pPr>
            <w:r>
              <w:rPr>
                <w:rFonts w:hint="eastAsia"/>
                <w:sz w:val="22"/>
                <w:szCs w:val="22"/>
              </w:rPr>
              <w:t>0</w:t>
            </w:r>
          </w:p>
        </w:tc>
        <w:tc>
          <w:tcPr>
            <w:tcW w:w="1806" w:type="dxa"/>
            <w:vAlign w:val="center"/>
          </w:tcPr>
          <w:p w14:paraId="5F8C20D9">
            <w:pPr>
              <w:spacing w:line="280" w:lineRule="exact"/>
              <w:jc w:val="center"/>
              <w:rPr>
                <w:szCs w:val="21"/>
              </w:rPr>
            </w:pPr>
            <w:r>
              <w:rPr>
                <w:rFonts w:hint="eastAsia"/>
                <w:szCs w:val="21"/>
                <w:lang w:val="en-US" w:eastAsia="zh-CN"/>
              </w:rPr>
              <w:t>1.145</w:t>
            </w:r>
            <w:r>
              <w:rPr>
                <w:szCs w:val="21"/>
              </w:rPr>
              <w:t>t/a</w:t>
            </w:r>
          </w:p>
        </w:tc>
        <w:tc>
          <w:tcPr>
            <w:tcW w:w="1259" w:type="dxa"/>
            <w:vAlign w:val="center"/>
          </w:tcPr>
          <w:p w14:paraId="766379E8">
            <w:pPr>
              <w:spacing w:line="280" w:lineRule="exact"/>
              <w:jc w:val="center"/>
              <w:rPr>
                <w:szCs w:val="21"/>
              </w:rPr>
            </w:pPr>
            <w:r>
              <w:rPr>
                <w:rFonts w:hint="eastAsia"/>
                <w:szCs w:val="21"/>
              </w:rPr>
              <w:t>+</w:t>
            </w:r>
            <w:r>
              <w:rPr>
                <w:rFonts w:hint="eastAsia"/>
                <w:szCs w:val="21"/>
                <w:lang w:val="en-US" w:eastAsia="zh-CN"/>
              </w:rPr>
              <w:t>1.145</w:t>
            </w:r>
            <w:r>
              <w:rPr>
                <w:szCs w:val="21"/>
              </w:rPr>
              <w:t>t/a</w:t>
            </w:r>
          </w:p>
        </w:tc>
      </w:tr>
      <w:tr w14:paraId="1DF99B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134" w:type="dxa"/>
            <w:vMerge w:val="continue"/>
            <w:vAlign w:val="center"/>
          </w:tcPr>
          <w:p w14:paraId="538DE936">
            <w:pPr>
              <w:pStyle w:val="52"/>
              <w:spacing w:beforeLines="0" w:afterLines="0" w:line="280" w:lineRule="exact"/>
              <w:rPr>
                <w:rFonts w:ascii="Times New Roman" w:cs="宋体"/>
                <w:snapToGrid w:val="0"/>
                <w:kern w:val="21"/>
                <w:szCs w:val="21"/>
              </w:rPr>
            </w:pPr>
          </w:p>
        </w:tc>
        <w:tc>
          <w:tcPr>
            <w:tcW w:w="1528" w:type="dxa"/>
            <w:vAlign w:val="center"/>
          </w:tcPr>
          <w:p w14:paraId="36C5F269">
            <w:pPr>
              <w:spacing w:line="360" w:lineRule="exact"/>
              <w:jc w:val="center"/>
              <w:rPr>
                <w:color w:val="000000" w:themeColor="text1"/>
                <w:szCs w:val="21"/>
                <w14:textFill>
                  <w14:solidFill>
                    <w14:schemeClr w14:val="tx1"/>
                  </w14:solidFill>
                </w14:textFill>
              </w:rPr>
            </w:pPr>
            <w:r>
              <w:rPr>
                <w:rFonts w:hint="eastAsia" w:ascii="Times New Roman" w:hAnsi="Times New Roman" w:eastAsia="宋体" w:cs="Times New Roman"/>
                <w:color w:val="auto"/>
                <w:sz w:val="21"/>
                <w:szCs w:val="21"/>
                <w:lang w:val="en-US" w:eastAsia="zh-CN"/>
              </w:rPr>
              <w:t>PAPI</w:t>
            </w:r>
          </w:p>
        </w:tc>
        <w:tc>
          <w:tcPr>
            <w:tcW w:w="1666" w:type="dxa"/>
            <w:vAlign w:val="center"/>
          </w:tcPr>
          <w:p w14:paraId="7E0C5E1E">
            <w:pPr>
              <w:spacing w:line="280" w:lineRule="exact"/>
              <w:jc w:val="center"/>
              <w:rPr>
                <w:szCs w:val="21"/>
              </w:rPr>
            </w:pPr>
            <w:r>
              <w:rPr>
                <w:rFonts w:hint="eastAsia"/>
                <w:szCs w:val="21"/>
              </w:rPr>
              <w:t>0</w:t>
            </w:r>
          </w:p>
        </w:tc>
        <w:tc>
          <w:tcPr>
            <w:tcW w:w="1385" w:type="dxa"/>
            <w:vAlign w:val="center"/>
          </w:tcPr>
          <w:p w14:paraId="3FD10E8B">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71BEC05">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3453BB12">
            <w:pPr>
              <w:spacing w:line="280" w:lineRule="exact"/>
              <w:jc w:val="center"/>
              <w:rPr>
                <w:szCs w:val="21"/>
              </w:rPr>
            </w:pPr>
            <w:r>
              <w:rPr>
                <w:rFonts w:hint="eastAsia"/>
                <w:szCs w:val="21"/>
                <w:lang w:val="en-US" w:eastAsia="zh-CN"/>
              </w:rPr>
              <w:t>0.003</w:t>
            </w:r>
            <w:r>
              <w:rPr>
                <w:szCs w:val="21"/>
              </w:rPr>
              <w:t>t/a</w:t>
            </w:r>
          </w:p>
        </w:tc>
        <w:tc>
          <w:tcPr>
            <w:tcW w:w="1385" w:type="dxa"/>
            <w:vAlign w:val="center"/>
          </w:tcPr>
          <w:p w14:paraId="0FCD0547">
            <w:pPr>
              <w:spacing w:line="280" w:lineRule="exact"/>
              <w:jc w:val="center"/>
              <w:rPr>
                <w:sz w:val="22"/>
                <w:szCs w:val="22"/>
              </w:rPr>
            </w:pPr>
            <w:r>
              <w:rPr>
                <w:rFonts w:hint="eastAsia"/>
                <w:sz w:val="22"/>
                <w:szCs w:val="22"/>
              </w:rPr>
              <w:t>0</w:t>
            </w:r>
          </w:p>
        </w:tc>
        <w:tc>
          <w:tcPr>
            <w:tcW w:w="1806" w:type="dxa"/>
            <w:vAlign w:val="center"/>
          </w:tcPr>
          <w:p w14:paraId="350440BC">
            <w:pPr>
              <w:spacing w:line="280" w:lineRule="exact"/>
              <w:jc w:val="center"/>
              <w:rPr>
                <w:szCs w:val="21"/>
              </w:rPr>
            </w:pPr>
            <w:r>
              <w:rPr>
                <w:rFonts w:hint="eastAsia"/>
                <w:szCs w:val="21"/>
                <w:lang w:val="en-US" w:eastAsia="zh-CN"/>
              </w:rPr>
              <w:t>0.003</w:t>
            </w:r>
            <w:r>
              <w:rPr>
                <w:szCs w:val="21"/>
              </w:rPr>
              <w:t>t/a</w:t>
            </w:r>
          </w:p>
        </w:tc>
        <w:tc>
          <w:tcPr>
            <w:tcW w:w="1259" w:type="dxa"/>
            <w:vAlign w:val="center"/>
          </w:tcPr>
          <w:p w14:paraId="6940A034">
            <w:pPr>
              <w:spacing w:line="280" w:lineRule="exact"/>
              <w:jc w:val="center"/>
              <w:rPr>
                <w:szCs w:val="21"/>
              </w:rPr>
            </w:pPr>
            <w:r>
              <w:rPr>
                <w:rFonts w:hint="eastAsia"/>
                <w:szCs w:val="21"/>
                <w:lang w:val="en-US" w:eastAsia="zh-CN"/>
              </w:rPr>
              <w:t>+0.003</w:t>
            </w:r>
            <w:r>
              <w:rPr>
                <w:szCs w:val="21"/>
              </w:rPr>
              <w:t>t/a</w:t>
            </w:r>
          </w:p>
        </w:tc>
      </w:tr>
      <w:tr w14:paraId="31E280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34" w:type="dxa"/>
            <w:vMerge w:val="restart"/>
            <w:vAlign w:val="center"/>
          </w:tcPr>
          <w:p w14:paraId="76A462B9">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废水</w:t>
            </w:r>
          </w:p>
        </w:tc>
        <w:tc>
          <w:tcPr>
            <w:tcW w:w="1528" w:type="dxa"/>
            <w:vAlign w:val="center"/>
          </w:tcPr>
          <w:p w14:paraId="57C54B66">
            <w:pPr>
              <w:spacing w:line="280" w:lineRule="exact"/>
              <w:ind w:left="-105" w:leftChars="-50" w:right="-105" w:rightChars="-50"/>
              <w:jc w:val="center"/>
              <w:rPr>
                <w:szCs w:val="21"/>
              </w:rPr>
            </w:pPr>
            <w:r>
              <w:rPr>
                <w:rFonts w:hint="eastAsia"/>
                <w:szCs w:val="21"/>
              </w:rPr>
              <w:t>p</w:t>
            </w:r>
            <w:r>
              <w:rPr>
                <w:szCs w:val="21"/>
              </w:rPr>
              <w:t>H</w:t>
            </w:r>
          </w:p>
        </w:tc>
        <w:tc>
          <w:tcPr>
            <w:tcW w:w="1666" w:type="dxa"/>
            <w:vAlign w:val="center"/>
          </w:tcPr>
          <w:p w14:paraId="51211DBD">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1794E5F7">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1C1D1477">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7DF70773">
            <w:pPr>
              <w:spacing w:line="280" w:lineRule="exact"/>
              <w:ind w:left="-105" w:leftChars="-50"/>
              <w:jc w:val="center"/>
              <w:rPr>
                <w:szCs w:val="21"/>
              </w:rPr>
            </w:pPr>
            <w:r>
              <w:rPr>
                <w:rFonts w:hint="eastAsia"/>
                <w:szCs w:val="21"/>
              </w:rPr>
              <w:t>/</w:t>
            </w:r>
          </w:p>
        </w:tc>
        <w:tc>
          <w:tcPr>
            <w:tcW w:w="1385" w:type="dxa"/>
            <w:vAlign w:val="center"/>
          </w:tcPr>
          <w:p w14:paraId="7899FCF8">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w:t>
            </w:r>
          </w:p>
        </w:tc>
        <w:tc>
          <w:tcPr>
            <w:tcW w:w="1806" w:type="dxa"/>
            <w:vAlign w:val="center"/>
          </w:tcPr>
          <w:p w14:paraId="22C31731">
            <w:pPr>
              <w:spacing w:line="280" w:lineRule="exact"/>
              <w:ind w:left="-105" w:leftChars="-50"/>
              <w:jc w:val="center"/>
              <w:rPr>
                <w:szCs w:val="21"/>
              </w:rPr>
            </w:pPr>
            <w:r>
              <w:rPr>
                <w:rFonts w:hint="eastAsia" w:cs="宋体"/>
                <w:snapToGrid w:val="0"/>
                <w:kern w:val="21"/>
                <w:szCs w:val="21"/>
              </w:rPr>
              <w:t>/</w:t>
            </w:r>
          </w:p>
        </w:tc>
        <w:tc>
          <w:tcPr>
            <w:tcW w:w="1259" w:type="dxa"/>
            <w:vAlign w:val="center"/>
          </w:tcPr>
          <w:p w14:paraId="67B5411B">
            <w:pPr>
              <w:spacing w:line="280" w:lineRule="exact"/>
              <w:ind w:left="-105" w:leftChars="-50"/>
              <w:jc w:val="center"/>
              <w:rPr>
                <w:szCs w:val="21"/>
              </w:rPr>
            </w:pPr>
            <w:r>
              <w:rPr>
                <w:rFonts w:hint="eastAsia"/>
                <w:szCs w:val="21"/>
              </w:rPr>
              <w:t>/</w:t>
            </w:r>
          </w:p>
        </w:tc>
      </w:tr>
      <w:tr w14:paraId="5739E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134" w:type="dxa"/>
            <w:vMerge w:val="continue"/>
            <w:vAlign w:val="center"/>
          </w:tcPr>
          <w:p w14:paraId="2727D548">
            <w:pPr>
              <w:pStyle w:val="52"/>
              <w:spacing w:beforeLines="0" w:afterLines="0" w:line="280" w:lineRule="exact"/>
              <w:rPr>
                <w:rFonts w:ascii="Times New Roman" w:cs="宋体"/>
                <w:snapToGrid w:val="0"/>
                <w:kern w:val="21"/>
                <w:szCs w:val="21"/>
              </w:rPr>
            </w:pPr>
          </w:p>
        </w:tc>
        <w:tc>
          <w:tcPr>
            <w:tcW w:w="1528" w:type="dxa"/>
            <w:vAlign w:val="center"/>
          </w:tcPr>
          <w:p w14:paraId="62B7F781">
            <w:pPr>
              <w:spacing w:line="280" w:lineRule="exact"/>
              <w:ind w:left="-105" w:leftChars="-50" w:right="-105" w:rightChars="-50"/>
              <w:jc w:val="center"/>
              <w:rPr>
                <w:szCs w:val="21"/>
              </w:rPr>
            </w:pPr>
            <w:r>
              <w:rPr>
                <w:szCs w:val="21"/>
              </w:rPr>
              <w:t>COD</w:t>
            </w:r>
          </w:p>
        </w:tc>
        <w:tc>
          <w:tcPr>
            <w:tcW w:w="1666" w:type="dxa"/>
            <w:vAlign w:val="center"/>
          </w:tcPr>
          <w:p w14:paraId="34D4205A">
            <w:pPr>
              <w:spacing w:line="280" w:lineRule="exact"/>
              <w:jc w:val="center"/>
              <w:rPr>
                <w:rFonts w:cs="宋体"/>
                <w:snapToGrid w:val="0"/>
                <w:kern w:val="21"/>
                <w:szCs w:val="21"/>
              </w:rPr>
            </w:pPr>
            <w:r>
              <w:rPr>
                <w:rFonts w:hint="eastAsia" w:cs="宋体"/>
                <w:snapToGrid w:val="0"/>
                <w:kern w:val="21"/>
                <w:szCs w:val="21"/>
              </w:rPr>
              <w:t>0</w:t>
            </w:r>
          </w:p>
        </w:tc>
        <w:tc>
          <w:tcPr>
            <w:tcW w:w="1385" w:type="dxa"/>
            <w:vAlign w:val="center"/>
          </w:tcPr>
          <w:p w14:paraId="1D25C811">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7AF0CD5E">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2FB13733">
            <w:pPr>
              <w:keepNext w:val="0"/>
              <w:keepLines w:val="0"/>
              <w:widowControl/>
              <w:suppressLineNumbers w:val="0"/>
              <w:jc w:val="center"/>
              <w:textAlignment w:val="center"/>
              <w:rPr>
                <w:snapToGrid w:val="0"/>
                <w:kern w:val="21"/>
                <w:szCs w:val="21"/>
              </w:rPr>
            </w:pPr>
            <w:r>
              <w:rPr>
                <w:rFonts w:hint="default" w:ascii="Times New Roman" w:hAnsi="Times New Roman" w:eastAsia="宋体" w:cs="Times New Roman"/>
                <w:i w:val="0"/>
                <w:iCs w:val="0"/>
                <w:color w:val="000000"/>
                <w:kern w:val="0"/>
                <w:sz w:val="21"/>
                <w:szCs w:val="21"/>
                <w:u w:val="none"/>
                <w:lang w:val="en-US" w:eastAsia="zh-CN" w:bidi="ar"/>
              </w:rPr>
              <w:t>0.03</w:t>
            </w:r>
            <w:r>
              <w:rPr>
                <w:szCs w:val="21"/>
              </w:rPr>
              <w:t>t/a</w:t>
            </w:r>
          </w:p>
        </w:tc>
        <w:tc>
          <w:tcPr>
            <w:tcW w:w="1385" w:type="dxa"/>
            <w:vAlign w:val="center"/>
          </w:tcPr>
          <w:p w14:paraId="273160EA">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36F83BDE">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0.03</w:t>
            </w:r>
            <w:r>
              <w:rPr>
                <w:szCs w:val="21"/>
              </w:rPr>
              <w:t>t/a</w:t>
            </w:r>
          </w:p>
        </w:tc>
        <w:tc>
          <w:tcPr>
            <w:tcW w:w="1259" w:type="dxa"/>
            <w:vAlign w:val="center"/>
          </w:tcPr>
          <w:p w14:paraId="624BCE29">
            <w:pPr>
              <w:keepNext w:val="0"/>
              <w:keepLines w:val="0"/>
              <w:widowControl/>
              <w:suppressLineNumbers w:val="0"/>
              <w:jc w:val="center"/>
              <w:textAlignment w:val="center"/>
              <w:rPr>
                <w:snapToGrid w:val="0"/>
                <w:kern w:val="21"/>
                <w:szCs w:val="21"/>
              </w:rPr>
            </w:pP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0.03</w:t>
            </w:r>
            <w:r>
              <w:rPr>
                <w:szCs w:val="21"/>
              </w:rPr>
              <w:t>t/a</w:t>
            </w:r>
          </w:p>
        </w:tc>
      </w:tr>
      <w:tr w14:paraId="052D10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134" w:type="dxa"/>
            <w:vMerge w:val="continue"/>
            <w:vAlign w:val="center"/>
          </w:tcPr>
          <w:p w14:paraId="6152FF02">
            <w:pPr>
              <w:pStyle w:val="52"/>
              <w:spacing w:beforeLines="0" w:afterLines="0" w:line="280" w:lineRule="exact"/>
              <w:rPr>
                <w:rFonts w:ascii="Times New Roman" w:cs="宋体"/>
                <w:snapToGrid w:val="0"/>
                <w:kern w:val="21"/>
                <w:szCs w:val="21"/>
              </w:rPr>
            </w:pPr>
          </w:p>
        </w:tc>
        <w:tc>
          <w:tcPr>
            <w:tcW w:w="1528" w:type="dxa"/>
            <w:vAlign w:val="center"/>
          </w:tcPr>
          <w:p w14:paraId="5DB9FFBE">
            <w:pPr>
              <w:spacing w:line="280" w:lineRule="exact"/>
              <w:ind w:left="-105" w:leftChars="-50" w:right="-105" w:rightChars="-50"/>
              <w:jc w:val="center"/>
              <w:rPr>
                <w:szCs w:val="21"/>
              </w:rPr>
            </w:pPr>
            <w:r>
              <w:rPr>
                <w:szCs w:val="21"/>
              </w:rPr>
              <w:t>BOD</w:t>
            </w:r>
            <w:r>
              <w:rPr>
                <w:szCs w:val="21"/>
                <w:vertAlign w:val="subscript"/>
              </w:rPr>
              <w:t>5</w:t>
            </w:r>
          </w:p>
        </w:tc>
        <w:tc>
          <w:tcPr>
            <w:tcW w:w="1666" w:type="dxa"/>
            <w:vAlign w:val="center"/>
          </w:tcPr>
          <w:p w14:paraId="19DDD57A">
            <w:pPr>
              <w:spacing w:line="280" w:lineRule="exact"/>
              <w:jc w:val="center"/>
              <w:rPr>
                <w:rFonts w:cs="宋体"/>
                <w:snapToGrid w:val="0"/>
                <w:kern w:val="21"/>
                <w:szCs w:val="21"/>
              </w:rPr>
            </w:pPr>
            <w:r>
              <w:rPr>
                <w:rFonts w:hint="eastAsia" w:cs="宋体"/>
                <w:snapToGrid w:val="0"/>
                <w:kern w:val="21"/>
                <w:szCs w:val="21"/>
              </w:rPr>
              <w:t>0</w:t>
            </w:r>
          </w:p>
        </w:tc>
        <w:tc>
          <w:tcPr>
            <w:tcW w:w="1385" w:type="dxa"/>
            <w:vAlign w:val="center"/>
          </w:tcPr>
          <w:p w14:paraId="0279322A">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29A9BE9A">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71CA2BE4">
            <w:pPr>
              <w:keepNext w:val="0"/>
              <w:keepLines w:val="0"/>
              <w:widowControl/>
              <w:suppressLineNumbers w:val="0"/>
              <w:jc w:val="center"/>
              <w:textAlignment w:val="center"/>
              <w:rPr>
                <w:snapToGrid w:val="0"/>
                <w:kern w:val="21"/>
                <w:szCs w:val="21"/>
              </w:rPr>
            </w:pPr>
            <w:r>
              <w:rPr>
                <w:rFonts w:hint="default" w:ascii="Times New Roman" w:hAnsi="Times New Roman" w:eastAsia="宋体" w:cs="Times New Roman"/>
                <w:i w:val="0"/>
                <w:iCs w:val="0"/>
                <w:color w:val="000000"/>
                <w:kern w:val="0"/>
                <w:sz w:val="21"/>
                <w:szCs w:val="21"/>
                <w:u w:val="none"/>
                <w:lang w:val="en-US" w:eastAsia="zh-CN" w:bidi="ar"/>
              </w:rPr>
              <w:t>0.006</w:t>
            </w:r>
            <w:r>
              <w:rPr>
                <w:szCs w:val="21"/>
              </w:rPr>
              <w:t>t/a</w:t>
            </w:r>
          </w:p>
        </w:tc>
        <w:tc>
          <w:tcPr>
            <w:tcW w:w="1385" w:type="dxa"/>
            <w:vAlign w:val="center"/>
          </w:tcPr>
          <w:p w14:paraId="52F22735">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0263E5A1">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0.006</w:t>
            </w:r>
            <w:r>
              <w:rPr>
                <w:szCs w:val="21"/>
              </w:rPr>
              <w:t>t/a</w:t>
            </w:r>
          </w:p>
        </w:tc>
        <w:tc>
          <w:tcPr>
            <w:tcW w:w="1259" w:type="dxa"/>
            <w:vAlign w:val="center"/>
          </w:tcPr>
          <w:p w14:paraId="3C905221">
            <w:pPr>
              <w:keepNext w:val="0"/>
              <w:keepLines w:val="0"/>
              <w:widowControl/>
              <w:suppressLineNumbers w:val="0"/>
              <w:jc w:val="center"/>
              <w:textAlignment w:val="center"/>
              <w:rPr>
                <w:snapToGrid w:val="0"/>
                <w:kern w:val="21"/>
                <w:szCs w:val="21"/>
              </w:rPr>
            </w:pP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0.006</w:t>
            </w:r>
            <w:r>
              <w:rPr>
                <w:szCs w:val="21"/>
              </w:rPr>
              <w:t>t/a</w:t>
            </w:r>
          </w:p>
        </w:tc>
      </w:tr>
      <w:tr w14:paraId="122E84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134" w:type="dxa"/>
            <w:vMerge w:val="continue"/>
            <w:vAlign w:val="center"/>
          </w:tcPr>
          <w:p w14:paraId="654F8E48">
            <w:pPr>
              <w:pStyle w:val="52"/>
              <w:spacing w:beforeLines="0" w:afterLines="0" w:line="280" w:lineRule="exact"/>
              <w:rPr>
                <w:rFonts w:ascii="Times New Roman" w:cs="宋体"/>
                <w:snapToGrid w:val="0"/>
                <w:kern w:val="21"/>
                <w:szCs w:val="21"/>
              </w:rPr>
            </w:pPr>
          </w:p>
        </w:tc>
        <w:tc>
          <w:tcPr>
            <w:tcW w:w="1528" w:type="dxa"/>
            <w:vAlign w:val="center"/>
          </w:tcPr>
          <w:p w14:paraId="7247D157">
            <w:pPr>
              <w:spacing w:line="280" w:lineRule="exact"/>
              <w:ind w:left="-105" w:leftChars="-50" w:right="-105" w:rightChars="-50"/>
              <w:jc w:val="center"/>
              <w:rPr>
                <w:szCs w:val="21"/>
              </w:rPr>
            </w:pPr>
            <w:r>
              <w:rPr>
                <w:szCs w:val="21"/>
              </w:rPr>
              <w:t>SS</w:t>
            </w:r>
          </w:p>
        </w:tc>
        <w:tc>
          <w:tcPr>
            <w:tcW w:w="1666" w:type="dxa"/>
            <w:vAlign w:val="center"/>
          </w:tcPr>
          <w:p w14:paraId="213D1F51">
            <w:pPr>
              <w:spacing w:line="280" w:lineRule="exact"/>
              <w:jc w:val="center"/>
              <w:rPr>
                <w:rFonts w:cs="宋体"/>
                <w:snapToGrid w:val="0"/>
                <w:kern w:val="21"/>
                <w:szCs w:val="21"/>
              </w:rPr>
            </w:pPr>
            <w:r>
              <w:rPr>
                <w:rFonts w:hint="eastAsia" w:cs="宋体"/>
                <w:snapToGrid w:val="0"/>
                <w:kern w:val="21"/>
                <w:szCs w:val="21"/>
              </w:rPr>
              <w:t>0</w:t>
            </w:r>
          </w:p>
        </w:tc>
        <w:tc>
          <w:tcPr>
            <w:tcW w:w="1385" w:type="dxa"/>
            <w:vAlign w:val="center"/>
          </w:tcPr>
          <w:p w14:paraId="760A70DB">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D1BC55A">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275A185F">
            <w:pPr>
              <w:keepNext w:val="0"/>
              <w:keepLines w:val="0"/>
              <w:widowControl/>
              <w:suppressLineNumbers w:val="0"/>
              <w:jc w:val="center"/>
              <w:textAlignment w:val="center"/>
              <w:rPr>
                <w:snapToGrid w:val="0"/>
                <w:kern w:val="21"/>
                <w:szCs w:val="21"/>
              </w:rPr>
            </w:pPr>
            <w:r>
              <w:rPr>
                <w:rFonts w:hint="default" w:ascii="Times New Roman" w:hAnsi="Times New Roman" w:eastAsia="宋体" w:cs="Times New Roman"/>
                <w:i w:val="0"/>
                <w:iCs w:val="0"/>
                <w:color w:val="000000"/>
                <w:kern w:val="0"/>
                <w:sz w:val="21"/>
                <w:szCs w:val="21"/>
                <w:u w:val="none"/>
                <w:lang w:val="en-US" w:eastAsia="zh-CN" w:bidi="ar"/>
              </w:rPr>
              <w:t>0.006</w:t>
            </w:r>
            <w:r>
              <w:rPr>
                <w:szCs w:val="21"/>
              </w:rPr>
              <w:t>t/a</w:t>
            </w:r>
          </w:p>
        </w:tc>
        <w:tc>
          <w:tcPr>
            <w:tcW w:w="1385" w:type="dxa"/>
            <w:vAlign w:val="center"/>
          </w:tcPr>
          <w:p w14:paraId="41522BB9">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2C85DE28">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0.006</w:t>
            </w:r>
            <w:r>
              <w:rPr>
                <w:szCs w:val="21"/>
              </w:rPr>
              <w:t>t/a</w:t>
            </w:r>
          </w:p>
        </w:tc>
        <w:tc>
          <w:tcPr>
            <w:tcW w:w="1259" w:type="dxa"/>
            <w:vAlign w:val="center"/>
          </w:tcPr>
          <w:p w14:paraId="00302E56">
            <w:pPr>
              <w:keepNext w:val="0"/>
              <w:keepLines w:val="0"/>
              <w:widowControl/>
              <w:suppressLineNumbers w:val="0"/>
              <w:jc w:val="center"/>
              <w:textAlignment w:val="center"/>
              <w:rPr>
                <w:snapToGrid w:val="0"/>
                <w:kern w:val="21"/>
                <w:szCs w:val="21"/>
              </w:rPr>
            </w:pP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0.006</w:t>
            </w:r>
            <w:r>
              <w:rPr>
                <w:szCs w:val="21"/>
              </w:rPr>
              <w:t>t/a</w:t>
            </w:r>
          </w:p>
        </w:tc>
      </w:tr>
      <w:tr w14:paraId="7B4C36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34" w:type="dxa"/>
            <w:vMerge w:val="continue"/>
            <w:vAlign w:val="center"/>
          </w:tcPr>
          <w:p w14:paraId="2FD2FC0C">
            <w:pPr>
              <w:pStyle w:val="52"/>
              <w:spacing w:beforeLines="0" w:afterLines="0" w:line="280" w:lineRule="exact"/>
              <w:rPr>
                <w:rFonts w:ascii="Times New Roman" w:cs="宋体"/>
                <w:snapToGrid w:val="0"/>
                <w:kern w:val="21"/>
                <w:szCs w:val="21"/>
              </w:rPr>
            </w:pPr>
          </w:p>
        </w:tc>
        <w:tc>
          <w:tcPr>
            <w:tcW w:w="1528" w:type="dxa"/>
            <w:vAlign w:val="center"/>
          </w:tcPr>
          <w:p w14:paraId="1EF9AFAD">
            <w:pPr>
              <w:spacing w:line="280" w:lineRule="exact"/>
              <w:ind w:left="-105" w:leftChars="-50" w:right="-105" w:rightChars="-50"/>
              <w:jc w:val="center"/>
              <w:rPr>
                <w:szCs w:val="21"/>
              </w:rPr>
            </w:pPr>
            <w:r>
              <w:rPr>
                <w:szCs w:val="21"/>
              </w:rPr>
              <w:t>氨氮</w:t>
            </w:r>
          </w:p>
        </w:tc>
        <w:tc>
          <w:tcPr>
            <w:tcW w:w="1666" w:type="dxa"/>
            <w:vAlign w:val="center"/>
          </w:tcPr>
          <w:p w14:paraId="05CF262E">
            <w:pPr>
              <w:spacing w:line="280" w:lineRule="exact"/>
              <w:jc w:val="center"/>
              <w:rPr>
                <w:rFonts w:cs="宋体"/>
                <w:snapToGrid w:val="0"/>
                <w:kern w:val="21"/>
                <w:szCs w:val="21"/>
              </w:rPr>
            </w:pPr>
            <w:r>
              <w:rPr>
                <w:rFonts w:hint="eastAsia" w:cs="宋体"/>
                <w:snapToGrid w:val="0"/>
                <w:kern w:val="21"/>
                <w:szCs w:val="21"/>
              </w:rPr>
              <w:t>0</w:t>
            </w:r>
          </w:p>
        </w:tc>
        <w:tc>
          <w:tcPr>
            <w:tcW w:w="1385" w:type="dxa"/>
            <w:vAlign w:val="center"/>
          </w:tcPr>
          <w:p w14:paraId="7717D754">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44254CB4">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15ADAC2B">
            <w:pPr>
              <w:keepNext w:val="0"/>
              <w:keepLines w:val="0"/>
              <w:widowControl/>
              <w:suppressLineNumbers w:val="0"/>
              <w:jc w:val="center"/>
              <w:textAlignment w:val="center"/>
              <w:rPr>
                <w:rFonts w:cs="宋体"/>
                <w:snapToGrid w:val="0"/>
                <w:kern w:val="21"/>
                <w:szCs w:val="21"/>
              </w:rPr>
            </w:pPr>
            <w:r>
              <w:rPr>
                <w:rFonts w:hint="default" w:ascii="Times New Roman" w:hAnsi="Times New Roman" w:eastAsia="宋体" w:cs="Times New Roman"/>
                <w:i w:val="0"/>
                <w:iCs w:val="0"/>
                <w:color w:val="000000"/>
                <w:kern w:val="0"/>
                <w:sz w:val="21"/>
                <w:szCs w:val="21"/>
                <w:u w:val="none"/>
                <w:lang w:val="en-US" w:eastAsia="zh-CN" w:bidi="ar"/>
              </w:rPr>
              <w:t>0.003</w:t>
            </w:r>
            <w:r>
              <w:rPr>
                <w:szCs w:val="21"/>
              </w:rPr>
              <w:t>t/a</w:t>
            </w:r>
          </w:p>
        </w:tc>
        <w:tc>
          <w:tcPr>
            <w:tcW w:w="1385" w:type="dxa"/>
            <w:vAlign w:val="center"/>
          </w:tcPr>
          <w:p w14:paraId="5BE627CC">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1F87C8D8">
            <w:pPr>
              <w:keepNext w:val="0"/>
              <w:keepLines w:val="0"/>
              <w:widowControl/>
              <w:suppressLineNumbers w:val="0"/>
              <w:jc w:val="center"/>
              <w:textAlignment w:val="center"/>
              <w:rPr>
                <w:szCs w:val="21"/>
              </w:rPr>
            </w:pPr>
            <w:r>
              <w:rPr>
                <w:rFonts w:hint="default" w:ascii="Times New Roman" w:hAnsi="Times New Roman" w:eastAsia="宋体" w:cs="Times New Roman"/>
                <w:i w:val="0"/>
                <w:iCs w:val="0"/>
                <w:color w:val="000000"/>
                <w:kern w:val="0"/>
                <w:sz w:val="21"/>
                <w:szCs w:val="21"/>
                <w:u w:val="none"/>
                <w:lang w:val="en-US" w:eastAsia="zh-CN" w:bidi="ar"/>
              </w:rPr>
              <w:t>0.003</w:t>
            </w:r>
            <w:r>
              <w:rPr>
                <w:szCs w:val="21"/>
              </w:rPr>
              <w:t>t/a</w:t>
            </w:r>
          </w:p>
        </w:tc>
        <w:tc>
          <w:tcPr>
            <w:tcW w:w="1259" w:type="dxa"/>
            <w:vAlign w:val="center"/>
          </w:tcPr>
          <w:p w14:paraId="1F904276">
            <w:pPr>
              <w:keepNext w:val="0"/>
              <w:keepLines w:val="0"/>
              <w:widowControl/>
              <w:suppressLineNumbers w:val="0"/>
              <w:jc w:val="center"/>
              <w:textAlignment w:val="center"/>
              <w:rPr>
                <w:rFonts w:cs="宋体"/>
                <w:snapToGrid w:val="0"/>
                <w:kern w:val="21"/>
                <w:szCs w:val="21"/>
              </w:rPr>
            </w:pP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0.003</w:t>
            </w:r>
            <w:r>
              <w:rPr>
                <w:szCs w:val="21"/>
              </w:rPr>
              <w:t>t/a</w:t>
            </w:r>
          </w:p>
        </w:tc>
      </w:tr>
      <w:tr w14:paraId="481655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34" w:type="dxa"/>
            <w:vMerge w:val="restart"/>
            <w:vAlign w:val="center"/>
          </w:tcPr>
          <w:p w14:paraId="6DD3DBC5">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一般工业</w:t>
            </w:r>
          </w:p>
          <w:p w14:paraId="6A7690A1">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固体废物</w:t>
            </w:r>
          </w:p>
        </w:tc>
        <w:tc>
          <w:tcPr>
            <w:tcW w:w="1528" w:type="dxa"/>
            <w:vAlign w:val="center"/>
          </w:tcPr>
          <w:p w14:paraId="3DF3604F">
            <w:pPr>
              <w:spacing w:line="280" w:lineRule="exact"/>
              <w:jc w:val="center"/>
              <w:rPr>
                <w:szCs w:val="21"/>
              </w:rPr>
            </w:pPr>
            <w:r>
              <w:rPr>
                <w:rFonts w:hint="eastAsia"/>
                <w:szCs w:val="21"/>
              </w:rPr>
              <w:t>不合格品</w:t>
            </w:r>
          </w:p>
        </w:tc>
        <w:tc>
          <w:tcPr>
            <w:tcW w:w="1666" w:type="dxa"/>
            <w:vAlign w:val="center"/>
          </w:tcPr>
          <w:p w14:paraId="2A9E20D7">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702D4A0B">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CDF2250">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15F7F73F">
            <w:pPr>
              <w:snapToGrid w:val="0"/>
              <w:spacing w:line="280" w:lineRule="exact"/>
              <w:ind w:left="-105" w:leftChars="-50" w:right="-105" w:rightChars="-50"/>
              <w:jc w:val="center"/>
              <w:rPr>
                <w:szCs w:val="21"/>
              </w:rPr>
            </w:pPr>
            <w:r>
              <w:rPr>
                <w:rFonts w:hint="eastAsia"/>
                <w:szCs w:val="21"/>
              </w:rPr>
              <w:t>4.4</w:t>
            </w:r>
            <w:r>
              <w:rPr>
                <w:szCs w:val="21"/>
              </w:rPr>
              <w:t>t/a</w:t>
            </w:r>
          </w:p>
        </w:tc>
        <w:tc>
          <w:tcPr>
            <w:tcW w:w="1385" w:type="dxa"/>
            <w:vAlign w:val="center"/>
          </w:tcPr>
          <w:p w14:paraId="4861DB03">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53162DA8">
            <w:pPr>
              <w:snapToGrid w:val="0"/>
              <w:spacing w:line="280" w:lineRule="exact"/>
              <w:ind w:left="-105" w:leftChars="-50" w:right="-105" w:rightChars="-50"/>
              <w:jc w:val="center"/>
              <w:rPr>
                <w:szCs w:val="21"/>
              </w:rPr>
            </w:pPr>
            <w:r>
              <w:rPr>
                <w:rFonts w:hint="eastAsia"/>
                <w:szCs w:val="21"/>
              </w:rPr>
              <w:t>4.4</w:t>
            </w:r>
            <w:r>
              <w:rPr>
                <w:szCs w:val="21"/>
              </w:rPr>
              <w:t>t/a</w:t>
            </w:r>
          </w:p>
        </w:tc>
        <w:tc>
          <w:tcPr>
            <w:tcW w:w="1259" w:type="dxa"/>
            <w:vAlign w:val="center"/>
          </w:tcPr>
          <w:p w14:paraId="4D522C7D">
            <w:pPr>
              <w:snapToGrid w:val="0"/>
              <w:spacing w:line="280" w:lineRule="exact"/>
              <w:ind w:left="-105" w:leftChars="-50" w:right="-105" w:rightChars="-50"/>
              <w:jc w:val="center"/>
              <w:rPr>
                <w:szCs w:val="21"/>
              </w:rPr>
            </w:pPr>
            <w:r>
              <w:rPr>
                <w:rFonts w:hint="eastAsia"/>
                <w:szCs w:val="21"/>
              </w:rPr>
              <w:t>+4.4</w:t>
            </w:r>
            <w:r>
              <w:rPr>
                <w:szCs w:val="21"/>
              </w:rPr>
              <w:t>t/a</w:t>
            </w:r>
          </w:p>
        </w:tc>
      </w:tr>
      <w:tr w14:paraId="60C24E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Merge w:val="continue"/>
            <w:vAlign w:val="center"/>
          </w:tcPr>
          <w:p w14:paraId="3E5F74FC">
            <w:pPr>
              <w:pStyle w:val="52"/>
              <w:spacing w:beforeLines="0" w:afterLines="0" w:line="280" w:lineRule="exact"/>
              <w:rPr>
                <w:rFonts w:ascii="Times New Roman" w:cs="宋体"/>
                <w:snapToGrid w:val="0"/>
                <w:kern w:val="21"/>
                <w:szCs w:val="21"/>
              </w:rPr>
            </w:pPr>
          </w:p>
        </w:tc>
        <w:tc>
          <w:tcPr>
            <w:tcW w:w="1528" w:type="dxa"/>
            <w:vAlign w:val="center"/>
          </w:tcPr>
          <w:p w14:paraId="5BF7D774">
            <w:pPr>
              <w:spacing w:line="280" w:lineRule="exact"/>
              <w:jc w:val="center"/>
              <w:rPr>
                <w:szCs w:val="21"/>
              </w:rPr>
            </w:pPr>
            <w:r>
              <w:rPr>
                <w:rFonts w:hint="eastAsia"/>
                <w:szCs w:val="21"/>
              </w:rPr>
              <w:t>废边角料</w:t>
            </w:r>
          </w:p>
        </w:tc>
        <w:tc>
          <w:tcPr>
            <w:tcW w:w="1666" w:type="dxa"/>
            <w:vAlign w:val="center"/>
          </w:tcPr>
          <w:p w14:paraId="7A834DCC">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EC115F2">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E518FC2">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66D77960">
            <w:pPr>
              <w:snapToGrid w:val="0"/>
              <w:spacing w:line="280" w:lineRule="exact"/>
              <w:ind w:left="-105" w:leftChars="-50" w:right="-105" w:rightChars="-50"/>
              <w:jc w:val="center"/>
              <w:rPr>
                <w:szCs w:val="21"/>
              </w:rPr>
            </w:pPr>
            <w:r>
              <w:rPr>
                <w:rFonts w:hint="eastAsia"/>
                <w:szCs w:val="21"/>
              </w:rPr>
              <w:t>0.44</w:t>
            </w:r>
            <w:r>
              <w:rPr>
                <w:szCs w:val="21"/>
              </w:rPr>
              <w:t>t/a</w:t>
            </w:r>
          </w:p>
        </w:tc>
        <w:tc>
          <w:tcPr>
            <w:tcW w:w="1385" w:type="dxa"/>
            <w:vAlign w:val="center"/>
          </w:tcPr>
          <w:p w14:paraId="5588C86B">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4D7B75EA">
            <w:pPr>
              <w:snapToGrid w:val="0"/>
              <w:spacing w:line="280" w:lineRule="exact"/>
              <w:ind w:left="-105" w:leftChars="-50" w:right="-105" w:rightChars="-50"/>
              <w:jc w:val="center"/>
              <w:rPr>
                <w:szCs w:val="21"/>
              </w:rPr>
            </w:pPr>
            <w:r>
              <w:rPr>
                <w:rFonts w:hint="eastAsia"/>
                <w:szCs w:val="21"/>
              </w:rPr>
              <w:t>0.44</w:t>
            </w:r>
            <w:r>
              <w:rPr>
                <w:szCs w:val="21"/>
              </w:rPr>
              <w:t>t/a</w:t>
            </w:r>
          </w:p>
        </w:tc>
        <w:tc>
          <w:tcPr>
            <w:tcW w:w="1259" w:type="dxa"/>
            <w:vAlign w:val="center"/>
          </w:tcPr>
          <w:p w14:paraId="123B3DED">
            <w:pPr>
              <w:snapToGrid w:val="0"/>
              <w:spacing w:line="280" w:lineRule="exact"/>
              <w:ind w:left="-105" w:leftChars="-50" w:right="-105" w:rightChars="-50"/>
              <w:jc w:val="center"/>
              <w:rPr>
                <w:szCs w:val="21"/>
              </w:rPr>
            </w:pPr>
            <w:r>
              <w:rPr>
                <w:rFonts w:hint="eastAsia"/>
                <w:szCs w:val="21"/>
              </w:rPr>
              <w:t>+0.44</w:t>
            </w:r>
            <w:r>
              <w:rPr>
                <w:szCs w:val="21"/>
              </w:rPr>
              <w:t>t/a</w:t>
            </w:r>
          </w:p>
        </w:tc>
      </w:tr>
      <w:tr w14:paraId="7678A2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restart"/>
            <w:vAlign w:val="center"/>
          </w:tcPr>
          <w:p w14:paraId="15CE2013">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危险废物</w:t>
            </w:r>
          </w:p>
        </w:tc>
        <w:tc>
          <w:tcPr>
            <w:tcW w:w="1528" w:type="dxa"/>
            <w:vAlign w:val="center"/>
          </w:tcPr>
          <w:p w14:paraId="2E2139B6">
            <w:pPr>
              <w:jc w:val="center"/>
              <w:rPr>
                <w:szCs w:val="21"/>
              </w:rPr>
            </w:pPr>
            <w:r>
              <w:rPr>
                <w:rFonts w:hint="eastAsia"/>
                <w:szCs w:val="21"/>
              </w:rPr>
              <w:t>不合格品</w:t>
            </w:r>
          </w:p>
        </w:tc>
        <w:tc>
          <w:tcPr>
            <w:tcW w:w="1666" w:type="dxa"/>
            <w:vAlign w:val="center"/>
          </w:tcPr>
          <w:p w14:paraId="6DC09D7C">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4EDFA70D">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3FF2A083">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47171512">
            <w:pPr>
              <w:spacing w:line="280" w:lineRule="exact"/>
              <w:jc w:val="center"/>
              <w:rPr>
                <w:szCs w:val="21"/>
              </w:rPr>
            </w:pPr>
            <w:r>
              <w:rPr>
                <w:rFonts w:hint="eastAsia"/>
                <w:szCs w:val="21"/>
              </w:rPr>
              <w:t>4.</w:t>
            </w:r>
            <w:r>
              <w:rPr>
                <w:rFonts w:hint="eastAsia"/>
                <w:szCs w:val="21"/>
                <w:lang w:val="en-US" w:eastAsia="zh-CN"/>
              </w:rPr>
              <w:t>8</w:t>
            </w:r>
            <w:r>
              <w:rPr>
                <w:rFonts w:hint="eastAsia"/>
                <w:szCs w:val="21"/>
              </w:rPr>
              <w:t>0</w:t>
            </w:r>
            <w:r>
              <w:rPr>
                <w:szCs w:val="21"/>
              </w:rPr>
              <w:t>t/a</w:t>
            </w:r>
          </w:p>
        </w:tc>
        <w:tc>
          <w:tcPr>
            <w:tcW w:w="1385" w:type="dxa"/>
            <w:vAlign w:val="center"/>
          </w:tcPr>
          <w:p w14:paraId="3BFA5DD3">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2E5371AC">
            <w:pPr>
              <w:spacing w:line="280" w:lineRule="exact"/>
              <w:jc w:val="center"/>
              <w:rPr>
                <w:szCs w:val="21"/>
              </w:rPr>
            </w:pPr>
            <w:r>
              <w:rPr>
                <w:rFonts w:hint="eastAsia"/>
                <w:szCs w:val="21"/>
              </w:rPr>
              <w:t>4.</w:t>
            </w:r>
            <w:r>
              <w:rPr>
                <w:rFonts w:hint="eastAsia"/>
                <w:szCs w:val="21"/>
                <w:lang w:val="en-US" w:eastAsia="zh-CN"/>
              </w:rPr>
              <w:t>8</w:t>
            </w:r>
            <w:r>
              <w:rPr>
                <w:rFonts w:hint="eastAsia"/>
                <w:szCs w:val="21"/>
              </w:rPr>
              <w:t>0</w:t>
            </w:r>
            <w:r>
              <w:rPr>
                <w:szCs w:val="21"/>
              </w:rPr>
              <w:t>t/a</w:t>
            </w:r>
          </w:p>
        </w:tc>
        <w:tc>
          <w:tcPr>
            <w:tcW w:w="1259" w:type="dxa"/>
            <w:vAlign w:val="center"/>
          </w:tcPr>
          <w:p w14:paraId="56CC4146">
            <w:pPr>
              <w:spacing w:line="280" w:lineRule="exact"/>
              <w:jc w:val="center"/>
              <w:rPr>
                <w:szCs w:val="21"/>
              </w:rPr>
            </w:pPr>
            <w:r>
              <w:rPr>
                <w:rFonts w:hint="eastAsia"/>
                <w:szCs w:val="21"/>
              </w:rPr>
              <w:t>+ 4.</w:t>
            </w:r>
            <w:r>
              <w:rPr>
                <w:rFonts w:hint="eastAsia"/>
                <w:szCs w:val="21"/>
                <w:lang w:val="en-US" w:eastAsia="zh-CN"/>
              </w:rPr>
              <w:t>8</w:t>
            </w:r>
            <w:r>
              <w:rPr>
                <w:rFonts w:hint="eastAsia"/>
                <w:szCs w:val="21"/>
              </w:rPr>
              <w:t>0</w:t>
            </w:r>
            <w:r>
              <w:rPr>
                <w:szCs w:val="21"/>
              </w:rPr>
              <w:t>t/a</w:t>
            </w:r>
          </w:p>
        </w:tc>
      </w:tr>
      <w:tr w14:paraId="34BE3B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continue"/>
            <w:vAlign w:val="center"/>
          </w:tcPr>
          <w:p w14:paraId="65A5FD98">
            <w:pPr>
              <w:pStyle w:val="52"/>
              <w:spacing w:beforeLines="0" w:afterLines="0" w:line="280" w:lineRule="exact"/>
              <w:rPr>
                <w:rFonts w:hint="eastAsia" w:ascii="Times New Roman" w:cs="宋体"/>
                <w:snapToGrid w:val="0"/>
                <w:kern w:val="21"/>
                <w:szCs w:val="21"/>
              </w:rPr>
            </w:pPr>
          </w:p>
        </w:tc>
        <w:tc>
          <w:tcPr>
            <w:tcW w:w="1528" w:type="dxa"/>
            <w:vAlign w:val="center"/>
          </w:tcPr>
          <w:p w14:paraId="02677349">
            <w:pPr>
              <w:jc w:val="center"/>
              <w:rPr>
                <w:rFonts w:hint="eastAsia"/>
                <w:szCs w:val="21"/>
              </w:rPr>
            </w:pPr>
            <w:r>
              <w:rPr>
                <w:rFonts w:hint="eastAsia"/>
                <w:szCs w:val="21"/>
              </w:rPr>
              <w:t>废边角料</w:t>
            </w:r>
          </w:p>
        </w:tc>
        <w:tc>
          <w:tcPr>
            <w:tcW w:w="1666" w:type="dxa"/>
            <w:vAlign w:val="center"/>
          </w:tcPr>
          <w:p w14:paraId="78AED4B5">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3394CF17">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7A4FEF42">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5C130648">
            <w:pPr>
              <w:spacing w:line="280" w:lineRule="exact"/>
              <w:jc w:val="center"/>
              <w:rPr>
                <w:rFonts w:hint="eastAsia"/>
                <w:szCs w:val="21"/>
              </w:rPr>
            </w:pPr>
            <w:r>
              <w:rPr>
                <w:rFonts w:hint="eastAsia"/>
                <w:szCs w:val="21"/>
                <w:lang w:val="en-US" w:eastAsia="zh-CN"/>
              </w:rPr>
              <w:t>0.48</w:t>
            </w:r>
            <w:r>
              <w:rPr>
                <w:szCs w:val="21"/>
              </w:rPr>
              <w:t>t/a</w:t>
            </w:r>
          </w:p>
        </w:tc>
        <w:tc>
          <w:tcPr>
            <w:tcW w:w="1385" w:type="dxa"/>
            <w:vAlign w:val="center"/>
          </w:tcPr>
          <w:p w14:paraId="7A2E8FE3">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43BACBB5">
            <w:pPr>
              <w:spacing w:line="280" w:lineRule="exact"/>
              <w:jc w:val="center"/>
              <w:rPr>
                <w:rFonts w:hint="eastAsia"/>
                <w:szCs w:val="21"/>
              </w:rPr>
            </w:pPr>
            <w:r>
              <w:rPr>
                <w:rFonts w:hint="eastAsia"/>
                <w:szCs w:val="21"/>
                <w:lang w:val="en-US" w:eastAsia="zh-CN"/>
              </w:rPr>
              <w:t>0.48</w:t>
            </w:r>
            <w:r>
              <w:rPr>
                <w:szCs w:val="21"/>
              </w:rPr>
              <w:t>t/a</w:t>
            </w:r>
          </w:p>
        </w:tc>
        <w:tc>
          <w:tcPr>
            <w:tcW w:w="1259" w:type="dxa"/>
            <w:vAlign w:val="center"/>
          </w:tcPr>
          <w:p w14:paraId="2FD057A5">
            <w:pPr>
              <w:spacing w:line="280" w:lineRule="exact"/>
              <w:jc w:val="center"/>
              <w:rPr>
                <w:rFonts w:hint="eastAsia"/>
                <w:szCs w:val="21"/>
              </w:rPr>
            </w:pPr>
            <w:r>
              <w:rPr>
                <w:rFonts w:hint="eastAsia"/>
                <w:szCs w:val="21"/>
              </w:rPr>
              <w:t>+</w:t>
            </w:r>
            <w:r>
              <w:rPr>
                <w:rFonts w:hint="eastAsia"/>
                <w:szCs w:val="21"/>
                <w:lang w:val="en-US" w:eastAsia="zh-CN"/>
              </w:rPr>
              <w:t>0.48</w:t>
            </w:r>
            <w:r>
              <w:rPr>
                <w:szCs w:val="21"/>
              </w:rPr>
              <w:t>t/a</w:t>
            </w:r>
          </w:p>
        </w:tc>
      </w:tr>
      <w:tr w14:paraId="353F8D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continue"/>
            <w:vAlign w:val="center"/>
          </w:tcPr>
          <w:p w14:paraId="71B7DD25">
            <w:pPr>
              <w:pStyle w:val="52"/>
              <w:spacing w:beforeLines="0" w:afterLines="0" w:line="280" w:lineRule="exact"/>
              <w:rPr>
                <w:rFonts w:hint="eastAsia" w:ascii="Times New Roman" w:cs="宋体"/>
                <w:snapToGrid w:val="0"/>
                <w:kern w:val="21"/>
                <w:szCs w:val="21"/>
              </w:rPr>
            </w:pPr>
          </w:p>
        </w:tc>
        <w:tc>
          <w:tcPr>
            <w:tcW w:w="1528" w:type="dxa"/>
            <w:vAlign w:val="center"/>
          </w:tcPr>
          <w:p w14:paraId="725BAB30">
            <w:pPr>
              <w:jc w:val="center"/>
              <w:rPr>
                <w:rFonts w:hint="eastAsia"/>
                <w:szCs w:val="21"/>
              </w:rPr>
            </w:pPr>
            <w:r>
              <w:rPr>
                <w:rFonts w:hint="eastAsia"/>
                <w:szCs w:val="21"/>
                <w:lang w:val="en-US" w:eastAsia="zh-CN"/>
              </w:rPr>
              <w:t>废脱模剂</w:t>
            </w:r>
          </w:p>
        </w:tc>
        <w:tc>
          <w:tcPr>
            <w:tcW w:w="1666" w:type="dxa"/>
            <w:vAlign w:val="center"/>
          </w:tcPr>
          <w:p w14:paraId="0B4635B0">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7D606A0">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40A9E5A">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7859F121">
            <w:pPr>
              <w:spacing w:line="280" w:lineRule="exact"/>
              <w:jc w:val="center"/>
              <w:rPr>
                <w:rFonts w:hint="eastAsia"/>
                <w:szCs w:val="21"/>
              </w:rPr>
            </w:pPr>
            <w:r>
              <w:rPr>
                <w:rFonts w:hint="eastAsia" w:ascii="Times New Roman" w:hAnsi="Times New Roman" w:eastAsia="宋体" w:cs="Times New Roman"/>
                <w:szCs w:val="21"/>
                <w:lang w:val="en-US" w:eastAsia="zh-CN"/>
              </w:rPr>
              <w:t>0.0485</w:t>
            </w:r>
            <w:r>
              <w:rPr>
                <w:szCs w:val="21"/>
              </w:rPr>
              <w:t>t/a</w:t>
            </w:r>
          </w:p>
        </w:tc>
        <w:tc>
          <w:tcPr>
            <w:tcW w:w="1385" w:type="dxa"/>
            <w:vAlign w:val="center"/>
          </w:tcPr>
          <w:p w14:paraId="53D64858">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0F9EAD58">
            <w:pPr>
              <w:spacing w:line="280" w:lineRule="exact"/>
              <w:jc w:val="center"/>
              <w:rPr>
                <w:rFonts w:hint="eastAsia"/>
                <w:szCs w:val="21"/>
              </w:rPr>
            </w:pPr>
            <w:r>
              <w:rPr>
                <w:rFonts w:hint="eastAsia" w:ascii="Times New Roman" w:hAnsi="Times New Roman" w:eastAsia="宋体" w:cs="Times New Roman"/>
                <w:szCs w:val="21"/>
                <w:lang w:val="en-US" w:eastAsia="zh-CN"/>
              </w:rPr>
              <w:t>0.0485</w:t>
            </w:r>
            <w:r>
              <w:rPr>
                <w:szCs w:val="21"/>
              </w:rPr>
              <w:t>t/a</w:t>
            </w:r>
          </w:p>
        </w:tc>
        <w:tc>
          <w:tcPr>
            <w:tcW w:w="1259" w:type="dxa"/>
            <w:vAlign w:val="center"/>
          </w:tcPr>
          <w:p w14:paraId="5F0D673B">
            <w:pPr>
              <w:spacing w:line="280" w:lineRule="exact"/>
              <w:jc w:val="center"/>
              <w:rPr>
                <w:rFonts w:hint="eastAsia"/>
                <w:szCs w:val="21"/>
              </w:rPr>
            </w:pPr>
            <w:r>
              <w:rPr>
                <w:rFonts w:hint="eastAsia"/>
                <w:szCs w:val="21"/>
              </w:rPr>
              <w:t>+</w:t>
            </w:r>
            <w:r>
              <w:rPr>
                <w:rFonts w:hint="eastAsia" w:ascii="Times New Roman" w:hAnsi="Times New Roman" w:eastAsia="宋体" w:cs="Times New Roman"/>
                <w:szCs w:val="21"/>
                <w:lang w:val="en-US" w:eastAsia="zh-CN"/>
              </w:rPr>
              <w:t>0.0485</w:t>
            </w:r>
            <w:r>
              <w:rPr>
                <w:szCs w:val="21"/>
              </w:rPr>
              <w:t>t/a</w:t>
            </w:r>
          </w:p>
        </w:tc>
      </w:tr>
      <w:tr w14:paraId="1DBD6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continue"/>
            <w:vAlign w:val="center"/>
          </w:tcPr>
          <w:p w14:paraId="0B143CE4">
            <w:pPr>
              <w:pStyle w:val="52"/>
              <w:spacing w:beforeLines="0" w:afterLines="0" w:line="280" w:lineRule="exact"/>
              <w:rPr>
                <w:rFonts w:hint="eastAsia" w:ascii="Times New Roman" w:cs="宋体"/>
                <w:snapToGrid w:val="0"/>
                <w:kern w:val="21"/>
                <w:szCs w:val="21"/>
              </w:rPr>
            </w:pPr>
          </w:p>
        </w:tc>
        <w:tc>
          <w:tcPr>
            <w:tcW w:w="1528" w:type="dxa"/>
            <w:vAlign w:val="center"/>
          </w:tcPr>
          <w:p w14:paraId="722BC3F6">
            <w:pPr>
              <w:jc w:val="center"/>
              <w:rPr>
                <w:rFonts w:hint="eastAsia"/>
                <w:szCs w:val="21"/>
              </w:rPr>
            </w:pPr>
            <w:r>
              <w:rPr>
                <w:rFonts w:hint="eastAsia"/>
                <w:szCs w:val="21"/>
                <w:lang w:val="en-US" w:eastAsia="zh-CN"/>
              </w:rPr>
              <w:t>废发泡料</w:t>
            </w:r>
          </w:p>
        </w:tc>
        <w:tc>
          <w:tcPr>
            <w:tcW w:w="1666" w:type="dxa"/>
            <w:vAlign w:val="center"/>
          </w:tcPr>
          <w:p w14:paraId="352ED437">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73A2EA0D">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3F837E48">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2FCA96F0">
            <w:pPr>
              <w:spacing w:line="280" w:lineRule="exact"/>
              <w:jc w:val="center"/>
              <w:rPr>
                <w:rFonts w:hint="eastAsia"/>
                <w:szCs w:val="21"/>
              </w:rPr>
            </w:pPr>
            <w:r>
              <w:rPr>
                <w:rFonts w:hint="eastAsia"/>
                <w:szCs w:val="21"/>
                <w:lang w:val="en-US" w:eastAsia="zh-CN"/>
              </w:rPr>
              <w:t>2</w:t>
            </w:r>
            <w:r>
              <w:rPr>
                <w:szCs w:val="21"/>
              </w:rPr>
              <w:t>/a</w:t>
            </w:r>
          </w:p>
        </w:tc>
        <w:tc>
          <w:tcPr>
            <w:tcW w:w="1385" w:type="dxa"/>
            <w:vAlign w:val="center"/>
          </w:tcPr>
          <w:p w14:paraId="3AA41C9A">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6AB9A58D">
            <w:pPr>
              <w:spacing w:line="280" w:lineRule="exact"/>
              <w:jc w:val="center"/>
              <w:rPr>
                <w:rFonts w:hint="eastAsia"/>
                <w:szCs w:val="21"/>
              </w:rPr>
            </w:pPr>
            <w:r>
              <w:rPr>
                <w:rFonts w:hint="eastAsia"/>
                <w:szCs w:val="21"/>
                <w:lang w:val="en-US" w:eastAsia="zh-CN"/>
              </w:rPr>
              <w:t>2</w:t>
            </w:r>
            <w:r>
              <w:rPr>
                <w:szCs w:val="21"/>
              </w:rPr>
              <w:t>t/a</w:t>
            </w:r>
          </w:p>
        </w:tc>
        <w:tc>
          <w:tcPr>
            <w:tcW w:w="1259" w:type="dxa"/>
            <w:vAlign w:val="center"/>
          </w:tcPr>
          <w:p w14:paraId="79738CC6">
            <w:pPr>
              <w:spacing w:line="280" w:lineRule="exact"/>
              <w:jc w:val="center"/>
              <w:rPr>
                <w:rFonts w:hint="eastAsia"/>
                <w:szCs w:val="21"/>
              </w:rPr>
            </w:pPr>
            <w:r>
              <w:rPr>
                <w:rFonts w:hint="eastAsia"/>
                <w:szCs w:val="21"/>
              </w:rPr>
              <w:t xml:space="preserve">+ </w:t>
            </w:r>
            <w:r>
              <w:rPr>
                <w:rFonts w:hint="eastAsia"/>
                <w:szCs w:val="21"/>
                <w:lang w:val="en-US" w:eastAsia="zh-CN"/>
              </w:rPr>
              <w:t>2</w:t>
            </w:r>
            <w:r>
              <w:rPr>
                <w:szCs w:val="21"/>
              </w:rPr>
              <w:t>t/a</w:t>
            </w:r>
          </w:p>
        </w:tc>
      </w:tr>
      <w:tr w14:paraId="410ED2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continue"/>
            <w:vAlign w:val="center"/>
          </w:tcPr>
          <w:p w14:paraId="068CD451">
            <w:pPr>
              <w:pStyle w:val="52"/>
              <w:spacing w:beforeLines="0" w:afterLines="0" w:line="280" w:lineRule="exact"/>
              <w:rPr>
                <w:rFonts w:hint="eastAsia" w:ascii="Times New Roman" w:cs="宋体"/>
                <w:snapToGrid w:val="0"/>
                <w:kern w:val="21"/>
                <w:szCs w:val="21"/>
              </w:rPr>
            </w:pPr>
          </w:p>
        </w:tc>
        <w:tc>
          <w:tcPr>
            <w:tcW w:w="1528" w:type="dxa"/>
            <w:vAlign w:val="center"/>
          </w:tcPr>
          <w:p w14:paraId="5B471239">
            <w:pPr>
              <w:jc w:val="center"/>
              <w:rPr>
                <w:rFonts w:hint="eastAsia"/>
                <w:szCs w:val="21"/>
              </w:rPr>
            </w:pPr>
            <w:r>
              <w:rPr>
                <w:rFonts w:hint="eastAsia"/>
                <w:szCs w:val="21"/>
              </w:rPr>
              <w:t>废活性炭</w:t>
            </w:r>
          </w:p>
        </w:tc>
        <w:tc>
          <w:tcPr>
            <w:tcW w:w="1666" w:type="dxa"/>
            <w:vAlign w:val="center"/>
          </w:tcPr>
          <w:p w14:paraId="7C1AE7DC">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77FE7945">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13F724A9">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305575E3">
            <w:pPr>
              <w:spacing w:line="280" w:lineRule="exact"/>
              <w:jc w:val="center"/>
              <w:rPr>
                <w:rFonts w:hint="eastAsia"/>
                <w:szCs w:val="21"/>
              </w:rPr>
            </w:pPr>
            <w:r>
              <w:rPr>
                <w:rFonts w:hint="eastAsia"/>
                <w:szCs w:val="21"/>
                <w:lang w:val="en-US" w:eastAsia="zh-CN"/>
              </w:rPr>
              <w:t>2.25</w:t>
            </w:r>
            <w:r>
              <w:rPr>
                <w:szCs w:val="21"/>
              </w:rPr>
              <w:t>t/a</w:t>
            </w:r>
          </w:p>
        </w:tc>
        <w:tc>
          <w:tcPr>
            <w:tcW w:w="1385" w:type="dxa"/>
            <w:vAlign w:val="center"/>
          </w:tcPr>
          <w:p w14:paraId="4CAF5F7A">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319A3E10">
            <w:pPr>
              <w:spacing w:line="280" w:lineRule="exact"/>
              <w:jc w:val="center"/>
              <w:rPr>
                <w:rFonts w:hint="eastAsia"/>
                <w:szCs w:val="21"/>
              </w:rPr>
            </w:pPr>
            <w:r>
              <w:rPr>
                <w:rFonts w:hint="eastAsia"/>
                <w:szCs w:val="21"/>
                <w:lang w:val="en-US" w:eastAsia="zh-CN"/>
              </w:rPr>
              <w:t>2.25</w:t>
            </w:r>
            <w:r>
              <w:rPr>
                <w:szCs w:val="21"/>
              </w:rPr>
              <w:t>t/a</w:t>
            </w:r>
          </w:p>
        </w:tc>
        <w:tc>
          <w:tcPr>
            <w:tcW w:w="1259" w:type="dxa"/>
            <w:vAlign w:val="center"/>
          </w:tcPr>
          <w:p w14:paraId="27108CC2">
            <w:pPr>
              <w:spacing w:line="280" w:lineRule="exact"/>
              <w:jc w:val="center"/>
              <w:rPr>
                <w:rFonts w:hint="eastAsia"/>
                <w:szCs w:val="21"/>
              </w:rPr>
            </w:pPr>
            <w:r>
              <w:rPr>
                <w:rFonts w:hint="eastAsia"/>
                <w:szCs w:val="21"/>
              </w:rPr>
              <w:t xml:space="preserve">+ </w:t>
            </w:r>
            <w:r>
              <w:rPr>
                <w:rFonts w:hint="eastAsia"/>
                <w:szCs w:val="21"/>
                <w:lang w:val="en-US" w:eastAsia="zh-CN"/>
              </w:rPr>
              <w:t>2.25</w:t>
            </w:r>
            <w:r>
              <w:rPr>
                <w:szCs w:val="21"/>
              </w:rPr>
              <w:t>t/a</w:t>
            </w:r>
          </w:p>
        </w:tc>
      </w:tr>
      <w:tr w14:paraId="6C4721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continue"/>
            <w:vAlign w:val="center"/>
          </w:tcPr>
          <w:p w14:paraId="344D7DA6">
            <w:pPr>
              <w:pStyle w:val="52"/>
              <w:spacing w:beforeLines="0" w:afterLines="0" w:line="280" w:lineRule="exact"/>
              <w:rPr>
                <w:rFonts w:hint="eastAsia" w:ascii="Times New Roman" w:cs="宋体"/>
                <w:snapToGrid w:val="0"/>
                <w:kern w:val="21"/>
                <w:szCs w:val="21"/>
              </w:rPr>
            </w:pPr>
          </w:p>
        </w:tc>
        <w:tc>
          <w:tcPr>
            <w:tcW w:w="1528" w:type="dxa"/>
            <w:vAlign w:val="center"/>
          </w:tcPr>
          <w:p w14:paraId="328FE6CE">
            <w:pPr>
              <w:jc w:val="center"/>
              <w:rPr>
                <w:rFonts w:hint="eastAsia"/>
                <w:szCs w:val="21"/>
              </w:rPr>
            </w:pPr>
            <w:r>
              <w:rPr>
                <w:rFonts w:hint="eastAsia"/>
                <w:szCs w:val="21"/>
                <w:lang w:val="en-US" w:eastAsia="zh-CN"/>
              </w:rPr>
              <w:t>废过滤棉</w:t>
            </w:r>
          </w:p>
        </w:tc>
        <w:tc>
          <w:tcPr>
            <w:tcW w:w="1666" w:type="dxa"/>
            <w:vAlign w:val="center"/>
          </w:tcPr>
          <w:p w14:paraId="71A686FD">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6BAD6AFD">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1621F105">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7953A201">
            <w:pPr>
              <w:spacing w:line="280" w:lineRule="exact"/>
              <w:jc w:val="center"/>
              <w:rPr>
                <w:rFonts w:hint="eastAsia"/>
                <w:szCs w:val="21"/>
              </w:rPr>
            </w:pPr>
            <w:r>
              <w:rPr>
                <w:rFonts w:hint="eastAsia" w:ascii="Times New Roman" w:hAnsi="Times New Roman" w:eastAsia="宋体" w:cs="Times New Roman"/>
                <w:szCs w:val="21"/>
                <w:lang w:val="en-US" w:eastAsia="zh-CN"/>
              </w:rPr>
              <w:t>5.402</w:t>
            </w:r>
            <w:r>
              <w:rPr>
                <w:szCs w:val="21"/>
              </w:rPr>
              <w:t>t/a</w:t>
            </w:r>
          </w:p>
        </w:tc>
        <w:tc>
          <w:tcPr>
            <w:tcW w:w="1385" w:type="dxa"/>
            <w:vAlign w:val="center"/>
          </w:tcPr>
          <w:p w14:paraId="58AFDA9A">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493DCCD6">
            <w:pPr>
              <w:spacing w:line="280" w:lineRule="exact"/>
              <w:jc w:val="center"/>
              <w:rPr>
                <w:rFonts w:hint="eastAsia"/>
                <w:szCs w:val="21"/>
              </w:rPr>
            </w:pPr>
            <w:r>
              <w:rPr>
                <w:rFonts w:hint="eastAsia" w:ascii="Times New Roman" w:hAnsi="Times New Roman" w:eastAsia="宋体" w:cs="Times New Roman"/>
                <w:szCs w:val="21"/>
                <w:lang w:val="en-US" w:eastAsia="zh-CN"/>
              </w:rPr>
              <w:t>5.402</w:t>
            </w:r>
            <w:r>
              <w:rPr>
                <w:szCs w:val="21"/>
              </w:rPr>
              <w:t>t/a</w:t>
            </w:r>
          </w:p>
        </w:tc>
        <w:tc>
          <w:tcPr>
            <w:tcW w:w="1259" w:type="dxa"/>
            <w:vAlign w:val="center"/>
          </w:tcPr>
          <w:p w14:paraId="054A3AA5">
            <w:pPr>
              <w:spacing w:line="280" w:lineRule="exact"/>
              <w:jc w:val="center"/>
              <w:rPr>
                <w:rFonts w:hint="eastAsia"/>
                <w:szCs w:val="21"/>
              </w:rPr>
            </w:pPr>
            <w:r>
              <w:rPr>
                <w:rFonts w:hint="eastAsia"/>
                <w:szCs w:val="21"/>
              </w:rPr>
              <w:t xml:space="preserve">+ </w:t>
            </w:r>
            <w:r>
              <w:rPr>
                <w:rFonts w:hint="eastAsia" w:ascii="Times New Roman" w:hAnsi="Times New Roman" w:eastAsia="宋体" w:cs="Times New Roman"/>
                <w:szCs w:val="21"/>
                <w:lang w:val="en-US" w:eastAsia="zh-CN"/>
              </w:rPr>
              <w:t>5.402</w:t>
            </w:r>
            <w:r>
              <w:rPr>
                <w:szCs w:val="21"/>
              </w:rPr>
              <w:t>t/a</w:t>
            </w:r>
          </w:p>
        </w:tc>
      </w:tr>
      <w:tr w14:paraId="416668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continue"/>
            <w:vAlign w:val="center"/>
          </w:tcPr>
          <w:p w14:paraId="5C7AF9FE">
            <w:pPr>
              <w:pStyle w:val="52"/>
              <w:spacing w:beforeLines="0" w:afterLines="0" w:line="280" w:lineRule="exact"/>
              <w:rPr>
                <w:rFonts w:hint="eastAsia" w:ascii="Times New Roman" w:cs="宋体"/>
                <w:snapToGrid w:val="0"/>
                <w:kern w:val="21"/>
                <w:szCs w:val="21"/>
              </w:rPr>
            </w:pPr>
          </w:p>
        </w:tc>
        <w:tc>
          <w:tcPr>
            <w:tcW w:w="1528" w:type="dxa"/>
            <w:vAlign w:val="center"/>
          </w:tcPr>
          <w:p w14:paraId="7BD4C6CE">
            <w:pPr>
              <w:jc w:val="center"/>
              <w:rPr>
                <w:rFonts w:hint="eastAsia"/>
                <w:szCs w:val="21"/>
              </w:rPr>
            </w:pPr>
            <w:r>
              <w:rPr>
                <w:rFonts w:hint="eastAsia"/>
                <w:szCs w:val="21"/>
                <w:lang w:val="en-US" w:eastAsia="zh-CN"/>
              </w:rPr>
              <w:t>废渣废液</w:t>
            </w:r>
          </w:p>
        </w:tc>
        <w:tc>
          <w:tcPr>
            <w:tcW w:w="1666" w:type="dxa"/>
            <w:vAlign w:val="center"/>
          </w:tcPr>
          <w:p w14:paraId="102681E5">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0D3A79D5">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3C54E395">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0FADAF68">
            <w:pPr>
              <w:spacing w:line="280" w:lineRule="exact"/>
              <w:jc w:val="center"/>
              <w:rPr>
                <w:rFonts w:hint="eastAsia"/>
                <w:szCs w:val="21"/>
              </w:rPr>
            </w:pPr>
            <w:r>
              <w:rPr>
                <w:rFonts w:hint="eastAsia" w:ascii="Times New Roman" w:hAnsi="Times New Roman" w:eastAsia="宋体" w:cs="Times New Roman"/>
                <w:szCs w:val="21"/>
                <w:lang w:val="en-US" w:eastAsia="zh-CN"/>
              </w:rPr>
              <w:t>1.117</w:t>
            </w:r>
            <w:r>
              <w:rPr>
                <w:szCs w:val="21"/>
              </w:rPr>
              <w:t>t/a</w:t>
            </w:r>
          </w:p>
        </w:tc>
        <w:tc>
          <w:tcPr>
            <w:tcW w:w="1385" w:type="dxa"/>
            <w:vAlign w:val="center"/>
          </w:tcPr>
          <w:p w14:paraId="33B640A8">
            <w:pPr>
              <w:pStyle w:val="52"/>
              <w:spacing w:beforeLines="0" w:afterLines="0" w:line="280" w:lineRule="exact"/>
              <w:rPr>
                <w:rFonts w:hint="eastAsia"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41A5AFFB">
            <w:pPr>
              <w:spacing w:line="280" w:lineRule="exact"/>
              <w:jc w:val="center"/>
              <w:rPr>
                <w:rFonts w:hint="eastAsia"/>
                <w:szCs w:val="21"/>
              </w:rPr>
            </w:pPr>
            <w:r>
              <w:rPr>
                <w:rFonts w:hint="eastAsia" w:ascii="Times New Roman" w:hAnsi="Times New Roman" w:eastAsia="宋体" w:cs="Times New Roman"/>
                <w:szCs w:val="21"/>
                <w:lang w:val="en-US" w:eastAsia="zh-CN"/>
              </w:rPr>
              <w:t>1.117</w:t>
            </w:r>
            <w:r>
              <w:rPr>
                <w:szCs w:val="21"/>
              </w:rPr>
              <w:t>t/a</w:t>
            </w:r>
          </w:p>
        </w:tc>
        <w:tc>
          <w:tcPr>
            <w:tcW w:w="1259" w:type="dxa"/>
            <w:vAlign w:val="center"/>
          </w:tcPr>
          <w:p w14:paraId="3CA57AC2">
            <w:pPr>
              <w:spacing w:line="280" w:lineRule="exact"/>
              <w:jc w:val="center"/>
              <w:rPr>
                <w:rFonts w:hint="eastAsia"/>
                <w:szCs w:val="21"/>
              </w:rPr>
            </w:pPr>
            <w:r>
              <w:rPr>
                <w:rFonts w:hint="eastAsia"/>
                <w:szCs w:val="21"/>
              </w:rPr>
              <w:t xml:space="preserve">+ </w:t>
            </w:r>
            <w:r>
              <w:rPr>
                <w:rFonts w:hint="eastAsia" w:ascii="Times New Roman" w:hAnsi="Times New Roman" w:eastAsia="宋体" w:cs="Times New Roman"/>
                <w:szCs w:val="21"/>
                <w:lang w:val="en-US" w:eastAsia="zh-CN"/>
              </w:rPr>
              <w:t>1.117</w:t>
            </w:r>
            <w:r>
              <w:rPr>
                <w:szCs w:val="21"/>
              </w:rPr>
              <w:t>t/a</w:t>
            </w:r>
          </w:p>
        </w:tc>
      </w:tr>
      <w:tr w14:paraId="60A86C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134" w:type="dxa"/>
            <w:vMerge w:val="continue"/>
            <w:vAlign w:val="center"/>
          </w:tcPr>
          <w:p w14:paraId="26F27A9A">
            <w:pPr>
              <w:pStyle w:val="52"/>
              <w:spacing w:beforeLines="0" w:afterLines="0" w:line="280" w:lineRule="exact"/>
              <w:rPr>
                <w:rFonts w:ascii="Times New Roman" w:cs="宋体"/>
                <w:snapToGrid w:val="0"/>
                <w:kern w:val="21"/>
                <w:szCs w:val="21"/>
              </w:rPr>
            </w:pPr>
          </w:p>
        </w:tc>
        <w:tc>
          <w:tcPr>
            <w:tcW w:w="1528" w:type="dxa"/>
            <w:vAlign w:val="center"/>
          </w:tcPr>
          <w:p w14:paraId="3B4E95E4">
            <w:pPr>
              <w:jc w:val="center"/>
              <w:rPr>
                <w:szCs w:val="21"/>
              </w:rPr>
            </w:pPr>
            <w:r>
              <w:rPr>
                <w:rFonts w:hint="eastAsia"/>
                <w:szCs w:val="21"/>
              </w:rPr>
              <w:t>废机油</w:t>
            </w:r>
          </w:p>
        </w:tc>
        <w:tc>
          <w:tcPr>
            <w:tcW w:w="1666" w:type="dxa"/>
            <w:vAlign w:val="center"/>
          </w:tcPr>
          <w:p w14:paraId="363134DE">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72CF63EE">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713A3DFD">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50218945">
            <w:pPr>
              <w:spacing w:line="280" w:lineRule="exact"/>
              <w:jc w:val="center"/>
              <w:rPr>
                <w:szCs w:val="21"/>
              </w:rPr>
            </w:pPr>
            <w:r>
              <w:rPr>
                <w:rFonts w:hint="eastAsia"/>
                <w:szCs w:val="21"/>
              </w:rPr>
              <w:t xml:space="preserve"> 0.06</w:t>
            </w:r>
            <w:r>
              <w:rPr>
                <w:szCs w:val="21"/>
              </w:rPr>
              <w:t>t/a</w:t>
            </w:r>
          </w:p>
        </w:tc>
        <w:tc>
          <w:tcPr>
            <w:tcW w:w="1385" w:type="dxa"/>
            <w:vAlign w:val="center"/>
          </w:tcPr>
          <w:p w14:paraId="7CCE7302">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472F441F">
            <w:pPr>
              <w:spacing w:line="280" w:lineRule="exact"/>
              <w:jc w:val="center"/>
              <w:rPr>
                <w:szCs w:val="21"/>
              </w:rPr>
            </w:pPr>
            <w:r>
              <w:rPr>
                <w:rFonts w:hint="eastAsia"/>
                <w:szCs w:val="21"/>
              </w:rPr>
              <w:t xml:space="preserve"> 0.06</w:t>
            </w:r>
            <w:r>
              <w:rPr>
                <w:szCs w:val="21"/>
              </w:rPr>
              <w:t>t/a</w:t>
            </w:r>
          </w:p>
        </w:tc>
        <w:tc>
          <w:tcPr>
            <w:tcW w:w="1259" w:type="dxa"/>
            <w:vAlign w:val="center"/>
          </w:tcPr>
          <w:p w14:paraId="1A3425CC">
            <w:pPr>
              <w:spacing w:line="280" w:lineRule="exact"/>
              <w:jc w:val="center"/>
              <w:rPr>
                <w:szCs w:val="21"/>
              </w:rPr>
            </w:pPr>
            <w:r>
              <w:rPr>
                <w:rFonts w:hint="eastAsia"/>
                <w:szCs w:val="21"/>
              </w:rPr>
              <w:t>+ 0.06</w:t>
            </w:r>
            <w:r>
              <w:rPr>
                <w:szCs w:val="21"/>
              </w:rPr>
              <w:t>t/a</w:t>
            </w:r>
          </w:p>
        </w:tc>
      </w:tr>
      <w:tr w14:paraId="1A6CA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134" w:type="dxa"/>
            <w:vMerge w:val="continue"/>
            <w:vAlign w:val="center"/>
          </w:tcPr>
          <w:p w14:paraId="00E3141B">
            <w:pPr>
              <w:pStyle w:val="52"/>
              <w:spacing w:beforeLines="0" w:afterLines="0" w:line="280" w:lineRule="exact"/>
              <w:rPr>
                <w:rFonts w:ascii="Times New Roman" w:cs="宋体"/>
                <w:snapToGrid w:val="0"/>
                <w:kern w:val="21"/>
                <w:szCs w:val="21"/>
              </w:rPr>
            </w:pPr>
          </w:p>
        </w:tc>
        <w:tc>
          <w:tcPr>
            <w:tcW w:w="1528" w:type="dxa"/>
            <w:vAlign w:val="center"/>
          </w:tcPr>
          <w:p w14:paraId="1DF27950">
            <w:pPr>
              <w:jc w:val="center"/>
              <w:rPr>
                <w:szCs w:val="21"/>
              </w:rPr>
            </w:pPr>
            <w:r>
              <w:rPr>
                <w:rFonts w:hint="eastAsia"/>
                <w:szCs w:val="21"/>
              </w:rPr>
              <w:t>废</w:t>
            </w:r>
            <w:r>
              <w:rPr>
                <w:rFonts w:hint="eastAsia"/>
                <w:szCs w:val="21"/>
                <w:lang w:val="en-US" w:eastAsia="zh-CN"/>
              </w:rPr>
              <w:t>胶</w:t>
            </w:r>
            <w:r>
              <w:rPr>
                <w:rFonts w:hint="eastAsia"/>
                <w:szCs w:val="21"/>
              </w:rPr>
              <w:t>桶</w:t>
            </w:r>
          </w:p>
        </w:tc>
        <w:tc>
          <w:tcPr>
            <w:tcW w:w="1666" w:type="dxa"/>
            <w:vAlign w:val="center"/>
          </w:tcPr>
          <w:p w14:paraId="667DD477">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5FF1ED97">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385" w:type="dxa"/>
            <w:vAlign w:val="center"/>
          </w:tcPr>
          <w:p w14:paraId="2903D979">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944" w:type="dxa"/>
            <w:vAlign w:val="center"/>
          </w:tcPr>
          <w:p w14:paraId="6F575D99">
            <w:pPr>
              <w:spacing w:line="280" w:lineRule="exact"/>
              <w:jc w:val="center"/>
              <w:rPr>
                <w:szCs w:val="21"/>
              </w:rPr>
            </w:pPr>
            <w:r>
              <w:rPr>
                <w:rFonts w:hint="eastAsia"/>
                <w:szCs w:val="21"/>
              </w:rPr>
              <w:t>0.0</w:t>
            </w:r>
            <w:r>
              <w:rPr>
                <w:rFonts w:hint="eastAsia"/>
                <w:szCs w:val="21"/>
                <w:lang w:val="en-US" w:eastAsia="zh-CN"/>
              </w:rPr>
              <w:t>2</w:t>
            </w:r>
            <w:r>
              <w:rPr>
                <w:rFonts w:hint="eastAsia"/>
                <w:szCs w:val="21"/>
              </w:rPr>
              <w:t xml:space="preserve"> </w:t>
            </w:r>
            <w:r>
              <w:rPr>
                <w:szCs w:val="21"/>
              </w:rPr>
              <w:t>t/a</w:t>
            </w:r>
          </w:p>
        </w:tc>
        <w:tc>
          <w:tcPr>
            <w:tcW w:w="1385" w:type="dxa"/>
            <w:vAlign w:val="center"/>
          </w:tcPr>
          <w:p w14:paraId="5E9B575A">
            <w:pPr>
              <w:pStyle w:val="52"/>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1806" w:type="dxa"/>
            <w:vAlign w:val="center"/>
          </w:tcPr>
          <w:p w14:paraId="6A1B4622">
            <w:pPr>
              <w:spacing w:line="280" w:lineRule="exact"/>
              <w:jc w:val="center"/>
              <w:rPr>
                <w:szCs w:val="21"/>
              </w:rPr>
            </w:pPr>
            <w:r>
              <w:rPr>
                <w:rFonts w:hint="eastAsia"/>
                <w:szCs w:val="21"/>
              </w:rPr>
              <w:t>0.0</w:t>
            </w:r>
            <w:r>
              <w:rPr>
                <w:rFonts w:hint="eastAsia"/>
                <w:szCs w:val="21"/>
                <w:lang w:val="en-US" w:eastAsia="zh-CN"/>
              </w:rPr>
              <w:t>2</w:t>
            </w:r>
            <w:r>
              <w:rPr>
                <w:rFonts w:hint="eastAsia"/>
                <w:szCs w:val="21"/>
              </w:rPr>
              <w:t xml:space="preserve"> </w:t>
            </w:r>
            <w:r>
              <w:rPr>
                <w:szCs w:val="21"/>
              </w:rPr>
              <w:t>t/a</w:t>
            </w:r>
          </w:p>
        </w:tc>
        <w:tc>
          <w:tcPr>
            <w:tcW w:w="1259" w:type="dxa"/>
            <w:vAlign w:val="center"/>
          </w:tcPr>
          <w:p w14:paraId="7D0D8F49">
            <w:pPr>
              <w:spacing w:line="280" w:lineRule="exact"/>
              <w:jc w:val="center"/>
              <w:rPr>
                <w:snapToGrid w:val="0"/>
                <w:kern w:val="21"/>
                <w:szCs w:val="21"/>
              </w:rPr>
            </w:pPr>
            <w:r>
              <w:rPr>
                <w:rFonts w:hint="eastAsia"/>
                <w:szCs w:val="21"/>
              </w:rPr>
              <w:t>+0.0</w:t>
            </w:r>
            <w:r>
              <w:rPr>
                <w:rFonts w:hint="eastAsia"/>
                <w:szCs w:val="21"/>
                <w:lang w:val="en-US" w:eastAsia="zh-CN"/>
              </w:rPr>
              <w:t>2</w:t>
            </w:r>
            <w:r>
              <w:rPr>
                <w:rFonts w:hint="eastAsia"/>
                <w:szCs w:val="21"/>
              </w:rPr>
              <w:t xml:space="preserve"> </w:t>
            </w:r>
            <w:r>
              <w:rPr>
                <w:szCs w:val="21"/>
              </w:rPr>
              <w:t>t/a</w:t>
            </w:r>
          </w:p>
        </w:tc>
      </w:tr>
    </w:tbl>
    <w:p w14:paraId="34D7D3FC">
      <w:pPr>
        <w:pStyle w:val="3"/>
        <w:rPr>
          <w:snapToGrid w:val="0"/>
          <w:spacing w:val="-6"/>
          <w:kern w:val="21"/>
          <w:szCs w:val="21"/>
        </w:rPr>
        <w:sectPr>
          <w:footerReference r:id="rId5" w:type="default"/>
          <w:pgSz w:w="16838" w:h="11906" w:orient="landscape"/>
          <w:pgMar w:top="1531" w:right="1701" w:bottom="1531" w:left="1701" w:header="851" w:footer="851" w:gutter="0"/>
          <w:cols w:space="720" w:num="1"/>
          <w:docGrid w:linePitch="312" w:charSpace="0"/>
        </w:sectPr>
      </w:pPr>
      <w:r>
        <w:rPr>
          <w:sz w:val="21"/>
        </w:rPr>
        <mc:AlternateContent>
          <mc:Choice Requires="wps">
            <w:drawing>
              <wp:anchor distT="0" distB="0" distL="114300" distR="114300" simplePos="0" relativeHeight="251659264" behindDoc="0" locked="0" layoutInCell="1" allowOverlap="1">
                <wp:simplePos x="0" y="0"/>
                <wp:positionH relativeFrom="column">
                  <wp:posOffset>74930</wp:posOffset>
                </wp:positionH>
                <wp:positionV relativeFrom="paragraph">
                  <wp:posOffset>31750</wp:posOffset>
                </wp:positionV>
                <wp:extent cx="2371725" cy="419100"/>
                <wp:effectExtent l="0" t="0" r="9525" b="0"/>
                <wp:wrapNone/>
                <wp:docPr id="11" name="文本框 11"/>
                <wp:cNvGraphicFramePr/>
                <a:graphic xmlns:a="http://schemas.openxmlformats.org/drawingml/2006/main">
                  <a:graphicData uri="http://schemas.microsoft.com/office/word/2010/wordprocessingShape">
                    <wps:wsp>
                      <wps:cNvSpPr txBox="1"/>
                      <wps:spPr>
                        <a:xfrm>
                          <a:off x="1145540" y="6499860"/>
                          <a:ext cx="2371725" cy="419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EEB380">
                            <w:pPr>
                              <w:pStyle w:val="52"/>
                              <w:spacing w:before="192" w:beforeLines="80" w:after="24" w:line="260" w:lineRule="auto"/>
                              <w:jc w:val="left"/>
                              <w:rPr>
                                <w:rFonts w:ascii="Times New Roman"/>
                                <w:snapToGrid w:val="0"/>
                                <w:spacing w:val="-6"/>
                                <w:kern w:val="21"/>
                                <w:szCs w:val="21"/>
                              </w:r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ascii="Times New Roman"/>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ascii="Times New Roman"/>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ascii="Times New Roman"/>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ascii="Times New Roman"/>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p>
                          <w:p w14:paraId="4CBCAFD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pt;margin-top:2.5pt;height:33pt;width:186.75pt;z-index:251659264;mso-width-relative:page;mso-height-relative:page;" filled="f" stroked="f" coordsize="21600,21600" o:gfxdata="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L7hzXYAAAABwEAAA8AAAAAAAAAAQAg&#10;AAAAIgAAAGRycy9kb3ducmV2LnhtbFBLAQIUABQAAAAIAIdO4kA3/ldzRwIAAHQEAAAOAAAAAAAA&#10;AAEAIAAAACcBAABkcnMvZTJvRG9jLnhtbFBLBQYAAAAABgAGAFkBAADgBQAAAAA=&#10;">
                <v:fill on="f" focussize="0,0"/>
                <v:stroke on="f" weight="0.5pt"/>
                <v:imagedata o:title=""/>
                <o:lock v:ext="edit" aspectratio="f"/>
                <v:textbox>
                  <w:txbxContent>
                    <w:p w14:paraId="02EEB380">
                      <w:pPr>
                        <w:pStyle w:val="52"/>
                        <w:spacing w:before="192" w:beforeLines="80" w:after="24" w:line="260" w:lineRule="auto"/>
                        <w:jc w:val="left"/>
                        <w:rPr>
                          <w:rFonts w:ascii="Times New Roman"/>
                          <w:snapToGrid w:val="0"/>
                          <w:spacing w:val="-6"/>
                          <w:kern w:val="21"/>
                          <w:szCs w:val="21"/>
                        </w:r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ascii="Times New Roman"/>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ascii="Times New Roman"/>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ascii="Times New Roman"/>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ascii="Times New Roman"/>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p>
                    <w:p w14:paraId="4CBCAFDA"/>
                  </w:txbxContent>
                </v:textbox>
              </v:shape>
            </w:pict>
          </mc:Fallback>
        </mc:AlternateContent>
      </w:r>
    </w:p>
    <w:tbl>
      <w:tblPr>
        <w:tblStyle w:val="29"/>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2"/>
      </w:tblGrid>
      <w:tr w14:paraId="7069D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tcPr>
          <w:p w14:paraId="3B7573B8">
            <w:pPr>
              <w:pageBreakBefore/>
              <w:spacing w:before="120" w:beforeLines="50"/>
              <w:ind w:firstLine="482" w:firstLineChars="200"/>
              <w:rPr>
                <w:b/>
                <w:sz w:val="24"/>
              </w:rPr>
            </w:pPr>
            <w:r>
              <w:rPr>
                <w:b/>
                <w:sz w:val="24"/>
              </w:rPr>
              <w:t>预审意见：</w:t>
            </w:r>
          </w:p>
          <w:p w14:paraId="66208499">
            <w:pPr>
              <w:pageBreakBefore/>
              <w:rPr>
                <w:sz w:val="24"/>
              </w:rPr>
            </w:pPr>
          </w:p>
          <w:p w14:paraId="2DEFD2D6">
            <w:pPr>
              <w:pageBreakBefore/>
              <w:rPr>
                <w:sz w:val="24"/>
              </w:rPr>
            </w:pPr>
          </w:p>
          <w:p w14:paraId="67CDE121">
            <w:pPr>
              <w:pageBreakBefore/>
              <w:rPr>
                <w:sz w:val="24"/>
              </w:rPr>
            </w:pPr>
          </w:p>
          <w:p w14:paraId="779392FB">
            <w:pPr>
              <w:pageBreakBefore/>
              <w:rPr>
                <w:sz w:val="24"/>
              </w:rPr>
            </w:pPr>
          </w:p>
          <w:p w14:paraId="71242698">
            <w:pPr>
              <w:pageBreakBefore/>
              <w:rPr>
                <w:sz w:val="24"/>
              </w:rPr>
            </w:pPr>
          </w:p>
          <w:p w14:paraId="46CE64FF">
            <w:pPr>
              <w:pageBreakBefore/>
              <w:rPr>
                <w:sz w:val="24"/>
              </w:rPr>
            </w:pPr>
          </w:p>
          <w:p w14:paraId="13EEC3F7">
            <w:pPr>
              <w:pageBreakBefore/>
              <w:rPr>
                <w:sz w:val="24"/>
              </w:rPr>
            </w:pPr>
          </w:p>
          <w:p w14:paraId="43BB0B47">
            <w:pPr>
              <w:pageBreakBefore/>
              <w:rPr>
                <w:sz w:val="24"/>
              </w:rPr>
            </w:pPr>
          </w:p>
          <w:p w14:paraId="6A47403F">
            <w:pPr>
              <w:pageBreakBefore/>
              <w:rPr>
                <w:sz w:val="24"/>
              </w:rPr>
            </w:pPr>
          </w:p>
          <w:p w14:paraId="686395D7">
            <w:pPr>
              <w:pageBreakBefore/>
              <w:rPr>
                <w:sz w:val="24"/>
              </w:rPr>
            </w:pPr>
          </w:p>
          <w:p w14:paraId="3F972288">
            <w:pPr>
              <w:pageBreakBefore/>
              <w:rPr>
                <w:sz w:val="24"/>
              </w:rPr>
            </w:pPr>
          </w:p>
          <w:p w14:paraId="66F8196C">
            <w:pPr>
              <w:pageBreakBefore/>
              <w:rPr>
                <w:sz w:val="24"/>
              </w:rPr>
            </w:pPr>
          </w:p>
          <w:p w14:paraId="45B8AF37">
            <w:pPr>
              <w:pageBreakBefore/>
              <w:rPr>
                <w:sz w:val="24"/>
              </w:rPr>
            </w:pPr>
          </w:p>
          <w:p w14:paraId="60F5AD56">
            <w:pPr>
              <w:pageBreakBefore/>
              <w:rPr>
                <w:sz w:val="24"/>
              </w:rPr>
            </w:pPr>
          </w:p>
          <w:p w14:paraId="1C0C36B6">
            <w:pPr>
              <w:pageBreakBefore/>
              <w:rPr>
                <w:sz w:val="24"/>
              </w:rPr>
            </w:pPr>
          </w:p>
          <w:p w14:paraId="066B2E87">
            <w:pPr>
              <w:pageBreakBefore/>
              <w:rPr>
                <w:sz w:val="24"/>
              </w:rPr>
            </w:pPr>
          </w:p>
          <w:p w14:paraId="1FB74A5A">
            <w:pPr>
              <w:pStyle w:val="3"/>
              <w:spacing w:before="0" w:after="0" w:line="240" w:lineRule="auto"/>
              <w:ind w:right="0"/>
            </w:pPr>
          </w:p>
          <w:p w14:paraId="5B69F1CB">
            <w:pPr>
              <w:pageBreakBefore/>
              <w:spacing w:after="240" w:afterLines="100"/>
              <w:ind w:right="630" w:rightChars="300"/>
              <w:jc w:val="right"/>
              <w:rPr>
                <w:sz w:val="24"/>
              </w:rPr>
            </w:pPr>
            <w:r>
              <w:rPr>
                <w:sz w:val="24"/>
              </w:rPr>
              <w:t>公章</w:t>
            </w:r>
          </w:p>
          <w:p w14:paraId="7B465539">
            <w:pPr>
              <w:pageBreakBefore/>
              <w:spacing w:after="120" w:afterLines="50"/>
              <w:rPr>
                <w:sz w:val="24"/>
              </w:rPr>
            </w:pPr>
            <w:r>
              <w:rPr>
                <w:sz w:val="24"/>
              </w:rPr>
              <w:t xml:space="preserve">经办：                                                 </w:t>
            </w:r>
            <w:r>
              <w:rPr>
                <w:rFonts w:hint="eastAsia"/>
                <w:sz w:val="24"/>
              </w:rPr>
              <w:t xml:space="preserve">   </w:t>
            </w:r>
            <w:r>
              <w:rPr>
                <w:sz w:val="24"/>
              </w:rPr>
              <w:t xml:space="preserve">    年    月    日</w:t>
            </w:r>
          </w:p>
        </w:tc>
      </w:tr>
      <w:tr w14:paraId="1AFBD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tcPr>
          <w:p w14:paraId="6BEF8FE2">
            <w:pPr>
              <w:spacing w:before="120" w:beforeLines="50"/>
              <w:ind w:firstLine="482" w:firstLineChars="200"/>
              <w:rPr>
                <w:b/>
                <w:sz w:val="24"/>
              </w:rPr>
            </w:pPr>
            <w:r>
              <w:rPr>
                <w:b/>
                <w:sz w:val="24"/>
              </w:rPr>
              <w:t>下一级环境保护行政主管部门审查意见：</w:t>
            </w:r>
          </w:p>
          <w:p w14:paraId="7D3D9A0E">
            <w:pPr>
              <w:rPr>
                <w:sz w:val="24"/>
              </w:rPr>
            </w:pPr>
          </w:p>
          <w:p w14:paraId="5C22D797">
            <w:pPr>
              <w:rPr>
                <w:sz w:val="24"/>
              </w:rPr>
            </w:pPr>
          </w:p>
          <w:p w14:paraId="2A93D331">
            <w:pPr>
              <w:rPr>
                <w:sz w:val="24"/>
              </w:rPr>
            </w:pPr>
          </w:p>
          <w:p w14:paraId="124EFF25">
            <w:pPr>
              <w:rPr>
                <w:sz w:val="24"/>
              </w:rPr>
            </w:pPr>
          </w:p>
          <w:p w14:paraId="045DD654">
            <w:pPr>
              <w:rPr>
                <w:sz w:val="24"/>
              </w:rPr>
            </w:pPr>
          </w:p>
          <w:p w14:paraId="61703076">
            <w:pPr>
              <w:rPr>
                <w:sz w:val="24"/>
              </w:rPr>
            </w:pPr>
          </w:p>
          <w:p w14:paraId="2DF15DE7">
            <w:pPr>
              <w:rPr>
                <w:sz w:val="24"/>
              </w:rPr>
            </w:pPr>
          </w:p>
          <w:p w14:paraId="1AD585DA">
            <w:pPr>
              <w:rPr>
                <w:sz w:val="24"/>
              </w:rPr>
            </w:pPr>
          </w:p>
          <w:p w14:paraId="1FFAA709">
            <w:pPr>
              <w:rPr>
                <w:sz w:val="24"/>
              </w:rPr>
            </w:pPr>
          </w:p>
          <w:p w14:paraId="048BB624">
            <w:pPr>
              <w:rPr>
                <w:sz w:val="24"/>
              </w:rPr>
            </w:pPr>
          </w:p>
          <w:p w14:paraId="3FFC084B">
            <w:pPr>
              <w:rPr>
                <w:sz w:val="24"/>
              </w:rPr>
            </w:pPr>
          </w:p>
          <w:p w14:paraId="0A5E0C04">
            <w:pPr>
              <w:rPr>
                <w:sz w:val="24"/>
              </w:rPr>
            </w:pPr>
          </w:p>
          <w:p w14:paraId="08FE1A9D">
            <w:pPr>
              <w:rPr>
                <w:sz w:val="24"/>
              </w:rPr>
            </w:pPr>
          </w:p>
          <w:p w14:paraId="0FF76FFC">
            <w:pPr>
              <w:rPr>
                <w:sz w:val="24"/>
              </w:rPr>
            </w:pPr>
          </w:p>
          <w:p w14:paraId="75387531">
            <w:pPr>
              <w:rPr>
                <w:sz w:val="24"/>
              </w:rPr>
            </w:pPr>
          </w:p>
          <w:p w14:paraId="0F1920CE">
            <w:pPr>
              <w:rPr>
                <w:sz w:val="24"/>
              </w:rPr>
            </w:pPr>
          </w:p>
          <w:p w14:paraId="0B176DEB">
            <w:pPr>
              <w:rPr>
                <w:sz w:val="24"/>
              </w:rPr>
            </w:pPr>
          </w:p>
          <w:p w14:paraId="48AF91C3">
            <w:pPr>
              <w:pStyle w:val="3"/>
              <w:spacing w:before="0" w:after="0" w:line="240" w:lineRule="auto"/>
              <w:ind w:right="0"/>
              <w:rPr>
                <w:kern w:val="2"/>
                <w:sz w:val="24"/>
                <w:szCs w:val="24"/>
              </w:rPr>
            </w:pPr>
          </w:p>
          <w:p w14:paraId="5C33DFE3">
            <w:pPr>
              <w:pStyle w:val="3"/>
              <w:spacing w:before="0" w:after="0" w:line="240" w:lineRule="auto"/>
              <w:ind w:right="0"/>
              <w:rPr>
                <w:kern w:val="2"/>
                <w:sz w:val="24"/>
                <w:szCs w:val="24"/>
              </w:rPr>
            </w:pPr>
          </w:p>
          <w:p w14:paraId="65D5ACB9">
            <w:pPr>
              <w:pageBreakBefore/>
              <w:spacing w:after="240" w:afterLines="100"/>
              <w:ind w:right="630" w:rightChars="300"/>
              <w:jc w:val="right"/>
              <w:rPr>
                <w:sz w:val="24"/>
              </w:rPr>
            </w:pPr>
            <w:r>
              <w:rPr>
                <w:sz w:val="24"/>
              </w:rPr>
              <w:t>公章</w:t>
            </w:r>
          </w:p>
          <w:p w14:paraId="2AB1270D">
            <w:pPr>
              <w:pageBreakBefore/>
              <w:spacing w:after="120" w:afterLines="50"/>
              <w:rPr>
                <w:sz w:val="24"/>
              </w:rPr>
            </w:pPr>
            <w:r>
              <w:rPr>
                <w:sz w:val="24"/>
              </w:rPr>
              <w:t xml:space="preserve">经办人：                                                      年 </w:t>
            </w:r>
            <w:r>
              <w:rPr>
                <w:rFonts w:hint="eastAsia"/>
                <w:sz w:val="24"/>
              </w:rPr>
              <w:t xml:space="preserve"> </w:t>
            </w:r>
            <w:r>
              <w:rPr>
                <w:sz w:val="24"/>
              </w:rPr>
              <w:t xml:space="preserve">  月 </w:t>
            </w:r>
            <w:r>
              <w:rPr>
                <w:rFonts w:hint="eastAsia"/>
                <w:sz w:val="24"/>
              </w:rPr>
              <w:t xml:space="preserve"> </w:t>
            </w:r>
            <w:r>
              <w:rPr>
                <w:sz w:val="24"/>
              </w:rPr>
              <w:t xml:space="preserve">  日</w:t>
            </w:r>
          </w:p>
        </w:tc>
      </w:tr>
      <w:tr w14:paraId="18673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tcPr>
          <w:p w14:paraId="293E0C89">
            <w:pPr>
              <w:pageBreakBefore/>
              <w:spacing w:before="120" w:beforeLines="50"/>
              <w:ind w:firstLine="482" w:firstLineChars="200"/>
              <w:rPr>
                <w:b/>
                <w:sz w:val="24"/>
              </w:rPr>
            </w:pPr>
            <w:r>
              <w:rPr>
                <w:b/>
                <w:sz w:val="24"/>
              </w:rPr>
              <w:t>审批意见：</w:t>
            </w:r>
          </w:p>
          <w:p w14:paraId="37A5FC6E">
            <w:pPr>
              <w:pageBreakBefore/>
              <w:spacing w:line="360" w:lineRule="auto"/>
              <w:rPr>
                <w:sz w:val="24"/>
              </w:rPr>
            </w:pPr>
          </w:p>
          <w:p w14:paraId="3A36671E">
            <w:pPr>
              <w:pageBreakBefore/>
              <w:spacing w:line="360" w:lineRule="auto"/>
              <w:rPr>
                <w:sz w:val="24"/>
              </w:rPr>
            </w:pPr>
          </w:p>
          <w:p w14:paraId="697E9933">
            <w:pPr>
              <w:pageBreakBefore/>
              <w:spacing w:line="360" w:lineRule="auto"/>
              <w:rPr>
                <w:sz w:val="24"/>
              </w:rPr>
            </w:pPr>
          </w:p>
          <w:p w14:paraId="6998C039">
            <w:pPr>
              <w:pageBreakBefore/>
              <w:spacing w:line="360" w:lineRule="auto"/>
              <w:rPr>
                <w:sz w:val="24"/>
              </w:rPr>
            </w:pPr>
          </w:p>
          <w:p w14:paraId="65995B21">
            <w:pPr>
              <w:pageBreakBefore/>
              <w:spacing w:line="360" w:lineRule="auto"/>
              <w:rPr>
                <w:sz w:val="24"/>
              </w:rPr>
            </w:pPr>
          </w:p>
          <w:p w14:paraId="673CB20F">
            <w:pPr>
              <w:pageBreakBefore/>
              <w:spacing w:line="360" w:lineRule="auto"/>
              <w:rPr>
                <w:sz w:val="24"/>
              </w:rPr>
            </w:pPr>
          </w:p>
          <w:p w14:paraId="2F87E6A1">
            <w:pPr>
              <w:pageBreakBefore/>
              <w:spacing w:line="360" w:lineRule="auto"/>
              <w:rPr>
                <w:sz w:val="24"/>
              </w:rPr>
            </w:pPr>
          </w:p>
          <w:p w14:paraId="0C1F095C">
            <w:pPr>
              <w:pageBreakBefore/>
              <w:spacing w:line="360" w:lineRule="auto"/>
              <w:rPr>
                <w:sz w:val="24"/>
              </w:rPr>
            </w:pPr>
          </w:p>
          <w:p w14:paraId="5D6A90C2">
            <w:pPr>
              <w:pageBreakBefore/>
              <w:spacing w:line="360" w:lineRule="auto"/>
              <w:rPr>
                <w:sz w:val="24"/>
              </w:rPr>
            </w:pPr>
          </w:p>
          <w:p w14:paraId="3D917799">
            <w:pPr>
              <w:pageBreakBefore/>
              <w:spacing w:line="360" w:lineRule="auto"/>
              <w:rPr>
                <w:sz w:val="24"/>
              </w:rPr>
            </w:pPr>
          </w:p>
          <w:p w14:paraId="50968AFD">
            <w:pPr>
              <w:pageBreakBefore/>
              <w:spacing w:line="360" w:lineRule="auto"/>
              <w:rPr>
                <w:sz w:val="24"/>
              </w:rPr>
            </w:pPr>
          </w:p>
          <w:p w14:paraId="2A4A6AFE">
            <w:pPr>
              <w:pageBreakBefore/>
              <w:spacing w:line="360" w:lineRule="auto"/>
              <w:rPr>
                <w:sz w:val="24"/>
              </w:rPr>
            </w:pPr>
          </w:p>
          <w:p w14:paraId="70416D44">
            <w:pPr>
              <w:pageBreakBefore/>
              <w:spacing w:line="360" w:lineRule="auto"/>
              <w:rPr>
                <w:sz w:val="24"/>
              </w:rPr>
            </w:pPr>
          </w:p>
          <w:p w14:paraId="0B18B1DB">
            <w:pPr>
              <w:pageBreakBefore/>
              <w:spacing w:line="360" w:lineRule="auto"/>
              <w:rPr>
                <w:sz w:val="24"/>
              </w:rPr>
            </w:pPr>
          </w:p>
          <w:p w14:paraId="48F6D399">
            <w:pPr>
              <w:pageBreakBefore/>
              <w:spacing w:line="360" w:lineRule="auto"/>
              <w:rPr>
                <w:sz w:val="24"/>
              </w:rPr>
            </w:pPr>
          </w:p>
          <w:p w14:paraId="5F4223D3">
            <w:pPr>
              <w:pageBreakBefore/>
              <w:spacing w:line="360" w:lineRule="auto"/>
              <w:rPr>
                <w:sz w:val="24"/>
              </w:rPr>
            </w:pPr>
          </w:p>
          <w:p w14:paraId="4AF8D92F">
            <w:pPr>
              <w:pageBreakBefore/>
              <w:spacing w:line="360" w:lineRule="auto"/>
              <w:rPr>
                <w:sz w:val="24"/>
              </w:rPr>
            </w:pPr>
          </w:p>
          <w:p w14:paraId="19B127D6">
            <w:pPr>
              <w:pageBreakBefore/>
              <w:spacing w:line="360" w:lineRule="auto"/>
              <w:rPr>
                <w:sz w:val="24"/>
              </w:rPr>
            </w:pPr>
          </w:p>
          <w:p w14:paraId="27AD4C68">
            <w:pPr>
              <w:pageBreakBefore/>
              <w:spacing w:line="360" w:lineRule="auto"/>
              <w:rPr>
                <w:sz w:val="24"/>
              </w:rPr>
            </w:pPr>
          </w:p>
          <w:p w14:paraId="1C68A108">
            <w:pPr>
              <w:pageBreakBefore/>
              <w:spacing w:line="360" w:lineRule="auto"/>
              <w:rPr>
                <w:sz w:val="24"/>
              </w:rPr>
            </w:pPr>
          </w:p>
          <w:p w14:paraId="1A26EDB7">
            <w:pPr>
              <w:pageBreakBefore/>
              <w:spacing w:line="360" w:lineRule="auto"/>
              <w:rPr>
                <w:sz w:val="24"/>
              </w:rPr>
            </w:pPr>
          </w:p>
          <w:p w14:paraId="1ADB2C88">
            <w:pPr>
              <w:pageBreakBefore/>
              <w:spacing w:line="360" w:lineRule="auto"/>
              <w:rPr>
                <w:sz w:val="24"/>
              </w:rPr>
            </w:pPr>
          </w:p>
          <w:p w14:paraId="47D8736A">
            <w:pPr>
              <w:pStyle w:val="3"/>
              <w:spacing w:before="0" w:after="0" w:line="360" w:lineRule="auto"/>
              <w:ind w:right="0"/>
            </w:pPr>
          </w:p>
          <w:p w14:paraId="6C45D645">
            <w:pPr>
              <w:pageBreakBefore/>
              <w:spacing w:line="360" w:lineRule="auto"/>
              <w:rPr>
                <w:sz w:val="24"/>
              </w:rPr>
            </w:pPr>
          </w:p>
          <w:p w14:paraId="3BB44D0F">
            <w:pPr>
              <w:pStyle w:val="3"/>
              <w:spacing w:before="0" w:after="0" w:line="360" w:lineRule="auto"/>
              <w:ind w:right="0"/>
              <w:rPr>
                <w:kern w:val="2"/>
                <w:sz w:val="24"/>
                <w:szCs w:val="24"/>
              </w:rPr>
            </w:pPr>
          </w:p>
          <w:p w14:paraId="16181761">
            <w:pPr>
              <w:pStyle w:val="3"/>
              <w:spacing w:before="0" w:after="0" w:line="360" w:lineRule="auto"/>
              <w:ind w:right="0"/>
              <w:rPr>
                <w:kern w:val="2"/>
                <w:sz w:val="24"/>
                <w:szCs w:val="24"/>
              </w:rPr>
            </w:pPr>
          </w:p>
          <w:p w14:paraId="1AFC2447">
            <w:pPr>
              <w:pageBreakBefore/>
              <w:spacing w:line="360" w:lineRule="auto"/>
              <w:rPr>
                <w:sz w:val="24"/>
              </w:rPr>
            </w:pPr>
          </w:p>
          <w:p w14:paraId="204DBBEA">
            <w:pPr>
              <w:pageBreakBefore/>
              <w:spacing w:after="240" w:afterLines="100"/>
              <w:ind w:right="630" w:rightChars="300"/>
              <w:jc w:val="right"/>
              <w:rPr>
                <w:sz w:val="24"/>
              </w:rPr>
            </w:pPr>
            <w:r>
              <w:rPr>
                <w:sz w:val="24"/>
              </w:rPr>
              <w:t>公章</w:t>
            </w:r>
          </w:p>
          <w:p w14:paraId="2FBC7547">
            <w:pPr>
              <w:pageBreakBefore/>
              <w:spacing w:after="120" w:afterLines="50"/>
              <w:rPr>
                <w:sz w:val="24"/>
              </w:rPr>
            </w:pPr>
            <w:r>
              <w:rPr>
                <w:sz w:val="24"/>
              </w:rPr>
              <w:t xml:space="preserve">经办人：                                            </w:t>
            </w:r>
            <w:r>
              <w:rPr>
                <w:rFonts w:hint="eastAsia"/>
                <w:sz w:val="24"/>
              </w:rPr>
              <w:t xml:space="preserve"> </w:t>
            </w:r>
            <w:r>
              <w:rPr>
                <w:sz w:val="24"/>
              </w:rPr>
              <w:t xml:space="preserve">         年   </w:t>
            </w:r>
            <w:r>
              <w:rPr>
                <w:rFonts w:hint="eastAsia"/>
                <w:sz w:val="24"/>
              </w:rPr>
              <w:t xml:space="preserve"> </w:t>
            </w:r>
            <w:r>
              <w:rPr>
                <w:sz w:val="24"/>
              </w:rPr>
              <w:t xml:space="preserve">月 </w:t>
            </w:r>
            <w:r>
              <w:rPr>
                <w:rFonts w:hint="eastAsia"/>
                <w:sz w:val="24"/>
              </w:rPr>
              <w:t xml:space="preserve"> </w:t>
            </w:r>
            <w:r>
              <w:rPr>
                <w:sz w:val="24"/>
              </w:rPr>
              <w:t xml:space="preserve">  日</w:t>
            </w:r>
          </w:p>
        </w:tc>
      </w:tr>
    </w:tbl>
    <w:p w14:paraId="4AFB5E85">
      <w:pPr>
        <w:pStyle w:val="3"/>
        <w:outlineLvl w:val="0"/>
        <w:rPr>
          <w:snapToGrid w:val="0"/>
          <w:spacing w:val="-6"/>
          <w:kern w:val="21"/>
          <w:szCs w:val="21"/>
        </w:rPr>
        <w:sectPr>
          <w:pgSz w:w="11906" w:h="16838"/>
          <w:pgMar w:top="1701" w:right="1531" w:bottom="1701" w:left="1531" w:header="851" w:footer="851" w:gutter="0"/>
          <w:cols w:space="720" w:num="1"/>
          <w:docGrid w:linePitch="312" w:charSpace="0"/>
        </w:sectPr>
      </w:pPr>
    </w:p>
    <w:p w14:paraId="498236D1">
      <w:pPr>
        <w:widowControl/>
        <w:spacing w:line="440" w:lineRule="exact"/>
        <w:jc w:val="left"/>
        <w:rPr>
          <w:b/>
          <w:kern w:val="0"/>
          <w:sz w:val="24"/>
        </w:rPr>
      </w:pPr>
      <w:r>
        <w:rPr>
          <w:rFonts w:hint="eastAsia"/>
          <w:b/>
          <w:kern w:val="0"/>
          <w:sz w:val="24"/>
        </w:rPr>
        <w:t>附件:</w:t>
      </w:r>
    </w:p>
    <w:p w14:paraId="4D0C0789">
      <w:pPr>
        <w:widowControl/>
        <w:spacing w:line="360" w:lineRule="auto"/>
        <w:ind w:firstLine="700" w:firstLineChars="292"/>
        <w:jc w:val="left"/>
        <w:rPr>
          <w:kern w:val="0"/>
          <w:sz w:val="24"/>
        </w:rPr>
      </w:pPr>
      <w:r>
        <w:rPr>
          <w:kern w:val="0"/>
          <w:sz w:val="24"/>
        </w:rPr>
        <w:t>附件1  委托书</w:t>
      </w:r>
    </w:p>
    <w:p w14:paraId="6C0408EB">
      <w:pPr>
        <w:widowControl/>
        <w:spacing w:line="360" w:lineRule="auto"/>
        <w:ind w:firstLine="700" w:firstLineChars="292"/>
        <w:jc w:val="left"/>
        <w:rPr>
          <w:kern w:val="0"/>
          <w:sz w:val="24"/>
        </w:rPr>
      </w:pPr>
      <w:r>
        <w:rPr>
          <w:kern w:val="0"/>
          <w:sz w:val="24"/>
        </w:rPr>
        <w:t>附件2  危废承诺</w:t>
      </w:r>
    </w:p>
    <w:p w14:paraId="58CCD175">
      <w:pPr>
        <w:widowControl/>
        <w:spacing w:line="360" w:lineRule="auto"/>
        <w:ind w:firstLine="700" w:firstLineChars="292"/>
        <w:jc w:val="left"/>
        <w:rPr>
          <w:kern w:val="0"/>
          <w:sz w:val="24"/>
        </w:rPr>
      </w:pPr>
      <w:r>
        <w:rPr>
          <w:kern w:val="0"/>
          <w:sz w:val="24"/>
        </w:rPr>
        <w:t>附件3  真实性承诺</w:t>
      </w:r>
    </w:p>
    <w:p w14:paraId="32B260ED">
      <w:pPr>
        <w:widowControl/>
        <w:spacing w:line="360" w:lineRule="auto"/>
        <w:ind w:firstLine="700" w:firstLineChars="292"/>
        <w:jc w:val="left"/>
        <w:rPr>
          <w:kern w:val="0"/>
          <w:sz w:val="24"/>
        </w:rPr>
      </w:pPr>
      <w:r>
        <w:rPr>
          <w:kern w:val="0"/>
          <w:sz w:val="24"/>
        </w:rPr>
        <w:t>附件4  立项文件</w:t>
      </w:r>
    </w:p>
    <w:p w14:paraId="03F5631F">
      <w:pPr>
        <w:widowControl/>
        <w:spacing w:line="360" w:lineRule="auto"/>
        <w:ind w:firstLine="700" w:firstLineChars="292"/>
        <w:jc w:val="left"/>
        <w:rPr>
          <w:rFonts w:hint="eastAsia"/>
          <w:kern w:val="0"/>
          <w:sz w:val="24"/>
        </w:rPr>
      </w:pPr>
      <w:r>
        <w:rPr>
          <w:kern w:val="0"/>
          <w:sz w:val="24"/>
        </w:rPr>
        <w:t xml:space="preserve">附件5  </w:t>
      </w:r>
      <w:r>
        <w:rPr>
          <w:rFonts w:hint="eastAsia"/>
          <w:kern w:val="0"/>
          <w:sz w:val="24"/>
        </w:rPr>
        <w:t>土地证</w:t>
      </w:r>
    </w:p>
    <w:p w14:paraId="429A0902">
      <w:pPr>
        <w:widowControl/>
        <w:spacing w:line="360" w:lineRule="auto"/>
        <w:ind w:firstLine="700" w:firstLineChars="292"/>
        <w:jc w:val="left"/>
        <w:rPr>
          <w:rFonts w:hint="default" w:eastAsia="宋体"/>
          <w:kern w:val="0"/>
          <w:sz w:val="24"/>
          <w:highlight w:val="yellow"/>
          <w:lang w:val="en-US" w:eastAsia="zh-CN"/>
        </w:rPr>
      </w:pPr>
      <w:r>
        <w:rPr>
          <w:kern w:val="0"/>
          <w:sz w:val="24"/>
        </w:rPr>
        <w:t>附件</w:t>
      </w:r>
      <w:r>
        <w:rPr>
          <w:rFonts w:hint="eastAsia"/>
          <w:kern w:val="0"/>
          <w:sz w:val="24"/>
        </w:rPr>
        <w:t>6</w:t>
      </w:r>
      <w:r>
        <w:rPr>
          <w:kern w:val="0"/>
          <w:sz w:val="24"/>
        </w:rPr>
        <w:t xml:space="preserve">  </w:t>
      </w:r>
      <w:r>
        <w:rPr>
          <w:rFonts w:hint="eastAsia"/>
          <w:kern w:val="0"/>
          <w:sz w:val="24"/>
          <w:lang w:val="en-US" w:eastAsia="zh-CN"/>
        </w:rPr>
        <w:t>租赁合同</w:t>
      </w:r>
    </w:p>
    <w:p w14:paraId="0E972183">
      <w:pPr>
        <w:widowControl/>
        <w:spacing w:line="360" w:lineRule="auto"/>
        <w:ind w:firstLine="700" w:firstLineChars="292"/>
        <w:jc w:val="left"/>
        <w:rPr>
          <w:kern w:val="0"/>
          <w:sz w:val="24"/>
          <w:highlight w:val="yellow"/>
        </w:rPr>
      </w:pPr>
      <w:r>
        <w:rPr>
          <w:kern w:val="0"/>
          <w:sz w:val="24"/>
        </w:rPr>
        <w:t>附件</w:t>
      </w:r>
      <w:r>
        <w:rPr>
          <w:rFonts w:hint="eastAsia"/>
          <w:kern w:val="0"/>
          <w:sz w:val="24"/>
          <w:lang w:val="en-US" w:eastAsia="zh-CN"/>
        </w:rPr>
        <w:t>7</w:t>
      </w:r>
      <w:r>
        <w:rPr>
          <w:kern w:val="0"/>
          <w:sz w:val="24"/>
        </w:rPr>
        <w:t xml:space="preserve">  营业执照</w:t>
      </w:r>
    </w:p>
    <w:p w14:paraId="3307A7C6">
      <w:pPr>
        <w:widowControl/>
        <w:spacing w:line="360" w:lineRule="auto"/>
        <w:ind w:firstLine="700" w:firstLineChars="292"/>
        <w:jc w:val="left"/>
        <w:rPr>
          <w:kern w:val="0"/>
          <w:sz w:val="24"/>
          <w:highlight w:val="yellow"/>
        </w:rPr>
      </w:pPr>
      <w:r>
        <w:rPr>
          <w:kern w:val="0"/>
          <w:sz w:val="24"/>
        </w:rPr>
        <w:t>附件</w:t>
      </w:r>
      <w:r>
        <w:rPr>
          <w:rFonts w:hint="eastAsia"/>
          <w:kern w:val="0"/>
          <w:sz w:val="24"/>
          <w:lang w:val="en-US" w:eastAsia="zh-CN"/>
        </w:rPr>
        <w:t>8</w:t>
      </w:r>
      <w:r>
        <w:rPr>
          <w:kern w:val="0"/>
          <w:sz w:val="24"/>
        </w:rPr>
        <w:t xml:space="preserve">  </w:t>
      </w:r>
      <w:r>
        <w:rPr>
          <w:rFonts w:hint="eastAsia"/>
          <w:kern w:val="0"/>
          <w:sz w:val="24"/>
        </w:rPr>
        <w:t>全本公示证明</w:t>
      </w:r>
    </w:p>
    <w:p w14:paraId="1CA8659B">
      <w:pPr>
        <w:widowControl/>
        <w:spacing w:line="360" w:lineRule="auto"/>
        <w:ind w:firstLine="700" w:firstLineChars="292"/>
        <w:jc w:val="left"/>
        <w:rPr>
          <w:kern w:val="0"/>
          <w:sz w:val="24"/>
        </w:rPr>
      </w:pPr>
      <w:r>
        <w:rPr>
          <w:kern w:val="0"/>
          <w:sz w:val="24"/>
        </w:rPr>
        <w:t>附件</w:t>
      </w:r>
      <w:r>
        <w:rPr>
          <w:rFonts w:hint="eastAsia"/>
          <w:kern w:val="0"/>
          <w:sz w:val="24"/>
          <w:lang w:val="en-US" w:eastAsia="zh-CN"/>
        </w:rPr>
        <w:t>9</w:t>
      </w:r>
      <w:r>
        <w:rPr>
          <w:kern w:val="0"/>
          <w:sz w:val="24"/>
        </w:rPr>
        <w:t xml:space="preserve">  </w:t>
      </w:r>
      <w:r>
        <w:rPr>
          <w:rFonts w:hint="eastAsia"/>
          <w:kern w:val="0"/>
          <w:sz w:val="24"/>
        </w:rPr>
        <w:t>排污许可登记回执</w:t>
      </w:r>
    </w:p>
    <w:p w14:paraId="155A1D90">
      <w:pPr>
        <w:pStyle w:val="9"/>
        <w:spacing w:line="360" w:lineRule="auto"/>
        <w:ind w:firstLine="480"/>
        <w:rPr>
          <w:rFonts w:hint="eastAsia"/>
          <w:snapToGrid w:val="0"/>
          <w:sz w:val="24"/>
        </w:rPr>
      </w:pPr>
      <w:r>
        <w:rPr>
          <w:rFonts w:hint="eastAsia"/>
          <w:kern w:val="0"/>
          <w:sz w:val="24"/>
        </w:rPr>
        <w:t xml:space="preserve">  附件</w:t>
      </w:r>
      <w:r>
        <w:rPr>
          <w:rFonts w:hint="eastAsia"/>
          <w:kern w:val="0"/>
          <w:sz w:val="24"/>
          <w:lang w:val="en-US" w:eastAsia="zh-CN"/>
        </w:rPr>
        <w:t>10</w:t>
      </w:r>
      <w:r>
        <w:rPr>
          <w:rFonts w:hint="eastAsia"/>
          <w:kern w:val="0"/>
          <w:sz w:val="24"/>
        </w:rPr>
        <w:t xml:space="preserve">  </w:t>
      </w:r>
      <w:r>
        <w:rPr>
          <w:rFonts w:hint="eastAsia"/>
          <w:snapToGrid w:val="0"/>
          <w:sz w:val="24"/>
        </w:rPr>
        <w:t>水性胶msds</w:t>
      </w:r>
    </w:p>
    <w:p w14:paraId="6225EC58">
      <w:pPr>
        <w:pStyle w:val="9"/>
        <w:spacing w:line="360" w:lineRule="auto"/>
        <w:ind w:firstLine="720" w:firstLineChars="300"/>
        <w:rPr>
          <w:rFonts w:hint="eastAsia"/>
          <w:snapToGrid w:val="0"/>
          <w:sz w:val="24"/>
        </w:rPr>
      </w:pPr>
      <w:r>
        <w:rPr>
          <w:rFonts w:hint="eastAsia"/>
          <w:snapToGrid w:val="0"/>
          <w:sz w:val="24"/>
        </w:rPr>
        <w:t>附件11  水性胶检测报告</w:t>
      </w:r>
    </w:p>
    <w:p w14:paraId="3A889145">
      <w:pPr>
        <w:pStyle w:val="9"/>
        <w:spacing w:line="360" w:lineRule="auto"/>
        <w:ind w:firstLine="720" w:firstLineChars="300"/>
        <w:rPr>
          <w:rFonts w:hint="eastAsia"/>
          <w:snapToGrid w:val="0"/>
          <w:sz w:val="24"/>
        </w:rPr>
      </w:pPr>
      <w:r>
        <w:rPr>
          <w:rFonts w:hint="eastAsia"/>
          <w:snapToGrid w:val="0"/>
          <w:sz w:val="24"/>
        </w:rPr>
        <w:t>附件12 多亚甲基多苯基异氰酸酯MSDS</w:t>
      </w:r>
    </w:p>
    <w:p w14:paraId="34EC2CC7">
      <w:pPr>
        <w:pStyle w:val="9"/>
        <w:spacing w:line="360" w:lineRule="auto"/>
        <w:ind w:firstLine="720" w:firstLineChars="300"/>
        <w:rPr>
          <w:rFonts w:hint="eastAsia"/>
          <w:snapToGrid w:val="0"/>
          <w:sz w:val="24"/>
        </w:rPr>
      </w:pPr>
      <w:r>
        <w:rPr>
          <w:rFonts w:hint="eastAsia"/>
          <w:snapToGrid w:val="0"/>
          <w:sz w:val="24"/>
        </w:rPr>
        <w:t>附件13 固化剂msds</w:t>
      </w:r>
    </w:p>
    <w:p w14:paraId="46697318">
      <w:pPr>
        <w:pStyle w:val="9"/>
        <w:spacing w:line="360" w:lineRule="auto"/>
        <w:ind w:firstLine="720" w:firstLineChars="300"/>
        <w:rPr>
          <w:rFonts w:hint="eastAsia"/>
          <w:snapToGrid w:val="0"/>
          <w:sz w:val="24"/>
        </w:rPr>
      </w:pPr>
      <w:r>
        <w:rPr>
          <w:rFonts w:hint="eastAsia"/>
          <w:snapToGrid w:val="0"/>
          <w:sz w:val="24"/>
        </w:rPr>
        <w:t>附件14 固化剂检测报告</w:t>
      </w:r>
    </w:p>
    <w:p w14:paraId="000DFEE3">
      <w:pPr>
        <w:pStyle w:val="9"/>
        <w:spacing w:line="360" w:lineRule="auto"/>
        <w:ind w:firstLine="720" w:firstLineChars="300"/>
        <w:rPr>
          <w:rFonts w:hint="eastAsia"/>
          <w:snapToGrid w:val="0"/>
          <w:sz w:val="24"/>
        </w:rPr>
      </w:pPr>
      <w:r>
        <w:rPr>
          <w:rFonts w:hint="eastAsia"/>
          <w:snapToGrid w:val="0"/>
          <w:sz w:val="24"/>
        </w:rPr>
        <w:t xml:space="preserve">附件15 聚醚多元醇msds </w:t>
      </w:r>
    </w:p>
    <w:p w14:paraId="378B7A5F">
      <w:pPr>
        <w:pStyle w:val="9"/>
        <w:spacing w:line="360" w:lineRule="auto"/>
        <w:ind w:firstLine="720" w:firstLineChars="300"/>
        <w:rPr>
          <w:rFonts w:hint="eastAsia"/>
          <w:snapToGrid w:val="0"/>
          <w:sz w:val="24"/>
        </w:rPr>
      </w:pPr>
      <w:r>
        <w:rPr>
          <w:rFonts w:hint="eastAsia"/>
          <w:snapToGrid w:val="0"/>
          <w:sz w:val="24"/>
        </w:rPr>
        <w:t>附件16 水性脱模剂msds</w:t>
      </w:r>
    </w:p>
    <w:p w14:paraId="52987870">
      <w:pPr>
        <w:pStyle w:val="9"/>
        <w:ind w:firstLine="0" w:firstLineChars="0"/>
      </w:pPr>
    </w:p>
    <w:p w14:paraId="2F56DB60">
      <w:pPr>
        <w:widowControl/>
        <w:spacing w:line="440" w:lineRule="exact"/>
        <w:jc w:val="left"/>
        <w:rPr>
          <w:b/>
          <w:kern w:val="0"/>
          <w:sz w:val="24"/>
        </w:rPr>
      </w:pPr>
      <w:r>
        <w:rPr>
          <w:rFonts w:hint="eastAsia"/>
          <w:b/>
          <w:kern w:val="0"/>
          <w:sz w:val="24"/>
        </w:rPr>
        <w:t>附图:</w:t>
      </w:r>
    </w:p>
    <w:p w14:paraId="54001479">
      <w:pPr>
        <w:widowControl/>
        <w:spacing w:line="360" w:lineRule="auto"/>
        <w:ind w:firstLine="700" w:firstLineChars="292"/>
        <w:jc w:val="left"/>
        <w:rPr>
          <w:kern w:val="0"/>
          <w:sz w:val="24"/>
        </w:rPr>
      </w:pPr>
      <w:r>
        <w:rPr>
          <w:kern w:val="0"/>
          <w:sz w:val="24"/>
        </w:rPr>
        <w:t>附图1  项目地理</w:t>
      </w:r>
      <w:r>
        <w:rPr>
          <w:rFonts w:hint="eastAsia"/>
          <w:kern w:val="0"/>
          <w:sz w:val="24"/>
        </w:rPr>
        <w:t>位置</w:t>
      </w:r>
      <w:r>
        <w:rPr>
          <w:kern w:val="0"/>
          <w:sz w:val="24"/>
        </w:rPr>
        <w:t>图</w:t>
      </w:r>
    </w:p>
    <w:p w14:paraId="1AE261A0">
      <w:pPr>
        <w:widowControl/>
        <w:spacing w:line="360" w:lineRule="auto"/>
        <w:ind w:firstLine="700" w:firstLineChars="292"/>
        <w:jc w:val="left"/>
        <w:rPr>
          <w:kern w:val="0"/>
          <w:sz w:val="24"/>
        </w:rPr>
      </w:pPr>
      <w:r>
        <w:rPr>
          <w:kern w:val="0"/>
          <w:sz w:val="24"/>
        </w:rPr>
        <w:t xml:space="preserve">附图2  </w:t>
      </w:r>
      <w:r>
        <w:rPr>
          <w:rFonts w:hint="eastAsia"/>
          <w:kern w:val="0"/>
          <w:sz w:val="24"/>
        </w:rPr>
        <w:t>项目</w:t>
      </w:r>
      <w:r>
        <w:rPr>
          <w:kern w:val="0"/>
          <w:sz w:val="24"/>
        </w:rPr>
        <w:t>周边关系图</w:t>
      </w:r>
    </w:p>
    <w:p w14:paraId="4D6C66C1">
      <w:pPr>
        <w:widowControl/>
        <w:spacing w:line="360" w:lineRule="auto"/>
        <w:ind w:firstLine="700" w:firstLineChars="292"/>
        <w:jc w:val="left"/>
        <w:rPr>
          <w:kern w:val="0"/>
          <w:sz w:val="24"/>
          <w:highlight w:val="yellow"/>
        </w:rPr>
      </w:pPr>
      <w:r>
        <w:rPr>
          <w:kern w:val="0"/>
          <w:sz w:val="24"/>
        </w:rPr>
        <w:t xml:space="preserve">附图3  </w:t>
      </w:r>
      <w:r>
        <w:rPr>
          <w:rFonts w:hint="eastAsia"/>
          <w:kern w:val="0"/>
          <w:sz w:val="24"/>
        </w:rPr>
        <w:t>厂区平面布置图</w:t>
      </w:r>
    </w:p>
    <w:p w14:paraId="5813B354">
      <w:pPr>
        <w:pStyle w:val="9"/>
        <w:spacing w:line="360" w:lineRule="auto"/>
        <w:ind w:firstLine="720" w:firstLineChars="300"/>
        <w:rPr>
          <w:snapToGrid w:val="0"/>
          <w:sz w:val="24"/>
          <w:highlight w:val="yellow"/>
        </w:rPr>
      </w:pPr>
      <w:r>
        <w:rPr>
          <w:rFonts w:hint="eastAsia"/>
          <w:snapToGrid w:val="0"/>
          <w:sz w:val="24"/>
        </w:rPr>
        <w:t>附图</w:t>
      </w:r>
      <w:r>
        <w:rPr>
          <w:rFonts w:hint="eastAsia"/>
          <w:snapToGrid w:val="0"/>
          <w:sz w:val="24"/>
          <w:lang w:val="en-US" w:eastAsia="zh-CN"/>
        </w:rPr>
        <w:t>4</w:t>
      </w:r>
      <w:r>
        <w:rPr>
          <w:rFonts w:hint="eastAsia"/>
          <w:snapToGrid w:val="0"/>
          <w:sz w:val="24"/>
        </w:rPr>
        <w:t xml:space="preserve">  雨污管网图</w:t>
      </w:r>
    </w:p>
    <w:p w14:paraId="4C390E9C">
      <w:pPr>
        <w:pStyle w:val="9"/>
        <w:spacing w:line="360" w:lineRule="auto"/>
        <w:ind w:firstLine="720" w:firstLineChars="300"/>
        <w:rPr>
          <w:rFonts w:hint="eastAsia"/>
          <w:snapToGrid w:val="0"/>
          <w:sz w:val="24"/>
        </w:rPr>
      </w:pPr>
      <w:r>
        <w:rPr>
          <w:rFonts w:hint="eastAsia"/>
          <w:snapToGrid w:val="0"/>
          <w:sz w:val="24"/>
        </w:rPr>
        <w:t>附图5 规划图</w:t>
      </w:r>
    </w:p>
    <w:p w14:paraId="0DEAA6BE">
      <w:pPr>
        <w:pStyle w:val="9"/>
        <w:spacing w:line="360" w:lineRule="auto"/>
        <w:ind w:firstLine="720" w:firstLineChars="300"/>
        <w:rPr>
          <w:snapToGrid w:val="0"/>
          <w:sz w:val="24"/>
        </w:rPr>
      </w:pPr>
      <w:r>
        <w:rPr>
          <w:rFonts w:hint="eastAsia"/>
          <w:sz w:val="24"/>
        </w:rPr>
        <w:t>附图</w:t>
      </w:r>
      <w:r>
        <w:rPr>
          <w:rFonts w:hint="eastAsia"/>
          <w:sz w:val="24"/>
          <w:lang w:val="en-US" w:eastAsia="zh-CN"/>
        </w:rPr>
        <w:t>6</w:t>
      </w:r>
      <w:r>
        <w:rPr>
          <w:rFonts w:hint="eastAsia"/>
          <w:sz w:val="24"/>
        </w:rPr>
        <w:t xml:space="preserve"> </w:t>
      </w:r>
      <w:r>
        <w:rPr>
          <w:rFonts w:hint="eastAsia"/>
          <w:snapToGrid w:val="0"/>
          <w:sz w:val="24"/>
        </w:rPr>
        <w:t>环境保护目标分布</w:t>
      </w:r>
      <w:r>
        <w:rPr>
          <w:snapToGrid w:val="0"/>
          <w:sz w:val="24"/>
        </w:rPr>
        <w:t>图</w:t>
      </w:r>
    </w:p>
    <w:p w14:paraId="6235A41C">
      <w:pPr>
        <w:pStyle w:val="9"/>
        <w:spacing w:line="360" w:lineRule="auto"/>
        <w:ind w:firstLine="720" w:firstLineChars="300"/>
        <w:rPr>
          <w:rFonts w:hint="eastAsia"/>
          <w:snapToGrid w:val="0"/>
          <w:sz w:val="24"/>
        </w:rPr>
      </w:pPr>
      <w:r>
        <w:rPr>
          <w:rFonts w:hint="eastAsia"/>
          <w:snapToGrid w:val="0"/>
          <w:sz w:val="24"/>
        </w:rPr>
        <w:t>附图7  芜湖市生态保护红线区域分布图</w:t>
      </w:r>
    </w:p>
    <w:p w14:paraId="3FB1305D">
      <w:pPr>
        <w:pStyle w:val="9"/>
        <w:spacing w:line="360" w:lineRule="auto"/>
        <w:ind w:firstLine="720" w:firstLineChars="300"/>
        <w:rPr>
          <w:snapToGrid w:val="0"/>
          <w:sz w:val="24"/>
        </w:rPr>
      </w:pPr>
      <w:r>
        <w:rPr>
          <w:rFonts w:hint="eastAsia"/>
          <w:snapToGrid w:val="0"/>
          <w:sz w:val="24"/>
        </w:rPr>
        <w:t>附图8 三区三线图</w:t>
      </w:r>
    </w:p>
    <w:p w14:paraId="58FA7617">
      <w:bookmarkStart w:id="16" w:name="_GoBack"/>
      <w:bookmarkEnd w:id="16"/>
    </w:p>
    <w:sectPr>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Black">
    <w:panose1 w:val="020B0A04020102090204"/>
    <w:charset w:val="00"/>
    <w:family w:val="swiss"/>
    <w:pitch w:val="default"/>
    <w:sig w:usb0="00000287" w:usb1="00000000" w:usb2="00000000" w:usb3="00000000" w:csb0="2000009F" w:csb1="DFD70000"/>
  </w:font>
  <w:font w:name="Arial Unicode MS">
    <w:panose1 w:val="020B0604020202020204"/>
    <w:charset w:val="86"/>
    <w:family w:val="swiss"/>
    <w:pitch w:val="default"/>
    <w:sig w:usb0="FFFFFFFF" w:usb1="E9FFFFFF" w:usb2="0000003F" w:usb3="00000000" w:csb0="601F00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Txt">
    <w:panose1 w:val="00000400000000000000"/>
    <w:charset w:val="00"/>
    <w:family w:val="auto"/>
    <w:pitch w:val="default"/>
    <w:sig w:usb0="80000227" w:usb1="00000000" w:usb2="00000000" w:usb3="00000000" w:csb0="000001FF" w:csb1="00000000"/>
  </w:font>
  <w:font w:name="TimesNewRomanPSMT">
    <w:altName w:val="Times New Roman"/>
    <w:panose1 w:val="00000000000000000000"/>
    <w:charset w:val="00"/>
    <w:family w:val="modern"/>
    <w:pitch w:val="default"/>
    <w:sig w:usb0="00000000" w:usb1="00000000" w:usb2="00000010" w:usb3="00000000" w:csb0="00060001"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838E8">
    <w:pPr>
      <w:pStyle w:val="18"/>
      <w:framePr w:wrap="around" w:vAnchor="text" w:hAnchor="margin" w:xAlign="outside" w:y="1"/>
      <w:rPr>
        <w:rStyle w:val="33"/>
        <w:sz w:val="21"/>
        <w:szCs w:val="21"/>
      </w:rPr>
    </w:pPr>
    <w:r>
      <w:rPr>
        <w:rStyle w:val="33"/>
        <w:sz w:val="21"/>
        <w:szCs w:val="21"/>
      </w:rPr>
      <w:t xml:space="preserve">—  </w:t>
    </w:r>
    <w:r>
      <w:rPr>
        <w:sz w:val="21"/>
        <w:szCs w:val="21"/>
      </w:rPr>
      <w:fldChar w:fldCharType="begin"/>
    </w:r>
    <w:r>
      <w:rPr>
        <w:rStyle w:val="33"/>
        <w:sz w:val="21"/>
        <w:szCs w:val="21"/>
      </w:rPr>
      <w:instrText xml:space="preserve">PAGE  </w:instrText>
    </w:r>
    <w:r>
      <w:rPr>
        <w:sz w:val="21"/>
        <w:szCs w:val="21"/>
      </w:rPr>
      <w:fldChar w:fldCharType="separate"/>
    </w:r>
    <w:r>
      <w:rPr>
        <w:rStyle w:val="33"/>
        <w:sz w:val="21"/>
        <w:szCs w:val="21"/>
      </w:rPr>
      <w:t>33</w:t>
    </w:r>
    <w:r>
      <w:rPr>
        <w:sz w:val="21"/>
        <w:szCs w:val="21"/>
      </w:rPr>
      <w:fldChar w:fldCharType="end"/>
    </w:r>
    <w:r>
      <w:rPr>
        <w:rStyle w:val="33"/>
        <w:sz w:val="21"/>
        <w:szCs w:val="21"/>
      </w:rPr>
      <w:t xml:space="preserve">  —</w:t>
    </w:r>
  </w:p>
  <w:p w14:paraId="654F986A">
    <w:pPr>
      <w:pStyle w:val="18"/>
      <w:ind w:right="360" w:firstLine="360"/>
      <w:jc w:val="center"/>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82885">
    <w:pPr>
      <w:pStyle w:val="18"/>
      <w:framePr w:wrap="around" w:vAnchor="text" w:hAnchor="margin" w:xAlign="outside" w:y="1"/>
      <w:rPr>
        <w:rStyle w:val="33"/>
        <w:sz w:val="21"/>
        <w:szCs w:val="21"/>
      </w:rPr>
    </w:pPr>
    <w:r>
      <w:rPr>
        <w:rStyle w:val="33"/>
        <w:sz w:val="21"/>
        <w:szCs w:val="21"/>
      </w:rPr>
      <w:t xml:space="preserve">—  </w:t>
    </w:r>
    <w:r>
      <w:rPr>
        <w:sz w:val="21"/>
        <w:szCs w:val="21"/>
      </w:rPr>
      <w:fldChar w:fldCharType="begin"/>
    </w:r>
    <w:r>
      <w:rPr>
        <w:rStyle w:val="33"/>
        <w:sz w:val="21"/>
        <w:szCs w:val="21"/>
      </w:rPr>
      <w:instrText xml:space="preserve">PAGE  </w:instrText>
    </w:r>
    <w:r>
      <w:rPr>
        <w:sz w:val="21"/>
        <w:szCs w:val="21"/>
      </w:rPr>
      <w:fldChar w:fldCharType="separate"/>
    </w:r>
    <w:r>
      <w:rPr>
        <w:rStyle w:val="33"/>
        <w:sz w:val="21"/>
        <w:szCs w:val="21"/>
      </w:rPr>
      <w:t>76</w:t>
    </w:r>
    <w:r>
      <w:rPr>
        <w:sz w:val="21"/>
        <w:szCs w:val="21"/>
      </w:rPr>
      <w:fldChar w:fldCharType="end"/>
    </w:r>
    <w:r>
      <w:rPr>
        <w:rStyle w:val="33"/>
        <w:sz w:val="21"/>
        <w:szCs w:val="21"/>
      </w:rPr>
      <w:t xml:space="preserve">  —</w:t>
    </w:r>
  </w:p>
  <w:p w14:paraId="7C655B93">
    <w:pPr>
      <w:pStyle w:val="18"/>
      <w:ind w:right="360"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5C184">
    <w:pPr>
      <w:pStyle w:val="1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196BB8"/>
    <w:multiLevelType w:val="singleLevel"/>
    <w:tmpl w:val="E1196BB8"/>
    <w:lvl w:ilvl="0" w:tentative="0">
      <w:start w:val="2"/>
      <w:numFmt w:val="chineseCounting"/>
      <w:suff w:val="nothing"/>
      <w:lvlText w:val="%1、"/>
      <w:lvlJc w:val="left"/>
      <w:rPr>
        <w:rFonts w:hint="eastAsia"/>
      </w:rPr>
    </w:lvl>
  </w:abstractNum>
  <w:abstractNum w:abstractNumId="1">
    <w:nsid w:val="0728B087"/>
    <w:multiLevelType w:val="singleLevel"/>
    <w:tmpl w:val="0728B087"/>
    <w:lvl w:ilvl="0" w:tentative="0">
      <w:start w:val="2"/>
      <w:numFmt w:val="decimal"/>
      <w:suff w:val="nothing"/>
      <w:lvlText w:val="（%1）"/>
      <w:lvlJc w:val="left"/>
    </w:lvl>
  </w:abstractNum>
  <w:abstractNum w:abstractNumId="2">
    <w:nsid w:val="1EA50C57"/>
    <w:multiLevelType w:val="singleLevel"/>
    <w:tmpl w:val="1EA50C57"/>
    <w:lvl w:ilvl="0" w:tentative="0">
      <w:start w:val="1"/>
      <w:numFmt w:val="decimal"/>
      <w:suff w:val="nothing"/>
      <w:lvlText w:val="（%1）"/>
      <w:lvlJc w:val="left"/>
    </w:lvl>
  </w:abstractNum>
  <w:abstractNum w:abstractNumId="3">
    <w:nsid w:val="222A98BF"/>
    <w:multiLevelType w:val="singleLevel"/>
    <w:tmpl w:val="222A98BF"/>
    <w:lvl w:ilvl="0" w:tentative="0">
      <w:start w:val="3"/>
      <w:numFmt w:val="chineseCounting"/>
      <w:suff w:val="nothing"/>
      <w:lvlText w:val="%1、"/>
      <w:lvlJc w:val="left"/>
      <w:rPr>
        <w:rFonts w:hint="eastAsia"/>
      </w:rPr>
    </w:lvl>
  </w:abstractNum>
  <w:abstractNum w:abstractNumId="4">
    <w:nsid w:val="241908CF"/>
    <w:multiLevelType w:val="singleLevel"/>
    <w:tmpl w:val="241908CF"/>
    <w:lvl w:ilvl="0" w:tentative="0">
      <w:start w:val="1"/>
      <w:numFmt w:val="chineseCounting"/>
      <w:suff w:val="nothing"/>
      <w:lvlText w:val="%1、"/>
      <w:lvlJc w:val="left"/>
      <w:rPr>
        <w:rFonts w:hint="eastAsia"/>
      </w:rPr>
    </w:lvl>
  </w:abstractNum>
  <w:abstractNum w:abstractNumId="5">
    <w:nsid w:val="33644DF7"/>
    <w:multiLevelType w:val="multilevel"/>
    <w:tmpl w:val="33644DF7"/>
    <w:lvl w:ilvl="0" w:tentative="0">
      <w:start w:val="1"/>
      <w:numFmt w:val="decimal"/>
      <w:pStyle w:val="88"/>
      <w:lvlText w:val="%1"/>
      <w:lvlJc w:val="left"/>
      <w:pPr>
        <w:tabs>
          <w:tab w:val="left" w:pos="425"/>
        </w:tabs>
        <w:ind w:left="425" w:hanging="425"/>
      </w:pPr>
      <w:rPr>
        <w:rFonts w:hint="eastAsia"/>
      </w:rPr>
    </w:lvl>
    <w:lvl w:ilvl="1" w:tentative="0">
      <w:start w:val="1"/>
      <w:numFmt w:val="decimal"/>
      <w:lvlText w:val="%1.%2 "/>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41862CA9"/>
    <w:multiLevelType w:val="multilevel"/>
    <w:tmpl w:val="41862CA9"/>
    <w:lvl w:ilvl="0" w:tentative="0">
      <w:start w:val="1"/>
      <w:numFmt w:val="decimal"/>
      <w:suff w:val="space"/>
      <w:lvlText w:val="%1"/>
      <w:lvlJc w:val="left"/>
      <w:pPr>
        <w:ind w:left="0" w:firstLine="0"/>
      </w:pPr>
      <w:rPr>
        <w:rFonts w:hint="eastAsia"/>
        <w:sz w:val="30"/>
        <w:szCs w:val="30"/>
      </w:rPr>
    </w:lvl>
    <w:lvl w:ilvl="1" w:tentative="0">
      <w:start w:val="1"/>
      <w:numFmt w:val="decimal"/>
      <w:pStyle w:val="37"/>
      <w:suff w:val="space"/>
      <w:lvlText w:val="%1.%2"/>
      <w:lvlJc w:val="left"/>
      <w:pPr>
        <w:ind w:left="5040"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42EBD1F2"/>
    <w:multiLevelType w:val="singleLevel"/>
    <w:tmpl w:val="42EBD1F2"/>
    <w:lvl w:ilvl="0" w:tentative="0">
      <w:start w:val="1"/>
      <w:numFmt w:val="decimal"/>
      <w:suff w:val="nothing"/>
      <w:lvlText w:val="（%1）"/>
      <w:lvlJc w:val="left"/>
    </w:lvl>
  </w:abstractNum>
  <w:abstractNum w:abstractNumId="8">
    <w:nsid w:val="4D2B1E89"/>
    <w:multiLevelType w:val="singleLevel"/>
    <w:tmpl w:val="4D2B1E89"/>
    <w:lvl w:ilvl="0" w:tentative="0">
      <w:start w:val="11"/>
      <w:numFmt w:val="decimal"/>
      <w:suff w:val="nothing"/>
      <w:lvlText w:val="%1、"/>
      <w:lvlJc w:val="left"/>
    </w:lvl>
  </w:abstractNum>
  <w:abstractNum w:abstractNumId="9">
    <w:nsid w:val="6D4F0570"/>
    <w:multiLevelType w:val="singleLevel"/>
    <w:tmpl w:val="6D4F0570"/>
    <w:lvl w:ilvl="0" w:tentative="0">
      <w:start w:val="2"/>
      <w:numFmt w:val="decimal"/>
      <w:suff w:val="nothing"/>
      <w:lvlText w:val="%1）"/>
      <w:lvlJc w:val="left"/>
    </w:lvl>
  </w:abstractNum>
  <w:num w:numId="1">
    <w:abstractNumId w:val="6"/>
  </w:num>
  <w:num w:numId="2">
    <w:abstractNumId w:val="5"/>
  </w:num>
  <w:num w:numId="3">
    <w:abstractNumId w:val="0"/>
  </w:num>
  <w:num w:numId="4">
    <w:abstractNumId w:val="3"/>
  </w:num>
  <w:num w:numId="5">
    <w:abstractNumId w:val="8"/>
  </w:num>
  <w:num w:numId="6">
    <w:abstractNumId w:val="4"/>
  </w:num>
  <w:num w:numId="7">
    <w:abstractNumId w:val="1"/>
  </w:num>
  <w:num w:numId="8">
    <w:abstractNumId w:val="7"/>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OThjNGE0YjFhZDk5ZTkyZTAyMGI2YzIxN2NhY2IifQ=="/>
    <w:docVar w:name="KSO_WPS_MARK_KEY" w:val="0ddd98bc-a30b-4a46-bb8c-6611046ca20d"/>
  </w:docVars>
  <w:rsids>
    <w:rsidRoot w:val="00172A27"/>
    <w:rsid w:val="00002D5C"/>
    <w:rsid w:val="00005CB1"/>
    <w:rsid w:val="000060B3"/>
    <w:rsid w:val="00006790"/>
    <w:rsid w:val="00017F26"/>
    <w:rsid w:val="00022ECB"/>
    <w:rsid w:val="00031691"/>
    <w:rsid w:val="00033909"/>
    <w:rsid w:val="0004364B"/>
    <w:rsid w:val="00061B1F"/>
    <w:rsid w:val="00064056"/>
    <w:rsid w:val="000733C4"/>
    <w:rsid w:val="00073A08"/>
    <w:rsid w:val="00074783"/>
    <w:rsid w:val="00077F0B"/>
    <w:rsid w:val="0008070B"/>
    <w:rsid w:val="000810AC"/>
    <w:rsid w:val="00081A02"/>
    <w:rsid w:val="00082231"/>
    <w:rsid w:val="000826B0"/>
    <w:rsid w:val="00092D38"/>
    <w:rsid w:val="0009377B"/>
    <w:rsid w:val="000A002F"/>
    <w:rsid w:val="000A20C9"/>
    <w:rsid w:val="000B058F"/>
    <w:rsid w:val="000B1F0F"/>
    <w:rsid w:val="000B4467"/>
    <w:rsid w:val="000B4DB9"/>
    <w:rsid w:val="000C09AC"/>
    <w:rsid w:val="000C767F"/>
    <w:rsid w:val="000D1EAA"/>
    <w:rsid w:val="000D5A44"/>
    <w:rsid w:val="000E17AC"/>
    <w:rsid w:val="000E3ED2"/>
    <w:rsid w:val="000F5364"/>
    <w:rsid w:val="00106113"/>
    <w:rsid w:val="00120FF2"/>
    <w:rsid w:val="00123269"/>
    <w:rsid w:val="00123EF3"/>
    <w:rsid w:val="00131F42"/>
    <w:rsid w:val="0013425E"/>
    <w:rsid w:val="001357F1"/>
    <w:rsid w:val="00140FA8"/>
    <w:rsid w:val="00142FEB"/>
    <w:rsid w:val="00143A2D"/>
    <w:rsid w:val="001444E4"/>
    <w:rsid w:val="00145A41"/>
    <w:rsid w:val="00151675"/>
    <w:rsid w:val="00153708"/>
    <w:rsid w:val="00157435"/>
    <w:rsid w:val="0017504D"/>
    <w:rsid w:val="0017671A"/>
    <w:rsid w:val="00177422"/>
    <w:rsid w:val="0018274C"/>
    <w:rsid w:val="00184590"/>
    <w:rsid w:val="001870D1"/>
    <w:rsid w:val="0018781E"/>
    <w:rsid w:val="0019262D"/>
    <w:rsid w:val="0019266C"/>
    <w:rsid w:val="001A1B35"/>
    <w:rsid w:val="001A230B"/>
    <w:rsid w:val="001A4594"/>
    <w:rsid w:val="001A48A2"/>
    <w:rsid w:val="001A6F61"/>
    <w:rsid w:val="001B72B8"/>
    <w:rsid w:val="001B7BD2"/>
    <w:rsid w:val="001C683D"/>
    <w:rsid w:val="001C69B3"/>
    <w:rsid w:val="001D2DF4"/>
    <w:rsid w:val="001D5595"/>
    <w:rsid w:val="001D7874"/>
    <w:rsid w:val="001D7F22"/>
    <w:rsid w:val="001E141F"/>
    <w:rsid w:val="001E50B2"/>
    <w:rsid w:val="001F0F17"/>
    <w:rsid w:val="001F3347"/>
    <w:rsid w:val="001F68EC"/>
    <w:rsid w:val="001F69E4"/>
    <w:rsid w:val="002125B4"/>
    <w:rsid w:val="002155B8"/>
    <w:rsid w:val="00221565"/>
    <w:rsid w:val="00224839"/>
    <w:rsid w:val="002249B2"/>
    <w:rsid w:val="00225752"/>
    <w:rsid w:val="00226574"/>
    <w:rsid w:val="002278EC"/>
    <w:rsid w:val="00231F52"/>
    <w:rsid w:val="0023280E"/>
    <w:rsid w:val="0023594C"/>
    <w:rsid w:val="002377D1"/>
    <w:rsid w:val="00241272"/>
    <w:rsid w:val="0024437C"/>
    <w:rsid w:val="0024453E"/>
    <w:rsid w:val="002506BC"/>
    <w:rsid w:val="00253537"/>
    <w:rsid w:val="00254345"/>
    <w:rsid w:val="0025474A"/>
    <w:rsid w:val="00255F55"/>
    <w:rsid w:val="00256235"/>
    <w:rsid w:val="00256AAA"/>
    <w:rsid w:val="00257190"/>
    <w:rsid w:val="00260120"/>
    <w:rsid w:val="002617C8"/>
    <w:rsid w:val="00262E68"/>
    <w:rsid w:val="00264557"/>
    <w:rsid w:val="002654CA"/>
    <w:rsid w:val="002805AB"/>
    <w:rsid w:val="00282190"/>
    <w:rsid w:val="00284204"/>
    <w:rsid w:val="002846B1"/>
    <w:rsid w:val="0028659F"/>
    <w:rsid w:val="00287993"/>
    <w:rsid w:val="00291773"/>
    <w:rsid w:val="00296639"/>
    <w:rsid w:val="002A1080"/>
    <w:rsid w:val="002A168C"/>
    <w:rsid w:val="002A3DC7"/>
    <w:rsid w:val="002A76C3"/>
    <w:rsid w:val="002B49E2"/>
    <w:rsid w:val="002B59B3"/>
    <w:rsid w:val="002B7B00"/>
    <w:rsid w:val="002B7C44"/>
    <w:rsid w:val="002C2B17"/>
    <w:rsid w:val="002C5DA8"/>
    <w:rsid w:val="002D3DD0"/>
    <w:rsid w:val="002E1F3A"/>
    <w:rsid w:val="002E298A"/>
    <w:rsid w:val="002F10D9"/>
    <w:rsid w:val="002F2EAE"/>
    <w:rsid w:val="002F4418"/>
    <w:rsid w:val="00301978"/>
    <w:rsid w:val="0030332C"/>
    <w:rsid w:val="003051C2"/>
    <w:rsid w:val="00306150"/>
    <w:rsid w:val="00312296"/>
    <w:rsid w:val="00314F0E"/>
    <w:rsid w:val="00321D8E"/>
    <w:rsid w:val="00325928"/>
    <w:rsid w:val="00332863"/>
    <w:rsid w:val="0033684D"/>
    <w:rsid w:val="00337B42"/>
    <w:rsid w:val="00341B42"/>
    <w:rsid w:val="003425E9"/>
    <w:rsid w:val="0034348F"/>
    <w:rsid w:val="003515B6"/>
    <w:rsid w:val="00356653"/>
    <w:rsid w:val="0035743F"/>
    <w:rsid w:val="00357BE2"/>
    <w:rsid w:val="0036170C"/>
    <w:rsid w:val="003648BD"/>
    <w:rsid w:val="00366E0F"/>
    <w:rsid w:val="00372D5D"/>
    <w:rsid w:val="003757B7"/>
    <w:rsid w:val="00381A72"/>
    <w:rsid w:val="00384676"/>
    <w:rsid w:val="00384BD8"/>
    <w:rsid w:val="00390857"/>
    <w:rsid w:val="00393922"/>
    <w:rsid w:val="003A1322"/>
    <w:rsid w:val="003A2EC9"/>
    <w:rsid w:val="003A4BF3"/>
    <w:rsid w:val="003A4DB9"/>
    <w:rsid w:val="003B420D"/>
    <w:rsid w:val="003C11AC"/>
    <w:rsid w:val="003C6C16"/>
    <w:rsid w:val="003D2FF2"/>
    <w:rsid w:val="003D794D"/>
    <w:rsid w:val="003E3058"/>
    <w:rsid w:val="003E5DC9"/>
    <w:rsid w:val="003E76A9"/>
    <w:rsid w:val="003F0809"/>
    <w:rsid w:val="003F6A8C"/>
    <w:rsid w:val="003F755C"/>
    <w:rsid w:val="004054D8"/>
    <w:rsid w:val="004069EC"/>
    <w:rsid w:val="00406F01"/>
    <w:rsid w:val="00411117"/>
    <w:rsid w:val="00414495"/>
    <w:rsid w:val="00416D50"/>
    <w:rsid w:val="00416FD5"/>
    <w:rsid w:val="00417772"/>
    <w:rsid w:val="0042011A"/>
    <w:rsid w:val="00420E6A"/>
    <w:rsid w:val="00425A9E"/>
    <w:rsid w:val="00426D6B"/>
    <w:rsid w:val="00431E6C"/>
    <w:rsid w:val="00433CE7"/>
    <w:rsid w:val="0044183F"/>
    <w:rsid w:val="00442532"/>
    <w:rsid w:val="00452738"/>
    <w:rsid w:val="004546F0"/>
    <w:rsid w:val="00456091"/>
    <w:rsid w:val="00466321"/>
    <w:rsid w:val="004675C6"/>
    <w:rsid w:val="00474238"/>
    <w:rsid w:val="00475882"/>
    <w:rsid w:val="004776BC"/>
    <w:rsid w:val="004836D4"/>
    <w:rsid w:val="00484B9B"/>
    <w:rsid w:val="004855F6"/>
    <w:rsid w:val="0048661E"/>
    <w:rsid w:val="00494670"/>
    <w:rsid w:val="00495F0E"/>
    <w:rsid w:val="004A3823"/>
    <w:rsid w:val="004B6605"/>
    <w:rsid w:val="004C1442"/>
    <w:rsid w:val="004C3557"/>
    <w:rsid w:val="004C4CCA"/>
    <w:rsid w:val="004E4DA7"/>
    <w:rsid w:val="004E6946"/>
    <w:rsid w:val="004F1AD8"/>
    <w:rsid w:val="004F6ABA"/>
    <w:rsid w:val="0050273D"/>
    <w:rsid w:val="005039CB"/>
    <w:rsid w:val="0050558F"/>
    <w:rsid w:val="00506286"/>
    <w:rsid w:val="00510813"/>
    <w:rsid w:val="00511990"/>
    <w:rsid w:val="00511DE0"/>
    <w:rsid w:val="00514643"/>
    <w:rsid w:val="00514870"/>
    <w:rsid w:val="00514B9B"/>
    <w:rsid w:val="00517F02"/>
    <w:rsid w:val="00524303"/>
    <w:rsid w:val="005258A2"/>
    <w:rsid w:val="0053567F"/>
    <w:rsid w:val="005401AE"/>
    <w:rsid w:val="00542E07"/>
    <w:rsid w:val="00545424"/>
    <w:rsid w:val="00554A7B"/>
    <w:rsid w:val="0055572C"/>
    <w:rsid w:val="0056106A"/>
    <w:rsid w:val="00563E74"/>
    <w:rsid w:val="005720AE"/>
    <w:rsid w:val="00594D77"/>
    <w:rsid w:val="005969E4"/>
    <w:rsid w:val="005A06B7"/>
    <w:rsid w:val="005A1759"/>
    <w:rsid w:val="005A68A7"/>
    <w:rsid w:val="005B00AB"/>
    <w:rsid w:val="005C24EF"/>
    <w:rsid w:val="005D36AB"/>
    <w:rsid w:val="005F38C4"/>
    <w:rsid w:val="005F5E5F"/>
    <w:rsid w:val="006069A5"/>
    <w:rsid w:val="00607414"/>
    <w:rsid w:val="006107F3"/>
    <w:rsid w:val="00617CC3"/>
    <w:rsid w:val="00621541"/>
    <w:rsid w:val="00633541"/>
    <w:rsid w:val="006377A6"/>
    <w:rsid w:val="00637A3D"/>
    <w:rsid w:val="00637CFF"/>
    <w:rsid w:val="006411B6"/>
    <w:rsid w:val="006411EF"/>
    <w:rsid w:val="00654E72"/>
    <w:rsid w:val="006748B8"/>
    <w:rsid w:val="006775C3"/>
    <w:rsid w:val="0069290A"/>
    <w:rsid w:val="0069775A"/>
    <w:rsid w:val="00697813"/>
    <w:rsid w:val="006A3EE8"/>
    <w:rsid w:val="006A72BF"/>
    <w:rsid w:val="006B03F2"/>
    <w:rsid w:val="006B37DC"/>
    <w:rsid w:val="006B4F68"/>
    <w:rsid w:val="006B626D"/>
    <w:rsid w:val="006C0592"/>
    <w:rsid w:val="006C272E"/>
    <w:rsid w:val="006C5479"/>
    <w:rsid w:val="006D13B5"/>
    <w:rsid w:val="006E12FF"/>
    <w:rsid w:val="006E1CA7"/>
    <w:rsid w:val="006E607E"/>
    <w:rsid w:val="006E7F07"/>
    <w:rsid w:val="006F0307"/>
    <w:rsid w:val="006F59F7"/>
    <w:rsid w:val="006F6FB7"/>
    <w:rsid w:val="00706C5D"/>
    <w:rsid w:val="0070792D"/>
    <w:rsid w:val="007137D1"/>
    <w:rsid w:val="00732922"/>
    <w:rsid w:val="00733699"/>
    <w:rsid w:val="007505FF"/>
    <w:rsid w:val="007507E2"/>
    <w:rsid w:val="0075162E"/>
    <w:rsid w:val="00754034"/>
    <w:rsid w:val="00754F72"/>
    <w:rsid w:val="00756556"/>
    <w:rsid w:val="007618C4"/>
    <w:rsid w:val="00765EFE"/>
    <w:rsid w:val="0076673D"/>
    <w:rsid w:val="00767980"/>
    <w:rsid w:val="00770B19"/>
    <w:rsid w:val="0077463F"/>
    <w:rsid w:val="007746F0"/>
    <w:rsid w:val="0077603A"/>
    <w:rsid w:val="007836EA"/>
    <w:rsid w:val="00784CDA"/>
    <w:rsid w:val="007906C4"/>
    <w:rsid w:val="007935BA"/>
    <w:rsid w:val="007940EA"/>
    <w:rsid w:val="007967E8"/>
    <w:rsid w:val="00797C17"/>
    <w:rsid w:val="007A2170"/>
    <w:rsid w:val="007A22BF"/>
    <w:rsid w:val="007A3323"/>
    <w:rsid w:val="007A4756"/>
    <w:rsid w:val="007A51B4"/>
    <w:rsid w:val="007A69C3"/>
    <w:rsid w:val="007B72B8"/>
    <w:rsid w:val="007B75B6"/>
    <w:rsid w:val="007B7A58"/>
    <w:rsid w:val="007C0059"/>
    <w:rsid w:val="007C0A8D"/>
    <w:rsid w:val="007C21B5"/>
    <w:rsid w:val="007E4BD2"/>
    <w:rsid w:val="007E53AE"/>
    <w:rsid w:val="007E75F6"/>
    <w:rsid w:val="00800762"/>
    <w:rsid w:val="00801393"/>
    <w:rsid w:val="00802F88"/>
    <w:rsid w:val="0081293E"/>
    <w:rsid w:val="00815465"/>
    <w:rsid w:val="00817E9A"/>
    <w:rsid w:val="00826E07"/>
    <w:rsid w:val="008306BD"/>
    <w:rsid w:val="00831A80"/>
    <w:rsid w:val="00832441"/>
    <w:rsid w:val="00833743"/>
    <w:rsid w:val="008340A4"/>
    <w:rsid w:val="00845833"/>
    <w:rsid w:val="00847E07"/>
    <w:rsid w:val="008562D2"/>
    <w:rsid w:val="008604D7"/>
    <w:rsid w:val="0087135F"/>
    <w:rsid w:val="00872D94"/>
    <w:rsid w:val="0087591A"/>
    <w:rsid w:val="00880364"/>
    <w:rsid w:val="0088282C"/>
    <w:rsid w:val="00891592"/>
    <w:rsid w:val="00891E9E"/>
    <w:rsid w:val="00895203"/>
    <w:rsid w:val="00895256"/>
    <w:rsid w:val="008A2F68"/>
    <w:rsid w:val="008A5B78"/>
    <w:rsid w:val="008B4FA6"/>
    <w:rsid w:val="008B5282"/>
    <w:rsid w:val="008B7C17"/>
    <w:rsid w:val="008C2D01"/>
    <w:rsid w:val="008C40E6"/>
    <w:rsid w:val="008C59EA"/>
    <w:rsid w:val="008D0F7A"/>
    <w:rsid w:val="008D4A2A"/>
    <w:rsid w:val="008D68E4"/>
    <w:rsid w:val="008E0506"/>
    <w:rsid w:val="008E0CFF"/>
    <w:rsid w:val="008E5D6B"/>
    <w:rsid w:val="008E76F0"/>
    <w:rsid w:val="008F15FE"/>
    <w:rsid w:val="008F1796"/>
    <w:rsid w:val="008F2D29"/>
    <w:rsid w:val="008F5187"/>
    <w:rsid w:val="008F60D8"/>
    <w:rsid w:val="008F6F54"/>
    <w:rsid w:val="00902727"/>
    <w:rsid w:val="0090288A"/>
    <w:rsid w:val="0090312B"/>
    <w:rsid w:val="0091736D"/>
    <w:rsid w:val="009211B8"/>
    <w:rsid w:val="0093037A"/>
    <w:rsid w:val="0093630C"/>
    <w:rsid w:val="0094154D"/>
    <w:rsid w:val="00946506"/>
    <w:rsid w:val="009475C9"/>
    <w:rsid w:val="0095155F"/>
    <w:rsid w:val="00954429"/>
    <w:rsid w:val="009563CE"/>
    <w:rsid w:val="00973FB8"/>
    <w:rsid w:val="00976328"/>
    <w:rsid w:val="00976550"/>
    <w:rsid w:val="0097680D"/>
    <w:rsid w:val="00980788"/>
    <w:rsid w:val="00982438"/>
    <w:rsid w:val="0098404C"/>
    <w:rsid w:val="00985283"/>
    <w:rsid w:val="00995992"/>
    <w:rsid w:val="009A03E5"/>
    <w:rsid w:val="009A0F3B"/>
    <w:rsid w:val="009A1BB4"/>
    <w:rsid w:val="009A2628"/>
    <w:rsid w:val="009A3200"/>
    <w:rsid w:val="009B0897"/>
    <w:rsid w:val="009B17D3"/>
    <w:rsid w:val="009B7BD9"/>
    <w:rsid w:val="009C7DD5"/>
    <w:rsid w:val="009E227D"/>
    <w:rsid w:val="009E5019"/>
    <w:rsid w:val="009E5B1C"/>
    <w:rsid w:val="00A04F1B"/>
    <w:rsid w:val="00A0501B"/>
    <w:rsid w:val="00A07B23"/>
    <w:rsid w:val="00A10993"/>
    <w:rsid w:val="00A12E46"/>
    <w:rsid w:val="00A13D29"/>
    <w:rsid w:val="00A14947"/>
    <w:rsid w:val="00A15444"/>
    <w:rsid w:val="00A21EE3"/>
    <w:rsid w:val="00A32A83"/>
    <w:rsid w:val="00A368DB"/>
    <w:rsid w:val="00A423AA"/>
    <w:rsid w:val="00A444EB"/>
    <w:rsid w:val="00A471FC"/>
    <w:rsid w:val="00A53EC6"/>
    <w:rsid w:val="00A55C0F"/>
    <w:rsid w:val="00A65E81"/>
    <w:rsid w:val="00A779D7"/>
    <w:rsid w:val="00A8713F"/>
    <w:rsid w:val="00A90BA1"/>
    <w:rsid w:val="00A91AB5"/>
    <w:rsid w:val="00A97A9A"/>
    <w:rsid w:val="00AA0671"/>
    <w:rsid w:val="00AA2531"/>
    <w:rsid w:val="00AB1E09"/>
    <w:rsid w:val="00AB5330"/>
    <w:rsid w:val="00AB7747"/>
    <w:rsid w:val="00AC14CE"/>
    <w:rsid w:val="00AC2A56"/>
    <w:rsid w:val="00AC55CF"/>
    <w:rsid w:val="00AC76D3"/>
    <w:rsid w:val="00AD055E"/>
    <w:rsid w:val="00AD440A"/>
    <w:rsid w:val="00AD47A7"/>
    <w:rsid w:val="00AE05C4"/>
    <w:rsid w:val="00AE2F0A"/>
    <w:rsid w:val="00AF0CBF"/>
    <w:rsid w:val="00AF257F"/>
    <w:rsid w:val="00AF33CF"/>
    <w:rsid w:val="00AF4D50"/>
    <w:rsid w:val="00AF6179"/>
    <w:rsid w:val="00B0395A"/>
    <w:rsid w:val="00B1295A"/>
    <w:rsid w:val="00B20A45"/>
    <w:rsid w:val="00B22C5C"/>
    <w:rsid w:val="00B24F30"/>
    <w:rsid w:val="00B31ABF"/>
    <w:rsid w:val="00B31DEA"/>
    <w:rsid w:val="00B33BE3"/>
    <w:rsid w:val="00B41791"/>
    <w:rsid w:val="00B43B0D"/>
    <w:rsid w:val="00B53B5D"/>
    <w:rsid w:val="00B6055E"/>
    <w:rsid w:val="00B6317D"/>
    <w:rsid w:val="00B73C80"/>
    <w:rsid w:val="00B764C8"/>
    <w:rsid w:val="00B7723F"/>
    <w:rsid w:val="00B80534"/>
    <w:rsid w:val="00B81CC1"/>
    <w:rsid w:val="00B8266E"/>
    <w:rsid w:val="00B8433C"/>
    <w:rsid w:val="00B87284"/>
    <w:rsid w:val="00B87491"/>
    <w:rsid w:val="00BA006A"/>
    <w:rsid w:val="00BA2051"/>
    <w:rsid w:val="00BA29E9"/>
    <w:rsid w:val="00BA7142"/>
    <w:rsid w:val="00BB1651"/>
    <w:rsid w:val="00BB237C"/>
    <w:rsid w:val="00BB41A3"/>
    <w:rsid w:val="00BB5476"/>
    <w:rsid w:val="00BC32DC"/>
    <w:rsid w:val="00BC35B6"/>
    <w:rsid w:val="00BC5A7C"/>
    <w:rsid w:val="00BD1B51"/>
    <w:rsid w:val="00BD36E9"/>
    <w:rsid w:val="00BD4596"/>
    <w:rsid w:val="00BE1405"/>
    <w:rsid w:val="00BE2CFD"/>
    <w:rsid w:val="00BE312D"/>
    <w:rsid w:val="00BF1C20"/>
    <w:rsid w:val="00C024E6"/>
    <w:rsid w:val="00C10578"/>
    <w:rsid w:val="00C135BC"/>
    <w:rsid w:val="00C145EB"/>
    <w:rsid w:val="00C15C95"/>
    <w:rsid w:val="00C16503"/>
    <w:rsid w:val="00C2596A"/>
    <w:rsid w:val="00C27537"/>
    <w:rsid w:val="00C3140B"/>
    <w:rsid w:val="00C328FE"/>
    <w:rsid w:val="00C33507"/>
    <w:rsid w:val="00C4409D"/>
    <w:rsid w:val="00C44E72"/>
    <w:rsid w:val="00C45A06"/>
    <w:rsid w:val="00C47E5B"/>
    <w:rsid w:val="00C543E2"/>
    <w:rsid w:val="00C55583"/>
    <w:rsid w:val="00C5599E"/>
    <w:rsid w:val="00C61E4B"/>
    <w:rsid w:val="00C64BFF"/>
    <w:rsid w:val="00C704E9"/>
    <w:rsid w:val="00C763C9"/>
    <w:rsid w:val="00C80057"/>
    <w:rsid w:val="00C82232"/>
    <w:rsid w:val="00C82913"/>
    <w:rsid w:val="00C85D26"/>
    <w:rsid w:val="00C90929"/>
    <w:rsid w:val="00C92AA6"/>
    <w:rsid w:val="00C94CC7"/>
    <w:rsid w:val="00C972B1"/>
    <w:rsid w:val="00CA2CCE"/>
    <w:rsid w:val="00CA43FD"/>
    <w:rsid w:val="00CA7EF8"/>
    <w:rsid w:val="00CB437B"/>
    <w:rsid w:val="00CC3692"/>
    <w:rsid w:val="00CC489B"/>
    <w:rsid w:val="00CD2BCD"/>
    <w:rsid w:val="00CD3A4C"/>
    <w:rsid w:val="00CD5483"/>
    <w:rsid w:val="00CE10E9"/>
    <w:rsid w:val="00CE2910"/>
    <w:rsid w:val="00CE5393"/>
    <w:rsid w:val="00CE6119"/>
    <w:rsid w:val="00CE6DCC"/>
    <w:rsid w:val="00CF0E3A"/>
    <w:rsid w:val="00CF36BE"/>
    <w:rsid w:val="00CF6000"/>
    <w:rsid w:val="00CF6A0E"/>
    <w:rsid w:val="00CF7D58"/>
    <w:rsid w:val="00D003F3"/>
    <w:rsid w:val="00D0354E"/>
    <w:rsid w:val="00D0364F"/>
    <w:rsid w:val="00D06834"/>
    <w:rsid w:val="00D101E0"/>
    <w:rsid w:val="00D308ED"/>
    <w:rsid w:val="00D36D86"/>
    <w:rsid w:val="00D428AA"/>
    <w:rsid w:val="00D4393B"/>
    <w:rsid w:val="00D47DFC"/>
    <w:rsid w:val="00D50A34"/>
    <w:rsid w:val="00D524C6"/>
    <w:rsid w:val="00D53EFA"/>
    <w:rsid w:val="00D65FAC"/>
    <w:rsid w:val="00D86FB6"/>
    <w:rsid w:val="00D872D1"/>
    <w:rsid w:val="00D94A7C"/>
    <w:rsid w:val="00D95896"/>
    <w:rsid w:val="00DB1366"/>
    <w:rsid w:val="00DB2983"/>
    <w:rsid w:val="00DB5A13"/>
    <w:rsid w:val="00DC1257"/>
    <w:rsid w:val="00DC3DC0"/>
    <w:rsid w:val="00DC5B2B"/>
    <w:rsid w:val="00DD318D"/>
    <w:rsid w:val="00DE5272"/>
    <w:rsid w:val="00DF2E12"/>
    <w:rsid w:val="00DF514A"/>
    <w:rsid w:val="00DF6690"/>
    <w:rsid w:val="00DF6804"/>
    <w:rsid w:val="00E0358D"/>
    <w:rsid w:val="00E03F72"/>
    <w:rsid w:val="00E04323"/>
    <w:rsid w:val="00E070A2"/>
    <w:rsid w:val="00E2656A"/>
    <w:rsid w:val="00E27802"/>
    <w:rsid w:val="00E412D0"/>
    <w:rsid w:val="00E43FB9"/>
    <w:rsid w:val="00E45FA3"/>
    <w:rsid w:val="00E56322"/>
    <w:rsid w:val="00E60982"/>
    <w:rsid w:val="00E60A27"/>
    <w:rsid w:val="00E62C62"/>
    <w:rsid w:val="00E654C1"/>
    <w:rsid w:val="00E65D97"/>
    <w:rsid w:val="00E72A5A"/>
    <w:rsid w:val="00E73354"/>
    <w:rsid w:val="00E9242D"/>
    <w:rsid w:val="00EB5255"/>
    <w:rsid w:val="00EB5C47"/>
    <w:rsid w:val="00ED0639"/>
    <w:rsid w:val="00ED1C3F"/>
    <w:rsid w:val="00EF4755"/>
    <w:rsid w:val="00EF48E2"/>
    <w:rsid w:val="00EF7135"/>
    <w:rsid w:val="00F01D62"/>
    <w:rsid w:val="00F027DB"/>
    <w:rsid w:val="00F14A7A"/>
    <w:rsid w:val="00F20167"/>
    <w:rsid w:val="00F22985"/>
    <w:rsid w:val="00F272C5"/>
    <w:rsid w:val="00F3383E"/>
    <w:rsid w:val="00F465A7"/>
    <w:rsid w:val="00F50B7C"/>
    <w:rsid w:val="00F550E6"/>
    <w:rsid w:val="00F74345"/>
    <w:rsid w:val="00F80A0A"/>
    <w:rsid w:val="00F82B19"/>
    <w:rsid w:val="00F9212D"/>
    <w:rsid w:val="00F9432B"/>
    <w:rsid w:val="00F965DA"/>
    <w:rsid w:val="00FA406A"/>
    <w:rsid w:val="00FB503A"/>
    <w:rsid w:val="00FB516C"/>
    <w:rsid w:val="00FC2830"/>
    <w:rsid w:val="00FD0236"/>
    <w:rsid w:val="00FD18F4"/>
    <w:rsid w:val="00FD54DB"/>
    <w:rsid w:val="00FD619F"/>
    <w:rsid w:val="00FD61B4"/>
    <w:rsid w:val="00FF62BF"/>
    <w:rsid w:val="010243EF"/>
    <w:rsid w:val="010455EA"/>
    <w:rsid w:val="01162A2A"/>
    <w:rsid w:val="011779A4"/>
    <w:rsid w:val="011B4164"/>
    <w:rsid w:val="011F3A94"/>
    <w:rsid w:val="01290F7E"/>
    <w:rsid w:val="013465D2"/>
    <w:rsid w:val="013F72C2"/>
    <w:rsid w:val="014527E0"/>
    <w:rsid w:val="01474798"/>
    <w:rsid w:val="014A66FB"/>
    <w:rsid w:val="01511B7B"/>
    <w:rsid w:val="015974C0"/>
    <w:rsid w:val="015D1E09"/>
    <w:rsid w:val="015D3710"/>
    <w:rsid w:val="016E7EDA"/>
    <w:rsid w:val="01712987"/>
    <w:rsid w:val="017A7412"/>
    <w:rsid w:val="01803FF7"/>
    <w:rsid w:val="01830099"/>
    <w:rsid w:val="018D1303"/>
    <w:rsid w:val="018D3E32"/>
    <w:rsid w:val="018F34A2"/>
    <w:rsid w:val="019E749C"/>
    <w:rsid w:val="01A21D6C"/>
    <w:rsid w:val="01AA4762"/>
    <w:rsid w:val="01BE0169"/>
    <w:rsid w:val="01C210E7"/>
    <w:rsid w:val="01C25145"/>
    <w:rsid w:val="01C267E4"/>
    <w:rsid w:val="01DF6BE3"/>
    <w:rsid w:val="02060F3C"/>
    <w:rsid w:val="02092BAA"/>
    <w:rsid w:val="020B6DC3"/>
    <w:rsid w:val="022071A1"/>
    <w:rsid w:val="023006C8"/>
    <w:rsid w:val="02344912"/>
    <w:rsid w:val="02371FD7"/>
    <w:rsid w:val="023B0973"/>
    <w:rsid w:val="02443B7C"/>
    <w:rsid w:val="02515AE8"/>
    <w:rsid w:val="02697903"/>
    <w:rsid w:val="026B6035"/>
    <w:rsid w:val="02857A70"/>
    <w:rsid w:val="028B5457"/>
    <w:rsid w:val="028C1A10"/>
    <w:rsid w:val="028F6C5B"/>
    <w:rsid w:val="02953842"/>
    <w:rsid w:val="029B10C7"/>
    <w:rsid w:val="02A365CE"/>
    <w:rsid w:val="02AB78A7"/>
    <w:rsid w:val="02BC7DE2"/>
    <w:rsid w:val="02CB7F49"/>
    <w:rsid w:val="02D45050"/>
    <w:rsid w:val="02D91F2B"/>
    <w:rsid w:val="02DF1C2E"/>
    <w:rsid w:val="02E132C9"/>
    <w:rsid w:val="02E6432A"/>
    <w:rsid w:val="02E86FFA"/>
    <w:rsid w:val="02E96621"/>
    <w:rsid w:val="02EB6C58"/>
    <w:rsid w:val="02F842DC"/>
    <w:rsid w:val="02F96569"/>
    <w:rsid w:val="030560A3"/>
    <w:rsid w:val="031913F3"/>
    <w:rsid w:val="03237D85"/>
    <w:rsid w:val="032A3F08"/>
    <w:rsid w:val="032B687E"/>
    <w:rsid w:val="033A0C2B"/>
    <w:rsid w:val="033D5283"/>
    <w:rsid w:val="0345475D"/>
    <w:rsid w:val="034F1899"/>
    <w:rsid w:val="035116E6"/>
    <w:rsid w:val="035717DD"/>
    <w:rsid w:val="035E23AC"/>
    <w:rsid w:val="03660B46"/>
    <w:rsid w:val="03667C72"/>
    <w:rsid w:val="03803CCC"/>
    <w:rsid w:val="03876238"/>
    <w:rsid w:val="03880C34"/>
    <w:rsid w:val="038C30FA"/>
    <w:rsid w:val="03912776"/>
    <w:rsid w:val="039745B6"/>
    <w:rsid w:val="0399195D"/>
    <w:rsid w:val="039F618C"/>
    <w:rsid w:val="03AA1797"/>
    <w:rsid w:val="03AA4003"/>
    <w:rsid w:val="03AA6849"/>
    <w:rsid w:val="03BA58F3"/>
    <w:rsid w:val="03BC3306"/>
    <w:rsid w:val="03C70711"/>
    <w:rsid w:val="03C70A07"/>
    <w:rsid w:val="03C9075B"/>
    <w:rsid w:val="03D108BC"/>
    <w:rsid w:val="03DC3B14"/>
    <w:rsid w:val="03E73ADD"/>
    <w:rsid w:val="03EA7B21"/>
    <w:rsid w:val="03F523CB"/>
    <w:rsid w:val="03F732D9"/>
    <w:rsid w:val="04090B5E"/>
    <w:rsid w:val="040A684F"/>
    <w:rsid w:val="04171B33"/>
    <w:rsid w:val="041F0FFF"/>
    <w:rsid w:val="04294B38"/>
    <w:rsid w:val="04344986"/>
    <w:rsid w:val="04357D70"/>
    <w:rsid w:val="043D4062"/>
    <w:rsid w:val="043F299D"/>
    <w:rsid w:val="044627E1"/>
    <w:rsid w:val="04535C31"/>
    <w:rsid w:val="04555316"/>
    <w:rsid w:val="045802E6"/>
    <w:rsid w:val="0458705C"/>
    <w:rsid w:val="04590565"/>
    <w:rsid w:val="045D2444"/>
    <w:rsid w:val="04634608"/>
    <w:rsid w:val="04651DA4"/>
    <w:rsid w:val="046A2F91"/>
    <w:rsid w:val="04810F1A"/>
    <w:rsid w:val="048230C8"/>
    <w:rsid w:val="04897E8F"/>
    <w:rsid w:val="049031F8"/>
    <w:rsid w:val="049F168E"/>
    <w:rsid w:val="04A103A3"/>
    <w:rsid w:val="04AB2C8C"/>
    <w:rsid w:val="04AB7949"/>
    <w:rsid w:val="04AF592D"/>
    <w:rsid w:val="04B36EE7"/>
    <w:rsid w:val="04BC7C14"/>
    <w:rsid w:val="04BE3E35"/>
    <w:rsid w:val="04C82478"/>
    <w:rsid w:val="04CE5821"/>
    <w:rsid w:val="04D728ED"/>
    <w:rsid w:val="04DA7BB6"/>
    <w:rsid w:val="04DE63F1"/>
    <w:rsid w:val="04E62D41"/>
    <w:rsid w:val="04EC5C85"/>
    <w:rsid w:val="04F04A62"/>
    <w:rsid w:val="04F75026"/>
    <w:rsid w:val="04FD0162"/>
    <w:rsid w:val="04FD141F"/>
    <w:rsid w:val="050D218B"/>
    <w:rsid w:val="05170BDA"/>
    <w:rsid w:val="051B4F91"/>
    <w:rsid w:val="05250DF1"/>
    <w:rsid w:val="053313E6"/>
    <w:rsid w:val="054300FD"/>
    <w:rsid w:val="05471157"/>
    <w:rsid w:val="054E09BE"/>
    <w:rsid w:val="05522AFC"/>
    <w:rsid w:val="055540EC"/>
    <w:rsid w:val="056A06BF"/>
    <w:rsid w:val="056A1C9B"/>
    <w:rsid w:val="057034C6"/>
    <w:rsid w:val="05872E7F"/>
    <w:rsid w:val="058D0B49"/>
    <w:rsid w:val="058D208D"/>
    <w:rsid w:val="05927CC1"/>
    <w:rsid w:val="05A11650"/>
    <w:rsid w:val="05B020DE"/>
    <w:rsid w:val="05BC6884"/>
    <w:rsid w:val="05C70CB4"/>
    <w:rsid w:val="05CE17C0"/>
    <w:rsid w:val="05CF6C1B"/>
    <w:rsid w:val="05D47115"/>
    <w:rsid w:val="05DE7B76"/>
    <w:rsid w:val="05E441AE"/>
    <w:rsid w:val="05EC79D4"/>
    <w:rsid w:val="05F477B7"/>
    <w:rsid w:val="05F83EAE"/>
    <w:rsid w:val="05FB28F4"/>
    <w:rsid w:val="05FC4982"/>
    <w:rsid w:val="05FD666C"/>
    <w:rsid w:val="06163089"/>
    <w:rsid w:val="06163897"/>
    <w:rsid w:val="061D180E"/>
    <w:rsid w:val="061E5423"/>
    <w:rsid w:val="06271BF8"/>
    <w:rsid w:val="062856C3"/>
    <w:rsid w:val="063302DF"/>
    <w:rsid w:val="063E7D85"/>
    <w:rsid w:val="06400C4E"/>
    <w:rsid w:val="06586919"/>
    <w:rsid w:val="065E16B3"/>
    <w:rsid w:val="065F76D1"/>
    <w:rsid w:val="06652467"/>
    <w:rsid w:val="066940D3"/>
    <w:rsid w:val="066D21C0"/>
    <w:rsid w:val="06724F41"/>
    <w:rsid w:val="06734B80"/>
    <w:rsid w:val="06740B7E"/>
    <w:rsid w:val="0677683B"/>
    <w:rsid w:val="067A5F0E"/>
    <w:rsid w:val="067C2062"/>
    <w:rsid w:val="067D4AA3"/>
    <w:rsid w:val="06807CD6"/>
    <w:rsid w:val="06854FD8"/>
    <w:rsid w:val="0687324A"/>
    <w:rsid w:val="068B4018"/>
    <w:rsid w:val="06927E5C"/>
    <w:rsid w:val="06961322"/>
    <w:rsid w:val="06966601"/>
    <w:rsid w:val="06990DAE"/>
    <w:rsid w:val="069D5AB3"/>
    <w:rsid w:val="06BF3957"/>
    <w:rsid w:val="06C17AD6"/>
    <w:rsid w:val="06CD278C"/>
    <w:rsid w:val="06DE6A7F"/>
    <w:rsid w:val="06E66E1C"/>
    <w:rsid w:val="06E93094"/>
    <w:rsid w:val="06F507F9"/>
    <w:rsid w:val="06F77662"/>
    <w:rsid w:val="06FD6709"/>
    <w:rsid w:val="07015A13"/>
    <w:rsid w:val="07023C0B"/>
    <w:rsid w:val="0705522E"/>
    <w:rsid w:val="070E4566"/>
    <w:rsid w:val="07110B9F"/>
    <w:rsid w:val="071845D8"/>
    <w:rsid w:val="071975CF"/>
    <w:rsid w:val="071C7712"/>
    <w:rsid w:val="071E5DB2"/>
    <w:rsid w:val="07293586"/>
    <w:rsid w:val="07295285"/>
    <w:rsid w:val="0730481F"/>
    <w:rsid w:val="073065CD"/>
    <w:rsid w:val="073256DB"/>
    <w:rsid w:val="07433407"/>
    <w:rsid w:val="07433F78"/>
    <w:rsid w:val="074672D7"/>
    <w:rsid w:val="075C5614"/>
    <w:rsid w:val="07636392"/>
    <w:rsid w:val="07646E79"/>
    <w:rsid w:val="077577F3"/>
    <w:rsid w:val="07770C56"/>
    <w:rsid w:val="0777244E"/>
    <w:rsid w:val="07815B7F"/>
    <w:rsid w:val="07854341"/>
    <w:rsid w:val="078D1A90"/>
    <w:rsid w:val="079E7EC9"/>
    <w:rsid w:val="07A01A45"/>
    <w:rsid w:val="07AF0BB3"/>
    <w:rsid w:val="07BB23DD"/>
    <w:rsid w:val="07BC3907"/>
    <w:rsid w:val="07C92227"/>
    <w:rsid w:val="07D366E3"/>
    <w:rsid w:val="07E0544E"/>
    <w:rsid w:val="07F43107"/>
    <w:rsid w:val="07F4717B"/>
    <w:rsid w:val="07F95559"/>
    <w:rsid w:val="07FE56DE"/>
    <w:rsid w:val="08324D6F"/>
    <w:rsid w:val="08352358"/>
    <w:rsid w:val="08391746"/>
    <w:rsid w:val="083F44CE"/>
    <w:rsid w:val="084A1910"/>
    <w:rsid w:val="08597DA5"/>
    <w:rsid w:val="085C096D"/>
    <w:rsid w:val="08692D67"/>
    <w:rsid w:val="087119E8"/>
    <w:rsid w:val="088211C7"/>
    <w:rsid w:val="08980543"/>
    <w:rsid w:val="089C26B1"/>
    <w:rsid w:val="089E7EE0"/>
    <w:rsid w:val="08A13C26"/>
    <w:rsid w:val="08A55595"/>
    <w:rsid w:val="08A85CF7"/>
    <w:rsid w:val="08AE1E9F"/>
    <w:rsid w:val="08B166FC"/>
    <w:rsid w:val="08B9797D"/>
    <w:rsid w:val="08C65AE9"/>
    <w:rsid w:val="08D03166"/>
    <w:rsid w:val="08D5207C"/>
    <w:rsid w:val="08D54CEA"/>
    <w:rsid w:val="08D57672"/>
    <w:rsid w:val="08DA03F7"/>
    <w:rsid w:val="08E4031F"/>
    <w:rsid w:val="08E43173"/>
    <w:rsid w:val="08E458C1"/>
    <w:rsid w:val="08EC37DA"/>
    <w:rsid w:val="08F20709"/>
    <w:rsid w:val="090B72F2"/>
    <w:rsid w:val="09157F20"/>
    <w:rsid w:val="091B73AE"/>
    <w:rsid w:val="092217DD"/>
    <w:rsid w:val="092C1C34"/>
    <w:rsid w:val="093072F0"/>
    <w:rsid w:val="09370ACD"/>
    <w:rsid w:val="09376EA9"/>
    <w:rsid w:val="093A470E"/>
    <w:rsid w:val="093A7294"/>
    <w:rsid w:val="09431564"/>
    <w:rsid w:val="09431F4A"/>
    <w:rsid w:val="09554D92"/>
    <w:rsid w:val="095C4B76"/>
    <w:rsid w:val="095F63A8"/>
    <w:rsid w:val="095F763D"/>
    <w:rsid w:val="09617166"/>
    <w:rsid w:val="09644C54"/>
    <w:rsid w:val="096C41E3"/>
    <w:rsid w:val="096F3C40"/>
    <w:rsid w:val="0984532B"/>
    <w:rsid w:val="09A45050"/>
    <w:rsid w:val="09BA26D8"/>
    <w:rsid w:val="09C875A3"/>
    <w:rsid w:val="09DA0ECA"/>
    <w:rsid w:val="09E110D4"/>
    <w:rsid w:val="09EF5447"/>
    <w:rsid w:val="09F14739"/>
    <w:rsid w:val="0A0638BA"/>
    <w:rsid w:val="0A085BCC"/>
    <w:rsid w:val="0A167F88"/>
    <w:rsid w:val="0A1B1253"/>
    <w:rsid w:val="0A1E12A6"/>
    <w:rsid w:val="0A1E4E03"/>
    <w:rsid w:val="0A246DB0"/>
    <w:rsid w:val="0A251AEA"/>
    <w:rsid w:val="0A263993"/>
    <w:rsid w:val="0A2909E2"/>
    <w:rsid w:val="0A2D3AC2"/>
    <w:rsid w:val="0A337E8E"/>
    <w:rsid w:val="0A36061B"/>
    <w:rsid w:val="0A387859"/>
    <w:rsid w:val="0A4A214A"/>
    <w:rsid w:val="0A4D7496"/>
    <w:rsid w:val="0A5F73ED"/>
    <w:rsid w:val="0A600772"/>
    <w:rsid w:val="0A60366D"/>
    <w:rsid w:val="0A60541B"/>
    <w:rsid w:val="0A866624"/>
    <w:rsid w:val="0A8C1E1C"/>
    <w:rsid w:val="0A8F703D"/>
    <w:rsid w:val="0A915854"/>
    <w:rsid w:val="0A920D6E"/>
    <w:rsid w:val="0A9A7171"/>
    <w:rsid w:val="0A9E7BCE"/>
    <w:rsid w:val="0AA11501"/>
    <w:rsid w:val="0AA20BCD"/>
    <w:rsid w:val="0AA755DF"/>
    <w:rsid w:val="0AB25A18"/>
    <w:rsid w:val="0AB64867"/>
    <w:rsid w:val="0AB93EDC"/>
    <w:rsid w:val="0ABA28E6"/>
    <w:rsid w:val="0AC0410C"/>
    <w:rsid w:val="0AC8669F"/>
    <w:rsid w:val="0ACC1031"/>
    <w:rsid w:val="0ACC485F"/>
    <w:rsid w:val="0AD26C62"/>
    <w:rsid w:val="0ADE7FD4"/>
    <w:rsid w:val="0AE93307"/>
    <w:rsid w:val="0AED49F2"/>
    <w:rsid w:val="0B073AE9"/>
    <w:rsid w:val="0B082D3B"/>
    <w:rsid w:val="0B120D44"/>
    <w:rsid w:val="0B19313A"/>
    <w:rsid w:val="0B1F52D6"/>
    <w:rsid w:val="0B24469B"/>
    <w:rsid w:val="0B2711C0"/>
    <w:rsid w:val="0B495EAF"/>
    <w:rsid w:val="0B584F06"/>
    <w:rsid w:val="0B59666F"/>
    <w:rsid w:val="0B6B0F5B"/>
    <w:rsid w:val="0B7269E4"/>
    <w:rsid w:val="0B7B446F"/>
    <w:rsid w:val="0B7E426C"/>
    <w:rsid w:val="0B837B6D"/>
    <w:rsid w:val="0B845D2F"/>
    <w:rsid w:val="0BA47589"/>
    <w:rsid w:val="0BAB0918"/>
    <w:rsid w:val="0BAD6200"/>
    <w:rsid w:val="0BB97433"/>
    <w:rsid w:val="0BC047E3"/>
    <w:rsid w:val="0BC154A2"/>
    <w:rsid w:val="0BC35C62"/>
    <w:rsid w:val="0BC53921"/>
    <w:rsid w:val="0BC84087"/>
    <w:rsid w:val="0BCB2C22"/>
    <w:rsid w:val="0BD27BF6"/>
    <w:rsid w:val="0BD3385B"/>
    <w:rsid w:val="0BFA161E"/>
    <w:rsid w:val="0BFF137E"/>
    <w:rsid w:val="0C121F11"/>
    <w:rsid w:val="0C1502F4"/>
    <w:rsid w:val="0C1B1C54"/>
    <w:rsid w:val="0C1C289D"/>
    <w:rsid w:val="0C22677C"/>
    <w:rsid w:val="0C26093E"/>
    <w:rsid w:val="0C2728CD"/>
    <w:rsid w:val="0C3703FE"/>
    <w:rsid w:val="0C3B3971"/>
    <w:rsid w:val="0C3B3C7D"/>
    <w:rsid w:val="0C415B73"/>
    <w:rsid w:val="0C4572E3"/>
    <w:rsid w:val="0C4C6E6C"/>
    <w:rsid w:val="0C4F207D"/>
    <w:rsid w:val="0C60167C"/>
    <w:rsid w:val="0C601F1F"/>
    <w:rsid w:val="0C62339E"/>
    <w:rsid w:val="0C6366AC"/>
    <w:rsid w:val="0C6A1A4F"/>
    <w:rsid w:val="0C6B71F4"/>
    <w:rsid w:val="0C6D567E"/>
    <w:rsid w:val="0C6E1877"/>
    <w:rsid w:val="0C7E676A"/>
    <w:rsid w:val="0C9B3E7D"/>
    <w:rsid w:val="0CAB2EAE"/>
    <w:rsid w:val="0CAD3399"/>
    <w:rsid w:val="0CB42A51"/>
    <w:rsid w:val="0CB672B3"/>
    <w:rsid w:val="0CC218BB"/>
    <w:rsid w:val="0CCF0D71"/>
    <w:rsid w:val="0CD41639"/>
    <w:rsid w:val="0CD41FCF"/>
    <w:rsid w:val="0CD520F0"/>
    <w:rsid w:val="0CD67170"/>
    <w:rsid w:val="0CE32697"/>
    <w:rsid w:val="0CEB5CC6"/>
    <w:rsid w:val="0CF14A50"/>
    <w:rsid w:val="0CF66AAA"/>
    <w:rsid w:val="0D026C5D"/>
    <w:rsid w:val="0D1302B2"/>
    <w:rsid w:val="0D291939"/>
    <w:rsid w:val="0D2C59C1"/>
    <w:rsid w:val="0D3857D1"/>
    <w:rsid w:val="0D3B4BA7"/>
    <w:rsid w:val="0D4D6A91"/>
    <w:rsid w:val="0D5208E0"/>
    <w:rsid w:val="0D604CBC"/>
    <w:rsid w:val="0D605A69"/>
    <w:rsid w:val="0D621C7D"/>
    <w:rsid w:val="0D6431AD"/>
    <w:rsid w:val="0D6C2329"/>
    <w:rsid w:val="0D6C36F8"/>
    <w:rsid w:val="0D6C5674"/>
    <w:rsid w:val="0D6C74FD"/>
    <w:rsid w:val="0D762E4B"/>
    <w:rsid w:val="0D836389"/>
    <w:rsid w:val="0D8A6965"/>
    <w:rsid w:val="0D8E6743"/>
    <w:rsid w:val="0D8E75CC"/>
    <w:rsid w:val="0D9F021F"/>
    <w:rsid w:val="0DAB3883"/>
    <w:rsid w:val="0DAD3732"/>
    <w:rsid w:val="0DB5782C"/>
    <w:rsid w:val="0DBC243A"/>
    <w:rsid w:val="0DC5177D"/>
    <w:rsid w:val="0DC72D2F"/>
    <w:rsid w:val="0DC7755F"/>
    <w:rsid w:val="0DCB5811"/>
    <w:rsid w:val="0DD0765A"/>
    <w:rsid w:val="0DD13B19"/>
    <w:rsid w:val="0DD226C5"/>
    <w:rsid w:val="0DE14AC5"/>
    <w:rsid w:val="0DEF4D3D"/>
    <w:rsid w:val="0DF44F14"/>
    <w:rsid w:val="0DFB59D6"/>
    <w:rsid w:val="0E03073F"/>
    <w:rsid w:val="0E1E3623"/>
    <w:rsid w:val="0E2F1ED0"/>
    <w:rsid w:val="0E443DFB"/>
    <w:rsid w:val="0E465EE5"/>
    <w:rsid w:val="0E4A39EC"/>
    <w:rsid w:val="0E4E3FE3"/>
    <w:rsid w:val="0E542D3D"/>
    <w:rsid w:val="0E621E2C"/>
    <w:rsid w:val="0E73034D"/>
    <w:rsid w:val="0E887CDB"/>
    <w:rsid w:val="0E8C0AF0"/>
    <w:rsid w:val="0E9438E5"/>
    <w:rsid w:val="0EA0672E"/>
    <w:rsid w:val="0EB36461"/>
    <w:rsid w:val="0EBB384D"/>
    <w:rsid w:val="0EC90800"/>
    <w:rsid w:val="0ED35847"/>
    <w:rsid w:val="0ED42D25"/>
    <w:rsid w:val="0ED555BE"/>
    <w:rsid w:val="0ED667EF"/>
    <w:rsid w:val="0EEF0D87"/>
    <w:rsid w:val="0EF03BAC"/>
    <w:rsid w:val="0EF16F8A"/>
    <w:rsid w:val="0F024CF3"/>
    <w:rsid w:val="0F026AA1"/>
    <w:rsid w:val="0F0B54C0"/>
    <w:rsid w:val="0F0C3E45"/>
    <w:rsid w:val="0F13775A"/>
    <w:rsid w:val="0F19323F"/>
    <w:rsid w:val="0F2E0AAD"/>
    <w:rsid w:val="0F2F360E"/>
    <w:rsid w:val="0F4946D0"/>
    <w:rsid w:val="0F5F45FE"/>
    <w:rsid w:val="0F614A52"/>
    <w:rsid w:val="0F79195B"/>
    <w:rsid w:val="0F866B20"/>
    <w:rsid w:val="0F955F2B"/>
    <w:rsid w:val="0F9718DF"/>
    <w:rsid w:val="0F9A112B"/>
    <w:rsid w:val="0FA25CB6"/>
    <w:rsid w:val="0FA4224E"/>
    <w:rsid w:val="0FAA2C12"/>
    <w:rsid w:val="0FAA30A6"/>
    <w:rsid w:val="0FB0034E"/>
    <w:rsid w:val="0FB3423F"/>
    <w:rsid w:val="0FB551B0"/>
    <w:rsid w:val="0FC71A98"/>
    <w:rsid w:val="0FC77D8F"/>
    <w:rsid w:val="0FD51F87"/>
    <w:rsid w:val="0FF61E1A"/>
    <w:rsid w:val="10020BEC"/>
    <w:rsid w:val="100F45BF"/>
    <w:rsid w:val="10150A56"/>
    <w:rsid w:val="101D770B"/>
    <w:rsid w:val="10233173"/>
    <w:rsid w:val="102F7791"/>
    <w:rsid w:val="10373C2B"/>
    <w:rsid w:val="10374E70"/>
    <w:rsid w:val="103E425D"/>
    <w:rsid w:val="10464D41"/>
    <w:rsid w:val="1054728D"/>
    <w:rsid w:val="106D2F64"/>
    <w:rsid w:val="106F460A"/>
    <w:rsid w:val="107F3E54"/>
    <w:rsid w:val="108B44D6"/>
    <w:rsid w:val="10996C08"/>
    <w:rsid w:val="109B53FF"/>
    <w:rsid w:val="10A66DDF"/>
    <w:rsid w:val="10AF6B3A"/>
    <w:rsid w:val="10B63710"/>
    <w:rsid w:val="10C85AC8"/>
    <w:rsid w:val="10D30C7A"/>
    <w:rsid w:val="10EA5A3E"/>
    <w:rsid w:val="10F10820"/>
    <w:rsid w:val="10F15C54"/>
    <w:rsid w:val="10F35660"/>
    <w:rsid w:val="110814DB"/>
    <w:rsid w:val="110C3C07"/>
    <w:rsid w:val="11192B62"/>
    <w:rsid w:val="111C2F7A"/>
    <w:rsid w:val="111F793F"/>
    <w:rsid w:val="1124723A"/>
    <w:rsid w:val="113F0CA2"/>
    <w:rsid w:val="11445A76"/>
    <w:rsid w:val="114C0424"/>
    <w:rsid w:val="11523871"/>
    <w:rsid w:val="11563CDE"/>
    <w:rsid w:val="11665CA1"/>
    <w:rsid w:val="116F7BC9"/>
    <w:rsid w:val="11972DCE"/>
    <w:rsid w:val="119B31DD"/>
    <w:rsid w:val="119C58C7"/>
    <w:rsid w:val="119E4AB4"/>
    <w:rsid w:val="119F2CCD"/>
    <w:rsid w:val="11A26085"/>
    <w:rsid w:val="11A56839"/>
    <w:rsid w:val="11A86F9E"/>
    <w:rsid w:val="11A94C25"/>
    <w:rsid w:val="11BC7256"/>
    <w:rsid w:val="11D64215"/>
    <w:rsid w:val="11E84D8F"/>
    <w:rsid w:val="11EC72B3"/>
    <w:rsid w:val="11FA160D"/>
    <w:rsid w:val="11FA43A7"/>
    <w:rsid w:val="1202325C"/>
    <w:rsid w:val="120E5E65"/>
    <w:rsid w:val="121B0A2F"/>
    <w:rsid w:val="122B3E64"/>
    <w:rsid w:val="12395F3A"/>
    <w:rsid w:val="123D22D5"/>
    <w:rsid w:val="123D57D9"/>
    <w:rsid w:val="125A65C9"/>
    <w:rsid w:val="125B1583"/>
    <w:rsid w:val="12632D34"/>
    <w:rsid w:val="12675803"/>
    <w:rsid w:val="126D40D3"/>
    <w:rsid w:val="127767B6"/>
    <w:rsid w:val="127C6382"/>
    <w:rsid w:val="12850115"/>
    <w:rsid w:val="129B5620"/>
    <w:rsid w:val="12A43121"/>
    <w:rsid w:val="12AD450C"/>
    <w:rsid w:val="12AF5FEB"/>
    <w:rsid w:val="12B26106"/>
    <w:rsid w:val="12BE4A4E"/>
    <w:rsid w:val="12CF75E2"/>
    <w:rsid w:val="12D45493"/>
    <w:rsid w:val="12DC75B7"/>
    <w:rsid w:val="12DE3BE3"/>
    <w:rsid w:val="12E27315"/>
    <w:rsid w:val="12E6266F"/>
    <w:rsid w:val="12E64715"/>
    <w:rsid w:val="12E80EFD"/>
    <w:rsid w:val="12EE3007"/>
    <w:rsid w:val="12F72695"/>
    <w:rsid w:val="130C7119"/>
    <w:rsid w:val="130D7377"/>
    <w:rsid w:val="13143247"/>
    <w:rsid w:val="1314552E"/>
    <w:rsid w:val="132552F2"/>
    <w:rsid w:val="132668DF"/>
    <w:rsid w:val="132C0590"/>
    <w:rsid w:val="13404E25"/>
    <w:rsid w:val="13405DEA"/>
    <w:rsid w:val="13430BA1"/>
    <w:rsid w:val="13517FF7"/>
    <w:rsid w:val="13620456"/>
    <w:rsid w:val="13635375"/>
    <w:rsid w:val="137141F5"/>
    <w:rsid w:val="13786431"/>
    <w:rsid w:val="13951726"/>
    <w:rsid w:val="139C03C4"/>
    <w:rsid w:val="139E3585"/>
    <w:rsid w:val="139E52C6"/>
    <w:rsid w:val="13A148AD"/>
    <w:rsid w:val="13A26428"/>
    <w:rsid w:val="13A740BB"/>
    <w:rsid w:val="13AF1D43"/>
    <w:rsid w:val="13B16CE7"/>
    <w:rsid w:val="13BD2CCB"/>
    <w:rsid w:val="13C33956"/>
    <w:rsid w:val="13CA5B3F"/>
    <w:rsid w:val="13CE33F5"/>
    <w:rsid w:val="13D426F1"/>
    <w:rsid w:val="13DC2025"/>
    <w:rsid w:val="13DD5D2E"/>
    <w:rsid w:val="13E250F3"/>
    <w:rsid w:val="13E63D4A"/>
    <w:rsid w:val="13F466E6"/>
    <w:rsid w:val="13FF321A"/>
    <w:rsid w:val="14074B59"/>
    <w:rsid w:val="142932E7"/>
    <w:rsid w:val="142B7C44"/>
    <w:rsid w:val="14396509"/>
    <w:rsid w:val="144E60BD"/>
    <w:rsid w:val="144E6111"/>
    <w:rsid w:val="14547484"/>
    <w:rsid w:val="14567642"/>
    <w:rsid w:val="1469366F"/>
    <w:rsid w:val="1470787A"/>
    <w:rsid w:val="147C1413"/>
    <w:rsid w:val="14814303"/>
    <w:rsid w:val="148A1D6E"/>
    <w:rsid w:val="14943AA4"/>
    <w:rsid w:val="14951EA4"/>
    <w:rsid w:val="14956609"/>
    <w:rsid w:val="1497412F"/>
    <w:rsid w:val="14A45158"/>
    <w:rsid w:val="14AD189F"/>
    <w:rsid w:val="14B65F48"/>
    <w:rsid w:val="14B7657F"/>
    <w:rsid w:val="14C044BD"/>
    <w:rsid w:val="14C64FC8"/>
    <w:rsid w:val="14CA0FC5"/>
    <w:rsid w:val="14CA5545"/>
    <w:rsid w:val="14D81C38"/>
    <w:rsid w:val="14DD2C3C"/>
    <w:rsid w:val="14E53D99"/>
    <w:rsid w:val="14F0626A"/>
    <w:rsid w:val="14F1386F"/>
    <w:rsid w:val="14F271DF"/>
    <w:rsid w:val="14F3073E"/>
    <w:rsid w:val="15017BAB"/>
    <w:rsid w:val="15130914"/>
    <w:rsid w:val="15227E9D"/>
    <w:rsid w:val="152F25BA"/>
    <w:rsid w:val="15387C1C"/>
    <w:rsid w:val="154C1626"/>
    <w:rsid w:val="154C6BDF"/>
    <w:rsid w:val="15595847"/>
    <w:rsid w:val="155F4742"/>
    <w:rsid w:val="15655F33"/>
    <w:rsid w:val="15657272"/>
    <w:rsid w:val="1574621E"/>
    <w:rsid w:val="157E230D"/>
    <w:rsid w:val="15860295"/>
    <w:rsid w:val="158E293F"/>
    <w:rsid w:val="159266A5"/>
    <w:rsid w:val="15A1543A"/>
    <w:rsid w:val="15AA0863"/>
    <w:rsid w:val="15AE7093"/>
    <w:rsid w:val="15B0100B"/>
    <w:rsid w:val="15B900D5"/>
    <w:rsid w:val="15BC4E81"/>
    <w:rsid w:val="15C7774E"/>
    <w:rsid w:val="15D54523"/>
    <w:rsid w:val="15E622AE"/>
    <w:rsid w:val="15EF22EA"/>
    <w:rsid w:val="15F57C51"/>
    <w:rsid w:val="15F71DE8"/>
    <w:rsid w:val="15F94ED9"/>
    <w:rsid w:val="15FE58DA"/>
    <w:rsid w:val="160065C0"/>
    <w:rsid w:val="16087E1D"/>
    <w:rsid w:val="160C6457"/>
    <w:rsid w:val="16137F76"/>
    <w:rsid w:val="161D012F"/>
    <w:rsid w:val="16216F25"/>
    <w:rsid w:val="164107F7"/>
    <w:rsid w:val="164700E5"/>
    <w:rsid w:val="1649227B"/>
    <w:rsid w:val="164D1018"/>
    <w:rsid w:val="164D11B1"/>
    <w:rsid w:val="165151E6"/>
    <w:rsid w:val="16546724"/>
    <w:rsid w:val="16556050"/>
    <w:rsid w:val="1658660C"/>
    <w:rsid w:val="165A116F"/>
    <w:rsid w:val="16614691"/>
    <w:rsid w:val="16702E8A"/>
    <w:rsid w:val="1674659D"/>
    <w:rsid w:val="167D7385"/>
    <w:rsid w:val="168241F9"/>
    <w:rsid w:val="16824978"/>
    <w:rsid w:val="168B1A72"/>
    <w:rsid w:val="168E3310"/>
    <w:rsid w:val="16921052"/>
    <w:rsid w:val="1695644C"/>
    <w:rsid w:val="16994E4A"/>
    <w:rsid w:val="16A50DC5"/>
    <w:rsid w:val="16B2255F"/>
    <w:rsid w:val="16B54070"/>
    <w:rsid w:val="16B732BA"/>
    <w:rsid w:val="16C3745D"/>
    <w:rsid w:val="16C75029"/>
    <w:rsid w:val="16C77EC8"/>
    <w:rsid w:val="16CE5A43"/>
    <w:rsid w:val="16D05473"/>
    <w:rsid w:val="16E55626"/>
    <w:rsid w:val="16F76306"/>
    <w:rsid w:val="16F9178A"/>
    <w:rsid w:val="16F966C3"/>
    <w:rsid w:val="16FE2244"/>
    <w:rsid w:val="16FE3FF2"/>
    <w:rsid w:val="170114A3"/>
    <w:rsid w:val="170439E0"/>
    <w:rsid w:val="17052455"/>
    <w:rsid w:val="170811C0"/>
    <w:rsid w:val="17215F32"/>
    <w:rsid w:val="1725580F"/>
    <w:rsid w:val="1725590B"/>
    <w:rsid w:val="173051DB"/>
    <w:rsid w:val="17353801"/>
    <w:rsid w:val="174E1037"/>
    <w:rsid w:val="17524BF5"/>
    <w:rsid w:val="176A5E82"/>
    <w:rsid w:val="176D25A5"/>
    <w:rsid w:val="176F3141"/>
    <w:rsid w:val="176F53FA"/>
    <w:rsid w:val="17701D14"/>
    <w:rsid w:val="17735226"/>
    <w:rsid w:val="17736C65"/>
    <w:rsid w:val="17784FD2"/>
    <w:rsid w:val="17785321"/>
    <w:rsid w:val="177A1B18"/>
    <w:rsid w:val="1780534F"/>
    <w:rsid w:val="178A1F00"/>
    <w:rsid w:val="17A04FB6"/>
    <w:rsid w:val="17BF5E77"/>
    <w:rsid w:val="17C3509D"/>
    <w:rsid w:val="17D72324"/>
    <w:rsid w:val="17D94A63"/>
    <w:rsid w:val="17DD2B31"/>
    <w:rsid w:val="17DE760C"/>
    <w:rsid w:val="17E44A5D"/>
    <w:rsid w:val="17E609B3"/>
    <w:rsid w:val="17EE5B79"/>
    <w:rsid w:val="17F26C05"/>
    <w:rsid w:val="17F52DFF"/>
    <w:rsid w:val="17F56287"/>
    <w:rsid w:val="180513B0"/>
    <w:rsid w:val="18055B7B"/>
    <w:rsid w:val="180A493F"/>
    <w:rsid w:val="181B78A1"/>
    <w:rsid w:val="18331E16"/>
    <w:rsid w:val="18363C5F"/>
    <w:rsid w:val="184A39F7"/>
    <w:rsid w:val="184E71FB"/>
    <w:rsid w:val="185240A4"/>
    <w:rsid w:val="18545A3F"/>
    <w:rsid w:val="185760AF"/>
    <w:rsid w:val="185B2F95"/>
    <w:rsid w:val="186175BF"/>
    <w:rsid w:val="18620FC8"/>
    <w:rsid w:val="18710A57"/>
    <w:rsid w:val="187F5606"/>
    <w:rsid w:val="1883753B"/>
    <w:rsid w:val="18877022"/>
    <w:rsid w:val="18910E95"/>
    <w:rsid w:val="1896465D"/>
    <w:rsid w:val="1899691A"/>
    <w:rsid w:val="189F624C"/>
    <w:rsid w:val="18A5291D"/>
    <w:rsid w:val="18A929E9"/>
    <w:rsid w:val="18D158B1"/>
    <w:rsid w:val="18DB7093"/>
    <w:rsid w:val="18EC4194"/>
    <w:rsid w:val="18F41B50"/>
    <w:rsid w:val="18F73D78"/>
    <w:rsid w:val="18FF59E5"/>
    <w:rsid w:val="1903037F"/>
    <w:rsid w:val="19030C79"/>
    <w:rsid w:val="19041E9F"/>
    <w:rsid w:val="19063631"/>
    <w:rsid w:val="19084CE4"/>
    <w:rsid w:val="19121FD6"/>
    <w:rsid w:val="191B6229"/>
    <w:rsid w:val="192835A8"/>
    <w:rsid w:val="192E2002"/>
    <w:rsid w:val="193E2FB9"/>
    <w:rsid w:val="194F7DBB"/>
    <w:rsid w:val="196C7BD0"/>
    <w:rsid w:val="196E5DDF"/>
    <w:rsid w:val="197E141A"/>
    <w:rsid w:val="1981715C"/>
    <w:rsid w:val="19873C1D"/>
    <w:rsid w:val="199835EB"/>
    <w:rsid w:val="199A1AD8"/>
    <w:rsid w:val="199F65D9"/>
    <w:rsid w:val="19AD1CFF"/>
    <w:rsid w:val="19BB13EC"/>
    <w:rsid w:val="19BE41FC"/>
    <w:rsid w:val="19D158F2"/>
    <w:rsid w:val="19D22478"/>
    <w:rsid w:val="19DD00FB"/>
    <w:rsid w:val="19DE22C0"/>
    <w:rsid w:val="19E3709D"/>
    <w:rsid w:val="19E672A3"/>
    <w:rsid w:val="19EE2A43"/>
    <w:rsid w:val="19F22A1D"/>
    <w:rsid w:val="19F66F6A"/>
    <w:rsid w:val="1A031606"/>
    <w:rsid w:val="1A050334"/>
    <w:rsid w:val="1A0849DC"/>
    <w:rsid w:val="1A121912"/>
    <w:rsid w:val="1A18186E"/>
    <w:rsid w:val="1A197FE2"/>
    <w:rsid w:val="1A1A3838"/>
    <w:rsid w:val="1A1C66C0"/>
    <w:rsid w:val="1A1E30CC"/>
    <w:rsid w:val="1A230218"/>
    <w:rsid w:val="1A231FC1"/>
    <w:rsid w:val="1A2E5A87"/>
    <w:rsid w:val="1A361C8A"/>
    <w:rsid w:val="1A42393B"/>
    <w:rsid w:val="1A454F4F"/>
    <w:rsid w:val="1A496723"/>
    <w:rsid w:val="1A5F1FD6"/>
    <w:rsid w:val="1A6520B9"/>
    <w:rsid w:val="1A6C4519"/>
    <w:rsid w:val="1A7647E7"/>
    <w:rsid w:val="1A807414"/>
    <w:rsid w:val="1A844D78"/>
    <w:rsid w:val="1A872550"/>
    <w:rsid w:val="1A8B2040"/>
    <w:rsid w:val="1A906E9A"/>
    <w:rsid w:val="1A923E5A"/>
    <w:rsid w:val="1A932882"/>
    <w:rsid w:val="1A984139"/>
    <w:rsid w:val="1A985983"/>
    <w:rsid w:val="1AA267DF"/>
    <w:rsid w:val="1AAD45DE"/>
    <w:rsid w:val="1AAE43CE"/>
    <w:rsid w:val="1AAF3196"/>
    <w:rsid w:val="1AB248CF"/>
    <w:rsid w:val="1AB772D9"/>
    <w:rsid w:val="1ACF499D"/>
    <w:rsid w:val="1AD84FD2"/>
    <w:rsid w:val="1AE8103C"/>
    <w:rsid w:val="1AEC4D2C"/>
    <w:rsid w:val="1AFC0295"/>
    <w:rsid w:val="1B046F80"/>
    <w:rsid w:val="1B0B0256"/>
    <w:rsid w:val="1B124510"/>
    <w:rsid w:val="1B13786A"/>
    <w:rsid w:val="1B20231F"/>
    <w:rsid w:val="1B23068A"/>
    <w:rsid w:val="1B3267B5"/>
    <w:rsid w:val="1B40161D"/>
    <w:rsid w:val="1B417B08"/>
    <w:rsid w:val="1B423FAF"/>
    <w:rsid w:val="1B434614"/>
    <w:rsid w:val="1B441859"/>
    <w:rsid w:val="1B463EF5"/>
    <w:rsid w:val="1B4B62BC"/>
    <w:rsid w:val="1B4D3918"/>
    <w:rsid w:val="1B4D5F47"/>
    <w:rsid w:val="1B552E3E"/>
    <w:rsid w:val="1B5C1C2F"/>
    <w:rsid w:val="1B600776"/>
    <w:rsid w:val="1B6606B1"/>
    <w:rsid w:val="1B6607FA"/>
    <w:rsid w:val="1B665EBA"/>
    <w:rsid w:val="1B681605"/>
    <w:rsid w:val="1B7A3962"/>
    <w:rsid w:val="1B7C7F99"/>
    <w:rsid w:val="1B854077"/>
    <w:rsid w:val="1B8B42C2"/>
    <w:rsid w:val="1B9238A2"/>
    <w:rsid w:val="1B993EA1"/>
    <w:rsid w:val="1B9D5F8B"/>
    <w:rsid w:val="1BA12FB9"/>
    <w:rsid w:val="1BAB226E"/>
    <w:rsid w:val="1BB75C39"/>
    <w:rsid w:val="1BBB3669"/>
    <w:rsid w:val="1BC3580A"/>
    <w:rsid w:val="1BDB0DA5"/>
    <w:rsid w:val="1BE02B95"/>
    <w:rsid w:val="1BE51C24"/>
    <w:rsid w:val="1BF04E4F"/>
    <w:rsid w:val="1BF47FF8"/>
    <w:rsid w:val="1BF6798D"/>
    <w:rsid w:val="1BFE4A94"/>
    <w:rsid w:val="1BFF49E5"/>
    <w:rsid w:val="1C01124E"/>
    <w:rsid w:val="1C067430"/>
    <w:rsid w:val="1C071EDC"/>
    <w:rsid w:val="1C1642E7"/>
    <w:rsid w:val="1C181C1B"/>
    <w:rsid w:val="1C2E5379"/>
    <w:rsid w:val="1C3761FE"/>
    <w:rsid w:val="1C3A4146"/>
    <w:rsid w:val="1C4757A6"/>
    <w:rsid w:val="1C556F54"/>
    <w:rsid w:val="1C5B5DDB"/>
    <w:rsid w:val="1C5E7925"/>
    <w:rsid w:val="1C683067"/>
    <w:rsid w:val="1C6A1C63"/>
    <w:rsid w:val="1C6E4FDB"/>
    <w:rsid w:val="1C705992"/>
    <w:rsid w:val="1C7714BC"/>
    <w:rsid w:val="1C876837"/>
    <w:rsid w:val="1C9176B6"/>
    <w:rsid w:val="1C9410D2"/>
    <w:rsid w:val="1C9571A6"/>
    <w:rsid w:val="1C991113"/>
    <w:rsid w:val="1CAD6824"/>
    <w:rsid w:val="1CC730D8"/>
    <w:rsid w:val="1CD14BDA"/>
    <w:rsid w:val="1CDC18CA"/>
    <w:rsid w:val="1CE27DBE"/>
    <w:rsid w:val="1CF144FF"/>
    <w:rsid w:val="1CF814E3"/>
    <w:rsid w:val="1CFD070F"/>
    <w:rsid w:val="1CFD28E8"/>
    <w:rsid w:val="1CFE1B75"/>
    <w:rsid w:val="1D0F1754"/>
    <w:rsid w:val="1D100011"/>
    <w:rsid w:val="1D100184"/>
    <w:rsid w:val="1D1628F7"/>
    <w:rsid w:val="1D1B38E7"/>
    <w:rsid w:val="1D1D4A42"/>
    <w:rsid w:val="1D272059"/>
    <w:rsid w:val="1D2E6355"/>
    <w:rsid w:val="1D471F54"/>
    <w:rsid w:val="1D4C1A4A"/>
    <w:rsid w:val="1D4F099E"/>
    <w:rsid w:val="1D5F6196"/>
    <w:rsid w:val="1D6132A5"/>
    <w:rsid w:val="1D691375"/>
    <w:rsid w:val="1D6D0123"/>
    <w:rsid w:val="1D7735B8"/>
    <w:rsid w:val="1D84721B"/>
    <w:rsid w:val="1D862F93"/>
    <w:rsid w:val="1D8E56D5"/>
    <w:rsid w:val="1D957E68"/>
    <w:rsid w:val="1D9A4D2D"/>
    <w:rsid w:val="1D9B06B2"/>
    <w:rsid w:val="1D9C1F33"/>
    <w:rsid w:val="1D9C608B"/>
    <w:rsid w:val="1D9D249A"/>
    <w:rsid w:val="1D9E3123"/>
    <w:rsid w:val="1DA1131B"/>
    <w:rsid w:val="1DA17254"/>
    <w:rsid w:val="1DAB30F9"/>
    <w:rsid w:val="1DAE72C4"/>
    <w:rsid w:val="1DB47C56"/>
    <w:rsid w:val="1DC63996"/>
    <w:rsid w:val="1DCD0D39"/>
    <w:rsid w:val="1DE100EC"/>
    <w:rsid w:val="1DE24D04"/>
    <w:rsid w:val="1DF8224F"/>
    <w:rsid w:val="1DFB74DD"/>
    <w:rsid w:val="1E014C93"/>
    <w:rsid w:val="1E064989"/>
    <w:rsid w:val="1E1C4EBD"/>
    <w:rsid w:val="1E231E5F"/>
    <w:rsid w:val="1E2C4442"/>
    <w:rsid w:val="1E327711"/>
    <w:rsid w:val="1E3B0145"/>
    <w:rsid w:val="1E44077C"/>
    <w:rsid w:val="1E4C5F8A"/>
    <w:rsid w:val="1E4D4784"/>
    <w:rsid w:val="1E51079D"/>
    <w:rsid w:val="1E640AD7"/>
    <w:rsid w:val="1E6569F2"/>
    <w:rsid w:val="1E6A4663"/>
    <w:rsid w:val="1E6A5D5B"/>
    <w:rsid w:val="1E7A43DA"/>
    <w:rsid w:val="1E854FF8"/>
    <w:rsid w:val="1E9D47F9"/>
    <w:rsid w:val="1EA34795"/>
    <w:rsid w:val="1EA616ED"/>
    <w:rsid w:val="1EA731C1"/>
    <w:rsid w:val="1EBB0A1A"/>
    <w:rsid w:val="1ECB3353"/>
    <w:rsid w:val="1ED90DF6"/>
    <w:rsid w:val="1EE079D0"/>
    <w:rsid w:val="1EE91A2B"/>
    <w:rsid w:val="1EF8106D"/>
    <w:rsid w:val="1EFA467A"/>
    <w:rsid w:val="1EFD1E99"/>
    <w:rsid w:val="1F025711"/>
    <w:rsid w:val="1F0833CB"/>
    <w:rsid w:val="1F0E4DBE"/>
    <w:rsid w:val="1F1174D0"/>
    <w:rsid w:val="1F186F92"/>
    <w:rsid w:val="1F2B20AB"/>
    <w:rsid w:val="1F2F2120"/>
    <w:rsid w:val="1F3233D2"/>
    <w:rsid w:val="1F327753"/>
    <w:rsid w:val="1F354C71"/>
    <w:rsid w:val="1F3846E3"/>
    <w:rsid w:val="1F3F164B"/>
    <w:rsid w:val="1F4E0726"/>
    <w:rsid w:val="1F520D24"/>
    <w:rsid w:val="1F533349"/>
    <w:rsid w:val="1F542BBF"/>
    <w:rsid w:val="1F58270D"/>
    <w:rsid w:val="1F5A2F34"/>
    <w:rsid w:val="1F6B68E4"/>
    <w:rsid w:val="1F6F21BA"/>
    <w:rsid w:val="1F8D6FA8"/>
    <w:rsid w:val="1F933643"/>
    <w:rsid w:val="1FA51D6E"/>
    <w:rsid w:val="1FA73F4A"/>
    <w:rsid w:val="1FB02549"/>
    <w:rsid w:val="1FB80F9C"/>
    <w:rsid w:val="1FB96AC5"/>
    <w:rsid w:val="1FBE6426"/>
    <w:rsid w:val="1FC16EE0"/>
    <w:rsid w:val="1FC2557E"/>
    <w:rsid w:val="1FC33948"/>
    <w:rsid w:val="1FC941D3"/>
    <w:rsid w:val="1FCB2EDF"/>
    <w:rsid w:val="1FCD72A0"/>
    <w:rsid w:val="1FD24A35"/>
    <w:rsid w:val="1FD91AA0"/>
    <w:rsid w:val="1FE7539E"/>
    <w:rsid w:val="1FEF6BCD"/>
    <w:rsid w:val="1FF148FF"/>
    <w:rsid w:val="200C3FED"/>
    <w:rsid w:val="202129A4"/>
    <w:rsid w:val="20244872"/>
    <w:rsid w:val="202543FB"/>
    <w:rsid w:val="202D1DEC"/>
    <w:rsid w:val="202D37ED"/>
    <w:rsid w:val="202E11BC"/>
    <w:rsid w:val="203B0671"/>
    <w:rsid w:val="203E44AA"/>
    <w:rsid w:val="20671BE0"/>
    <w:rsid w:val="206D6437"/>
    <w:rsid w:val="206E2534"/>
    <w:rsid w:val="207C0281"/>
    <w:rsid w:val="208870A0"/>
    <w:rsid w:val="208A2D9A"/>
    <w:rsid w:val="20963CB8"/>
    <w:rsid w:val="209F6521"/>
    <w:rsid w:val="20A81A1B"/>
    <w:rsid w:val="20B07FB6"/>
    <w:rsid w:val="20B10181"/>
    <w:rsid w:val="20B62301"/>
    <w:rsid w:val="20B646FB"/>
    <w:rsid w:val="20B971DB"/>
    <w:rsid w:val="20C55B80"/>
    <w:rsid w:val="20C640EA"/>
    <w:rsid w:val="20CF1E32"/>
    <w:rsid w:val="20D22560"/>
    <w:rsid w:val="20DF5FFD"/>
    <w:rsid w:val="20EA4ED6"/>
    <w:rsid w:val="20F04E56"/>
    <w:rsid w:val="20FC568F"/>
    <w:rsid w:val="210373DF"/>
    <w:rsid w:val="21077943"/>
    <w:rsid w:val="210963B5"/>
    <w:rsid w:val="210B3EDB"/>
    <w:rsid w:val="21143F61"/>
    <w:rsid w:val="21162047"/>
    <w:rsid w:val="211B1575"/>
    <w:rsid w:val="21366AC1"/>
    <w:rsid w:val="213B37E4"/>
    <w:rsid w:val="213B3971"/>
    <w:rsid w:val="213B74B1"/>
    <w:rsid w:val="213F4B2E"/>
    <w:rsid w:val="214C3A9A"/>
    <w:rsid w:val="21565466"/>
    <w:rsid w:val="21584C46"/>
    <w:rsid w:val="215A2310"/>
    <w:rsid w:val="215D400B"/>
    <w:rsid w:val="215F37AE"/>
    <w:rsid w:val="215F4AA5"/>
    <w:rsid w:val="21766939"/>
    <w:rsid w:val="21771A86"/>
    <w:rsid w:val="217E568B"/>
    <w:rsid w:val="21820C0D"/>
    <w:rsid w:val="21823451"/>
    <w:rsid w:val="218849EB"/>
    <w:rsid w:val="219462B2"/>
    <w:rsid w:val="21975C3F"/>
    <w:rsid w:val="219A59F5"/>
    <w:rsid w:val="21B92F7F"/>
    <w:rsid w:val="21BE3ED6"/>
    <w:rsid w:val="21C32D63"/>
    <w:rsid w:val="21C83B2A"/>
    <w:rsid w:val="21C909AA"/>
    <w:rsid w:val="21CA2511"/>
    <w:rsid w:val="21D208E9"/>
    <w:rsid w:val="21DC13D3"/>
    <w:rsid w:val="21DC5877"/>
    <w:rsid w:val="21DE318A"/>
    <w:rsid w:val="21DE7B36"/>
    <w:rsid w:val="21E71DEA"/>
    <w:rsid w:val="21EF5B80"/>
    <w:rsid w:val="22025912"/>
    <w:rsid w:val="220307A9"/>
    <w:rsid w:val="220B1CB9"/>
    <w:rsid w:val="221A3220"/>
    <w:rsid w:val="2221328A"/>
    <w:rsid w:val="222A5153"/>
    <w:rsid w:val="222A65E3"/>
    <w:rsid w:val="222C70F8"/>
    <w:rsid w:val="22327245"/>
    <w:rsid w:val="223B5657"/>
    <w:rsid w:val="22412EFC"/>
    <w:rsid w:val="22576990"/>
    <w:rsid w:val="227601BF"/>
    <w:rsid w:val="227F187C"/>
    <w:rsid w:val="22812EA5"/>
    <w:rsid w:val="22870095"/>
    <w:rsid w:val="229414D9"/>
    <w:rsid w:val="229F6012"/>
    <w:rsid w:val="22AF76A0"/>
    <w:rsid w:val="22BA14B5"/>
    <w:rsid w:val="22C34341"/>
    <w:rsid w:val="22D00673"/>
    <w:rsid w:val="22D53BF5"/>
    <w:rsid w:val="22D90ADC"/>
    <w:rsid w:val="22DC2119"/>
    <w:rsid w:val="22DE117B"/>
    <w:rsid w:val="22E03145"/>
    <w:rsid w:val="22E2393E"/>
    <w:rsid w:val="22EB3FC4"/>
    <w:rsid w:val="22EC3898"/>
    <w:rsid w:val="22F47480"/>
    <w:rsid w:val="22FF6903"/>
    <w:rsid w:val="23097902"/>
    <w:rsid w:val="230E5538"/>
    <w:rsid w:val="230F38AE"/>
    <w:rsid w:val="231400F2"/>
    <w:rsid w:val="2314625A"/>
    <w:rsid w:val="23171024"/>
    <w:rsid w:val="231C48CB"/>
    <w:rsid w:val="231D280A"/>
    <w:rsid w:val="23217D49"/>
    <w:rsid w:val="23221AE3"/>
    <w:rsid w:val="23250CEA"/>
    <w:rsid w:val="23282038"/>
    <w:rsid w:val="232D6524"/>
    <w:rsid w:val="23360FB7"/>
    <w:rsid w:val="2351092C"/>
    <w:rsid w:val="235246E7"/>
    <w:rsid w:val="236B3863"/>
    <w:rsid w:val="236D6140"/>
    <w:rsid w:val="23700025"/>
    <w:rsid w:val="2371684A"/>
    <w:rsid w:val="2379688F"/>
    <w:rsid w:val="237F295E"/>
    <w:rsid w:val="238215D1"/>
    <w:rsid w:val="23850595"/>
    <w:rsid w:val="238B336C"/>
    <w:rsid w:val="2393373D"/>
    <w:rsid w:val="23A203FB"/>
    <w:rsid w:val="23AD14A4"/>
    <w:rsid w:val="23B21385"/>
    <w:rsid w:val="23CA60B4"/>
    <w:rsid w:val="23D36D27"/>
    <w:rsid w:val="23D37701"/>
    <w:rsid w:val="23DD5B01"/>
    <w:rsid w:val="23DE1C48"/>
    <w:rsid w:val="23DF477D"/>
    <w:rsid w:val="23E379CC"/>
    <w:rsid w:val="23F010B1"/>
    <w:rsid w:val="23FE53B3"/>
    <w:rsid w:val="24015121"/>
    <w:rsid w:val="240210CD"/>
    <w:rsid w:val="2403321B"/>
    <w:rsid w:val="24055804"/>
    <w:rsid w:val="240753D0"/>
    <w:rsid w:val="2415453F"/>
    <w:rsid w:val="242B0894"/>
    <w:rsid w:val="24311EAA"/>
    <w:rsid w:val="24332995"/>
    <w:rsid w:val="243454F7"/>
    <w:rsid w:val="243F4E04"/>
    <w:rsid w:val="245525E1"/>
    <w:rsid w:val="245F20F0"/>
    <w:rsid w:val="24613575"/>
    <w:rsid w:val="24653A36"/>
    <w:rsid w:val="246D7F4A"/>
    <w:rsid w:val="247301BB"/>
    <w:rsid w:val="24742D16"/>
    <w:rsid w:val="247B2C12"/>
    <w:rsid w:val="247D5187"/>
    <w:rsid w:val="24863878"/>
    <w:rsid w:val="248F0700"/>
    <w:rsid w:val="249321B4"/>
    <w:rsid w:val="249B102A"/>
    <w:rsid w:val="24A3442A"/>
    <w:rsid w:val="24A4768F"/>
    <w:rsid w:val="24A570AC"/>
    <w:rsid w:val="24AB32DF"/>
    <w:rsid w:val="24B77ED6"/>
    <w:rsid w:val="24B95082"/>
    <w:rsid w:val="24BF09F7"/>
    <w:rsid w:val="24D34D10"/>
    <w:rsid w:val="24E11DC7"/>
    <w:rsid w:val="24EE7D9B"/>
    <w:rsid w:val="250C6474"/>
    <w:rsid w:val="25187F56"/>
    <w:rsid w:val="251D6E3A"/>
    <w:rsid w:val="2522693E"/>
    <w:rsid w:val="252D53FE"/>
    <w:rsid w:val="252E1ACA"/>
    <w:rsid w:val="2530242B"/>
    <w:rsid w:val="25311187"/>
    <w:rsid w:val="253F1ED4"/>
    <w:rsid w:val="254A5C25"/>
    <w:rsid w:val="255338F4"/>
    <w:rsid w:val="25757B75"/>
    <w:rsid w:val="259160DF"/>
    <w:rsid w:val="259A582D"/>
    <w:rsid w:val="25B55F00"/>
    <w:rsid w:val="25B8146B"/>
    <w:rsid w:val="25B91CE3"/>
    <w:rsid w:val="25C923D4"/>
    <w:rsid w:val="25C96113"/>
    <w:rsid w:val="25D64AC1"/>
    <w:rsid w:val="25D91E41"/>
    <w:rsid w:val="25E940BF"/>
    <w:rsid w:val="25EA7D57"/>
    <w:rsid w:val="25EC2D81"/>
    <w:rsid w:val="25F80AF2"/>
    <w:rsid w:val="25FD5DBC"/>
    <w:rsid w:val="25FF21D6"/>
    <w:rsid w:val="260550F2"/>
    <w:rsid w:val="260E2294"/>
    <w:rsid w:val="260E5559"/>
    <w:rsid w:val="261A4BC0"/>
    <w:rsid w:val="26203BE7"/>
    <w:rsid w:val="26217CFD"/>
    <w:rsid w:val="263113C5"/>
    <w:rsid w:val="26352B0B"/>
    <w:rsid w:val="263B7010"/>
    <w:rsid w:val="26414F71"/>
    <w:rsid w:val="264E03C6"/>
    <w:rsid w:val="26501020"/>
    <w:rsid w:val="265359DC"/>
    <w:rsid w:val="26600825"/>
    <w:rsid w:val="26887D7C"/>
    <w:rsid w:val="26920BFA"/>
    <w:rsid w:val="269C55D5"/>
    <w:rsid w:val="269F4EB6"/>
    <w:rsid w:val="26A97F4B"/>
    <w:rsid w:val="26AB2F4C"/>
    <w:rsid w:val="26BE72FA"/>
    <w:rsid w:val="26C27BB8"/>
    <w:rsid w:val="26C32B62"/>
    <w:rsid w:val="26C62652"/>
    <w:rsid w:val="26CB1A16"/>
    <w:rsid w:val="26DD1E76"/>
    <w:rsid w:val="26E054C2"/>
    <w:rsid w:val="26EB5D21"/>
    <w:rsid w:val="27054F28"/>
    <w:rsid w:val="27194E78"/>
    <w:rsid w:val="271E11F9"/>
    <w:rsid w:val="27204124"/>
    <w:rsid w:val="27266B8C"/>
    <w:rsid w:val="273C53D5"/>
    <w:rsid w:val="2740227E"/>
    <w:rsid w:val="274F7128"/>
    <w:rsid w:val="275859A0"/>
    <w:rsid w:val="277057A2"/>
    <w:rsid w:val="27712703"/>
    <w:rsid w:val="278A213E"/>
    <w:rsid w:val="279268D4"/>
    <w:rsid w:val="27943F97"/>
    <w:rsid w:val="279C53DE"/>
    <w:rsid w:val="279D7857"/>
    <w:rsid w:val="279F72AB"/>
    <w:rsid w:val="27A532A0"/>
    <w:rsid w:val="27A75FE0"/>
    <w:rsid w:val="27C207EA"/>
    <w:rsid w:val="27CD0471"/>
    <w:rsid w:val="27D15758"/>
    <w:rsid w:val="27D56FF1"/>
    <w:rsid w:val="27E014F2"/>
    <w:rsid w:val="27E03760"/>
    <w:rsid w:val="27E14DB1"/>
    <w:rsid w:val="27E6001E"/>
    <w:rsid w:val="27EB05C2"/>
    <w:rsid w:val="27F31A6C"/>
    <w:rsid w:val="28083B08"/>
    <w:rsid w:val="28123F92"/>
    <w:rsid w:val="28255896"/>
    <w:rsid w:val="28373D9D"/>
    <w:rsid w:val="28497097"/>
    <w:rsid w:val="285315EE"/>
    <w:rsid w:val="285D7AD9"/>
    <w:rsid w:val="286C1F7B"/>
    <w:rsid w:val="28711E55"/>
    <w:rsid w:val="287265EE"/>
    <w:rsid w:val="288A5267"/>
    <w:rsid w:val="288C52F9"/>
    <w:rsid w:val="28981DC0"/>
    <w:rsid w:val="28983B19"/>
    <w:rsid w:val="28AB3FA6"/>
    <w:rsid w:val="28AC4B58"/>
    <w:rsid w:val="28B12EE5"/>
    <w:rsid w:val="28B210E0"/>
    <w:rsid w:val="28B22B60"/>
    <w:rsid w:val="28BE1833"/>
    <w:rsid w:val="28CC33D9"/>
    <w:rsid w:val="28D64DCE"/>
    <w:rsid w:val="28E7284F"/>
    <w:rsid w:val="28EC5824"/>
    <w:rsid w:val="28F62E53"/>
    <w:rsid w:val="29057462"/>
    <w:rsid w:val="290B4CE0"/>
    <w:rsid w:val="29195240"/>
    <w:rsid w:val="291F1DD8"/>
    <w:rsid w:val="29206EB8"/>
    <w:rsid w:val="29211DC2"/>
    <w:rsid w:val="29253F26"/>
    <w:rsid w:val="29352A4A"/>
    <w:rsid w:val="293935AF"/>
    <w:rsid w:val="294455B3"/>
    <w:rsid w:val="29464110"/>
    <w:rsid w:val="29477A7A"/>
    <w:rsid w:val="295108F9"/>
    <w:rsid w:val="2954298A"/>
    <w:rsid w:val="29595666"/>
    <w:rsid w:val="295959FF"/>
    <w:rsid w:val="296C60DD"/>
    <w:rsid w:val="296E7514"/>
    <w:rsid w:val="29715217"/>
    <w:rsid w:val="297155C6"/>
    <w:rsid w:val="29874881"/>
    <w:rsid w:val="29893677"/>
    <w:rsid w:val="2999156F"/>
    <w:rsid w:val="29AA03E1"/>
    <w:rsid w:val="29B175E9"/>
    <w:rsid w:val="29BA75E6"/>
    <w:rsid w:val="29BD31B6"/>
    <w:rsid w:val="29C54E43"/>
    <w:rsid w:val="29C80F37"/>
    <w:rsid w:val="29CD377E"/>
    <w:rsid w:val="29D96052"/>
    <w:rsid w:val="29DF28BB"/>
    <w:rsid w:val="29E20226"/>
    <w:rsid w:val="29E325E0"/>
    <w:rsid w:val="29E56B0F"/>
    <w:rsid w:val="29E9416A"/>
    <w:rsid w:val="2A0A77B2"/>
    <w:rsid w:val="2A0C65CE"/>
    <w:rsid w:val="2A126189"/>
    <w:rsid w:val="2A132534"/>
    <w:rsid w:val="2A147E26"/>
    <w:rsid w:val="2A16628E"/>
    <w:rsid w:val="2A1F4553"/>
    <w:rsid w:val="2A32072A"/>
    <w:rsid w:val="2A417350"/>
    <w:rsid w:val="2A452503"/>
    <w:rsid w:val="2A455B7D"/>
    <w:rsid w:val="2A464FFE"/>
    <w:rsid w:val="2A4C260D"/>
    <w:rsid w:val="2A4E1F42"/>
    <w:rsid w:val="2A583D88"/>
    <w:rsid w:val="2A5C7555"/>
    <w:rsid w:val="2A6B1334"/>
    <w:rsid w:val="2A6F1198"/>
    <w:rsid w:val="2A7056D4"/>
    <w:rsid w:val="2A72235D"/>
    <w:rsid w:val="2A82604A"/>
    <w:rsid w:val="2A905ABE"/>
    <w:rsid w:val="2A9D23EA"/>
    <w:rsid w:val="2AA247E1"/>
    <w:rsid w:val="2AA35184"/>
    <w:rsid w:val="2AB01F9D"/>
    <w:rsid w:val="2AB96756"/>
    <w:rsid w:val="2ABB3FEC"/>
    <w:rsid w:val="2AC13164"/>
    <w:rsid w:val="2AC5334C"/>
    <w:rsid w:val="2ACA6169"/>
    <w:rsid w:val="2ACB2DA3"/>
    <w:rsid w:val="2AD27817"/>
    <w:rsid w:val="2AD47DA8"/>
    <w:rsid w:val="2AF77CB4"/>
    <w:rsid w:val="2B06518F"/>
    <w:rsid w:val="2B1D4FB5"/>
    <w:rsid w:val="2B211CA4"/>
    <w:rsid w:val="2B2941F4"/>
    <w:rsid w:val="2B3432A2"/>
    <w:rsid w:val="2B3F7ED0"/>
    <w:rsid w:val="2B432AF0"/>
    <w:rsid w:val="2B461A18"/>
    <w:rsid w:val="2B4D4B62"/>
    <w:rsid w:val="2B581127"/>
    <w:rsid w:val="2B637590"/>
    <w:rsid w:val="2B6D6895"/>
    <w:rsid w:val="2B7D3C27"/>
    <w:rsid w:val="2B855052"/>
    <w:rsid w:val="2B8C595A"/>
    <w:rsid w:val="2B92172B"/>
    <w:rsid w:val="2B927FEA"/>
    <w:rsid w:val="2B9651B7"/>
    <w:rsid w:val="2B9C447B"/>
    <w:rsid w:val="2B9E4124"/>
    <w:rsid w:val="2BA936A8"/>
    <w:rsid w:val="2BAF1907"/>
    <w:rsid w:val="2BB7512A"/>
    <w:rsid w:val="2BBA235A"/>
    <w:rsid w:val="2BBA6BD4"/>
    <w:rsid w:val="2BC12BCC"/>
    <w:rsid w:val="2BDB1A75"/>
    <w:rsid w:val="2BE1557D"/>
    <w:rsid w:val="2BE40904"/>
    <w:rsid w:val="2BF65788"/>
    <w:rsid w:val="2BF84B56"/>
    <w:rsid w:val="2C2210CD"/>
    <w:rsid w:val="2C245E51"/>
    <w:rsid w:val="2C2803FB"/>
    <w:rsid w:val="2C315A5A"/>
    <w:rsid w:val="2C3623FB"/>
    <w:rsid w:val="2C3D5164"/>
    <w:rsid w:val="2C4361DD"/>
    <w:rsid w:val="2C4378FC"/>
    <w:rsid w:val="2C4544B4"/>
    <w:rsid w:val="2C4958B7"/>
    <w:rsid w:val="2C4B1C25"/>
    <w:rsid w:val="2C4E6FAF"/>
    <w:rsid w:val="2C53629D"/>
    <w:rsid w:val="2C5D1363"/>
    <w:rsid w:val="2C5D75B5"/>
    <w:rsid w:val="2C760B99"/>
    <w:rsid w:val="2C7F20F9"/>
    <w:rsid w:val="2C9E46F4"/>
    <w:rsid w:val="2CA451E4"/>
    <w:rsid w:val="2CA75FCB"/>
    <w:rsid w:val="2CA945A8"/>
    <w:rsid w:val="2CAF1B32"/>
    <w:rsid w:val="2CAF4A11"/>
    <w:rsid w:val="2CB73169"/>
    <w:rsid w:val="2CBA16FC"/>
    <w:rsid w:val="2CBC781C"/>
    <w:rsid w:val="2CCC0594"/>
    <w:rsid w:val="2CCF0CEE"/>
    <w:rsid w:val="2CD100E4"/>
    <w:rsid w:val="2CD258AD"/>
    <w:rsid w:val="2CD56B9F"/>
    <w:rsid w:val="2CD62E42"/>
    <w:rsid w:val="2CD65973"/>
    <w:rsid w:val="2CE00A91"/>
    <w:rsid w:val="2CE675AA"/>
    <w:rsid w:val="2CE83ACF"/>
    <w:rsid w:val="2CF83728"/>
    <w:rsid w:val="2CF9552F"/>
    <w:rsid w:val="2CFB314A"/>
    <w:rsid w:val="2D002ED9"/>
    <w:rsid w:val="2D077444"/>
    <w:rsid w:val="2D0C37D5"/>
    <w:rsid w:val="2D0C73E6"/>
    <w:rsid w:val="2D195D4A"/>
    <w:rsid w:val="2D1A65ED"/>
    <w:rsid w:val="2D1A7254"/>
    <w:rsid w:val="2D1E766B"/>
    <w:rsid w:val="2D1F486A"/>
    <w:rsid w:val="2D2127D0"/>
    <w:rsid w:val="2D2A393B"/>
    <w:rsid w:val="2D2D6D36"/>
    <w:rsid w:val="2D3C366E"/>
    <w:rsid w:val="2D3E1194"/>
    <w:rsid w:val="2D5326F9"/>
    <w:rsid w:val="2D5704A8"/>
    <w:rsid w:val="2D580DD2"/>
    <w:rsid w:val="2D595FCE"/>
    <w:rsid w:val="2D6016DD"/>
    <w:rsid w:val="2D614E21"/>
    <w:rsid w:val="2D616C31"/>
    <w:rsid w:val="2D657100"/>
    <w:rsid w:val="2D67365B"/>
    <w:rsid w:val="2D6C410B"/>
    <w:rsid w:val="2D6D4829"/>
    <w:rsid w:val="2D6F134E"/>
    <w:rsid w:val="2D7008B3"/>
    <w:rsid w:val="2D7E5A35"/>
    <w:rsid w:val="2D7E66F1"/>
    <w:rsid w:val="2D84762D"/>
    <w:rsid w:val="2D862BD2"/>
    <w:rsid w:val="2D8A6187"/>
    <w:rsid w:val="2D915768"/>
    <w:rsid w:val="2D9E56F5"/>
    <w:rsid w:val="2D9F1201"/>
    <w:rsid w:val="2DA21F75"/>
    <w:rsid w:val="2DAA682A"/>
    <w:rsid w:val="2DB11966"/>
    <w:rsid w:val="2DB75E74"/>
    <w:rsid w:val="2DC53663"/>
    <w:rsid w:val="2DC9212F"/>
    <w:rsid w:val="2DD23DFF"/>
    <w:rsid w:val="2DDA36C1"/>
    <w:rsid w:val="2DDD3119"/>
    <w:rsid w:val="2DED1067"/>
    <w:rsid w:val="2DF449B1"/>
    <w:rsid w:val="2DF66168"/>
    <w:rsid w:val="2E024E2A"/>
    <w:rsid w:val="2E092E20"/>
    <w:rsid w:val="2E1275DE"/>
    <w:rsid w:val="2E135584"/>
    <w:rsid w:val="2E13634C"/>
    <w:rsid w:val="2E151F9E"/>
    <w:rsid w:val="2E16469D"/>
    <w:rsid w:val="2E2B5686"/>
    <w:rsid w:val="2E3B18D2"/>
    <w:rsid w:val="2E497DEC"/>
    <w:rsid w:val="2E4F4F5F"/>
    <w:rsid w:val="2E583A65"/>
    <w:rsid w:val="2E5D4DC2"/>
    <w:rsid w:val="2E5E060A"/>
    <w:rsid w:val="2E5E25C6"/>
    <w:rsid w:val="2E667F96"/>
    <w:rsid w:val="2E693D78"/>
    <w:rsid w:val="2E6D7F83"/>
    <w:rsid w:val="2E6E6203"/>
    <w:rsid w:val="2E6F6534"/>
    <w:rsid w:val="2E7110F5"/>
    <w:rsid w:val="2E7D3D65"/>
    <w:rsid w:val="2E8226AB"/>
    <w:rsid w:val="2E8C4181"/>
    <w:rsid w:val="2E975000"/>
    <w:rsid w:val="2EAB626F"/>
    <w:rsid w:val="2EB15996"/>
    <w:rsid w:val="2EB55486"/>
    <w:rsid w:val="2EBA0CEE"/>
    <w:rsid w:val="2EBB6161"/>
    <w:rsid w:val="2EBE000F"/>
    <w:rsid w:val="2EC2490F"/>
    <w:rsid w:val="2ED27967"/>
    <w:rsid w:val="2EDC54DD"/>
    <w:rsid w:val="2EDD4D10"/>
    <w:rsid w:val="2EE51610"/>
    <w:rsid w:val="2EE90AB6"/>
    <w:rsid w:val="2EEA5D9D"/>
    <w:rsid w:val="2EFB75C5"/>
    <w:rsid w:val="2F0A7B01"/>
    <w:rsid w:val="2F1321AD"/>
    <w:rsid w:val="2F266DD1"/>
    <w:rsid w:val="2F2C6DE1"/>
    <w:rsid w:val="2F2E6FE6"/>
    <w:rsid w:val="2F3E21E0"/>
    <w:rsid w:val="2F4D7C74"/>
    <w:rsid w:val="2F546684"/>
    <w:rsid w:val="2F603551"/>
    <w:rsid w:val="2F715851"/>
    <w:rsid w:val="2F7E3ACA"/>
    <w:rsid w:val="2F812A33"/>
    <w:rsid w:val="2F816E67"/>
    <w:rsid w:val="2F88422B"/>
    <w:rsid w:val="2F8F5CD7"/>
    <w:rsid w:val="2F9715E0"/>
    <w:rsid w:val="2F9C21A2"/>
    <w:rsid w:val="2FA15C46"/>
    <w:rsid w:val="2FB20188"/>
    <w:rsid w:val="2FB9731F"/>
    <w:rsid w:val="2FBA3DAE"/>
    <w:rsid w:val="2FBF4A6A"/>
    <w:rsid w:val="2FC631CB"/>
    <w:rsid w:val="2FC82E12"/>
    <w:rsid w:val="2FD065E6"/>
    <w:rsid w:val="2FD1080F"/>
    <w:rsid w:val="2FD45DE0"/>
    <w:rsid w:val="2FD656B4"/>
    <w:rsid w:val="2FD96870"/>
    <w:rsid w:val="2FE3293B"/>
    <w:rsid w:val="2FE33E62"/>
    <w:rsid w:val="2FF7387C"/>
    <w:rsid w:val="3021158F"/>
    <w:rsid w:val="30220510"/>
    <w:rsid w:val="302856C9"/>
    <w:rsid w:val="304073C3"/>
    <w:rsid w:val="304940D8"/>
    <w:rsid w:val="304C54C3"/>
    <w:rsid w:val="30580BC9"/>
    <w:rsid w:val="305A3900"/>
    <w:rsid w:val="30656ADC"/>
    <w:rsid w:val="306B7240"/>
    <w:rsid w:val="306C6018"/>
    <w:rsid w:val="307125CD"/>
    <w:rsid w:val="307D0225"/>
    <w:rsid w:val="3080769A"/>
    <w:rsid w:val="30807DF8"/>
    <w:rsid w:val="308E135A"/>
    <w:rsid w:val="309818CE"/>
    <w:rsid w:val="30A148C7"/>
    <w:rsid w:val="30AE0115"/>
    <w:rsid w:val="30DD4B17"/>
    <w:rsid w:val="30E20253"/>
    <w:rsid w:val="30E72737"/>
    <w:rsid w:val="30EF065E"/>
    <w:rsid w:val="30F17E77"/>
    <w:rsid w:val="30FD7AB5"/>
    <w:rsid w:val="31005C7B"/>
    <w:rsid w:val="310219A9"/>
    <w:rsid w:val="31087468"/>
    <w:rsid w:val="311E2ED7"/>
    <w:rsid w:val="3123357E"/>
    <w:rsid w:val="31282E00"/>
    <w:rsid w:val="312863E3"/>
    <w:rsid w:val="312F0C17"/>
    <w:rsid w:val="313A6D2E"/>
    <w:rsid w:val="31432D72"/>
    <w:rsid w:val="31507935"/>
    <w:rsid w:val="31532D34"/>
    <w:rsid w:val="315619EE"/>
    <w:rsid w:val="31580BF5"/>
    <w:rsid w:val="315C449C"/>
    <w:rsid w:val="31615451"/>
    <w:rsid w:val="31667791"/>
    <w:rsid w:val="316A28BB"/>
    <w:rsid w:val="316D6916"/>
    <w:rsid w:val="31774D69"/>
    <w:rsid w:val="3177563B"/>
    <w:rsid w:val="317A0F17"/>
    <w:rsid w:val="317A64B6"/>
    <w:rsid w:val="31855C10"/>
    <w:rsid w:val="319218E3"/>
    <w:rsid w:val="31940B55"/>
    <w:rsid w:val="31AB0563"/>
    <w:rsid w:val="31AD35C2"/>
    <w:rsid w:val="31AF4894"/>
    <w:rsid w:val="31B82709"/>
    <w:rsid w:val="31B97576"/>
    <w:rsid w:val="31BC60CB"/>
    <w:rsid w:val="31C3192A"/>
    <w:rsid w:val="31C721DD"/>
    <w:rsid w:val="31CE7314"/>
    <w:rsid w:val="31D05482"/>
    <w:rsid w:val="31D71E8B"/>
    <w:rsid w:val="31D723CF"/>
    <w:rsid w:val="31DE2F46"/>
    <w:rsid w:val="31E03FC0"/>
    <w:rsid w:val="31E87E1C"/>
    <w:rsid w:val="31EA5447"/>
    <w:rsid w:val="31F83A20"/>
    <w:rsid w:val="320B740A"/>
    <w:rsid w:val="320F5E50"/>
    <w:rsid w:val="3213696C"/>
    <w:rsid w:val="322117DC"/>
    <w:rsid w:val="32244DFC"/>
    <w:rsid w:val="32385D9A"/>
    <w:rsid w:val="32400B34"/>
    <w:rsid w:val="32445242"/>
    <w:rsid w:val="32503711"/>
    <w:rsid w:val="325156B6"/>
    <w:rsid w:val="32537E28"/>
    <w:rsid w:val="32632F46"/>
    <w:rsid w:val="32713DBA"/>
    <w:rsid w:val="327616B4"/>
    <w:rsid w:val="32767940"/>
    <w:rsid w:val="32863E70"/>
    <w:rsid w:val="32886641"/>
    <w:rsid w:val="32904240"/>
    <w:rsid w:val="32963820"/>
    <w:rsid w:val="329E6876"/>
    <w:rsid w:val="329E71AF"/>
    <w:rsid w:val="32A26D85"/>
    <w:rsid w:val="32AC6BA0"/>
    <w:rsid w:val="32BB4BAE"/>
    <w:rsid w:val="32BD0DAD"/>
    <w:rsid w:val="32C63344"/>
    <w:rsid w:val="32CD49D6"/>
    <w:rsid w:val="32D243A7"/>
    <w:rsid w:val="32E25558"/>
    <w:rsid w:val="32E77BD8"/>
    <w:rsid w:val="32ED13A6"/>
    <w:rsid w:val="32F0489C"/>
    <w:rsid w:val="32F04CDF"/>
    <w:rsid w:val="32F613F1"/>
    <w:rsid w:val="32FC07C8"/>
    <w:rsid w:val="330009C2"/>
    <w:rsid w:val="330E1609"/>
    <w:rsid w:val="33184235"/>
    <w:rsid w:val="333015F2"/>
    <w:rsid w:val="33315072"/>
    <w:rsid w:val="333A6F54"/>
    <w:rsid w:val="333E0A5D"/>
    <w:rsid w:val="33435756"/>
    <w:rsid w:val="33482D6D"/>
    <w:rsid w:val="334B6320"/>
    <w:rsid w:val="335111A6"/>
    <w:rsid w:val="336002F5"/>
    <w:rsid w:val="337E3E1C"/>
    <w:rsid w:val="337F6063"/>
    <w:rsid w:val="33850FAF"/>
    <w:rsid w:val="338D1409"/>
    <w:rsid w:val="339529AF"/>
    <w:rsid w:val="339F44D3"/>
    <w:rsid w:val="33A553C7"/>
    <w:rsid w:val="33A572A6"/>
    <w:rsid w:val="33AD497E"/>
    <w:rsid w:val="33AD7350"/>
    <w:rsid w:val="33B10C4A"/>
    <w:rsid w:val="33B65F28"/>
    <w:rsid w:val="33B965C6"/>
    <w:rsid w:val="33B96A0C"/>
    <w:rsid w:val="33C817B8"/>
    <w:rsid w:val="33CE53FD"/>
    <w:rsid w:val="33D12D62"/>
    <w:rsid w:val="33D934D4"/>
    <w:rsid w:val="33DB598F"/>
    <w:rsid w:val="33E10ACB"/>
    <w:rsid w:val="33E278B0"/>
    <w:rsid w:val="33ED7470"/>
    <w:rsid w:val="33EE55CB"/>
    <w:rsid w:val="33F702EF"/>
    <w:rsid w:val="33FE2F6A"/>
    <w:rsid w:val="340B09AD"/>
    <w:rsid w:val="340B635C"/>
    <w:rsid w:val="340E07E5"/>
    <w:rsid w:val="3418218C"/>
    <w:rsid w:val="341D56D4"/>
    <w:rsid w:val="34235BF7"/>
    <w:rsid w:val="342450CB"/>
    <w:rsid w:val="342F53E4"/>
    <w:rsid w:val="34306838"/>
    <w:rsid w:val="34311A53"/>
    <w:rsid w:val="34390F98"/>
    <w:rsid w:val="343926B5"/>
    <w:rsid w:val="34406FA0"/>
    <w:rsid w:val="344165C4"/>
    <w:rsid w:val="344472E6"/>
    <w:rsid w:val="34476B80"/>
    <w:rsid w:val="344B565B"/>
    <w:rsid w:val="344C5CFF"/>
    <w:rsid w:val="344D353C"/>
    <w:rsid w:val="344F59F7"/>
    <w:rsid w:val="345D7A29"/>
    <w:rsid w:val="34632C52"/>
    <w:rsid w:val="34655258"/>
    <w:rsid w:val="3468412A"/>
    <w:rsid w:val="347332D6"/>
    <w:rsid w:val="347D07F4"/>
    <w:rsid w:val="3484313A"/>
    <w:rsid w:val="348B1D21"/>
    <w:rsid w:val="348F2F0F"/>
    <w:rsid w:val="34A00986"/>
    <w:rsid w:val="34A02E03"/>
    <w:rsid w:val="34AA3EC9"/>
    <w:rsid w:val="34B41D3C"/>
    <w:rsid w:val="34B43D12"/>
    <w:rsid w:val="34D41933"/>
    <w:rsid w:val="34E83E9D"/>
    <w:rsid w:val="34ED0215"/>
    <w:rsid w:val="34F44EE0"/>
    <w:rsid w:val="34F65339"/>
    <w:rsid w:val="34FB23DE"/>
    <w:rsid w:val="351A6043"/>
    <w:rsid w:val="35204193"/>
    <w:rsid w:val="35324FD0"/>
    <w:rsid w:val="35361304"/>
    <w:rsid w:val="353F3CFB"/>
    <w:rsid w:val="35413331"/>
    <w:rsid w:val="3558300F"/>
    <w:rsid w:val="355D6450"/>
    <w:rsid w:val="35651AF4"/>
    <w:rsid w:val="35651E65"/>
    <w:rsid w:val="35720DAE"/>
    <w:rsid w:val="3572148F"/>
    <w:rsid w:val="35735BFE"/>
    <w:rsid w:val="35832DAE"/>
    <w:rsid w:val="35877816"/>
    <w:rsid w:val="358C5FA8"/>
    <w:rsid w:val="358D2CB9"/>
    <w:rsid w:val="3598150A"/>
    <w:rsid w:val="35A617BD"/>
    <w:rsid w:val="35AA1ED7"/>
    <w:rsid w:val="35AA3505"/>
    <w:rsid w:val="35AF44FE"/>
    <w:rsid w:val="35B65FF0"/>
    <w:rsid w:val="35C15DF1"/>
    <w:rsid w:val="35C22393"/>
    <w:rsid w:val="35C91817"/>
    <w:rsid w:val="35D408E8"/>
    <w:rsid w:val="35DC779C"/>
    <w:rsid w:val="35DE3514"/>
    <w:rsid w:val="35E24B0D"/>
    <w:rsid w:val="35E52AF5"/>
    <w:rsid w:val="35E548A3"/>
    <w:rsid w:val="35E552A4"/>
    <w:rsid w:val="35E825E5"/>
    <w:rsid w:val="35EE4FC9"/>
    <w:rsid w:val="35F0379A"/>
    <w:rsid w:val="35F729AC"/>
    <w:rsid w:val="36074A7F"/>
    <w:rsid w:val="3619570E"/>
    <w:rsid w:val="361E705B"/>
    <w:rsid w:val="36213401"/>
    <w:rsid w:val="362665BC"/>
    <w:rsid w:val="362A49AB"/>
    <w:rsid w:val="362D22AB"/>
    <w:rsid w:val="362F25FA"/>
    <w:rsid w:val="362F5B1E"/>
    <w:rsid w:val="36414194"/>
    <w:rsid w:val="364F7F6E"/>
    <w:rsid w:val="36511F38"/>
    <w:rsid w:val="36636DE5"/>
    <w:rsid w:val="366652B8"/>
    <w:rsid w:val="36665724"/>
    <w:rsid w:val="366A4DA8"/>
    <w:rsid w:val="36705780"/>
    <w:rsid w:val="36730100"/>
    <w:rsid w:val="36735C5F"/>
    <w:rsid w:val="368045CB"/>
    <w:rsid w:val="369201BD"/>
    <w:rsid w:val="36923549"/>
    <w:rsid w:val="36981915"/>
    <w:rsid w:val="36AD4DA9"/>
    <w:rsid w:val="36B0488C"/>
    <w:rsid w:val="36B3055D"/>
    <w:rsid w:val="36B35C9C"/>
    <w:rsid w:val="36B75FBF"/>
    <w:rsid w:val="36BD0C45"/>
    <w:rsid w:val="36C070BE"/>
    <w:rsid w:val="36C40E71"/>
    <w:rsid w:val="36CA5847"/>
    <w:rsid w:val="36DD37CC"/>
    <w:rsid w:val="36E86E47"/>
    <w:rsid w:val="36F0565E"/>
    <w:rsid w:val="36F11025"/>
    <w:rsid w:val="36F31241"/>
    <w:rsid w:val="36F428E8"/>
    <w:rsid w:val="37215A39"/>
    <w:rsid w:val="37225683"/>
    <w:rsid w:val="37364FA6"/>
    <w:rsid w:val="373766A5"/>
    <w:rsid w:val="375821D4"/>
    <w:rsid w:val="375A4FA9"/>
    <w:rsid w:val="375F041E"/>
    <w:rsid w:val="3767081C"/>
    <w:rsid w:val="376A384F"/>
    <w:rsid w:val="376C0519"/>
    <w:rsid w:val="378404AE"/>
    <w:rsid w:val="37972EC3"/>
    <w:rsid w:val="379F553D"/>
    <w:rsid w:val="37A20571"/>
    <w:rsid w:val="37BD53AB"/>
    <w:rsid w:val="37C34CF9"/>
    <w:rsid w:val="37C36029"/>
    <w:rsid w:val="37C376E6"/>
    <w:rsid w:val="37D374D6"/>
    <w:rsid w:val="37D4669E"/>
    <w:rsid w:val="37DA7D0B"/>
    <w:rsid w:val="37E00298"/>
    <w:rsid w:val="37E9350D"/>
    <w:rsid w:val="37EB0B08"/>
    <w:rsid w:val="37ED7A3F"/>
    <w:rsid w:val="37F0752F"/>
    <w:rsid w:val="37F558BD"/>
    <w:rsid w:val="37FD7F22"/>
    <w:rsid w:val="3806471C"/>
    <w:rsid w:val="380977E7"/>
    <w:rsid w:val="3814321D"/>
    <w:rsid w:val="3815248F"/>
    <w:rsid w:val="381B27FE"/>
    <w:rsid w:val="3820006F"/>
    <w:rsid w:val="3828316D"/>
    <w:rsid w:val="382B1333"/>
    <w:rsid w:val="38312938"/>
    <w:rsid w:val="38400E24"/>
    <w:rsid w:val="38492984"/>
    <w:rsid w:val="385044F0"/>
    <w:rsid w:val="385B27A8"/>
    <w:rsid w:val="386E0F85"/>
    <w:rsid w:val="38704778"/>
    <w:rsid w:val="38707839"/>
    <w:rsid w:val="387F55C9"/>
    <w:rsid w:val="38833D10"/>
    <w:rsid w:val="38847E22"/>
    <w:rsid w:val="38895642"/>
    <w:rsid w:val="389820A0"/>
    <w:rsid w:val="38993AD8"/>
    <w:rsid w:val="38A7572D"/>
    <w:rsid w:val="38B2267C"/>
    <w:rsid w:val="38B302F9"/>
    <w:rsid w:val="38B50391"/>
    <w:rsid w:val="38BD1B07"/>
    <w:rsid w:val="38CD3C54"/>
    <w:rsid w:val="38E30E42"/>
    <w:rsid w:val="38E366CF"/>
    <w:rsid w:val="38F12CD3"/>
    <w:rsid w:val="38F82B3F"/>
    <w:rsid w:val="38F94775"/>
    <w:rsid w:val="38F969FC"/>
    <w:rsid w:val="390414E4"/>
    <w:rsid w:val="3914082C"/>
    <w:rsid w:val="391B16A9"/>
    <w:rsid w:val="3921693D"/>
    <w:rsid w:val="39224E45"/>
    <w:rsid w:val="3927576D"/>
    <w:rsid w:val="3929719C"/>
    <w:rsid w:val="392971ED"/>
    <w:rsid w:val="392A3342"/>
    <w:rsid w:val="392F4087"/>
    <w:rsid w:val="39325651"/>
    <w:rsid w:val="394C6DED"/>
    <w:rsid w:val="395064D7"/>
    <w:rsid w:val="395122CA"/>
    <w:rsid w:val="395210D3"/>
    <w:rsid w:val="395F2BBE"/>
    <w:rsid w:val="39644270"/>
    <w:rsid w:val="39705767"/>
    <w:rsid w:val="397A1F0E"/>
    <w:rsid w:val="397C1C5A"/>
    <w:rsid w:val="397F0B6A"/>
    <w:rsid w:val="39893797"/>
    <w:rsid w:val="398E4DAF"/>
    <w:rsid w:val="39911481"/>
    <w:rsid w:val="39987E7E"/>
    <w:rsid w:val="399D2C00"/>
    <w:rsid w:val="39A47AF5"/>
    <w:rsid w:val="39B8760D"/>
    <w:rsid w:val="39C631C5"/>
    <w:rsid w:val="39CD01F1"/>
    <w:rsid w:val="39CD3FCC"/>
    <w:rsid w:val="39D2513E"/>
    <w:rsid w:val="39D32C64"/>
    <w:rsid w:val="39DA1B8F"/>
    <w:rsid w:val="39DC5FBD"/>
    <w:rsid w:val="39E30207"/>
    <w:rsid w:val="39E378E0"/>
    <w:rsid w:val="39E849B0"/>
    <w:rsid w:val="39F91E48"/>
    <w:rsid w:val="3A00235D"/>
    <w:rsid w:val="3A121F97"/>
    <w:rsid w:val="3A1309C2"/>
    <w:rsid w:val="3A1B3401"/>
    <w:rsid w:val="3A2160C5"/>
    <w:rsid w:val="3A2D6818"/>
    <w:rsid w:val="3A2F14BF"/>
    <w:rsid w:val="3A307084"/>
    <w:rsid w:val="3A310B16"/>
    <w:rsid w:val="3A3162DA"/>
    <w:rsid w:val="3A495157"/>
    <w:rsid w:val="3A570783"/>
    <w:rsid w:val="3A581030"/>
    <w:rsid w:val="3A58681E"/>
    <w:rsid w:val="3A5F5BF7"/>
    <w:rsid w:val="3A6273DF"/>
    <w:rsid w:val="3A636426"/>
    <w:rsid w:val="3A6F3410"/>
    <w:rsid w:val="3A790053"/>
    <w:rsid w:val="3A7A7584"/>
    <w:rsid w:val="3A7B1B81"/>
    <w:rsid w:val="3A7F628C"/>
    <w:rsid w:val="3A8126C6"/>
    <w:rsid w:val="3A872856"/>
    <w:rsid w:val="3A881CDC"/>
    <w:rsid w:val="3A8A5A19"/>
    <w:rsid w:val="3A933037"/>
    <w:rsid w:val="3A9F2FD3"/>
    <w:rsid w:val="3AA15928"/>
    <w:rsid w:val="3AA8558D"/>
    <w:rsid w:val="3AAA442D"/>
    <w:rsid w:val="3AAA7E69"/>
    <w:rsid w:val="3ACA6330"/>
    <w:rsid w:val="3ACC0A58"/>
    <w:rsid w:val="3AE93C33"/>
    <w:rsid w:val="3AEA64B7"/>
    <w:rsid w:val="3B10304F"/>
    <w:rsid w:val="3B2657DC"/>
    <w:rsid w:val="3B3616FD"/>
    <w:rsid w:val="3B3763D1"/>
    <w:rsid w:val="3B4756B8"/>
    <w:rsid w:val="3B595F5F"/>
    <w:rsid w:val="3B5E28DD"/>
    <w:rsid w:val="3B715E69"/>
    <w:rsid w:val="3B7742CF"/>
    <w:rsid w:val="3B7E3CF7"/>
    <w:rsid w:val="3B8209C5"/>
    <w:rsid w:val="3B916C94"/>
    <w:rsid w:val="3B997151"/>
    <w:rsid w:val="3BB01F47"/>
    <w:rsid w:val="3BB661D9"/>
    <w:rsid w:val="3BB84AEB"/>
    <w:rsid w:val="3BBD1E1E"/>
    <w:rsid w:val="3BC61658"/>
    <w:rsid w:val="3BCC7CF9"/>
    <w:rsid w:val="3BDE3BA1"/>
    <w:rsid w:val="3BED2703"/>
    <w:rsid w:val="3BEE1FD7"/>
    <w:rsid w:val="3BEE3B6F"/>
    <w:rsid w:val="3BF248E3"/>
    <w:rsid w:val="3BF515B8"/>
    <w:rsid w:val="3BF84C04"/>
    <w:rsid w:val="3C0F4F52"/>
    <w:rsid w:val="3C124E0D"/>
    <w:rsid w:val="3C183905"/>
    <w:rsid w:val="3C1B0D87"/>
    <w:rsid w:val="3C1C524E"/>
    <w:rsid w:val="3C277FE9"/>
    <w:rsid w:val="3C2F6E1E"/>
    <w:rsid w:val="3C325640"/>
    <w:rsid w:val="3C343A50"/>
    <w:rsid w:val="3C351FEC"/>
    <w:rsid w:val="3C3C0F95"/>
    <w:rsid w:val="3C412FB7"/>
    <w:rsid w:val="3C4348FE"/>
    <w:rsid w:val="3C4F64BA"/>
    <w:rsid w:val="3C603A5C"/>
    <w:rsid w:val="3C77021F"/>
    <w:rsid w:val="3C7D4DC4"/>
    <w:rsid w:val="3C811514"/>
    <w:rsid w:val="3C9E57AB"/>
    <w:rsid w:val="3CA059D2"/>
    <w:rsid w:val="3CA12391"/>
    <w:rsid w:val="3CAE612C"/>
    <w:rsid w:val="3CB04C67"/>
    <w:rsid w:val="3CB354CC"/>
    <w:rsid w:val="3CC24973"/>
    <w:rsid w:val="3CC2593E"/>
    <w:rsid w:val="3CCF40AD"/>
    <w:rsid w:val="3CDA245A"/>
    <w:rsid w:val="3CDF6D42"/>
    <w:rsid w:val="3CE10748"/>
    <w:rsid w:val="3CE117F4"/>
    <w:rsid w:val="3CE32F6D"/>
    <w:rsid w:val="3CE3517E"/>
    <w:rsid w:val="3CF47AC1"/>
    <w:rsid w:val="3CFB0217"/>
    <w:rsid w:val="3CFE0BA3"/>
    <w:rsid w:val="3CFF7260"/>
    <w:rsid w:val="3D01364E"/>
    <w:rsid w:val="3D077C12"/>
    <w:rsid w:val="3D090E7D"/>
    <w:rsid w:val="3D0F0457"/>
    <w:rsid w:val="3D1E06B7"/>
    <w:rsid w:val="3D32698E"/>
    <w:rsid w:val="3D352789"/>
    <w:rsid w:val="3D3A0A7F"/>
    <w:rsid w:val="3D410A38"/>
    <w:rsid w:val="3D535E12"/>
    <w:rsid w:val="3D691CE2"/>
    <w:rsid w:val="3D7132F2"/>
    <w:rsid w:val="3D721BDC"/>
    <w:rsid w:val="3D74650C"/>
    <w:rsid w:val="3D75627A"/>
    <w:rsid w:val="3D7F382F"/>
    <w:rsid w:val="3D8E08C5"/>
    <w:rsid w:val="3D8E2AF0"/>
    <w:rsid w:val="3D937739"/>
    <w:rsid w:val="3D9655CF"/>
    <w:rsid w:val="3D9D2591"/>
    <w:rsid w:val="3D9D30D6"/>
    <w:rsid w:val="3DAA2E8E"/>
    <w:rsid w:val="3DAA2EF5"/>
    <w:rsid w:val="3DAF4C74"/>
    <w:rsid w:val="3DB6755C"/>
    <w:rsid w:val="3DB74195"/>
    <w:rsid w:val="3DBF1E7D"/>
    <w:rsid w:val="3DD75419"/>
    <w:rsid w:val="3DD87576"/>
    <w:rsid w:val="3DE306C8"/>
    <w:rsid w:val="3DF0268F"/>
    <w:rsid w:val="3DF11CB6"/>
    <w:rsid w:val="3DFC37B2"/>
    <w:rsid w:val="3E0A408B"/>
    <w:rsid w:val="3E1A411A"/>
    <w:rsid w:val="3E2A4832"/>
    <w:rsid w:val="3E331DC0"/>
    <w:rsid w:val="3E3369E6"/>
    <w:rsid w:val="3E4F69CD"/>
    <w:rsid w:val="3E595E2E"/>
    <w:rsid w:val="3E6B5A1B"/>
    <w:rsid w:val="3E78093A"/>
    <w:rsid w:val="3E812068"/>
    <w:rsid w:val="3E8135BD"/>
    <w:rsid w:val="3E975570"/>
    <w:rsid w:val="3EA201E8"/>
    <w:rsid w:val="3EB837E5"/>
    <w:rsid w:val="3EBC016B"/>
    <w:rsid w:val="3EC05384"/>
    <w:rsid w:val="3ED010C6"/>
    <w:rsid w:val="3ED20464"/>
    <w:rsid w:val="3ED82BDB"/>
    <w:rsid w:val="3EDA0523"/>
    <w:rsid w:val="3EE06509"/>
    <w:rsid w:val="3EEC7BC2"/>
    <w:rsid w:val="3EF85BEA"/>
    <w:rsid w:val="3EF9564F"/>
    <w:rsid w:val="3F075526"/>
    <w:rsid w:val="3F0C0038"/>
    <w:rsid w:val="3F0D09C6"/>
    <w:rsid w:val="3F0F2990"/>
    <w:rsid w:val="3F0F5177"/>
    <w:rsid w:val="3F15515E"/>
    <w:rsid w:val="3F163717"/>
    <w:rsid w:val="3F165277"/>
    <w:rsid w:val="3F1744ED"/>
    <w:rsid w:val="3F292EFF"/>
    <w:rsid w:val="3F2D00F3"/>
    <w:rsid w:val="3F316DAB"/>
    <w:rsid w:val="3F335AAE"/>
    <w:rsid w:val="3F3A277D"/>
    <w:rsid w:val="3F3A738A"/>
    <w:rsid w:val="3F3C47C5"/>
    <w:rsid w:val="3F3F3440"/>
    <w:rsid w:val="3F4451A4"/>
    <w:rsid w:val="3F524CDD"/>
    <w:rsid w:val="3F5B33C0"/>
    <w:rsid w:val="3F5E1222"/>
    <w:rsid w:val="3F6D3719"/>
    <w:rsid w:val="3F7E4374"/>
    <w:rsid w:val="3F7F64A7"/>
    <w:rsid w:val="3F8F1E78"/>
    <w:rsid w:val="3F984682"/>
    <w:rsid w:val="3F985B86"/>
    <w:rsid w:val="3F9877AE"/>
    <w:rsid w:val="3FA23805"/>
    <w:rsid w:val="3FA94AD8"/>
    <w:rsid w:val="3FB37A4B"/>
    <w:rsid w:val="3FB60937"/>
    <w:rsid w:val="3FBB6674"/>
    <w:rsid w:val="3FC24775"/>
    <w:rsid w:val="3FC4377B"/>
    <w:rsid w:val="3FCC5BF3"/>
    <w:rsid w:val="3FE036DF"/>
    <w:rsid w:val="3FE45BCB"/>
    <w:rsid w:val="3FEB7634"/>
    <w:rsid w:val="3FEE5B32"/>
    <w:rsid w:val="3FF64045"/>
    <w:rsid w:val="3FF93DF9"/>
    <w:rsid w:val="3FFF7C83"/>
    <w:rsid w:val="40155D85"/>
    <w:rsid w:val="40157651"/>
    <w:rsid w:val="40196D11"/>
    <w:rsid w:val="402361A5"/>
    <w:rsid w:val="402B10F3"/>
    <w:rsid w:val="4032687E"/>
    <w:rsid w:val="40343A2F"/>
    <w:rsid w:val="4035347E"/>
    <w:rsid w:val="40357A49"/>
    <w:rsid w:val="403B0064"/>
    <w:rsid w:val="40481085"/>
    <w:rsid w:val="40524243"/>
    <w:rsid w:val="406632A2"/>
    <w:rsid w:val="406D3E12"/>
    <w:rsid w:val="406F0526"/>
    <w:rsid w:val="406F08C0"/>
    <w:rsid w:val="40785CA7"/>
    <w:rsid w:val="407A6407"/>
    <w:rsid w:val="407B72F7"/>
    <w:rsid w:val="408C7D30"/>
    <w:rsid w:val="40A4333B"/>
    <w:rsid w:val="40AA54BA"/>
    <w:rsid w:val="40AB66E9"/>
    <w:rsid w:val="40B92FE2"/>
    <w:rsid w:val="40CA44D0"/>
    <w:rsid w:val="40CB6D8B"/>
    <w:rsid w:val="40DC7328"/>
    <w:rsid w:val="40DE6ABE"/>
    <w:rsid w:val="40F0024D"/>
    <w:rsid w:val="41061B71"/>
    <w:rsid w:val="41076AAD"/>
    <w:rsid w:val="410E7C0E"/>
    <w:rsid w:val="4114428E"/>
    <w:rsid w:val="4117006B"/>
    <w:rsid w:val="411922FF"/>
    <w:rsid w:val="412453D5"/>
    <w:rsid w:val="412546ED"/>
    <w:rsid w:val="412A0C9C"/>
    <w:rsid w:val="412C47ED"/>
    <w:rsid w:val="41314E40"/>
    <w:rsid w:val="41374A85"/>
    <w:rsid w:val="413B5469"/>
    <w:rsid w:val="413D3910"/>
    <w:rsid w:val="414C2F42"/>
    <w:rsid w:val="415907BD"/>
    <w:rsid w:val="415A3C46"/>
    <w:rsid w:val="41653AC2"/>
    <w:rsid w:val="416C0D4D"/>
    <w:rsid w:val="417027D4"/>
    <w:rsid w:val="4184241D"/>
    <w:rsid w:val="418F1865"/>
    <w:rsid w:val="41911BBA"/>
    <w:rsid w:val="41932E8B"/>
    <w:rsid w:val="419548D3"/>
    <w:rsid w:val="419626E6"/>
    <w:rsid w:val="41994793"/>
    <w:rsid w:val="41AA258E"/>
    <w:rsid w:val="41AC1BB9"/>
    <w:rsid w:val="41B05744"/>
    <w:rsid w:val="41B13E8F"/>
    <w:rsid w:val="41C07F72"/>
    <w:rsid w:val="41C80116"/>
    <w:rsid w:val="41D03E9A"/>
    <w:rsid w:val="41D43D0C"/>
    <w:rsid w:val="41D46DAB"/>
    <w:rsid w:val="41D858F8"/>
    <w:rsid w:val="41D91843"/>
    <w:rsid w:val="41E61378"/>
    <w:rsid w:val="41E71185"/>
    <w:rsid w:val="41FF7166"/>
    <w:rsid w:val="4200449D"/>
    <w:rsid w:val="420667D3"/>
    <w:rsid w:val="420E242A"/>
    <w:rsid w:val="421637AE"/>
    <w:rsid w:val="421B3E90"/>
    <w:rsid w:val="42286D64"/>
    <w:rsid w:val="422B3D00"/>
    <w:rsid w:val="42356C99"/>
    <w:rsid w:val="423749E3"/>
    <w:rsid w:val="423A3BCC"/>
    <w:rsid w:val="42437F21"/>
    <w:rsid w:val="424A47ED"/>
    <w:rsid w:val="424E57D2"/>
    <w:rsid w:val="42595F5F"/>
    <w:rsid w:val="425B4A8F"/>
    <w:rsid w:val="42605D66"/>
    <w:rsid w:val="427F30B2"/>
    <w:rsid w:val="42882828"/>
    <w:rsid w:val="428873B2"/>
    <w:rsid w:val="42950AB6"/>
    <w:rsid w:val="42AA5C01"/>
    <w:rsid w:val="42AC04F6"/>
    <w:rsid w:val="42B161AF"/>
    <w:rsid w:val="42B26C49"/>
    <w:rsid w:val="42DC0DDB"/>
    <w:rsid w:val="42F205FF"/>
    <w:rsid w:val="42FF1C74"/>
    <w:rsid w:val="430E542F"/>
    <w:rsid w:val="4317162B"/>
    <w:rsid w:val="4318395D"/>
    <w:rsid w:val="43187874"/>
    <w:rsid w:val="431B1F06"/>
    <w:rsid w:val="432804C5"/>
    <w:rsid w:val="432B45FF"/>
    <w:rsid w:val="432B6BCE"/>
    <w:rsid w:val="433334A9"/>
    <w:rsid w:val="433A1F65"/>
    <w:rsid w:val="433A6FE6"/>
    <w:rsid w:val="433C187A"/>
    <w:rsid w:val="43480868"/>
    <w:rsid w:val="434E176C"/>
    <w:rsid w:val="4350713C"/>
    <w:rsid w:val="43584291"/>
    <w:rsid w:val="435C3CCA"/>
    <w:rsid w:val="435D7C4C"/>
    <w:rsid w:val="435E10E5"/>
    <w:rsid w:val="436324A3"/>
    <w:rsid w:val="436653E0"/>
    <w:rsid w:val="436A63E7"/>
    <w:rsid w:val="436F10FF"/>
    <w:rsid w:val="43742BE7"/>
    <w:rsid w:val="437925DE"/>
    <w:rsid w:val="439671DC"/>
    <w:rsid w:val="439C4A89"/>
    <w:rsid w:val="43B60C2C"/>
    <w:rsid w:val="43C4431A"/>
    <w:rsid w:val="43C70167"/>
    <w:rsid w:val="43D62B13"/>
    <w:rsid w:val="43D829D8"/>
    <w:rsid w:val="43D846C5"/>
    <w:rsid w:val="43DC5EF9"/>
    <w:rsid w:val="43E02B4D"/>
    <w:rsid w:val="43F04F7F"/>
    <w:rsid w:val="43F23FC6"/>
    <w:rsid w:val="43F63084"/>
    <w:rsid w:val="43FA278E"/>
    <w:rsid w:val="44032BA4"/>
    <w:rsid w:val="440E3243"/>
    <w:rsid w:val="44135C03"/>
    <w:rsid w:val="441A05E3"/>
    <w:rsid w:val="44332C7D"/>
    <w:rsid w:val="44420B4D"/>
    <w:rsid w:val="44450C02"/>
    <w:rsid w:val="44524D55"/>
    <w:rsid w:val="44587568"/>
    <w:rsid w:val="446472DA"/>
    <w:rsid w:val="44652B02"/>
    <w:rsid w:val="44782D86"/>
    <w:rsid w:val="44857EED"/>
    <w:rsid w:val="44925532"/>
    <w:rsid w:val="44AE027F"/>
    <w:rsid w:val="44AE150D"/>
    <w:rsid w:val="44B8288E"/>
    <w:rsid w:val="44B951CC"/>
    <w:rsid w:val="44C01C02"/>
    <w:rsid w:val="44C47D79"/>
    <w:rsid w:val="44CC354F"/>
    <w:rsid w:val="44CD14E0"/>
    <w:rsid w:val="44CD30D2"/>
    <w:rsid w:val="44DA51C8"/>
    <w:rsid w:val="44DC50C3"/>
    <w:rsid w:val="44DE52DF"/>
    <w:rsid w:val="44E03764"/>
    <w:rsid w:val="44E1092B"/>
    <w:rsid w:val="44E13922"/>
    <w:rsid w:val="44E6360F"/>
    <w:rsid w:val="44EF1291"/>
    <w:rsid w:val="44F15A48"/>
    <w:rsid w:val="44F20B0B"/>
    <w:rsid w:val="44F40F48"/>
    <w:rsid w:val="44F540F1"/>
    <w:rsid w:val="44F62087"/>
    <w:rsid w:val="44F71C5C"/>
    <w:rsid w:val="45192CC8"/>
    <w:rsid w:val="45286F72"/>
    <w:rsid w:val="452A3695"/>
    <w:rsid w:val="452B381B"/>
    <w:rsid w:val="452D2B02"/>
    <w:rsid w:val="452E5F4C"/>
    <w:rsid w:val="453E643B"/>
    <w:rsid w:val="45472071"/>
    <w:rsid w:val="454E4F7D"/>
    <w:rsid w:val="455235D7"/>
    <w:rsid w:val="455A2EAA"/>
    <w:rsid w:val="455C2575"/>
    <w:rsid w:val="45612018"/>
    <w:rsid w:val="456C6881"/>
    <w:rsid w:val="457C68A6"/>
    <w:rsid w:val="458946E9"/>
    <w:rsid w:val="459736E0"/>
    <w:rsid w:val="45A46610"/>
    <w:rsid w:val="45A47C0E"/>
    <w:rsid w:val="45A73923"/>
    <w:rsid w:val="45AB2CE7"/>
    <w:rsid w:val="45AC24BE"/>
    <w:rsid w:val="45B47DEE"/>
    <w:rsid w:val="45BC080A"/>
    <w:rsid w:val="45BD54F5"/>
    <w:rsid w:val="45C049E4"/>
    <w:rsid w:val="45C1250B"/>
    <w:rsid w:val="45CD2A9A"/>
    <w:rsid w:val="45D95AA6"/>
    <w:rsid w:val="45DD0636"/>
    <w:rsid w:val="45DD7344"/>
    <w:rsid w:val="45DE130F"/>
    <w:rsid w:val="45DE6011"/>
    <w:rsid w:val="45E121B9"/>
    <w:rsid w:val="45E42646"/>
    <w:rsid w:val="45EA1A61"/>
    <w:rsid w:val="45EE2DEC"/>
    <w:rsid w:val="45F00593"/>
    <w:rsid w:val="45FD100F"/>
    <w:rsid w:val="4612254C"/>
    <w:rsid w:val="4615105E"/>
    <w:rsid w:val="46236D21"/>
    <w:rsid w:val="46294F5F"/>
    <w:rsid w:val="462E5F63"/>
    <w:rsid w:val="46350FB7"/>
    <w:rsid w:val="463B22BD"/>
    <w:rsid w:val="4645313C"/>
    <w:rsid w:val="464B26F3"/>
    <w:rsid w:val="46577FD6"/>
    <w:rsid w:val="466C6811"/>
    <w:rsid w:val="466D57F1"/>
    <w:rsid w:val="46754123"/>
    <w:rsid w:val="467D3EC1"/>
    <w:rsid w:val="46933EA7"/>
    <w:rsid w:val="46AA043B"/>
    <w:rsid w:val="46AB59C6"/>
    <w:rsid w:val="46B53E1D"/>
    <w:rsid w:val="46BA570E"/>
    <w:rsid w:val="46C85E76"/>
    <w:rsid w:val="46D52711"/>
    <w:rsid w:val="46D955A7"/>
    <w:rsid w:val="46E750B5"/>
    <w:rsid w:val="46EC4451"/>
    <w:rsid w:val="46F212D2"/>
    <w:rsid w:val="46F63F2B"/>
    <w:rsid w:val="46F677BA"/>
    <w:rsid w:val="46F842C1"/>
    <w:rsid w:val="46FA3C90"/>
    <w:rsid w:val="46FC4B20"/>
    <w:rsid w:val="470152B5"/>
    <w:rsid w:val="470D5A07"/>
    <w:rsid w:val="47133957"/>
    <w:rsid w:val="47160D44"/>
    <w:rsid w:val="471A24C7"/>
    <w:rsid w:val="47290367"/>
    <w:rsid w:val="472C54E6"/>
    <w:rsid w:val="473324F3"/>
    <w:rsid w:val="4741027D"/>
    <w:rsid w:val="47412FF1"/>
    <w:rsid w:val="475965A3"/>
    <w:rsid w:val="47665118"/>
    <w:rsid w:val="476B0980"/>
    <w:rsid w:val="47761545"/>
    <w:rsid w:val="477C493B"/>
    <w:rsid w:val="477E3270"/>
    <w:rsid w:val="4790597C"/>
    <w:rsid w:val="47931879"/>
    <w:rsid w:val="47A07E0C"/>
    <w:rsid w:val="47A177F5"/>
    <w:rsid w:val="47A3011A"/>
    <w:rsid w:val="47BE4315"/>
    <w:rsid w:val="47C076C6"/>
    <w:rsid w:val="47C256BE"/>
    <w:rsid w:val="47C63E08"/>
    <w:rsid w:val="47CA0235"/>
    <w:rsid w:val="47D35A92"/>
    <w:rsid w:val="47D45B59"/>
    <w:rsid w:val="47D930F1"/>
    <w:rsid w:val="47E04ECA"/>
    <w:rsid w:val="47E1671F"/>
    <w:rsid w:val="47E3595E"/>
    <w:rsid w:val="47E37C0E"/>
    <w:rsid w:val="47E4602A"/>
    <w:rsid w:val="47F22C50"/>
    <w:rsid w:val="47F442A0"/>
    <w:rsid w:val="47FA5CE1"/>
    <w:rsid w:val="47FD3D75"/>
    <w:rsid w:val="48010B9F"/>
    <w:rsid w:val="480C5CBF"/>
    <w:rsid w:val="48120CEA"/>
    <w:rsid w:val="481C2595"/>
    <w:rsid w:val="48223734"/>
    <w:rsid w:val="48290808"/>
    <w:rsid w:val="482A7238"/>
    <w:rsid w:val="483367D1"/>
    <w:rsid w:val="4842497C"/>
    <w:rsid w:val="484E1752"/>
    <w:rsid w:val="485606D3"/>
    <w:rsid w:val="485E6A97"/>
    <w:rsid w:val="486743B4"/>
    <w:rsid w:val="4869757E"/>
    <w:rsid w:val="486F2BC6"/>
    <w:rsid w:val="4870272E"/>
    <w:rsid w:val="487876B9"/>
    <w:rsid w:val="487C5F5F"/>
    <w:rsid w:val="488130FF"/>
    <w:rsid w:val="48825F81"/>
    <w:rsid w:val="488E0DCA"/>
    <w:rsid w:val="48B00446"/>
    <w:rsid w:val="48B10A06"/>
    <w:rsid w:val="48C15F20"/>
    <w:rsid w:val="48C67A12"/>
    <w:rsid w:val="48C83C5D"/>
    <w:rsid w:val="48CB6ADE"/>
    <w:rsid w:val="48CE11C6"/>
    <w:rsid w:val="48D819DB"/>
    <w:rsid w:val="48F81AFF"/>
    <w:rsid w:val="48FC78F5"/>
    <w:rsid w:val="48FF0029"/>
    <w:rsid w:val="490911CB"/>
    <w:rsid w:val="490C7F41"/>
    <w:rsid w:val="491312CF"/>
    <w:rsid w:val="491868E5"/>
    <w:rsid w:val="491C63D6"/>
    <w:rsid w:val="49230E61"/>
    <w:rsid w:val="492A32CC"/>
    <w:rsid w:val="492C5D91"/>
    <w:rsid w:val="494537B3"/>
    <w:rsid w:val="495C2D93"/>
    <w:rsid w:val="496A3A80"/>
    <w:rsid w:val="496A6F0E"/>
    <w:rsid w:val="496F0BFB"/>
    <w:rsid w:val="497004D0"/>
    <w:rsid w:val="4970227E"/>
    <w:rsid w:val="49760353"/>
    <w:rsid w:val="497F0713"/>
    <w:rsid w:val="498663B0"/>
    <w:rsid w:val="498D65EA"/>
    <w:rsid w:val="49912673"/>
    <w:rsid w:val="4995665F"/>
    <w:rsid w:val="49967880"/>
    <w:rsid w:val="4998363E"/>
    <w:rsid w:val="49997A26"/>
    <w:rsid w:val="49B00746"/>
    <w:rsid w:val="49B536DA"/>
    <w:rsid w:val="49BD2FDD"/>
    <w:rsid w:val="49CD3E5F"/>
    <w:rsid w:val="49CD6C2C"/>
    <w:rsid w:val="49CF2067"/>
    <w:rsid w:val="49DB0F08"/>
    <w:rsid w:val="49DC7715"/>
    <w:rsid w:val="49DE10A1"/>
    <w:rsid w:val="49E67C76"/>
    <w:rsid w:val="49EC3E12"/>
    <w:rsid w:val="4A0022D8"/>
    <w:rsid w:val="4A023139"/>
    <w:rsid w:val="4A030B6B"/>
    <w:rsid w:val="4A0B1FA6"/>
    <w:rsid w:val="4A145439"/>
    <w:rsid w:val="4A1868E9"/>
    <w:rsid w:val="4A1946C3"/>
    <w:rsid w:val="4A2C6C51"/>
    <w:rsid w:val="4A341F27"/>
    <w:rsid w:val="4A407EA2"/>
    <w:rsid w:val="4A421E6C"/>
    <w:rsid w:val="4A45642B"/>
    <w:rsid w:val="4A4831FA"/>
    <w:rsid w:val="4A4C28FA"/>
    <w:rsid w:val="4A4C2CEB"/>
    <w:rsid w:val="4A5E47CC"/>
    <w:rsid w:val="4A630D5D"/>
    <w:rsid w:val="4A680B97"/>
    <w:rsid w:val="4A7519C8"/>
    <w:rsid w:val="4A764258"/>
    <w:rsid w:val="4A7B576F"/>
    <w:rsid w:val="4A83134F"/>
    <w:rsid w:val="4AA922CF"/>
    <w:rsid w:val="4AC76815"/>
    <w:rsid w:val="4AC9433B"/>
    <w:rsid w:val="4ACA60DC"/>
    <w:rsid w:val="4ACB698D"/>
    <w:rsid w:val="4AD07D93"/>
    <w:rsid w:val="4AE20F59"/>
    <w:rsid w:val="4AE94013"/>
    <w:rsid w:val="4AF06594"/>
    <w:rsid w:val="4AF230FC"/>
    <w:rsid w:val="4AF560D2"/>
    <w:rsid w:val="4AF561A9"/>
    <w:rsid w:val="4AF564A8"/>
    <w:rsid w:val="4AFC64BF"/>
    <w:rsid w:val="4B044AA3"/>
    <w:rsid w:val="4B0C696F"/>
    <w:rsid w:val="4B101F6A"/>
    <w:rsid w:val="4B1031C3"/>
    <w:rsid w:val="4B207607"/>
    <w:rsid w:val="4B2A1534"/>
    <w:rsid w:val="4B30355B"/>
    <w:rsid w:val="4B321EE0"/>
    <w:rsid w:val="4B393F1C"/>
    <w:rsid w:val="4B44006D"/>
    <w:rsid w:val="4B6355A0"/>
    <w:rsid w:val="4B6B22BE"/>
    <w:rsid w:val="4B720216"/>
    <w:rsid w:val="4B740539"/>
    <w:rsid w:val="4B7B6A0F"/>
    <w:rsid w:val="4B810772"/>
    <w:rsid w:val="4B83098E"/>
    <w:rsid w:val="4B8A3E6F"/>
    <w:rsid w:val="4B8B62E3"/>
    <w:rsid w:val="4B8F6A6B"/>
    <w:rsid w:val="4B97706A"/>
    <w:rsid w:val="4B9828F3"/>
    <w:rsid w:val="4BAB3EAE"/>
    <w:rsid w:val="4BAF1783"/>
    <w:rsid w:val="4BAF4C6C"/>
    <w:rsid w:val="4BB07118"/>
    <w:rsid w:val="4BB47523"/>
    <w:rsid w:val="4BBE0F5B"/>
    <w:rsid w:val="4BC845F3"/>
    <w:rsid w:val="4BE60E96"/>
    <w:rsid w:val="4BF7788F"/>
    <w:rsid w:val="4C011FF0"/>
    <w:rsid w:val="4C072617"/>
    <w:rsid w:val="4C12586E"/>
    <w:rsid w:val="4C2A0E0A"/>
    <w:rsid w:val="4C3E48B5"/>
    <w:rsid w:val="4C45100A"/>
    <w:rsid w:val="4C4A0649"/>
    <w:rsid w:val="4C4F219F"/>
    <w:rsid w:val="4C517B2C"/>
    <w:rsid w:val="4C5365B2"/>
    <w:rsid w:val="4C545F0F"/>
    <w:rsid w:val="4C5916EF"/>
    <w:rsid w:val="4C5C06ED"/>
    <w:rsid w:val="4C6834D1"/>
    <w:rsid w:val="4C701810"/>
    <w:rsid w:val="4C7327B1"/>
    <w:rsid w:val="4C734B62"/>
    <w:rsid w:val="4C7425D6"/>
    <w:rsid w:val="4C787DC7"/>
    <w:rsid w:val="4C7E5ECA"/>
    <w:rsid w:val="4C876AA5"/>
    <w:rsid w:val="4C8B5693"/>
    <w:rsid w:val="4C995F8F"/>
    <w:rsid w:val="4C9A7F68"/>
    <w:rsid w:val="4C9F03AE"/>
    <w:rsid w:val="4CAE2B25"/>
    <w:rsid w:val="4CB37051"/>
    <w:rsid w:val="4CB76D51"/>
    <w:rsid w:val="4CCA2BF4"/>
    <w:rsid w:val="4CE056D4"/>
    <w:rsid w:val="4CF62EEA"/>
    <w:rsid w:val="4D027691"/>
    <w:rsid w:val="4D0461C3"/>
    <w:rsid w:val="4D0908AC"/>
    <w:rsid w:val="4D0A5413"/>
    <w:rsid w:val="4D0D55F5"/>
    <w:rsid w:val="4D0E00FB"/>
    <w:rsid w:val="4D1656C9"/>
    <w:rsid w:val="4D176606"/>
    <w:rsid w:val="4D1B0752"/>
    <w:rsid w:val="4D2158B2"/>
    <w:rsid w:val="4D2A444B"/>
    <w:rsid w:val="4D332408"/>
    <w:rsid w:val="4D357FD7"/>
    <w:rsid w:val="4D386EAF"/>
    <w:rsid w:val="4D4128AF"/>
    <w:rsid w:val="4D470E4B"/>
    <w:rsid w:val="4D490D89"/>
    <w:rsid w:val="4D4A6F97"/>
    <w:rsid w:val="4D4E28D6"/>
    <w:rsid w:val="4D5101ED"/>
    <w:rsid w:val="4D517A75"/>
    <w:rsid w:val="4D5819A6"/>
    <w:rsid w:val="4D5F1C2C"/>
    <w:rsid w:val="4D620458"/>
    <w:rsid w:val="4D6D377D"/>
    <w:rsid w:val="4D750D37"/>
    <w:rsid w:val="4D765BA5"/>
    <w:rsid w:val="4D782049"/>
    <w:rsid w:val="4D796745"/>
    <w:rsid w:val="4D916C37"/>
    <w:rsid w:val="4D977CA0"/>
    <w:rsid w:val="4D98390B"/>
    <w:rsid w:val="4D9F2CA9"/>
    <w:rsid w:val="4DAF58EE"/>
    <w:rsid w:val="4DB83E1F"/>
    <w:rsid w:val="4DBA467C"/>
    <w:rsid w:val="4DC47920"/>
    <w:rsid w:val="4DC90148"/>
    <w:rsid w:val="4DD21E5F"/>
    <w:rsid w:val="4DDA3DE5"/>
    <w:rsid w:val="4DEC4FB0"/>
    <w:rsid w:val="4DF53699"/>
    <w:rsid w:val="4E0566F8"/>
    <w:rsid w:val="4E075D8A"/>
    <w:rsid w:val="4E143B1F"/>
    <w:rsid w:val="4E1F711B"/>
    <w:rsid w:val="4E263853"/>
    <w:rsid w:val="4E377ACB"/>
    <w:rsid w:val="4E3E30D0"/>
    <w:rsid w:val="4E467A51"/>
    <w:rsid w:val="4E482B46"/>
    <w:rsid w:val="4E4F577F"/>
    <w:rsid w:val="4E5348A2"/>
    <w:rsid w:val="4E54216E"/>
    <w:rsid w:val="4E5E2780"/>
    <w:rsid w:val="4E684942"/>
    <w:rsid w:val="4E807407"/>
    <w:rsid w:val="4E866BA1"/>
    <w:rsid w:val="4E924A2E"/>
    <w:rsid w:val="4E9711F6"/>
    <w:rsid w:val="4E9823FF"/>
    <w:rsid w:val="4E996F68"/>
    <w:rsid w:val="4E9E548A"/>
    <w:rsid w:val="4EA07944"/>
    <w:rsid w:val="4EA12490"/>
    <w:rsid w:val="4EAA6232"/>
    <w:rsid w:val="4EBD37C1"/>
    <w:rsid w:val="4EC00FAD"/>
    <w:rsid w:val="4EC2795E"/>
    <w:rsid w:val="4EC806F2"/>
    <w:rsid w:val="4EC81A4A"/>
    <w:rsid w:val="4EC954B8"/>
    <w:rsid w:val="4ECD3CCE"/>
    <w:rsid w:val="4EDA1FA9"/>
    <w:rsid w:val="4EE14D28"/>
    <w:rsid w:val="4EE64AA6"/>
    <w:rsid w:val="4EEA2AD2"/>
    <w:rsid w:val="4EFA7CE8"/>
    <w:rsid w:val="4F02066C"/>
    <w:rsid w:val="4F075432"/>
    <w:rsid w:val="4F2754A7"/>
    <w:rsid w:val="4F364100"/>
    <w:rsid w:val="4F3E3510"/>
    <w:rsid w:val="4F433012"/>
    <w:rsid w:val="4F443F90"/>
    <w:rsid w:val="4F5368C9"/>
    <w:rsid w:val="4F560168"/>
    <w:rsid w:val="4F5D00F2"/>
    <w:rsid w:val="4F6E31D1"/>
    <w:rsid w:val="4F717CEE"/>
    <w:rsid w:val="4F777903"/>
    <w:rsid w:val="4F7F5D66"/>
    <w:rsid w:val="4F822069"/>
    <w:rsid w:val="4F845B86"/>
    <w:rsid w:val="4F880776"/>
    <w:rsid w:val="4F886BC6"/>
    <w:rsid w:val="4F9358A7"/>
    <w:rsid w:val="4F935BFA"/>
    <w:rsid w:val="4F9843DC"/>
    <w:rsid w:val="4FAB13D6"/>
    <w:rsid w:val="4FB2728B"/>
    <w:rsid w:val="4FBA24A4"/>
    <w:rsid w:val="4FC60E49"/>
    <w:rsid w:val="4FC62A8C"/>
    <w:rsid w:val="4FCB34AE"/>
    <w:rsid w:val="4FD8449C"/>
    <w:rsid w:val="4FE20F0D"/>
    <w:rsid w:val="4FE35DBE"/>
    <w:rsid w:val="4FE51552"/>
    <w:rsid w:val="4FF65D82"/>
    <w:rsid w:val="4FFD1117"/>
    <w:rsid w:val="4FFD2B10"/>
    <w:rsid w:val="50081E19"/>
    <w:rsid w:val="500B1E57"/>
    <w:rsid w:val="501878A0"/>
    <w:rsid w:val="502455F8"/>
    <w:rsid w:val="502913D8"/>
    <w:rsid w:val="50352AD5"/>
    <w:rsid w:val="50445626"/>
    <w:rsid w:val="50447FC0"/>
    <w:rsid w:val="50454464"/>
    <w:rsid w:val="504A7CCC"/>
    <w:rsid w:val="50504C4B"/>
    <w:rsid w:val="50536B08"/>
    <w:rsid w:val="505419D3"/>
    <w:rsid w:val="505A4A5E"/>
    <w:rsid w:val="5060304C"/>
    <w:rsid w:val="50690C2F"/>
    <w:rsid w:val="50743F81"/>
    <w:rsid w:val="508036EE"/>
    <w:rsid w:val="50874A7C"/>
    <w:rsid w:val="509137AF"/>
    <w:rsid w:val="5094515E"/>
    <w:rsid w:val="509B4B97"/>
    <w:rsid w:val="509C6E7C"/>
    <w:rsid w:val="50AE4EFD"/>
    <w:rsid w:val="50B01BFE"/>
    <w:rsid w:val="50B25C49"/>
    <w:rsid w:val="50B32C2F"/>
    <w:rsid w:val="50B4368F"/>
    <w:rsid w:val="50BB0C0A"/>
    <w:rsid w:val="50CA4969"/>
    <w:rsid w:val="50CE0414"/>
    <w:rsid w:val="50D17AA6"/>
    <w:rsid w:val="50D57C26"/>
    <w:rsid w:val="50D61983"/>
    <w:rsid w:val="50E53551"/>
    <w:rsid w:val="50F07DB5"/>
    <w:rsid w:val="50F778E4"/>
    <w:rsid w:val="50F96A45"/>
    <w:rsid w:val="5100482F"/>
    <w:rsid w:val="51046B15"/>
    <w:rsid w:val="51101E78"/>
    <w:rsid w:val="51165E00"/>
    <w:rsid w:val="511D0F3D"/>
    <w:rsid w:val="51226553"/>
    <w:rsid w:val="51291792"/>
    <w:rsid w:val="512A18AC"/>
    <w:rsid w:val="513D4B61"/>
    <w:rsid w:val="51446014"/>
    <w:rsid w:val="51477DC1"/>
    <w:rsid w:val="51493416"/>
    <w:rsid w:val="514B5248"/>
    <w:rsid w:val="51501312"/>
    <w:rsid w:val="5153495F"/>
    <w:rsid w:val="515610E4"/>
    <w:rsid w:val="515E22B6"/>
    <w:rsid w:val="5162104E"/>
    <w:rsid w:val="516923D4"/>
    <w:rsid w:val="51715016"/>
    <w:rsid w:val="51751558"/>
    <w:rsid w:val="51791EEB"/>
    <w:rsid w:val="517A2018"/>
    <w:rsid w:val="517C4FCB"/>
    <w:rsid w:val="517F365F"/>
    <w:rsid w:val="51834F68"/>
    <w:rsid w:val="51873A90"/>
    <w:rsid w:val="518965D2"/>
    <w:rsid w:val="518B6393"/>
    <w:rsid w:val="519B6C23"/>
    <w:rsid w:val="519F40D2"/>
    <w:rsid w:val="51AE74CA"/>
    <w:rsid w:val="51B43EA9"/>
    <w:rsid w:val="51BA5EFA"/>
    <w:rsid w:val="51BB11F4"/>
    <w:rsid w:val="51BF047A"/>
    <w:rsid w:val="51BF217B"/>
    <w:rsid w:val="51C71A20"/>
    <w:rsid w:val="51C95088"/>
    <w:rsid w:val="51CF6168"/>
    <w:rsid w:val="51D00ACA"/>
    <w:rsid w:val="51D3441B"/>
    <w:rsid w:val="51E272DF"/>
    <w:rsid w:val="51E64DE7"/>
    <w:rsid w:val="51F441B3"/>
    <w:rsid w:val="52036CC7"/>
    <w:rsid w:val="52097DD8"/>
    <w:rsid w:val="521168E9"/>
    <w:rsid w:val="52140592"/>
    <w:rsid w:val="522602FB"/>
    <w:rsid w:val="5233653E"/>
    <w:rsid w:val="52355783"/>
    <w:rsid w:val="52423B6D"/>
    <w:rsid w:val="5242429B"/>
    <w:rsid w:val="52452993"/>
    <w:rsid w:val="524A4A92"/>
    <w:rsid w:val="525151FB"/>
    <w:rsid w:val="52516BB1"/>
    <w:rsid w:val="525E6503"/>
    <w:rsid w:val="5269215B"/>
    <w:rsid w:val="526F5D4D"/>
    <w:rsid w:val="527D5F08"/>
    <w:rsid w:val="52823E17"/>
    <w:rsid w:val="528F2288"/>
    <w:rsid w:val="52900981"/>
    <w:rsid w:val="52972F7E"/>
    <w:rsid w:val="529E60AD"/>
    <w:rsid w:val="52A07287"/>
    <w:rsid w:val="52A61075"/>
    <w:rsid w:val="52C22F19"/>
    <w:rsid w:val="52C67E3B"/>
    <w:rsid w:val="52CA0C50"/>
    <w:rsid w:val="52CB32A1"/>
    <w:rsid w:val="52D41981"/>
    <w:rsid w:val="52D66137"/>
    <w:rsid w:val="52D67B52"/>
    <w:rsid w:val="52D7336D"/>
    <w:rsid w:val="52DF6735"/>
    <w:rsid w:val="52E1167A"/>
    <w:rsid w:val="52E9735B"/>
    <w:rsid w:val="52EB59D1"/>
    <w:rsid w:val="52F21E12"/>
    <w:rsid w:val="53034162"/>
    <w:rsid w:val="530971A6"/>
    <w:rsid w:val="5312537B"/>
    <w:rsid w:val="531B7E68"/>
    <w:rsid w:val="532145E9"/>
    <w:rsid w:val="5328757B"/>
    <w:rsid w:val="532A7941"/>
    <w:rsid w:val="532C4A71"/>
    <w:rsid w:val="533B6E8F"/>
    <w:rsid w:val="53491404"/>
    <w:rsid w:val="534A67E7"/>
    <w:rsid w:val="534E6AEF"/>
    <w:rsid w:val="535F5FA4"/>
    <w:rsid w:val="536400AE"/>
    <w:rsid w:val="536A6FA8"/>
    <w:rsid w:val="536F5330"/>
    <w:rsid w:val="53715570"/>
    <w:rsid w:val="53760DD8"/>
    <w:rsid w:val="53764710"/>
    <w:rsid w:val="537739DE"/>
    <w:rsid w:val="537A201C"/>
    <w:rsid w:val="53800393"/>
    <w:rsid w:val="53805AC6"/>
    <w:rsid w:val="538238FA"/>
    <w:rsid w:val="53830F02"/>
    <w:rsid w:val="53852DC9"/>
    <w:rsid w:val="538E1FC7"/>
    <w:rsid w:val="53A039CC"/>
    <w:rsid w:val="53A0497C"/>
    <w:rsid w:val="53A1505A"/>
    <w:rsid w:val="53A3673B"/>
    <w:rsid w:val="53A414A2"/>
    <w:rsid w:val="53B45ED5"/>
    <w:rsid w:val="53BA2520"/>
    <w:rsid w:val="53BD0638"/>
    <w:rsid w:val="53BD2485"/>
    <w:rsid w:val="53BE2377"/>
    <w:rsid w:val="53D7650A"/>
    <w:rsid w:val="53D77AC9"/>
    <w:rsid w:val="53E45D42"/>
    <w:rsid w:val="53E7363B"/>
    <w:rsid w:val="53EB39FA"/>
    <w:rsid w:val="53EC3BAC"/>
    <w:rsid w:val="53EF2E59"/>
    <w:rsid w:val="540320BD"/>
    <w:rsid w:val="54043216"/>
    <w:rsid w:val="5406070B"/>
    <w:rsid w:val="54063E08"/>
    <w:rsid w:val="54231757"/>
    <w:rsid w:val="54232D0E"/>
    <w:rsid w:val="54242429"/>
    <w:rsid w:val="54246488"/>
    <w:rsid w:val="542651E1"/>
    <w:rsid w:val="542B3B44"/>
    <w:rsid w:val="54310CEA"/>
    <w:rsid w:val="543177F1"/>
    <w:rsid w:val="543179D7"/>
    <w:rsid w:val="543437E8"/>
    <w:rsid w:val="54387C5D"/>
    <w:rsid w:val="545829CA"/>
    <w:rsid w:val="54637FEB"/>
    <w:rsid w:val="5467710F"/>
    <w:rsid w:val="548651E5"/>
    <w:rsid w:val="548B241D"/>
    <w:rsid w:val="549144D1"/>
    <w:rsid w:val="54972730"/>
    <w:rsid w:val="54AF43A2"/>
    <w:rsid w:val="54BA1700"/>
    <w:rsid w:val="54C17E31"/>
    <w:rsid w:val="54CA0FB5"/>
    <w:rsid w:val="54E56110"/>
    <w:rsid w:val="54E868F0"/>
    <w:rsid w:val="54ED3248"/>
    <w:rsid w:val="54F371FA"/>
    <w:rsid w:val="54F621D1"/>
    <w:rsid w:val="54F725D9"/>
    <w:rsid w:val="54F73313"/>
    <w:rsid w:val="54F80955"/>
    <w:rsid w:val="54FC3A93"/>
    <w:rsid w:val="550B73D9"/>
    <w:rsid w:val="550C2D23"/>
    <w:rsid w:val="552C6050"/>
    <w:rsid w:val="55366223"/>
    <w:rsid w:val="555170A7"/>
    <w:rsid w:val="55542FE7"/>
    <w:rsid w:val="55570883"/>
    <w:rsid w:val="55573EB6"/>
    <w:rsid w:val="555B2034"/>
    <w:rsid w:val="555F665A"/>
    <w:rsid w:val="55693404"/>
    <w:rsid w:val="556B5E52"/>
    <w:rsid w:val="556E4378"/>
    <w:rsid w:val="556F1C69"/>
    <w:rsid w:val="55760C1C"/>
    <w:rsid w:val="557B26D6"/>
    <w:rsid w:val="557E5CD4"/>
    <w:rsid w:val="5582740E"/>
    <w:rsid w:val="558570B1"/>
    <w:rsid w:val="55860089"/>
    <w:rsid w:val="5587536D"/>
    <w:rsid w:val="558D6328"/>
    <w:rsid w:val="559A173E"/>
    <w:rsid w:val="559B174B"/>
    <w:rsid w:val="55A67AAC"/>
    <w:rsid w:val="55B416AE"/>
    <w:rsid w:val="55B56451"/>
    <w:rsid w:val="55BA5AB6"/>
    <w:rsid w:val="55BD684B"/>
    <w:rsid w:val="55BF771E"/>
    <w:rsid w:val="55C20404"/>
    <w:rsid w:val="55CA0F67"/>
    <w:rsid w:val="55CE0CF4"/>
    <w:rsid w:val="55D05C85"/>
    <w:rsid w:val="55D23589"/>
    <w:rsid w:val="55D63540"/>
    <w:rsid w:val="55DE39FE"/>
    <w:rsid w:val="55FE15C1"/>
    <w:rsid w:val="560C77D2"/>
    <w:rsid w:val="560F2CDB"/>
    <w:rsid w:val="56190783"/>
    <w:rsid w:val="56242E47"/>
    <w:rsid w:val="56385C28"/>
    <w:rsid w:val="56446F6C"/>
    <w:rsid w:val="564525D6"/>
    <w:rsid w:val="5648099C"/>
    <w:rsid w:val="5648396E"/>
    <w:rsid w:val="5651119B"/>
    <w:rsid w:val="565354D1"/>
    <w:rsid w:val="565B63B4"/>
    <w:rsid w:val="565D1FD4"/>
    <w:rsid w:val="565F7159"/>
    <w:rsid w:val="56632952"/>
    <w:rsid w:val="566734C0"/>
    <w:rsid w:val="568923E9"/>
    <w:rsid w:val="568A088E"/>
    <w:rsid w:val="56905D0D"/>
    <w:rsid w:val="56A30394"/>
    <w:rsid w:val="56B22A9C"/>
    <w:rsid w:val="56B70D0D"/>
    <w:rsid w:val="56BC3AD9"/>
    <w:rsid w:val="56BF2829"/>
    <w:rsid w:val="56D71B8E"/>
    <w:rsid w:val="56D75122"/>
    <w:rsid w:val="56E434E0"/>
    <w:rsid w:val="56E61DD1"/>
    <w:rsid w:val="56E65BCB"/>
    <w:rsid w:val="56F06AA0"/>
    <w:rsid w:val="56FF0390"/>
    <w:rsid w:val="57010F08"/>
    <w:rsid w:val="57035D8E"/>
    <w:rsid w:val="570A1F63"/>
    <w:rsid w:val="57240E4B"/>
    <w:rsid w:val="572E026B"/>
    <w:rsid w:val="57324C0E"/>
    <w:rsid w:val="57343CFD"/>
    <w:rsid w:val="573523DA"/>
    <w:rsid w:val="5748429A"/>
    <w:rsid w:val="57486C80"/>
    <w:rsid w:val="574B60D8"/>
    <w:rsid w:val="5750785F"/>
    <w:rsid w:val="5760619F"/>
    <w:rsid w:val="576158FB"/>
    <w:rsid w:val="57766BA1"/>
    <w:rsid w:val="57782157"/>
    <w:rsid w:val="577B3D89"/>
    <w:rsid w:val="577D2807"/>
    <w:rsid w:val="57821E3F"/>
    <w:rsid w:val="578D3230"/>
    <w:rsid w:val="5794182D"/>
    <w:rsid w:val="57953B57"/>
    <w:rsid w:val="579746AC"/>
    <w:rsid w:val="5799253C"/>
    <w:rsid w:val="579D0284"/>
    <w:rsid w:val="57AC50AC"/>
    <w:rsid w:val="57AD447B"/>
    <w:rsid w:val="57B570EE"/>
    <w:rsid w:val="57B60D50"/>
    <w:rsid w:val="57B72A76"/>
    <w:rsid w:val="57BB325E"/>
    <w:rsid w:val="57C3426C"/>
    <w:rsid w:val="57C61D7F"/>
    <w:rsid w:val="57CE0445"/>
    <w:rsid w:val="57CE1F93"/>
    <w:rsid w:val="57CF657C"/>
    <w:rsid w:val="57DC26C1"/>
    <w:rsid w:val="57DE0069"/>
    <w:rsid w:val="57E85E98"/>
    <w:rsid w:val="57F010A5"/>
    <w:rsid w:val="57F4051E"/>
    <w:rsid w:val="58003366"/>
    <w:rsid w:val="58145105"/>
    <w:rsid w:val="581C61DE"/>
    <w:rsid w:val="58233A9D"/>
    <w:rsid w:val="5828647F"/>
    <w:rsid w:val="58296B35"/>
    <w:rsid w:val="582B2191"/>
    <w:rsid w:val="583475F3"/>
    <w:rsid w:val="58354401"/>
    <w:rsid w:val="583E5224"/>
    <w:rsid w:val="584662AD"/>
    <w:rsid w:val="584E67CF"/>
    <w:rsid w:val="5850472E"/>
    <w:rsid w:val="58541E06"/>
    <w:rsid w:val="585D444B"/>
    <w:rsid w:val="586E192F"/>
    <w:rsid w:val="587B15AD"/>
    <w:rsid w:val="588743D1"/>
    <w:rsid w:val="5887701A"/>
    <w:rsid w:val="58955CEA"/>
    <w:rsid w:val="58AD7B14"/>
    <w:rsid w:val="58B84780"/>
    <w:rsid w:val="58B8779D"/>
    <w:rsid w:val="58B901C7"/>
    <w:rsid w:val="58B9508F"/>
    <w:rsid w:val="58C13CB0"/>
    <w:rsid w:val="58C93758"/>
    <w:rsid w:val="58CA7BFC"/>
    <w:rsid w:val="58DA5913"/>
    <w:rsid w:val="58E366CF"/>
    <w:rsid w:val="58E81E30"/>
    <w:rsid w:val="58E87351"/>
    <w:rsid w:val="58EF45CD"/>
    <w:rsid w:val="58F05189"/>
    <w:rsid w:val="58F05379"/>
    <w:rsid w:val="58F20203"/>
    <w:rsid w:val="58F7214A"/>
    <w:rsid w:val="58F830F0"/>
    <w:rsid w:val="58FA1E96"/>
    <w:rsid w:val="590C2057"/>
    <w:rsid w:val="59113119"/>
    <w:rsid w:val="591457D4"/>
    <w:rsid w:val="591B1A68"/>
    <w:rsid w:val="591C63C4"/>
    <w:rsid w:val="591D4044"/>
    <w:rsid w:val="5932754F"/>
    <w:rsid w:val="5934151A"/>
    <w:rsid w:val="59563BDB"/>
    <w:rsid w:val="59576FB6"/>
    <w:rsid w:val="595D4BC1"/>
    <w:rsid w:val="595E6DB1"/>
    <w:rsid w:val="59600823"/>
    <w:rsid w:val="5960211D"/>
    <w:rsid w:val="596B5BC6"/>
    <w:rsid w:val="59801273"/>
    <w:rsid w:val="598373C9"/>
    <w:rsid w:val="59AF5BF2"/>
    <w:rsid w:val="59B7392E"/>
    <w:rsid w:val="59B86DAA"/>
    <w:rsid w:val="59BB12F3"/>
    <w:rsid w:val="59BB6E9E"/>
    <w:rsid w:val="59C0439F"/>
    <w:rsid w:val="59D849A5"/>
    <w:rsid w:val="59D92638"/>
    <w:rsid w:val="59F06BF9"/>
    <w:rsid w:val="59F65F2C"/>
    <w:rsid w:val="5A0532AE"/>
    <w:rsid w:val="5A0C78A8"/>
    <w:rsid w:val="5A0D02E3"/>
    <w:rsid w:val="5A0F032B"/>
    <w:rsid w:val="5A1D4970"/>
    <w:rsid w:val="5A2025BC"/>
    <w:rsid w:val="5A3505F0"/>
    <w:rsid w:val="5A3B0686"/>
    <w:rsid w:val="5A597E84"/>
    <w:rsid w:val="5A5F25C6"/>
    <w:rsid w:val="5A626FE9"/>
    <w:rsid w:val="5A696642"/>
    <w:rsid w:val="5A736072"/>
    <w:rsid w:val="5A736393"/>
    <w:rsid w:val="5A7F3BB9"/>
    <w:rsid w:val="5A865020"/>
    <w:rsid w:val="5A8C25E3"/>
    <w:rsid w:val="5A911CB4"/>
    <w:rsid w:val="5A972A06"/>
    <w:rsid w:val="5AA7249C"/>
    <w:rsid w:val="5AA94E9D"/>
    <w:rsid w:val="5AAD2B47"/>
    <w:rsid w:val="5ABE2233"/>
    <w:rsid w:val="5AC056CA"/>
    <w:rsid w:val="5AC06913"/>
    <w:rsid w:val="5AC16DDD"/>
    <w:rsid w:val="5AC20C77"/>
    <w:rsid w:val="5AC82480"/>
    <w:rsid w:val="5ACC5165"/>
    <w:rsid w:val="5ACD4D20"/>
    <w:rsid w:val="5AD034B0"/>
    <w:rsid w:val="5AD912E0"/>
    <w:rsid w:val="5ADE3A4E"/>
    <w:rsid w:val="5AE8174F"/>
    <w:rsid w:val="5AE900E2"/>
    <w:rsid w:val="5AF92925"/>
    <w:rsid w:val="5AFA1D3E"/>
    <w:rsid w:val="5B0334AE"/>
    <w:rsid w:val="5B123195"/>
    <w:rsid w:val="5B137C82"/>
    <w:rsid w:val="5B180FF6"/>
    <w:rsid w:val="5B1B393B"/>
    <w:rsid w:val="5B1D5AEB"/>
    <w:rsid w:val="5B2E7C41"/>
    <w:rsid w:val="5B3A6B8F"/>
    <w:rsid w:val="5B3E47D5"/>
    <w:rsid w:val="5B3F6484"/>
    <w:rsid w:val="5B4041A6"/>
    <w:rsid w:val="5B473ECE"/>
    <w:rsid w:val="5B477AA4"/>
    <w:rsid w:val="5B4812AC"/>
    <w:rsid w:val="5B484E08"/>
    <w:rsid w:val="5B500C00"/>
    <w:rsid w:val="5B57497C"/>
    <w:rsid w:val="5B5E1FF3"/>
    <w:rsid w:val="5B6205D5"/>
    <w:rsid w:val="5B6D7F89"/>
    <w:rsid w:val="5B721E85"/>
    <w:rsid w:val="5B826368"/>
    <w:rsid w:val="5B8B2F47"/>
    <w:rsid w:val="5B8F0C89"/>
    <w:rsid w:val="5B9E458F"/>
    <w:rsid w:val="5BA170E5"/>
    <w:rsid w:val="5BA7674E"/>
    <w:rsid w:val="5BAC34F1"/>
    <w:rsid w:val="5BB9330A"/>
    <w:rsid w:val="5BC22B77"/>
    <w:rsid w:val="5BDF5D95"/>
    <w:rsid w:val="5BE14915"/>
    <w:rsid w:val="5BEB0864"/>
    <w:rsid w:val="5BEF1728"/>
    <w:rsid w:val="5BFC2119"/>
    <w:rsid w:val="5BFE7528"/>
    <w:rsid w:val="5C072A30"/>
    <w:rsid w:val="5C0F63AE"/>
    <w:rsid w:val="5C117C03"/>
    <w:rsid w:val="5C146454"/>
    <w:rsid w:val="5C22053C"/>
    <w:rsid w:val="5C22728C"/>
    <w:rsid w:val="5C25755E"/>
    <w:rsid w:val="5C282AFA"/>
    <w:rsid w:val="5C297177"/>
    <w:rsid w:val="5C3655A9"/>
    <w:rsid w:val="5C391605"/>
    <w:rsid w:val="5C3F6E26"/>
    <w:rsid w:val="5C4101BC"/>
    <w:rsid w:val="5C4D2018"/>
    <w:rsid w:val="5C527388"/>
    <w:rsid w:val="5C5872CD"/>
    <w:rsid w:val="5C5A3C95"/>
    <w:rsid w:val="5C664567"/>
    <w:rsid w:val="5C677510"/>
    <w:rsid w:val="5C734107"/>
    <w:rsid w:val="5C7B523D"/>
    <w:rsid w:val="5C7E6904"/>
    <w:rsid w:val="5C894690"/>
    <w:rsid w:val="5C8E7239"/>
    <w:rsid w:val="5C9370EF"/>
    <w:rsid w:val="5C9B1647"/>
    <w:rsid w:val="5CA06D68"/>
    <w:rsid w:val="5CA75504"/>
    <w:rsid w:val="5CA92000"/>
    <w:rsid w:val="5CAC4985"/>
    <w:rsid w:val="5CB309A7"/>
    <w:rsid w:val="5CB8327D"/>
    <w:rsid w:val="5CBD7D77"/>
    <w:rsid w:val="5CBF734C"/>
    <w:rsid w:val="5CC9667B"/>
    <w:rsid w:val="5CD96544"/>
    <w:rsid w:val="5CE00EB4"/>
    <w:rsid w:val="5CF1550B"/>
    <w:rsid w:val="5CF80AB0"/>
    <w:rsid w:val="5D09668E"/>
    <w:rsid w:val="5D135E9A"/>
    <w:rsid w:val="5D1C02FB"/>
    <w:rsid w:val="5D382038"/>
    <w:rsid w:val="5D3F0ED1"/>
    <w:rsid w:val="5D445AA3"/>
    <w:rsid w:val="5D454B57"/>
    <w:rsid w:val="5D4C0DF6"/>
    <w:rsid w:val="5D4F3AC6"/>
    <w:rsid w:val="5D537A94"/>
    <w:rsid w:val="5D5977A1"/>
    <w:rsid w:val="5D597FB7"/>
    <w:rsid w:val="5D5A200C"/>
    <w:rsid w:val="5D5F792C"/>
    <w:rsid w:val="5D604B1C"/>
    <w:rsid w:val="5D64421B"/>
    <w:rsid w:val="5D744743"/>
    <w:rsid w:val="5D772BD8"/>
    <w:rsid w:val="5D83357A"/>
    <w:rsid w:val="5D8B4513"/>
    <w:rsid w:val="5D8F4A9F"/>
    <w:rsid w:val="5D977E0D"/>
    <w:rsid w:val="5D9C58DF"/>
    <w:rsid w:val="5DAB026D"/>
    <w:rsid w:val="5DB079D9"/>
    <w:rsid w:val="5DC47E2D"/>
    <w:rsid w:val="5DD07657"/>
    <w:rsid w:val="5DDE3802"/>
    <w:rsid w:val="5DE03A1E"/>
    <w:rsid w:val="5DEB09DF"/>
    <w:rsid w:val="5DED6F8C"/>
    <w:rsid w:val="5DF43125"/>
    <w:rsid w:val="5DF748C4"/>
    <w:rsid w:val="5E0140B2"/>
    <w:rsid w:val="5E015742"/>
    <w:rsid w:val="5E062373"/>
    <w:rsid w:val="5E0E30B4"/>
    <w:rsid w:val="5E1308B2"/>
    <w:rsid w:val="5E2467F1"/>
    <w:rsid w:val="5E2A6A47"/>
    <w:rsid w:val="5E2D291A"/>
    <w:rsid w:val="5E2D6537"/>
    <w:rsid w:val="5E432EE9"/>
    <w:rsid w:val="5E542100"/>
    <w:rsid w:val="5E5D5A59"/>
    <w:rsid w:val="5E5F22B2"/>
    <w:rsid w:val="5E6B5795"/>
    <w:rsid w:val="5E6D6E10"/>
    <w:rsid w:val="5E7620C5"/>
    <w:rsid w:val="5E7B1AAB"/>
    <w:rsid w:val="5E8819C0"/>
    <w:rsid w:val="5E895C55"/>
    <w:rsid w:val="5E8C5954"/>
    <w:rsid w:val="5E934044"/>
    <w:rsid w:val="5E99270B"/>
    <w:rsid w:val="5E9A7933"/>
    <w:rsid w:val="5E9B7F1A"/>
    <w:rsid w:val="5EA40E68"/>
    <w:rsid w:val="5EB36A3D"/>
    <w:rsid w:val="5EB629D1"/>
    <w:rsid w:val="5EB64F1F"/>
    <w:rsid w:val="5ED82947"/>
    <w:rsid w:val="5EF36FB1"/>
    <w:rsid w:val="5EF86B45"/>
    <w:rsid w:val="5EFC0B9B"/>
    <w:rsid w:val="5EFC2E4E"/>
    <w:rsid w:val="5F03064E"/>
    <w:rsid w:val="5F057681"/>
    <w:rsid w:val="5F0F0737"/>
    <w:rsid w:val="5F1020E1"/>
    <w:rsid w:val="5F1024C9"/>
    <w:rsid w:val="5F1274BC"/>
    <w:rsid w:val="5F181674"/>
    <w:rsid w:val="5F1A2B43"/>
    <w:rsid w:val="5F1B4D72"/>
    <w:rsid w:val="5F266D6D"/>
    <w:rsid w:val="5F306F06"/>
    <w:rsid w:val="5F3D212E"/>
    <w:rsid w:val="5F4C7F44"/>
    <w:rsid w:val="5F535753"/>
    <w:rsid w:val="5F5D2E4C"/>
    <w:rsid w:val="5F616532"/>
    <w:rsid w:val="5F692F82"/>
    <w:rsid w:val="5F701E19"/>
    <w:rsid w:val="5F73394E"/>
    <w:rsid w:val="5F7B407F"/>
    <w:rsid w:val="5F7F0487"/>
    <w:rsid w:val="5F904FD0"/>
    <w:rsid w:val="5FA028D0"/>
    <w:rsid w:val="5FA25E8E"/>
    <w:rsid w:val="5FA32F55"/>
    <w:rsid w:val="5FA652D8"/>
    <w:rsid w:val="5FB837BB"/>
    <w:rsid w:val="5FB92779"/>
    <w:rsid w:val="5FBA38D6"/>
    <w:rsid w:val="5FBC561C"/>
    <w:rsid w:val="5FC9589F"/>
    <w:rsid w:val="5FE2628C"/>
    <w:rsid w:val="5FEE115A"/>
    <w:rsid w:val="5FF25B4D"/>
    <w:rsid w:val="5FF85114"/>
    <w:rsid w:val="5FF92B75"/>
    <w:rsid w:val="5FFA5A43"/>
    <w:rsid w:val="5FFF6C85"/>
    <w:rsid w:val="6007086B"/>
    <w:rsid w:val="601249DE"/>
    <w:rsid w:val="60206D1C"/>
    <w:rsid w:val="602353C8"/>
    <w:rsid w:val="602F75D3"/>
    <w:rsid w:val="602F7F6B"/>
    <w:rsid w:val="60353F9F"/>
    <w:rsid w:val="6037711A"/>
    <w:rsid w:val="603C58F9"/>
    <w:rsid w:val="603D3AFA"/>
    <w:rsid w:val="603E704B"/>
    <w:rsid w:val="60464BB6"/>
    <w:rsid w:val="604B3C45"/>
    <w:rsid w:val="60500E87"/>
    <w:rsid w:val="606123ED"/>
    <w:rsid w:val="6064099D"/>
    <w:rsid w:val="606940D8"/>
    <w:rsid w:val="606D5EAE"/>
    <w:rsid w:val="60751E38"/>
    <w:rsid w:val="607949FF"/>
    <w:rsid w:val="607A54CE"/>
    <w:rsid w:val="60931B35"/>
    <w:rsid w:val="60973580"/>
    <w:rsid w:val="60A30053"/>
    <w:rsid w:val="60AC554A"/>
    <w:rsid w:val="60B12EE2"/>
    <w:rsid w:val="60B259E3"/>
    <w:rsid w:val="60B35114"/>
    <w:rsid w:val="60C018E5"/>
    <w:rsid w:val="60CC405A"/>
    <w:rsid w:val="60CE74EA"/>
    <w:rsid w:val="60D13AF2"/>
    <w:rsid w:val="60E43990"/>
    <w:rsid w:val="60E5617E"/>
    <w:rsid w:val="60E858B0"/>
    <w:rsid w:val="60EF5B7F"/>
    <w:rsid w:val="60FE1EE9"/>
    <w:rsid w:val="61022A12"/>
    <w:rsid w:val="610E08A2"/>
    <w:rsid w:val="611759A9"/>
    <w:rsid w:val="6118527D"/>
    <w:rsid w:val="611873EB"/>
    <w:rsid w:val="611B3081"/>
    <w:rsid w:val="61371BA7"/>
    <w:rsid w:val="613E68B3"/>
    <w:rsid w:val="615F6C5E"/>
    <w:rsid w:val="61645BDA"/>
    <w:rsid w:val="616850B8"/>
    <w:rsid w:val="61691F7C"/>
    <w:rsid w:val="616E6351"/>
    <w:rsid w:val="61757713"/>
    <w:rsid w:val="617E261D"/>
    <w:rsid w:val="61812B4E"/>
    <w:rsid w:val="6182292A"/>
    <w:rsid w:val="61882403"/>
    <w:rsid w:val="618D7A19"/>
    <w:rsid w:val="619743F4"/>
    <w:rsid w:val="6197590A"/>
    <w:rsid w:val="619C5EAE"/>
    <w:rsid w:val="61A039B1"/>
    <w:rsid w:val="61AF7976"/>
    <w:rsid w:val="61B1017A"/>
    <w:rsid w:val="61B83CC4"/>
    <w:rsid w:val="61B95A4E"/>
    <w:rsid w:val="61BA6CFF"/>
    <w:rsid w:val="61BD7D46"/>
    <w:rsid w:val="61BF1B9C"/>
    <w:rsid w:val="61C105B5"/>
    <w:rsid w:val="61C76BC0"/>
    <w:rsid w:val="61DC274E"/>
    <w:rsid w:val="61DD0E80"/>
    <w:rsid w:val="61E215D8"/>
    <w:rsid w:val="61E730DC"/>
    <w:rsid w:val="62031511"/>
    <w:rsid w:val="620579B7"/>
    <w:rsid w:val="621B3775"/>
    <w:rsid w:val="622D23A5"/>
    <w:rsid w:val="622D3680"/>
    <w:rsid w:val="622D6302"/>
    <w:rsid w:val="622F79DB"/>
    <w:rsid w:val="62313FFF"/>
    <w:rsid w:val="62356C72"/>
    <w:rsid w:val="62364782"/>
    <w:rsid w:val="62381F8E"/>
    <w:rsid w:val="62400F9F"/>
    <w:rsid w:val="62433AFB"/>
    <w:rsid w:val="62500B62"/>
    <w:rsid w:val="6252443B"/>
    <w:rsid w:val="6269295A"/>
    <w:rsid w:val="626D33A6"/>
    <w:rsid w:val="6271733B"/>
    <w:rsid w:val="62733293"/>
    <w:rsid w:val="62806635"/>
    <w:rsid w:val="62822417"/>
    <w:rsid w:val="62854B94"/>
    <w:rsid w:val="62982BEC"/>
    <w:rsid w:val="629D44A9"/>
    <w:rsid w:val="629D5670"/>
    <w:rsid w:val="629E7A04"/>
    <w:rsid w:val="62A1345E"/>
    <w:rsid w:val="62AB456B"/>
    <w:rsid w:val="62AE1B2F"/>
    <w:rsid w:val="62B93684"/>
    <w:rsid w:val="62BD4852"/>
    <w:rsid w:val="62C31218"/>
    <w:rsid w:val="62C92CD3"/>
    <w:rsid w:val="62D9201F"/>
    <w:rsid w:val="62DA10AA"/>
    <w:rsid w:val="62E76748"/>
    <w:rsid w:val="62F01B52"/>
    <w:rsid w:val="62FD0D1B"/>
    <w:rsid w:val="63024D91"/>
    <w:rsid w:val="63041F5D"/>
    <w:rsid w:val="631055A2"/>
    <w:rsid w:val="63372798"/>
    <w:rsid w:val="6338770C"/>
    <w:rsid w:val="63402869"/>
    <w:rsid w:val="63427AAE"/>
    <w:rsid w:val="63486F0A"/>
    <w:rsid w:val="634916A4"/>
    <w:rsid w:val="63500FFF"/>
    <w:rsid w:val="635E2806"/>
    <w:rsid w:val="636D667E"/>
    <w:rsid w:val="636F21EF"/>
    <w:rsid w:val="63730E90"/>
    <w:rsid w:val="63774B1E"/>
    <w:rsid w:val="63871A2E"/>
    <w:rsid w:val="638E48A6"/>
    <w:rsid w:val="63911317"/>
    <w:rsid w:val="63927568"/>
    <w:rsid w:val="6394356A"/>
    <w:rsid w:val="639A01CB"/>
    <w:rsid w:val="63C210E6"/>
    <w:rsid w:val="63C239D6"/>
    <w:rsid w:val="63C61B2C"/>
    <w:rsid w:val="63C81489"/>
    <w:rsid w:val="63CE4445"/>
    <w:rsid w:val="63D40BE9"/>
    <w:rsid w:val="63DD00C2"/>
    <w:rsid w:val="63EA0AFD"/>
    <w:rsid w:val="64003B20"/>
    <w:rsid w:val="64061D04"/>
    <w:rsid w:val="640A1ACE"/>
    <w:rsid w:val="640E2967"/>
    <w:rsid w:val="64100501"/>
    <w:rsid w:val="64102431"/>
    <w:rsid w:val="641435B9"/>
    <w:rsid w:val="6416690B"/>
    <w:rsid w:val="64262FF7"/>
    <w:rsid w:val="642D54E3"/>
    <w:rsid w:val="643053BD"/>
    <w:rsid w:val="64384B33"/>
    <w:rsid w:val="64403E42"/>
    <w:rsid w:val="644459AC"/>
    <w:rsid w:val="644F4A85"/>
    <w:rsid w:val="64560949"/>
    <w:rsid w:val="64573C01"/>
    <w:rsid w:val="649410BE"/>
    <w:rsid w:val="64995724"/>
    <w:rsid w:val="64A16353"/>
    <w:rsid w:val="64A5243A"/>
    <w:rsid w:val="64A77C2F"/>
    <w:rsid w:val="64AD0BED"/>
    <w:rsid w:val="64AE23B5"/>
    <w:rsid w:val="64AE5726"/>
    <w:rsid w:val="64B43441"/>
    <w:rsid w:val="64B864B8"/>
    <w:rsid w:val="64BB18DC"/>
    <w:rsid w:val="64C06C6A"/>
    <w:rsid w:val="64C10BA3"/>
    <w:rsid w:val="64C80D68"/>
    <w:rsid w:val="64D92F75"/>
    <w:rsid w:val="64E82745"/>
    <w:rsid w:val="64F531DE"/>
    <w:rsid w:val="64FC2E28"/>
    <w:rsid w:val="65071890"/>
    <w:rsid w:val="650A312E"/>
    <w:rsid w:val="650A75D2"/>
    <w:rsid w:val="650B2D3F"/>
    <w:rsid w:val="65102E3B"/>
    <w:rsid w:val="651563DC"/>
    <w:rsid w:val="65205FA2"/>
    <w:rsid w:val="65311F90"/>
    <w:rsid w:val="65373578"/>
    <w:rsid w:val="653D102D"/>
    <w:rsid w:val="653E2AFF"/>
    <w:rsid w:val="653F727C"/>
    <w:rsid w:val="6545274B"/>
    <w:rsid w:val="65495F0D"/>
    <w:rsid w:val="654B2C09"/>
    <w:rsid w:val="655820EC"/>
    <w:rsid w:val="65587612"/>
    <w:rsid w:val="65695C00"/>
    <w:rsid w:val="656D1A09"/>
    <w:rsid w:val="65755781"/>
    <w:rsid w:val="657809E0"/>
    <w:rsid w:val="658904F7"/>
    <w:rsid w:val="65960546"/>
    <w:rsid w:val="659A0956"/>
    <w:rsid w:val="65A76BCF"/>
    <w:rsid w:val="65C6174B"/>
    <w:rsid w:val="65CB6E95"/>
    <w:rsid w:val="65DC66DD"/>
    <w:rsid w:val="65E5455D"/>
    <w:rsid w:val="65E70393"/>
    <w:rsid w:val="65E73470"/>
    <w:rsid w:val="65E87914"/>
    <w:rsid w:val="65EC46C4"/>
    <w:rsid w:val="65EF15EA"/>
    <w:rsid w:val="65F55B8D"/>
    <w:rsid w:val="65F959DF"/>
    <w:rsid w:val="660202AA"/>
    <w:rsid w:val="66070F8F"/>
    <w:rsid w:val="66094DDC"/>
    <w:rsid w:val="660C24CD"/>
    <w:rsid w:val="66100C18"/>
    <w:rsid w:val="66124963"/>
    <w:rsid w:val="66133C96"/>
    <w:rsid w:val="66145B6E"/>
    <w:rsid w:val="66176501"/>
    <w:rsid w:val="66194CD2"/>
    <w:rsid w:val="662563CE"/>
    <w:rsid w:val="66293A88"/>
    <w:rsid w:val="662F59A5"/>
    <w:rsid w:val="66323036"/>
    <w:rsid w:val="663D12E2"/>
    <w:rsid w:val="663E213E"/>
    <w:rsid w:val="66442286"/>
    <w:rsid w:val="664825FD"/>
    <w:rsid w:val="66494422"/>
    <w:rsid w:val="665D348F"/>
    <w:rsid w:val="66740704"/>
    <w:rsid w:val="66772A46"/>
    <w:rsid w:val="6679056C"/>
    <w:rsid w:val="6686712D"/>
    <w:rsid w:val="668F4233"/>
    <w:rsid w:val="66A01BA9"/>
    <w:rsid w:val="66A567C9"/>
    <w:rsid w:val="66AB26EF"/>
    <w:rsid w:val="66B10793"/>
    <w:rsid w:val="66BA258D"/>
    <w:rsid w:val="66BC2B4E"/>
    <w:rsid w:val="66CF2F1D"/>
    <w:rsid w:val="66D24120"/>
    <w:rsid w:val="66E60D3F"/>
    <w:rsid w:val="66EB10C4"/>
    <w:rsid w:val="66EB443B"/>
    <w:rsid w:val="66F93700"/>
    <w:rsid w:val="66F93E7F"/>
    <w:rsid w:val="66FE2E8C"/>
    <w:rsid w:val="670D670B"/>
    <w:rsid w:val="671F124A"/>
    <w:rsid w:val="673225F3"/>
    <w:rsid w:val="673267FF"/>
    <w:rsid w:val="67391443"/>
    <w:rsid w:val="673B2383"/>
    <w:rsid w:val="67582877"/>
    <w:rsid w:val="675B26BF"/>
    <w:rsid w:val="675F3619"/>
    <w:rsid w:val="67746A37"/>
    <w:rsid w:val="677A33C6"/>
    <w:rsid w:val="67810CE3"/>
    <w:rsid w:val="67890C82"/>
    <w:rsid w:val="67A47F2F"/>
    <w:rsid w:val="67AC20C6"/>
    <w:rsid w:val="67B43A16"/>
    <w:rsid w:val="67CA7C4A"/>
    <w:rsid w:val="67CD3790"/>
    <w:rsid w:val="67E95B03"/>
    <w:rsid w:val="67F3341C"/>
    <w:rsid w:val="67F41F22"/>
    <w:rsid w:val="67F81964"/>
    <w:rsid w:val="67FF0F45"/>
    <w:rsid w:val="680D7C5D"/>
    <w:rsid w:val="680F277E"/>
    <w:rsid w:val="68153AD4"/>
    <w:rsid w:val="68164CB9"/>
    <w:rsid w:val="681865D9"/>
    <w:rsid w:val="68190258"/>
    <w:rsid w:val="68193814"/>
    <w:rsid w:val="681F6961"/>
    <w:rsid w:val="68200C7C"/>
    <w:rsid w:val="68295FC1"/>
    <w:rsid w:val="68307CD3"/>
    <w:rsid w:val="68337770"/>
    <w:rsid w:val="683703B4"/>
    <w:rsid w:val="68466B73"/>
    <w:rsid w:val="684B52FA"/>
    <w:rsid w:val="685079E3"/>
    <w:rsid w:val="68531926"/>
    <w:rsid w:val="6856022F"/>
    <w:rsid w:val="68590BD1"/>
    <w:rsid w:val="68610A2F"/>
    <w:rsid w:val="68626682"/>
    <w:rsid w:val="6865617D"/>
    <w:rsid w:val="686E0ED1"/>
    <w:rsid w:val="687C4380"/>
    <w:rsid w:val="68805514"/>
    <w:rsid w:val="688907B8"/>
    <w:rsid w:val="68932395"/>
    <w:rsid w:val="689478DF"/>
    <w:rsid w:val="6897117D"/>
    <w:rsid w:val="68A9001F"/>
    <w:rsid w:val="68B57855"/>
    <w:rsid w:val="68BB4772"/>
    <w:rsid w:val="68BE1950"/>
    <w:rsid w:val="68C27158"/>
    <w:rsid w:val="68C27FCB"/>
    <w:rsid w:val="68CF138D"/>
    <w:rsid w:val="68D20407"/>
    <w:rsid w:val="68D4417F"/>
    <w:rsid w:val="68E24AEE"/>
    <w:rsid w:val="68E72104"/>
    <w:rsid w:val="68F402C9"/>
    <w:rsid w:val="68F465CF"/>
    <w:rsid w:val="68F92C59"/>
    <w:rsid w:val="68FE3C89"/>
    <w:rsid w:val="6900406C"/>
    <w:rsid w:val="69052BF5"/>
    <w:rsid w:val="69165C19"/>
    <w:rsid w:val="69236EB5"/>
    <w:rsid w:val="69316E2F"/>
    <w:rsid w:val="69326A22"/>
    <w:rsid w:val="69342E70"/>
    <w:rsid w:val="693B41FE"/>
    <w:rsid w:val="693F232D"/>
    <w:rsid w:val="694002F9"/>
    <w:rsid w:val="694E2071"/>
    <w:rsid w:val="69556CED"/>
    <w:rsid w:val="69593A31"/>
    <w:rsid w:val="69601877"/>
    <w:rsid w:val="696E37C5"/>
    <w:rsid w:val="69716287"/>
    <w:rsid w:val="69734FD3"/>
    <w:rsid w:val="69766163"/>
    <w:rsid w:val="697A3B33"/>
    <w:rsid w:val="697C2E98"/>
    <w:rsid w:val="697C3D03"/>
    <w:rsid w:val="697D43BD"/>
    <w:rsid w:val="69853D04"/>
    <w:rsid w:val="69886D18"/>
    <w:rsid w:val="698971FC"/>
    <w:rsid w:val="698B38AB"/>
    <w:rsid w:val="69976074"/>
    <w:rsid w:val="699D0A15"/>
    <w:rsid w:val="69A739D7"/>
    <w:rsid w:val="69AC282A"/>
    <w:rsid w:val="69B10234"/>
    <w:rsid w:val="69B250BE"/>
    <w:rsid w:val="69CA10DE"/>
    <w:rsid w:val="69CC52DB"/>
    <w:rsid w:val="69CD0A2F"/>
    <w:rsid w:val="69CF0A1E"/>
    <w:rsid w:val="69D1452F"/>
    <w:rsid w:val="69D44760"/>
    <w:rsid w:val="69D5399A"/>
    <w:rsid w:val="69D751D0"/>
    <w:rsid w:val="69DA3A17"/>
    <w:rsid w:val="69EA3AC1"/>
    <w:rsid w:val="69EB6EAF"/>
    <w:rsid w:val="69F139EF"/>
    <w:rsid w:val="69F22D7B"/>
    <w:rsid w:val="6A03477C"/>
    <w:rsid w:val="6A044156"/>
    <w:rsid w:val="6A061403"/>
    <w:rsid w:val="6A085EB5"/>
    <w:rsid w:val="6A0868C0"/>
    <w:rsid w:val="6A147AF8"/>
    <w:rsid w:val="6A1A36C4"/>
    <w:rsid w:val="6A1E4E91"/>
    <w:rsid w:val="6A22716C"/>
    <w:rsid w:val="6A2F1FFE"/>
    <w:rsid w:val="6A421040"/>
    <w:rsid w:val="6A4F297D"/>
    <w:rsid w:val="6A520EC7"/>
    <w:rsid w:val="6A5259EE"/>
    <w:rsid w:val="6A535E6A"/>
    <w:rsid w:val="6A537326"/>
    <w:rsid w:val="6A5B0457"/>
    <w:rsid w:val="6A5F6DC2"/>
    <w:rsid w:val="6A6634FD"/>
    <w:rsid w:val="6A6F1A86"/>
    <w:rsid w:val="6A731776"/>
    <w:rsid w:val="6A7C062B"/>
    <w:rsid w:val="6A7D441C"/>
    <w:rsid w:val="6A970895"/>
    <w:rsid w:val="6A9D4EF8"/>
    <w:rsid w:val="6A9E4A45"/>
    <w:rsid w:val="6AA461B3"/>
    <w:rsid w:val="6AA478D9"/>
    <w:rsid w:val="6AAA2C0C"/>
    <w:rsid w:val="6AAC6EF0"/>
    <w:rsid w:val="6AB6181D"/>
    <w:rsid w:val="6AB73D58"/>
    <w:rsid w:val="6AC53A45"/>
    <w:rsid w:val="6AC73BEF"/>
    <w:rsid w:val="6ACB0AD0"/>
    <w:rsid w:val="6ACD3CE4"/>
    <w:rsid w:val="6AE44AD1"/>
    <w:rsid w:val="6AED4FB7"/>
    <w:rsid w:val="6AEF704E"/>
    <w:rsid w:val="6AEF7BB6"/>
    <w:rsid w:val="6AF7771D"/>
    <w:rsid w:val="6AF87E20"/>
    <w:rsid w:val="6AFB3C45"/>
    <w:rsid w:val="6AFC4E7D"/>
    <w:rsid w:val="6AFD02EB"/>
    <w:rsid w:val="6B065511"/>
    <w:rsid w:val="6B080409"/>
    <w:rsid w:val="6B1940CB"/>
    <w:rsid w:val="6B1E5CD3"/>
    <w:rsid w:val="6B204A1A"/>
    <w:rsid w:val="6B222D3D"/>
    <w:rsid w:val="6B240935"/>
    <w:rsid w:val="6B2C35FA"/>
    <w:rsid w:val="6B322639"/>
    <w:rsid w:val="6B381523"/>
    <w:rsid w:val="6B382355"/>
    <w:rsid w:val="6B4C7984"/>
    <w:rsid w:val="6B525116"/>
    <w:rsid w:val="6B5415A7"/>
    <w:rsid w:val="6B594C63"/>
    <w:rsid w:val="6B5A1B25"/>
    <w:rsid w:val="6B651068"/>
    <w:rsid w:val="6B680032"/>
    <w:rsid w:val="6B6F1EC1"/>
    <w:rsid w:val="6B7A764F"/>
    <w:rsid w:val="6B7D342B"/>
    <w:rsid w:val="6B814A32"/>
    <w:rsid w:val="6B9E2823"/>
    <w:rsid w:val="6BAA5F86"/>
    <w:rsid w:val="6BB875C8"/>
    <w:rsid w:val="6BCC55E2"/>
    <w:rsid w:val="6BD8625F"/>
    <w:rsid w:val="6BDF70C3"/>
    <w:rsid w:val="6BE60DC5"/>
    <w:rsid w:val="6BEB0B3A"/>
    <w:rsid w:val="6BEC1A3D"/>
    <w:rsid w:val="6BF221B1"/>
    <w:rsid w:val="6BF44D80"/>
    <w:rsid w:val="6BF52619"/>
    <w:rsid w:val="6C044D7B"/>
    <w:rsid w:val="6C1215D1"/>
    <w:rsid w:val="6C150D37"/>
    <w:rsid w:val="6C184344"/>
    <w:rsid w:val="6C306F88"/>
    <w:rsid w:val="6C3B6177"/>
    <w:rsid w:val="6C407354"/>
    <w:rsid w:val="6C447394"/>
    <w:rsid w:val="6C472090"/>
    <w:rsid w:val="6C4960F8"/>
    <w:rsid w:val="6C502023"/>
    <w:rsid w:val="6C573F63"/>
    <w:rsid w:val="6C58751C"/>
    <w:rsid w:val="6C635297"/>
    <w:rsid w:val="6C636C38"/>
    <w:rsid w:val="6C683A2A"/>
    <w:rsid w:val="6C6D2D9B"/>
    <w:rsid w:val="6C6D73FD"/>
    <w:rsid w:val="6C7F2654"/>
    <w:rsid w:val="6CA168C8"/>
    <w:rsid w:val="6CA538CD"/>
    <w:rsid w:val="6CB0280D"/>
    <w:rsid w:val="6CB0731E"/>
    <w:rsid w:val="6CBF71A2"/>
    <w:rsid w:val="6CC55590"/>
    <w:rsid w:val="6CC73939"/>
    <w:rsid w:val="6CCD7863"/>
    <w:rsid w:val="6CCE5AA4"/>
    <w:rsid w:val="6CD504C6"/>
    <w:rsid w:val="6CD751CA"/>
    <w:rsid w:val="6CDC778B"/>
    <w:rsid w:val="6CDE55CC"/>
    <w:rsid w:val="6CE801F9"/>
    <w:rsid w:val="6D0019E7"/>
    <w:rsid w:val="6D056FFD"/>
    <w:rsid w:val="6D0843F7"/>
    <w:rsid w:val="6D1D4BD0"/>
    <w:rsid w:val="6D1F71A2"/>
    <w:rsid w:val="6D29366B"/>
    <w:rsid w:val="6D3029AF"/>
    <w:rsid w:val="6D307D8B"/>
    <w:rsid w:val="6D3B47CD"/>
    <w:rsid w:val="6D437DC6"/>
    <w:rsid w:val="6D475EF5"/>
    <w:rsid w:val="6D583106"/>
    <w:rsid w:val="6D646704"/>
    <w:rsid w:val="6D6E0177"/>
    <w:rsid w:val="6D6F3412"/>
    <w:rsid w:val="6D716441"/>
    <w:rsid w:val="6D7E4B56"/>
    <w:rsid w:val="6D960DC8"/>
    <w:rsid w:val="6D981B57"/>
    <w:rsid w:val="6D9C5007"/>
    <w:rsid w:val="6DA45A75"/>
    <w:rsid w:val="6DAD2B6C"/>
    <w:rsid w:val="6DB1683D"/>
    <w:rsid w:val="6DB34098"/>
    <w:rsid w:val="6DB427D1"/>
    <w:rsid w:val="6DB545B6"/>
    <w:rsid w:val="6DCC18C9"/>
    <w:rsid w:val="6DD3177B"/>
    <w:rsid w:val="6DDC71D9"/>
    <w:rsid w:val="6DDC7764"/>
    <w:rsid w:val="6DE02FB4"/>
    <w:rsid w:val="6DEF7D8E"/>
    <w:rsid w:val="6DF37C3B"/>
    <w:rsid w:val="6E195B79"/>
    <w:rsid w:val="6E2C05BA"/>
    <w:rsid w:val="6E3226E4"/>
    <w:rsid w:val="6E342961"/>
    <w:rsid w:val="6E421417"/>
    <w:rsid w:val="6E423939"/>
    <w:rsid w:val="6E465766"/>
    <w:rsid w:val="6E470F69"/>
    <w:rsid w:val="6E514CED"/>
    <w:rsid w:val="6E5F0155"/>
    <w:rsid w:val="6E654A10"/>
    <w:rsid w:val="6E7844A0"/>
    <w:rsid w:val="6E825C33"/>
    <w:rsid w:val="6E875DA0"/>
    <w:rsid w:val="6E8E5930"/>
    <w:rsid w:val="6EAB4A63"/>
    <w:rsid w:val="6EAD4F2A"/>
    <w:rsid w:val="6EAE47A9"/>
    <w:rsid w:val="6EB563D5"/>
    <w:rsid w:val="6EBB7AAC"/>
    <w:rsid w:val="6ECC086D"/>
    <w:rsid w:val="6ED92677"/>
    <w:rsid w:val="6EE60768"/>
    <w:rsid w:val="6EFC3B5E"/>
    <w:rsid w:val="6EFE0D66"/>
    <w:rsid w:val="6F1523CC"/>
    <w:rsid w:val="6F193041"/>
    <w:rsid w:val="6F1F737B"/>
    <w:rsid w:val="6F2056E2"/>
    <w:rsid w:val="6F225983"/>
    <w:rsid w:val="6F256DB5"/>
    <w:rsid w:val="6F28690C"/>
    <w:rsid w:val="6F2B736A"/>
    <w:rsid w:val="6F4135F9"/>
    <w:rsid w:val="6F6A7605"/>
    <w:rsid w:val="6F8843CC"/>
    <w:rsid w:val="6F9B7268"/>
    <w:rsid w:val="6FA128E1"/>
    <w:rsid w:val="6FA51649"/>
    <w:rsid w:val="6FA811B3"/>
    <w:rsid w:val="6FB7316B"/>
    <w:rsid w:val="6FC224C5"/>
    <w:rsid w:val="6FD24A6F"/>
    <w:rsid w:val="6FD27985"/>
    <w:rsid w:val="6FD43518"/>
    <w:rsid w:val="6FD60D68"/>
    <w:rsid w:val="6FD9600A"/>
    <w:rsid w:val="6FDD600F"/>
    <w:rsid w:val="6FE02894"/>
    <w:rsid w:val="6FE33114"/>
    <w:rsid w:val="6FEF2C20"/>
    <w:rsid w:val="6FEF5D43"/>
    <w:rsid w:val="6FF46241"/>
    <w:rsid w:val="6FFA1B82"/>
    <w:rsid w:val="6FFC5590"/>
    <w:rsid w:val="70002E31"/>
    <w:rsid w:val="70047FFD"/>
    <w:rsid w:val="70057314"/>
    <w:rsid w:val="700D1FC1"/>
    <w:rsid w:val="7017210D"/>
    <w:rsid w:val="701F1F89"/>
    <w:rsid w:val="702175B2"/>
    <w:rsid w:val="703D36ED"/>
    <w:rsid w:val="70417745"/>
    <w:rsid w:val="7046290E"/>
    <w:rsid w:val="704F058F"/>
    <w:rsid w:val="70666005"/>
    <w:rsid w:val="70671D7D"/>
    <w:rsid w:val="706A6C86"/>
    <w:rsid w:val="706B7718"/>
    <w:rsid w:val="706D1DD0"/>
    <w:rsid w:val="706E6C67"/>
    <w:rsid w:val="70700A04"/>
    <w:rsid w:val="70707800"/>
    <w:rsid w:val="70780430"/>
    <w:rsid w:val="70795447"/>
    <w:rsid w:val="707E657C"/>
    <w:rsid w:val="70812B99"/>
    <w:rsid w:val="70856B87"/>
    <w:rsid w:val="708961AD"/>
    <w:rsid w:val="709027A3"/>
    <w:rsid w:val="70953339"/>
    <w:rsid w:val="70981F36"/>
    <w:rsid w:val="70A23212"/>
    <w:rsid w:val="70AA22AB"/>
    <w:rsid w:val="70BD2EB0"/>
    <w:rsid w:val="70BE6D2A"/>
    <w:rsid w:val="70C96594"/>
    <w:rsid w:val="70D006F1"/>
    <w:rsid w:val="70D016D0"/>
    <w:rsid w:val="70D527EE"/>
    <w:rsid w:val="70E548BA"/>
    <w:rsid w:val="70EB5859"/>
    <w:rsid w:val="70F16387"/>
    <w:rsid w:val="70F659C5"/>
    <w:rsid w:val="70FF2DCA"/>
    <w:rsid w:val="7106007E"/>
    <w:rsid w:val="71092E34"/>
    <w:rsid w:val="710F63BA"/>
    <w:rsid w:val="71164F84"/>
    <w:rsid w:val="711E068D"/>
    <w:rsid w:val="71226069"/>
    <w:rsid w:val="712437CA"/>
    <w:rsid w:val="71270FB3"/>
    <w:rsid w:val="71277B50"/>
    <w:rsid w:val="71324139"/>
    <w:rsid w:val="71351971"/>
    <w:rsid w:val="71456F1F"/>
    <w:rsid w:val="714874B8"/>
    <w:rsid w:val="714B392B"/>
    <w:rsid w:val="714E2C62"/>
    <w:rsid w:val="7151377E"/>
    <w:rsid w:val="71542301"/>
    <w:rsid w:val="7158344A"/>
    <w:rsid w:val="715B5300"/>
    <w:rsid w:val="715F4802"/>
    <w:rsid w:val="71723820"/>
    <w:rsid w:val="717376BE"/>
    <w:rsid w:val="717C1858"/>
    <w:rsid w:val="71856366"/>
    <w:rsid w:val="718F389A"/>
    <w:rsid w:val="71902A1E"/>
    <w:rsid w:val="71962E37"/>
    <w:rsid w:val="71964F43"/>
    <w:rsid w:val="71A768D5"/>
    <w:rsid w:val="71B44BCE"/>
    <w:rsid w:val="71B73ED5"/>
    <w:rsid w:val="71BD1610"/>
    <w:rsid w:val="71CD20B4"/>
    <w:rsid w:val="71D27F8A"/>
    <w:rsid w:val="71D46DD7"/>
    <w:rsid w:val="71DE1DD2"/>
    <w:rsid w:val="71E01AD6"/>
    <w:rsid w:val="71E10669"/>
    <w:rsid w:val="71FF451E"/>
    <w:rsid w:val="720368F5"/>
    <w:rsid w:val="720F713E"/>
    <w:rsid w:val="721B0226"/>
    <w:rsid w:val="72495CF8"/>
    <w:rsid w:val="72553024"/>
    <w:rsid w:val="725C4440"/>
    <w:rsid w:val="726B35D0"/>
    <w:rsid w:val="7270316B"/>
    <w:rsid w:val="7270451D"/>
    <w:rsid w:val="72746D97"/>
    <w:rsid w:val="7278158D"/>
    <w:rsid w:val="728269FA"/>
    <w:rsid w:val="72907369"/>
    <w:rsid w:val="7294509A"/>
    <w:rsid w:val="729A034F"/>
    <w:rsid w:val="729A0387"/>
    <w:rsid w:val="72A65728"/>
    <w:rsid w:val="72AB41A3"/>
    <w:rsid w:val="72AE0358"/>
    <w:rsid w:val="72B56DCF"/>
    <w:rsid w:val="72BB00C2"/>
    <w:rsid w:val="72BC0FCB"/>
    <w:rsid w:val="72CB45BC"/>
    <w:rsid w:val="72E66F89"/>
    <w:rsid w:val="72E8679E"/>
    <w:rsid w:val="72ED7519"/>
    <w:rsid w:val="72EE206E"/>
    <w:rsid w:val="73045661"/>
    <w:rsid w:val="730A6664"/>
    <w:rsid w:val="730B4C41"/>
    <w:rsid w:val="730E0C22"/>
    <w:rsid w:val="73122968"/>
    <w:rsid w:val="73133033"/>
    <w:rsid w:val="731A4E85"/>
    <w:rsid w:val="731E5E10"/>
    <w:rsid w:val="731F5D5E"/>
    <w:rsid w:val="732B7EE6"/>
    <w:rsid w:val="73403D4F"/>
    <w:rsid w:val="734463A5"/>
    <w:rsid w:val="73591B83"/>
    <w:rsid w:val="736067B6"/>
    <w:rsid w:val="73684D37"/>
    <w:rsid w:val="73717D6C"/>
    <w:rsid w:val="737B6514"/>
    <w:rsid w:val="738479BF"/>
    <w:rsid w:val="73866EC6"/>
    <w:rsid w:val="738C2F08"/>
    <w:rsid w:val="73994C91"/>
    <w:rsid w:val="739D1444"/>
    <w:rsid w:val="739F5D91"/>
    <w:rsid w:val="73A60B2C"/>
    <w:rsid w:val="73A62BBC"/>
    <w:rsid w:val="73BB6668"/>
    <w:rsid w:val="73BC2EBC"/>
    <w:rsid w:val="73C51AD5"/>
    <w:rsid w:val="73EA69B4"/>
    <w:rsid w:val="73F14D9C"/>
    <w:rsid w:val="73F32ED6"/>
    <w:rsid w:val="73F34117"/>
    <w:rsid w:val="74031B92"/>
    <w:rsid w:val="74082F2F"/>
    <w:rsid w:val="740C71B1"/>
    <w:rsid w:val="741E793C"/>
    <w:rsid w:val="7423004A"/>
    <w:rsid w:val="743261FE"/>
    <w:rsid w:val="74356B86"/>
    <w:rsid w:val="74387CB8"/>
    <w:rsid w:val="743F7902"/>
    <w:rsid w:val="744E41A4"/>
    <w:rsid w:val="745D67ED"/>
    <w:rsid w:val="745E3944"/>
    <w:rsid w:val="74675EA7"/>
    <w:rsid w:val="74712474"/>
    <w:rsid w:val="747405C4"/>
    <w:rsid w:val="74750F31"/>
    <w:rsid w:val="747A27E3"/>
    <w:rsid w:val="747E6721"/>
    <w:rsid w:val="74830EF7"/>
    <w:rsid w:val="748415C8"/>
    <w:rsid w:val="748C030E"/>
    <w:rsid w:val="749E3893"/>
    <w:rsid w:val="74B07814"/>
    <w:rsid w:val="74B310ED"/>
    <w:rsid w:val="74B73BF2"/>
    <w:rsid w:val="74B93F1A"/>
    <w:rsid w:val="74C312D7"/>
    <w:rsid w:val="74D272E1"/>
    <w:rsid w:val="74DF5FE8"/>
    <w:rsid w:val="74DF6386"/>
    <w:rsid w:val="74E019EA"/>
    <w:rsid w:val="74EA1CA6"/>
    <w:rsid w:val="74EC4794"/>
    <w:rsid w:val="74F04B0B"/>
    <w:rsid w:val="74F073C7"/>
    <w:rsid w:val="74F14354"/>
    <w:rsid w:val="74FF2584"/>
    <w:rsid w:val="7501652D"/>
    <w:rsid w:val="75031BCE"/>
    <w:rsid w:val="750C4747"/>
    <w:rsid w:val="750D68EF"/>
    <w:rsid w:val="75102179"/>
    <w:rsid w:val="75142CAE"/>
    <w:rsid w:val="75170B99"/>
    <w:rsid w:val="752A2879"/>
    <w:rsid w:val="752F40FB"/>
    <w:rsid w:val="75456E71"/>
    <w:rsid w:val="75462530"/>
    <w:rsid w:val="754B0A42"/>
    <w:rsid w:val="7552712D"/>
    <w:rsid w:val="756014EC"/>
    <w:rsid w:val="75614247"/>
    <w:rsid w:val="7568039F"/>
    <w:rsid w:val="757944D2"/>
    <w:rsid w:val="7581111D"/>
    <w:rsid w:val="7581743D"/>
    <w:rsid w:val="7585122A"/>
    <w:rsid w:val="758B68E5"/>
    <w:rsid w:val="758E2B32"/>
    <w:rsid w:val="75AF336E"/>
    <w:rsid w:val="75B83EAD"/>
    <w:rsid w:val="75BE41ED"/>
    <w:rsid w:val="75C156E4"/>
    <w:rsid w:val="75CB51EF"/>
    <w:rsid w:val="75CB6371"/>
    <w:rsid w:val="75CD559A"/>
    <w:rsid w:val="75D9622E"/>
    <w:rsid w:val="75EF084A"/>
    <w:rsid w:val="75F15AA2"/>
    <w:rsid w:val="75F25C45"/>
    <w:rsid w:val="75F55735"/>
    <w:rsid w:val="75FD6878"/>
    <w:rsid w:val="760B7AD9"/>
    <w:rsid w:val="760C1073"/>
    <w:rsid w:val="761A4896"/>
    <w:rsid w:val="76257DC8"/>
    <w:rsid w:val="76265C37"/>
    <w:rsid w:val="763444AF"/>
    <w:rsid w:val="7635099D"/>
    <w:rsid w:val="763764BB"/>
    <w:rsid w:val="76397D18"/>
    <w:rsid w:val="763C3364"/>
    <w:rsid w:val="763E0E8A"/>
    <w:rsid w:val="764010A6"/>
    <w:rsid w:val="76404BD9"/>
    <w:rsid w:val="764B15B3"/>
    <w:rsid w:val="764B1C1C"/>
    <w:rsid w:val="764D7F05"/>
    <w:rsid w:val="7657019E"/>
    <w:rsid w:val="765A4F50"/>
    <w:rsid w:val="768076F4"/>
    <w:rsid w:val="7684402D"/>
    <w:rsid w:val="768531B7"/>
    <w:rsid w:val="768C0572"/>
    <w:rsid w:val="768E5753"/>
    <w:rsid w:val="76916073"/>
    <w:rsid w:val="76B72BBA"/>
    <w:rsid w:val="76C61836"/>
    <w:rsid w:val="76C954F5"/>
    <w:rsid w:val="76CC2062"/>
    <w:rsid w:val="76CF5055"/>
    <w:rsid w:val="76D81B07"/>
    <w:rsid w:val="76E40611"/>
    <w:rsid w:val="76E815A9"/>
    <w:rsid w:val="76EC4D8A"/>
    <w:rsid w:val="76FD2043"/>
    <w:rsid w:val="770976EA"/>
    <w:rsid w:val="77185B7F"/>
    <w:rsid w:val="77425202"/>
    <w:rsid w:val="774A385E"/>
    <w:rsid w:val="7751441B"/>
    <w:rsid w:val="775F30A6"/>
    <w:rsid w:val="77632947"/>
    <w:rsid w:val="77642755"/>
    <w:rsid w:val="776E1124"/>
    <w:rsid w:val="777336D2"/>
    <w:rsid w:val="77762421"/>
    <w:rsid w:val="7779036D"/>
    <w:rsid w:val="778515BC"/>
    <w:rsid w:val="778A3EAF"/>
    <w:rsid w:val="778B5CEB"/>
    <w:rsid w:val="778F5FCB"/>
    <w:rsid w:val="77951962"/>
    <w:rsid w:val="779F7131"/>
    <w:rsid w:val="77AA4ED9"/>
    <w:rsid w:val="77AB0781"/>
    <w:rsid w:val="77B56B1F"/>
    <w:rsid w:val="77C27899"/>
    <w:rsid w:val="77C904BB"/>
    <w:rsid w:val="77CD4BBB"/>
    <w:rsid w:val="77CE20AA"/>
    <w:rsid w:val="77D148C5"/>
    <w:rsid w:val="77D200E8"/>
    <w:rsid w:val="77DA7CB7"/>
    <w:rsid w:val="77EF4B32"/>
    <w:rsid w:val="77F05646"/>
    <w:rsid w:val="77F07303"/>
    <w:rsid w:val="77F35095"/>
    <w:rsid w:val="77F55EC0"/>
    <w:rsid w:val="77F81D0B"/>
    <w:rsid w:val="77FC07C4"/>
    <w:rsid w:val="78001373"/>
    <w:rsid w:val="780E4DF3"/>
    <w:rsid w:val="780F09F4"/>
    <w:rsid w:val="781C344D"/>
    <w:rsid w:val="783B1899"/>
    <w:rsid w:val="78446ED2"/>
    <w:rsid w:val="785276AB"/>
    <w:rsid w:val="78531D70"/>
    <w:rsid w:val="78547BC3"/>
    <w:rsid w:val="78596711"/>
    <w:rsid w:val="785F7F87"/>
    <w:rsid w:val="78607640"/>
    <w:rsid w:val="786857DE"/>
    <w:rsid w:val="78925A13"/>
    <w:rsid w:val="78943D6A"/>
    <w:rsid w:val="78972614"/>
    <w:rsid w:val="7898727C"/>
    <w:rsid w:val="789E66C6"/>
    <w:rsid w:val="78A045C6"/>
    <w:rsid w:val="78A527EB"/>
    <w:rsid w:val="78A90480"/>
    <w:rsid w:val="78B123B4"/>
    <w:rsid w:val="78B30897"/>
    <w:rsid w:val="78B60702"/>
    <w:rsid w:val="78B73DD0"/>
    <w:rsid w:val="78BF3BF2"/>
    <w:rsid w:val="78C23164"/>
    <w:rsid w:val="78C71A3C"/>
    <w:rsid w:val="78CA62FD"/>
    <w:rsid w:val="78D213FD"/>
    <w:rsid w:val="78D62108"/>
    <w:rsid w:val="78D83818"/>
    <w:rsid w:val="78DC5ACD"/>
    <w:rsid w:val="78E730E9"/>
    <w:rsid w:val="78F63854"/>
    <w:rsid w:val="78FE29CE"/>
    <w:rsid w:val="78FE2B52"/>
    <w:rsid w:val="790740FD"/>
    <w:rsid w:val="790B4825"/>
    <w:rsid w:val="79156E4E"/>
    <w:rsid w:val="79212524"/>
    <w:rsid w:val="792678D5"/>
    <w:rsid w:val="794D439D"/>
    <w:rsid w:val="79501B7B"/>
    <w:rsid w:val="795B0743"/>
    <w:rsid w:val="79627585"/>
    <w:rsid w:val="79632321"/>
    <w:rsid w:val="79673FB1"/>
    <w:rsid w:val="79675F16"/>
    <w:rsid w:val="79740ADD"/>
    <w:rsid w:val="79751067"/>
    <w:rsid w:val="797B41A3"/>
    <w:rsid w:val="798C12D3"/>
    <w:rsid w:val="79A715FB"/>
    <w:rsid w:val="79A74F98"/>
    <w:rsid w:val="79B77946"/>
    <w:rsid w:val="79B96502"/>
    <w:rsid w:val="79C00D32"/>
    <w:rsid w:val="79C42BF2"/>
    <w:rsid w:val="79E20872"/>
    <w:rsid w:val="79FC4D31"/>
    <w:rsid w:val="79FC52E4"/>
    <w:rsid w:val="7A012695"/>
    <w:rsid w:val="7A020EC1"/>
    <w:rsid w:val="7A0B3A2D"/>
    <w:rsid w:val="7A0C2D96"/>
    <w:rsid w:val="7A321FF1"/>
    <w:rsid w:val="7A335FD5"/>
    <w:rsid w:val="7A364017"/>
    <w:rsid w:val="7A4153ED"/>
    <w:rsid w:val="7A433552"/>
    <w:rsid w:val="7A460C55"/>
    <w:rsid w:val="7A57632B"/>
    <w:rsid w:val="7A636E54"/>
    <w:rsid w:val="7A717A9D"/>
    <w:rsid w:val="7A7B2426"/>
    <w:rsid w:val="7A8265E1"/>
    <w:rsid w:val="7A8934D9"/>
    <w:rsid w:val="7A9E62BF"/>
    <w:rsid w:val="7AC22BE2"/>
    <w:rsid w:val="7ACF0C4A"/>
    <w:rsid w:val="7AD149C3"/>
    <w:rsid w:val="7ADA13E5"/>
    <w:rsid w:val="7AEA3436"/>
    <w:rsid w:val="7AFE5CF3"/>
    <w:rsid w:val="7B017E0B"/>
    <w:rsid w:val="7B0408F4"/>
    <w:rsid w:val="7B114DBF"/>
    <w:rsid w:val="7B15075E"/>
    <w:rsid w:val="7B272835"/>
    <w:rsid w:val="7B2C39A7"/>
    <w:rsid w:val="7B33611A"/>
    <w:rsid w:val="7B3F4C27"/>
    <w:rsid w:val="7B4E045A"/>
    <w:rsid w:val="7B501208"/>
    <w:rsid w:val="7B541EB0"/>
    <w:rsid w:val="7B543E46"/>
    <w:rsid w:val="7B5B428C"/>
    <w:rsid w:val="7B5B7092"/>
    <w:rsid w:val="7B5D2C25"/>
    <w:rsid w:val="7B5F1840"/>
    <w:rsid w:val="7B647386"/>
    <w:rsid w:val="7B686D42"/>
    <w:rsid w:val="7B6C223F"/>
    <w:rsid w:val="7B6F1AE6"/>
    <w:rsid w:val="7B783605"/>
    <w:rsid w:val="7B787522"/>
    <w:rsid w:val="7B831216"/>
    <w:rsid w:val="7B841746"/>
    <w:rsid w:val="7B947D00"/>
    <w:rsid w:val="7B995022"/>
    <w:rsid w:val="7BA201F1"/>
    <w:rsid w:val="7BB0282A"/>
    <w:rsid w:val="7BB05EC0"/>
    <w:rsid w:val="7BB73BB8"/>
    <w:rsid w:val="7BB76BA4"/>
    <w:rsid w:val="7BC1344C"/>
    <w:rsid w:val="7BC63B97"/>
    <w:rsid w:val="7BCA38DB"/>
    <w:rsid w:val="7BDF073E"/>
    <w:rsid w:val="7BE90F4C"/>
    <w:rsid w:val="7BF52E64"/>
    <w:rsid w:val="7BFD7604"/>
    <w:rsid w:val="7C0618C6"/>
    <w:rsid w:val="7C06244A"/>
    <w:rsid w:val="7C1710D6"/>
    <w:rsid w:val="7C17701F"/>
    <w:rsid w:val="7C2823C0"/>
    <w:rsid w:val="7C2932F4"/>
    <w:rsid w:val="7C2B3F41"/>
    <w:rsid w:val="7C342E0F"/>
    <w:rsid w:val="7C3A20F4"/>
    <w:rsid w:val="7C4116D4"/>
    <w:rsid w:val="7C472F29"/>
    <w:rsid w:val="7C4A671E"/>
    <w:rsid w:val="7C575407"/>
    <w:rsid w:val="7C5C3399"/>
    <w:rsid w:val="7C5C650E"/>
    <w:rsid w:val="7C6C5AC7"/>
    <w:rsid w:val="7C6D5616"/>
    <w:rsid w:val="7C6F6241"/>
    <w:rsid w:val="7C703D67"/>
    <w:rsid w:val="7C710451"/>
    <w:rsid w:val="7C7376BB"/>
    <w:rsid w:val="7C847C2F"/>
    <w:rsid w:val="7C8778F1"/>
    <w:rsid w:val="7CB63E70"/>
    <w:rsid w:val="7CC6544B"/>
    <w:rsid w:val="7CCE1628"/>
    <w:rsid w:val="7CCE22DA"/>
    <w:rsid w:val="7CCF4F32"/>
    <w:rsid w:val="7CD03746"/>
    <w:rsid w:val="7CD7575D"/>
    <w:rsid w:val="7CDB4FA5"/>
    <w:rsid w:val="7CE31C48"/>
    <w:rsid w:val="7D0239FF"/>
    <w:rsid w:val="7D09049C"/>
    <w:rsid w:val="7D0A41BC"/>
    <w:rsid w:val="7D110388"/>
    <w:rsid w:val="7D1E460B"/>
    <w:rsid w:val="7D311279"/>
    <w:rsid w:val="7D472D1A"/>
    <w:rsid w:val="7D4F03FF"/>
    <w:rsid w:val="7D570460"/>
    <w:rsid w:val="7D5E40CD"/>
    <w:rsid w:val="7D5F6590"/>
    <w:rsid w:val="7D6679FD"/>
    <w:rsid w:val="7D680EDC"/>
    <w:rsid w:val="7D7A4E9D"/>
    <w:rsid w:val="7D7D04EA"/>
    <w:rsid w:val="7D864209"/>
    <w:rsid w:val="7D892C15"/>
    <w:rsid w:val="7D8E2067"/>
    <w:rsid w:val="7D8E75C8"/>
    <w:rsid w:val="7D9216E1"/>
    <w:rsid w:val="7DA2685B"/>
    <w:rsid w:val="7DAA0006"/>
    <w:rsid w:val="7DAF2E93"/>
    <w:rsid w:val="7DB35383"/>
    <w:rsid w:val="7DB6294F"/>
    <w:rsid w:val="7DB639FC"/>
    <w:rsid w:val="7DBA3FB9"/>
    <w:rsid w:val="7DBA42AD"/>
    <w:rsid w:val="7DCA2A9D"/>
    <w:rsid w:val="7DCD56F2"/>
    <w:rsid w:val="7DD67775"/>
    <w:rsid w:val="7DDC3D9D"/>
    <w:rsid w:val="7DE62533"/>
    <w:rsid w:val="7DEE721D"/>
    <w:rsid w:val="7E0017B2"/>
    <w:rsid w:val="7E01736D"/>
    <w:rsid w:val="7E042FC7"/>
    <w:rsid w:val="7E070AE2"/>
    <w:rsid w:val="7E075F18"/>
    <w:rsid w:val="7E0A5BBE"/>
    <w:rsid w:val="7E2117BD"/>
    <w:rsid w:val="7E222B15"/>
    <w:rsid w:val="7E232311"/>
    <w:rsid w:val="7E26110D"/>
    <w:rsid w:val="7E2B43EA"/>
    <w:rsid w:val="7E362EEB"/>
    <w:rsid w:val="7E3808B5"/>
    <w:rsid w:val="7E412BF1"/>
    <w:rsid w:val="7E447A27"/>
    <w:rsid w:val="7E495886"/>
    <w:rsid w:val="7E6736F8"/>
    <w:rsid w:val="7E694F12"/>
    <w:rsid w:val="7E6B3330"/>
    <w:rsid w:val="7E6F1B20"/>
    <w:rsid w:val="7E703843"/>
    <w:rsid w:val="7E722059"/>
    <w:rsid w:val="7E7250F4"/>
    <w:rsid w:val="7E7F72F0"/>
    <w:rsid w:val="7E837D82"/>
    <w:rsid w:val="7E844DAA"/>
    <w:rsid w:val="7E886A86"/>
    <w:rsid w:val="7E897536"/>
    <w:rsid w:val="7E8B4E88"/>
    <w:rsid w:val="7E8F4979"/>
    <w:rsid w:val="7E9E465C"/>
    <w:rsid w:val="7EAB1087"/>
    <w:rsid w:val="7EB46269"/>
    <w:rsid w:val="7EBA024F"/>
    <w:rsid w:val="7EBC53E1"/>
    <w:rsid w:val="7EBE3B6A"/>
    <w:rsid w:val="7EC62175"/>
    <w:rsid w:val="7ED80C92"/>
    <w:rsid w:val="7EDC4F12"/>
    <w:rsid w:val="7EE40774"/>
    <w:rsid w:val="7EF17C0A"/>
    <w:rsid w:val="7EF30583"/>
    <w:rsid w:val="7EFB59D6"/>
    <w:rsid w:val="7F001CE7"/>
    <w:rsid w:val="7F0F46E4"/>
    <w:rsid w:val="7F104D28"/>
    <w:rsid w:val="7F173FCD"/>
    <w:rsid w:val="7F1D4888"/>
    <w:rsid w:val="7F2A2A1C"/>
    <w:rsid w:val="7F2D5F40"/>
    <w:rsid w:val="7F3E3526"/>
    <w:rsid w:val="7F4E2109"/>
    <w:rsid w:val="7F4F235A"/>
    <w:rsid w:val="7F507440"/>
    <w:rsid w:val="7F550AD4"/>
    <w:rsid w:val="7F565496"/>
    <w:rsid w:val="7F58584E"/>
    <w:rsid w:val="7F621EF6"/>
    <w:rsid w:val="7F674918"/>
    <w:rsid w:val="7F6F5A45"/>
    <w:rsid w:val="7F7D0C75"/>
    <w:rsid w:val="7F893B84"/>
    <w:rsid w:val="7F8F09A8"/>
    <w:rsid w:val="7F901F5C"/>
    <w:rsid w:val="7F9573F2"/>
    <w:rsid w:val="7FA527EB"/>
    <w:rsid w:val="7FA53D28"/>
    <w:rsid w:val="7FA60390"/>
    <w:rsid w:val="7FD41366"/>
    <w:rsid w:val="7FE47E50"/>
    <w:rsid w:val="7FF01447"/>
    <w:rsid w:val="7FF7235E"/>
    <w:rsid w:val="7FF802FC"/>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99"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qFormat="1"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nhideWhenUsed="0" w:uiPriority="99"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autoRedefine/>
    <w:unhideWhenUsed/>
    <w:qFormat/>
    <w:locked/>
    <w:uiPriority w:val="0"/>
    <w:pPr>
      <w:keepNext/>
      <w:spacing w:line="500" w:lineRule="exact"/>
      <w:jc w:val="center"/>
      <w:outlineLvl w:val="1"/>
    </w:pPr>
    <w:rPr>
      <w:sz w:val="28"/>
    </w:rPr>
  </w:style>
  <w:style w:type="paragraph" w:styleId="6">
    <w:name w:val="heading 3"/>
    <w:basedOn w:val="1"/>
    <w:link w:val="41"/>
    <w:autoRedefine/>
    <w:unhideWhenUsed/>
    <w:qFormat/>
    <w:locked/>
    <w:uiPriority w:val="0"/>
    <w:pPr>
      <w:keepNext/>
      <w:keepLines/>
      <w:spacing w:before="260" w:after="260" w:line="416" w:lineRule="auto"/>
      <w:outlineLvl w:val="2"/>
    </w:pPr>
    <w:rPr>
      <w:b/>
      <w:bCs/>
      <w:sz w:val="32"/>
      <w:szCs w:val="32"/>
    </w:rPr>
  </w:style>
  <w:style w:type="paragraph" w:styleId="7">
    <w:name w:val="heading 4"/>
    <w:basedOn w:val="1"/>
    <w:next w:val="1"/>
    <w:qFormat/>
    <w:locked/>
    <w:uiPriority w:val="0"/>
    <w:pPr>
      <w:keepNext/>
      <w:keepLines/>
      <w:spacing w:before="280" w:after="290" w:line="376" w:lineRule="auto"/>
      <w:outlineLvl w:val="3"/>
    </w:pPr>
    <w:rPr>
      <w:rFonts w:ascii="Cambria" w:hAnsi="Cambria"/>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locked/>
    <w:uiPriority w:val="99"/>
    <w:pPr>
      <w:spacing w:after="120"/>
      <w:ind w:firstLine="420" w:firstLineChars="100"/>
    </w:pPr>
    <w:rPr>
      <w:sz w:val="20"/>
    </w:rPr>
  </w:style>
  <w:style w:type="paragraph" w:styleId="3">
    <w:name w:val="Body Text"/>
    <w:basedOn w:val="1"/>
    <w:next w:val="1"/>
    <w:link w:val="43"/>
    <w:autoRedefine/>
    <w:qFormat/>
    <w:uiPriority w:val="0"/>
    <w:pPr>
      <w:widowControl/>
      <w:snapToGrid w:val="0"/>
      <w:spacing w:before="60" w:after="160" w:line="259" w:lineRule="auto"/>
      <w:ind w:right="113"/>
    </w:pPr>
    <w:rPr>
      <w:kern w:val="0"/>
      <w:sz w:val="18"/>
      <w:szCs w:val="20"/>
    </w:rPr>
  </w:style>
  <w:style w:type="paragraph" w:styleId="8">
    <w:name w:val="toc 7"/>
    <w:basedOn w:val="1"/>
    <w:next w:val="1"/>
    <w:autoRedefine/>
    <w:qFormat/>
    <w:locked/>
    <w:uiPriority w:val="0"/>
    <w:pPr>
      <w:jc w:val="center"/>
    </w:pPr>
    <w:rPr>
      <w:szCs w:val="21"/>
    </w:rPr>
  </w:style>
  <w:style w:type="paragraph" w:styleId="9">
    <w:name w:val="Normal Indent"/>
    <w:basedOn w:val="1"/>
    <w:autoRedefine/>
    <w:qFormat/>
    <w:locked/>
    <w:uiPriority w:val="0"/>
    <w:pPr>
      <w:ind w:firstLine="420" w:firstLineChars="200"/>
    </w:pPr>
  </w:style>
  <w:style w:type="paragraph" w:styleId="10">
    <w:name w:val="annotation text"/>
    <w:basedOn w:val="1"/>
    <w:link w:val="42"/>
    <w:autoRedefine/>
    <w:semiHidden/>
    <w:qFormat/>
    <w:uiPriority w:val="0"/>
    <w:pPr>
      <w:jc w:val="left"/>
    </w:pPr>
    <w:rPr>
      <w:kern w:val="0"/>
      <w:sz w:val="24"/>
      <w:szCs w:val="20"/>
    </w:rPr>
  </w:style>
  <w:style w:type="paragraph" w:styleId="11">
    <w:name w:val="Salutation"/>
    <w:basedOn w:val="1"/>
    <w:next w:val="1"/>
    <w:autoRedefine/>
    <w:qFormat/>
    <w:locked/>
    <w:uiPriority w:val="0"/>
  </w:style>
  <w:style w:type="paragraph" w:styleId="12">
    <w:name w:val="Body Text Indent"/>
    <w:basedOn w:val="1"/>
    <w:link w:val="44"/>
    <w:autoRedefine/>
    <w:qFormat/>
    <w:uiPriority w:val="0"/>
    <w:pPr>
      <w:spacing w:after="120"/>
      <w:ind w:left="420" w:leftChars="200"/>
    </w:pPr>
    <w:rPr>
      <w:kern w:val="0"/>
      <w:sz w:val="24"/>
      <w:szCs w:val="20"/>
    </w:rPr>
  </w:style>
  <w:style w:type="paragraph" w:styleId="13">
    <w:name w:val="Plain Text"/>
    <w:basedOn w:val="1"/>
    <w:next w:val="11"/>
    <w:autoRedefine/>
    <w:qFormat/>
    <w:locked/>
    <w:uiPriority w:val="0"/>
    <w:pPr>
      <w:adjustRightInd w:val="0"/>
      <w:spacing w:before="120" w:line="400" w:lineRule="exact"/>
      <w:textAlignment w:val="baseline"/>
    </w:pPr>
    <w:rPr>
      <w:rFonts w:ascii="宋体" w:hAnsi="Courier New"/>
      <w:spacing w:val="-2"/>
      <w:kern w:val="28"/>
      <w:szCs w:val="20"/>
    </w:rPr>
  </w:style>
  <w:style w:type="paragraph" w:styleId="14">
    <w:name w:val="Date"/>
    <w:basedOn w:val="1"/>
    <w:next w:val="1"/>
    <w:link w:val="45"/>
    <w:autoRedefine/>
    <w:qFormat/>
    <w:uiPriority w:val="0"/>
    <w:pPr>
      <w:ind w:left="100" w:leftChars="2500"/>
    </w:pPr>
    <w:rPr>
      <w:kern w:val="0"/>
      <w:sz w:val="24"/>
      <w:szCs w:val="20"/>
    </w:rPr>
  </w:style>
  <w:style w:type="paragraph" w:styleId="15">
    <w:name w:val="Body Text Indent 2"/>
    <w:basedOn w:val="1"/>
    <w:next w:val="16"/>
    <w:autoRedefine/>
    <w:qFormat/>
    <w:locked/>
    <w:uiPriority w:val="0"/>
    <w:pPr>
      <w:ind w:firstLine="555"/>
    </w:pPr>
    <w:rPr>
      <w:kern w:val="0"/>
    </w:rPr>
  </w:style>
  <w:style w:type="paragraph" w:styleId="16">
    <w:name w:val="Body Text First Indent 2"/>
    <w:basedOn w:val="12"/>
    <w:autoRedefine/>
    <w:qFormat/>
    <w:locked/>
    <w:uiPriority w:val="0"/>
    <w:pPr>
      <w:spacing w:line="312" w:lineRule="auto"/>
      <w:ind w:firstLine="420" w:firstLineChars="200"/>
    </w:pPr>
  </w:style>
  <w:style w:type="paragraph" w:styleId="17">
    <w:name w:val="Balloon Text"/>
    <w:basedOn w:val="1"/>
    <w:link w:val="46"/>
    <w:autoRedefine/>
    <w:semiHidden/>
    <w:qFormat/>
    <w:uiPriority w:val="0"/>
    <w:rPr>
      <w:kern w:val="0"/>
      <w:sz w:val="18"/>
      <w:szCs w:val="20"/>
    </w:rPr>
  </w:style>
  <w:style w:type="paragraph" w:styleId="18">
    <w:name w:val="footer"/>
    <w:basedOn w:val="1"/>
    <w:link w:val="47"/>
    <w:autoRedefine/>
    <w:qFormat/>
    <w:uiPriority w:val="99"/>
    <w:pPr>
      <w:tabs>
        <w:tab w:val="center" w:pos="4153"/>
        <w:tab w:val="right" w:pos="8306"/>
      </w:tabs>
      <w:snapToGrid w:val="0"/>
      <w:jc w:val="left"/>
    </w:pPr>
    <w:rPr>
      <w:kern w:val="0"/>
      <w:sz w:val="18"/>
      <w:szCs w:val="20"/>
    </w:rPr>
  </w:style>
  <w:style w:type="paragraph" w:styleId="19">
    <w:name w:val="header"/>
    <w:basedOn w:val="1"/>
    <w:next w:val="20"/>
    <w:link w:val="48"/>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0">
    <w:name w:val="1正文"/>
    <w:basedOn w:val="1"/>
    <w:autoRedefine/>
    <w:qFormat/>
    <w:uiPriority w:val="99"/>
    <w:pPr>
      <w:spacing w:line="360" w:lineRule="auto"/>
      <w:ind w:firstLine="480" w:firstLineChars="200"/>
      <w:jc w:val="left"/>
    </w:pPr>
    <w:rPr>
      <w:kern w:val="0"/>
      <w:sz w:val="24"/>
      <w:szCs w:val="20"/>
    </w:rPr>
  </w:style>
  <w:style w:type="paragraph" w:styleId="21">
    <w:name w:val="toc 1"/>
    <w:basedOn w:val="1"/>
    <w:next w:val="1"/>
    <w:autoRedefine/>
    <w:qFormat/>
    <w:locked/>
    <w:uiPriority w:val="0"/>
  </w:style>
  <w:style w:type="paragraph" w:styleId="22">
    <w:name w:val="index heading"/>
    <w:basedOn w:val="1"/>
    <w:next w:val="23"/>
    <w:autoRedefine/>
    <w:qFormat/>
    <w:locked/>
    <w:uiPriority w:val="0"/>
    <w:rPr>
      <w:rFonts w:ascii="Arial" w:hAnsi="Arial" w:cs="Arial"/>
      <w:b/>
      <w:bCs/>
    </w:rPr>
  </w:style>
  <w:style w:type="paragraph" w:styleId="23">
    <w:name w:val="index 1"/>
    <w:basedOn w:val="1"/>
    <w:next w:val="1"/>
    <w:autoRedefine/>
    <w:qFormat/>
    <w:locked/>
    <w:uiPriority w:val="99"/>
  </w:style>
  <w:style w:type="paragraph" w:styleId="24">
    <w:name w:val="List"/>
    <w:basedOn w:val="1"/>
    <w:autoRedefine/>
    <w:qFormat/>
    <w:locked/>
    <w:uiPriority w:val="0"/>
    <w:pPr>
      <w:ind w:left="200" w:hanging="200" w:hangingChars="200"/>
    </w:pPr>
  </w:style>
  <w:style w:type="paragraph" w:styleId="25">
    <w:name w:val="toc 2"/>
    <w:basedOn w:val="1"/>
    <w:next w:val="1"/>
    <w:autoRedefine/>
    <w:qFormat/>
    <w:locked/>
    <w:uiPriority w:val="0"/>
    <w:pPr>
      <w:ind w:left="420" w:leftChars="200"/>
    </w:pPr>
  </w:style>
  <w:style w:type="paragraph" w:styleId="26">
    <w:name w:val="Body Text 2"/>
    <w:basedOn w:val="1"/>
    <w:autoRedefine/>
    <w:qFormat/>
    <w:locked/>
    <w:uiPriority w:val="0"/>
    <w:pPr>
      <w:spacing w:before="312" w:line="560" w:lineRule="exact"/>
    </w:pPr>
    <w:rPr>
      <w:rFonts w:eastAsia="黑体"/>
      <w:sz w:val="28"/>
      <w:szCs w:val="20"/>
    </w:rPr>
  </w:style>
  <w:style w:type="paragraph" w:styleId="27">
    <w:name w:val="Normal (Web)"/>
    <w:basedOn w:val="1"/>
    <w:link w:val="49"/>
    <w:autoRedefine/>
    <w:qFormat/>
    <w:uiPriority w:val="0"/>
    <w:pPr>
      <w:widowControl/>
      <w:spacing w:before="100" w:beforeAutospacing="1" w:after="100" w:afterAutospacing="1"/>
      <w:jc w:val="left"/>
    </w:pPr>
    <w:rPr>
      <w:rFonts w:ascii="宋体" w:hAnsi="宋体"/>
      <w:kern w:val="0"/>
      <w:sz w:val="24"/>
      <w:szCs w:val="20"/>
    </w:rPr>
  </w:style>
  <w:style w:type="paragraph" w:styleId="28">
    <w:name w:val="annotation subject"/>
    <w:basedOn w:val="10"/>
    <w:next w:val="10"/>
    <w:link w:val="50"/>
    <w:autoRedefine/>
    <w:semiHidden/>
    <w:qFormat/>
    <w:uiPriority w:val="0"/>
    <w:rPr>
      <w:b/>
    </w:rPr>
  </w:style>
  <w:style w:type="table" w:styleId="30">
    <w:name w:val="Table Grid"/>
    <w:basedOn w:val="2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autoRedefine/>
    <w:qFormat/>
    <w:locked/>
    <w:uiPriority w:val="0"/>
    <w:rPr>
      <w:b/>
    </w:rPr>
  </w:style>
  <w:style w:type="character" w:styleId="33">
    <w:name w:val="page number"/>
    <w:autoRedefine/>
    <w:qFormat/>
    <w:locked/>
    <w:uiPriority w:val="0"/>
  </w:style>
  <w:style w:type="character" w:styleId="34">
    <w:name w:val="Hyperlink"/>
    <w:basedOn w:val="31"/>
    <w:qFormat/>
    <w:locked/>
    <w:uiPriority w:val="0"/>
    <w:rPr>
      <w:color w:val="0000FF"/>
      <w:u w:val="single"/>
    </w:rPr>
  </w:style>
  <w:style w:type="character" w:styleId="35">
    <w:name w:val="annotation reference"/>
    <w:autoRedefine/>
    <w:semiHidden/>
    <w:qFormat/>
    <w:uiPriority w:val="0"/>
    <w:rPr>
      <w:sz w:val="21"/>
    </w:rPr>
  </w:style>
  <w:style w:type="paragraph" w:customStyle="1" w:styleId="36">
    <w:name w:val="Default"/>
    <w:basedOn w:val="37"/>
    <w:autoRedefine/>
    <w:qFormat/>
    <w:uiPriority w:val="0"/>
    <w:pPr>
      <w:autoSpaceDE w:val="0"/>
      <w:autoSpaceDN w:val="0"/>
      <w:adjustRightInd w:val="0"/>
    </w:pPr>
    <w:rPr>
      <w:rFonts w:ascii="宋体"/>
      <w:color w:val="000000"/>
      <w:sz w:val="24"/>
    </w:rPr>
  </w:style>
  <w:style w:type="paragraph" w:customStyle="1" w:styleId="37">
    <w:name w:val="标题2"/>
    <w:basedOn w:val="5"/>
    <w:autoRedefine/>
    <w:qFormat/>
    <w:uiPriority w:val="0"/>
    <w:pPr>
      <w:numPr>
        <w:ilvl w:val="1"/>
        <w:numId w:val="1"/>
      </w:numPr>
      <w:spacing w:line="440" w:lineRule="exact"/>
    </w:pPr>
    <w:rPr>
      <w:kern w:val="0"/>
    </w:rPr>
  </w:style>
  <w:style w:type="paragraph" w:customStyle="1" w:styleId="38">
    <w:name w:val="1正文段落"/>
    <w:basedOn w:val="1"/>
    <w:autoRedefine/>
    <w:qFormat/>
    <w:uiPriority w:val="0"/>
    <w:pPr>
      <w:widowControl/>
      <w:spacing w:line="360" w:lineRule="auto"/>
      <w:ind w:firstLine="480" w:firstLineChars="200"/>
      <w:jc w:val="left"/>
    </w:pPr>
    <w:rPr>
      <w:rFonts w:ascii="宋体" w:hAnsi="宋体"/>
      <w:snapToGrid w:val="0"/>
      <w:kern w:val="0"/>
      <w:sz w:val="24"/>
    </w:rPr>
  </w:style>
  <w:style w:type="paragraph" w:customStyle="1" w:styleId="39">
    <w:name w:val="BodyTextIndent2"/>
    <w:basedOn w:val="1"/>
    <w:autoRedefine/>
    <w:qFormat/>
    <w:uiPriority w:val="0"/>
    <w:pPr>
      <w:spacing w:after="120" w:line="480" w:lineRule="auto"/>
      <w:ind w:left="420" w:leftChars="200"/>
      <w:textAlignment w:val="baseline"/>
    </w:pPr>
  </w:style>
  <w:style w:type="paragraph" w:customStyle="1" w:styleId="40">
    <w:name w:val="样式1"/>
    <w:basedOn w:val="22"/>
    <w:next w:val="1"/>
    <w:autoRedefine/>
    <w:qFormat/>
    <w:uiPriority w:val="0"/>
    <w:pPr>
      <w:jc w:val="center"/>
    </w:pPr>
    <w:rPr>
      <w:color w:val="000000"/>
      <w:szCs w:val="21"/>
    </w:rPr>
  </w:style>
  <w:style w:type="character" w:customStyle="1" w:styleId="41">
    <w:name w:val="标题 3 字符"/>
    <w:link w:val="6"/>
    <w:autoRedefine/>
    <w:semiHidden/>
    <w:qFormat/>
    <w:uiPriority w:val="0"/>
    <w:rPr>
      <w:b/>
      <w:bCs/>
      <w:kern w:val="2"/>
      <w:sz w:val="32"/>
      <w:szCs w:val="32"/>
    </w:rPr>
  </w:style>
  <w:style w:type="character" w:customStyle="1" w:styleId="42">
    <w:name w:val="批注文字 字符"/>
    <w:link w:val="10"/>
    <w:autoRedefine/>
    <w:qFormat/>
    <w:locked/>
    <w:uiPriority w:val="0"/>
    <w:rPr>
      <w:rFonts w:ascii="Times New Roman" w:hAnsi="Times New Roman" w:eastAsia="宋体"/>
      <w:sz w:val="24"/>
    </w:rPr>
  </w:style>
  <w:style w:type="character" w:customStyle="1" w:styleId="43">
    <w:name w:val="正文文本 字符2"/>
    <w:link w:val="3"/>
    <w:autoRedefine/>
    <w:qFormat/>
    <w:locked/>
    <w:uiPriority w:val="0"/>
    <w:rPr>
      <w:sz w:val="18"/>
    </w:rPr>
  </w:style>
  <w:style w:type="character" w:customStyle="1" w:styleId="44">
    <w:name w:val="正文文本缩进 字符"/>
    <w:link w:val="12"/>
    <w:autoRedefine/>
    <w:semiHidden/>
    <w:qFormat/>
    <w:locked/>
    <w:uiPriority w:val="0"/>
    <w:rPr>
      <w:rFonts w:ascii="Times New Roman" w:hAnsi="Times New Roman" w:eastAsia="宋体"/>
      <w:sz w:val="24"/>
    </w:rPr>
  </w:style>
  <w:style w:type="character" w:customStyle="1" w:styleId="45">
    <w:name w:val="日期 字符1"/>
    <w:link w:val="14"/>
    <w:autoRedefine/>
    <w:qFormat/>
    <w:locked/>
    <w:uiPriority w:val="0"/>
    <w:rPr>
      <w:rFonts w:ascii="Times New Roman" w:hAnsi="Times New Roman" w:eastAsia="宋体"/>
      <w:sz w:val="24"/>
    </w:rPr>
  </w:style>
  <w:style w:type="character" w:customStyle="1" w:styleId="46">
    <w:name w:val="批注框文本 字符"/>
    <w:link w:val="17"/>
    <w:autoRedefine/>
    <w:semiHidden/>
    <w:qFormat/>
    <w:locked/>
    <w:uiPriority w:val="0"/>
    <w:rPr>
      <w:rFonts w:ascii="Times New Roman" w:hAnsi="Times New Roman" w:eastAsia="宋体"/>
      <w:sz w:val="18"/>
    </w:rPr>
  </w:style>
  <w:style w:type="character" w:customStyle="1" w:styleId="47">
    <w:name w:val="页脚 字符1"/>
    <w:link w:val="18"/>
    <w:autoRedefine/>
    <w:qFormat/>
    <w:locked/>
    <w:uiPriority w:val="99"/>
    <w:rPr>
      <w:sz w:val="18"/>
    </w:rPr>
  </w:style>
  <w:style w:type="character" w:customStyle="1" w:styleId="48">
    <w:name w:val="页眉 字符"/>
    <w:link w:val="19"/>
    <w:autoRedefine/>
    <w:qFormat/>
    <w:locked/>
    <w:uiPriority w:val="0"/>
    <w:rPr>
      <w:rFonts w:ascii="Times New Roman" w:hAnsi="Times New Roman" w:eastAsia="宋体"/>
      <w:sz w:val="18"/>
    </w:rPr>
  </w:style>
  <w:style w:type="character" w:customStyle="1" w:styleId="49">
    <w:name w:val="普通(网站) 字符"/>
    <w:link w:val="27"/>
    <w:autoRedefine/>
    <w:qFormat/>
    <w:locked/>
    <w:uiPriority w:val="0"/>
    <w:rPr>
      <w:rFonts w:ascii="宋体" w:hAnsi="宋体" w:eastAsia="宋体"/>
      <w:sz w:val="24"/>
    </w:rPr>
  </w:style>
  <w:style w:type="character" w:customStyle="1" w:styleId="50">
    <w:name w:val="批注主题 字符"/>
    <w:link w:val="28"/>
    <w:autoRedefine/>
    <w:semiHidden/>
    <w:qFormat/>
    <w:locked/>
    <w:uiPriority w:val="0"/>
    <w:rPr>
      <w:rFonts w:ascii="Times New Roman" w:hAnsi="Times New Roman" w:eastAsia="宋体"/>
      <w:b/>
      <w:kern w:val="2"/>
      <w:sz w:val="24"/>
    </w:rPr>
  </w:style>
  <w:style w:type="character" w:customStyle="1" w:styleId="51">
    <w:name w:val="表格 Char"/>
    <w:link w:val="52"/>
    <w:autoRedefine/>
    <w:qFormat/>
    <w:locked/>
    <w:uiPriority w:val="0"/>
    <w:rPr>
      <w:rFonts w:ascii="宋体"/>
      <w:sz w:val="21"/>
    </w:rPr>
  </w:style>
  <w:style w:type="paragraph" w:customStyle="1" w:styleId="52">
    <w:name w:val="表格"/>
    <w:basedOn w:val="1"/>
    <w:next w:val="1"/>
    <w:link w:val="51"/>
    <w:autoRedefine/>
    <w:qFormat/>
    <w:uiPriority w:val="0"/>
    <w:pPr>
      <w:adjustRightInd w:val="0"/>
      <w:snapToGrid w:val="0"/>
      <w:spacing w:beforeLines="10" w:afterLines="10" w:line="259" w:lineRule="auto"/>
      <w:jc w:val="center"/>
    </w:pPr>
    <w:rPr>
      <w:rFonts w:ascii="宋体"/>
      <w:kern w:val="0"/>
      <w:szCs w:val="20"/>
    </w:rPr>
  </w:style>
  <w:style w:type="character" w:customStyle="1" w:styleId="53">
    <w:name w:val="font51"/>
    <w:autoRedefine/>
    <w:qFormat/>
    <w:uiPriority w:val="0"/>
    <w:rPr>
      <w:rFonts w:hint="eastAsia" w:ascii="宋体" w:hAnsi="宋体" w:eastAsia="宋体" w:cs="宋体"/>
      <w:color w:val="000000"/>
      <w:sz w:val="22"/>
      <w:szCs w:val="22"/>
      <w:u w:val="none"/>
    </w:rPr>
  </w:style>
  <w:style w:type="character" w:customStyle="1" w:styleId="54">
    <w:name w:val="正文文本 字符1"/>
    <w:autoRedefine/>
    <w:semiHidden/>
    <w:qFormat/>
    <w:uiPriority w:val="0"/>
    <w:rPr>
      <w:rFonts w:ascii="Times New Roman" w:hAnsi="Times New Roman" w:eastAsia="宋体"/>
      <w:sz w:val="24"/>
    </w:rPr>
  </w:style>
  <w:style w:type="character" w:customStyle="1" w:styleId="55">
    <w:name w:val="页脚 字符"/>
    <w:autoRedefine/>
    <w:qFormat/>
    <w:uiPriority w:val="99"/>
  </w:style>
  <w:style w:type="character" w:customStyle="1" w:styleId="56">
    <w:name w:val="批注文字 字符1"/>
    <w:autoRedefine/>
    <w:semiHidden/>
    <w:qFormat/>
    <w:uiPriority w:val="0"/>
    <w:rPr>
      <w:rFonts w:ascii="Times New Roman" w:hAnsi="Times New Roman" w:eastAsia="宋体"/>
      <w:sz w:val="24"/>
    </w:rPr>
  </w:style>
  <w:style w:type="character" w:customStyle="1" w:styleId="57">
    <w:name w:val="日期 字符"/>
    <w:autoRedefine/>
    <w:semiHidden/>
    <w:qFormat/>
    <w:uiPriority w:val="0"/>
    <w:rPr>
      <w:rFonts w:ascii="Times New Roman" w:hAnsi="Times New Roman" w:eastAsia="宋体"/>
      <w:sz w:val="24"/>
    </w:rPr>
  </w:style>
  <w:style w:type="character" w:customStyle="1" w:styleId="58">
    <w:name w:val="font01"/>
    <w:basedOn w:val="31"/>
    <w:autoRedefine/>
    <w:qFormat/>
    <w:uiPriority w:val="0"/>
    <w:rPr>
      <w:rFonts w:hint="eastAsia" w:ascii="宋体" w:hAnsi="宋体" w:eastAsia="宋体" w:cs="宋体"/>
      <w:color w:val="000000"/>
      <w:sz w:val="24"/>
      <w:szCs w:val="24"/>
      <w:u w:val="none"/>
    </w:rPr>
  </w:style>
  <w:style w:type="character" w:customStyle="1" w:styleId="59">
    <w:name w:val="正文文本 字符"/>
    <w:autoRedefine/>
    <w:qFormat/>
    <w:locked/>
    <w:uiPriority w:val="0"/>
    <w:rPr>
      <w:sz w:val="18"/>
    </w:rPr>
  </w:style>
  <w:style w:type="paragraph" w:customStyle="1" w:styleId="60">
    <w:name w:val="报告表正文"/>
    <w:basedOn w:val="61"/>
    <w:autoRedefine/>
    <w:qFormat/>
    <w:uiPriority w:val="0"/>
    <w:pPr>
      <w:ind w:firstLine="200" w:firstLineChars="200"/>
      <w:jc w:val="left"/>
    </w:pPr>
    <w:rPr>
      <w:rFonts w:ascii="Times New Roman" w:hAnsi="Times New Roman"/>
      <w:szCs w:val="24"/>
    </w:rPr>
  </w:style>
  <w:style w:type="paragraph" w:customStyle="1" w:styleId="61">
    <w:name w:val="列表1"/>
    <w:basedOn w:val="1"/>
    <w:autoRedefine/>
    <w:qFormat/>
    <w:uiPriority w:val="0"/>
    <w:pPr>
      <w:spacing w:line="400" w:lineRule="exact"/>
      <w:jc w:val="center"/>
    </w:pPr>
    <w:rPr>
      <w:rFonts w:ascii="宋体" w:hAnsi="宋体" w:eastAsia="仿宋_GB2312"/>
      <w:sz w:val="24"/>
      <w:szCs w:val="20"/>
    </w:rPr>
  </w:style>
  <w:style w:type="paragraph" w:customStyle="1" w:styleId="62">
    <w:name w:val="表格标题"/>
    <w:basedOn w:val="61"/>
    <w:autoRedefine/>
    <w:qFormat/>
    <w:uiPriority w:val="0"/>
    <w:pPr>
      <w:spacing w:before="20" w:beforeLines="20" w:after="20" w:afterLines="20" w:line="240" w:lineRule="auto"/>
    </w:pPr>
    <w:rPr>
      <w:rFonts w:ascii="Times New Roman" w:hAnsi="Times New Roman"/>
      <w:b/>
      <w:szCs w:val="24"/>
    </w:rPr>
  </w:style>
  <w:style w:type="paragraph" w:customStyle="1" w:styleId="63">
    <w:name w:val="WPSOffice手动目录 1"/>
    <w:autoRedefine/>
    <w:qFormat/>
    <w:uiPriority w:val="0"/>
    <w:rPr>
      <w:rFonts w:ascii="Times New Roman" w:hAnsi="Times New Roman" w:eastAsia="宋体" w:cs="Times New Roman"/>
      <w:lang w:val="en-US" w:eastAsia="zh-CN" w:bidi="ar-SA"/>
    </w:rPr>
  </w:style>
  <w:style w:type="paragraph" w:customStyle="1" w:styleId="64">
    <w:name w:val="表格 标注"/>
    <w:basedOn w:val="1"/>
    <w:autoRedefine/>
    <w:qFormat/>
    <w:uiPriority w:val="0"/>
    <w:pPr>
      <w:jc w:val="left"/>
    </w:pPr>
    <w:rPr>
      <w:rFonts w:eastAsia="仿宋_GB2312"/>
      <w:sz w:val="18"/>
      <w:szCs w:val="18"/>
    </w:rPr>
  </w:style>
  <w:style w:type="paragraph" w:customStyle="1" w:styleId="65">
    <w:name w:val="表格普通"/>
    <w:basedOn w:val="1"/>
    <w:autoRedefine/>
    <w:qFormat/>
    <w:uiPriority w:val="0"/>
    <w:pPr>
      <w:jc w:val="center"/>
    </w:pPr>
    <w:rPr>
      <w:rFonts w:eastAsia="仿宋_GB2312"/>
      <w:szCs w:val="21"/>
    </w:rPr>
  </w:style>
  <w:style w:type="paragraph" w:customStyle="1" w:styleId="66">
    <w:name w:val="表格中文字"/>
    <w:basedOn w:val="1"/>
    <w:autoRedefine/>
    <w:qFormat/>
    <w:uiPriority w:val="0"/>
    <w:pPr>
      <w:jc w:val="center"/>
    </w:pPr>
    <w:rPr>
      <w:kern w:val="18"/>
      <w:sz w:val="20"/>
      <w:szCs w:val="21"/>
    </w:rPr>
  </w:style>
  <w:style w:type="paragraph" w:customStyle="1" w:styleId="67">
    <w:name w:val="表格首行"/>
    <w:basedOn w:val="1"/>
    <w:autoRedefine/>
    <w:qFormat/>
    <w:uiPriority w:val="0"/>
    <w:pPr>
      <w:jc w:val="center"/>
    </w:pPr>
    <w:rPr>
      <w:rFonts w:eastAsia="仿宋_GB2312"/>
      <w:b/>
      <w:szCs w:val="21"/>
    </w:rPr>
  </w:style>
  <w:style w:type="paragraph" w:customStyle="1" w:styleId="68">
    <w:name w:val="表格文字"/>
    <w:basedOn w:val="1"/>
    <w:autoRedefine/>
    <w:qFormat/>
    <w:uiPriority w:val="0"/>
    <w:pPr>
      <w:adjustRightInd w:val="0"/>
      <w:snapToGrid w:val="0"/>
      <w:jc w:val="center"/>
    </w:pPr>
    <w:rPr>
      <w:rFonts w:ascii="仿宋_GB2312" w:hAnsi="Arial Black" w:eastAsia="仿宋_GB2312"/>
      <w:kern w:val="44"/>
      <w:sz w:val="24"/>
      <w:szCs w:val="20"/>
    </w:rPr>
  </w:style>
  <w:style w:type="paragraph" w:customStyle="1" w:styleId="69">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70">
    <w:name w:val="p0"/>
    <w:basedOn w:val="1"/>
    <w:autoRedefine/>
    <w:qFormat/>
    <w:uiPriority w:val="0"/>
    <w:pPr>
      <w:widowControl/>
    </w:pPr>
    <w:rPr>
      <w:kern w:val="0"/>
      <w:szCs w:val="21"/>
    </w:rPr>
  </w:style>
  <w:style w:type="paragraph" w:customStyle="1" w:styleId="71">
    <w:name w:val="Table Paragraph"/>
    <w:basedOn w:val="1"/>
    <w:autoRedefine/>
    <w:qFormat/>
    <w:uiPriority w:val="1"/>
    <w:pPr>
      <w:jc w:val="left"/>
    </w:pPr>
  </w:style>
  <w:style w:type="paragraph" w:customStyle="1" w:styleId="72">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图 标题"/>
    <w:basedOn w:val="1"/>
    <w:autoRedefine/>
    <w:qFormat/>
    <w:uiPriority w:val="0"/>
    <w:pPr>
      <w:jc w:val="center"/>
    </w:pPr>
    <w:rPr>
      <w:rFonts w:hAnsi="宋体"/>
      <w:b/>
      <w:kern w:val="0"/>
      <w:sz w:val="24"/>
      <w:szCs w:val="20"/>
    </w:rPr>
  </w:style>
  <w:style w:type="paragraph" w:customStyle="1" w:styleId="74">
    <w:name w:val="表"/>
    <w:basedOn w:val="24"/>
    <w:autoRedefine/>
    <w:qFormat/>
    <w:uiPriority w:val="0"/>
    <w:pPr>
      <w:keepNext/>
      <w:keepLines/>
      <w:spacing w:before="60" w:after="60" w:line="240" w:lineRule="exact"/>
      <w:ind w:left="0" w:firstLine="0" w:firstLineChars="0"/>
      <w:jc w:val="center"/>
    </w:pPr>
    <w:rPr>
      <w:szCs w:val="21"/>
    </w:rPr>
  </w:style>
  <w:style w:type="paragraph" w:customStyle="1" w:styleId="75">
    <w:name w:val="表格 首行文字"/>
    <w:autoRedefine/>
    <w:qFormat/>
    <w:uiPriority w:val="0"/>
    <w:pPr>
      <w:adjustRightInd w:val="0"/>
      <w:snapToGrid w:val="0"/>
      <w:jc w:val="center"/>
    </w:pPr>
    <w:rPr>
      <w:rFonts w:ascii="Times New Roman" w:hAnsi="Times New Roman" w:eastAsia="仿宋_GB2312" w:cs="Times New Roman"/>
      <w:b/>
      <w:kern w:val="2"/>
      <w:sz w:val="21"/>
      <w:szCs w:val="22"/>
      <w:lang w:val="en-US" w:eastAsia="zh-CN" w:bidi="ar-SA"/>
    </w:rPr>
  </w:style>
  <w:style w:type="paragraph" w:customStyle="1" w:styleId="76">
    <w:name w:val="小四表文左齐"/>
    <w:basedOn w:val="1"/>
    <w:autoRedefine/>
    <w:qFormat/>
    <w:uiPriority w:val="0"/>
    <w:pPr>
      <w:adjustRightInd w:val="0"/>
      <w:snapToGrid w:val="0"/>
      <w:jc w:val="center"/>
    </w:pPr>
    <w:rPr>
      <w:rFonts w:ascii="仿宋_GB2312" w:eastAsia="仿宋_GB2312"/>
      <w:szCs w:val="21"/>
    </w:rPr>
  </w:style>
  <w:style w:type="paragraph" w:customStyle="1" w:styleId="77">
    <w:name w:val="图表 标题"/>
    <w:autoRedefine/>
    <w:qFormat/>
    <w:uiPriority w:val="0"/>
    <w:pPr>
      <w:widowControl w:val="0"/>
      <w:spacing w:beforeLines="20" w:afterLines="20"/>
      <w:jc w:val="center"/>
    </w:pPr>
    <w:rPr>
      <w:rFonts w:ascii="Times New Roman" w:hAnsi="Times New Roman" w:eastAsia="仿宋_GB2312" w:cs="Times New Roman"/>
      <w:b/>
      <w:kern w:val="2"/>
      <w:sz w:val="24"/>
      <w:szCs w:val="24"/>
      <w:lang w:val="en-US" w:eastAsia="zh-CN" w:bidi="ar-SA"/>
    </w:rPr>
  </w:style>
  <w:style w:type="paragraph" w:customStyle="1" w:styleId="78">
    <w:name w:val="表中文字1"/>
    <w:autoRedefine/>
    <w:qFormat/>
    <w:uiPriority w:val="0"/>
    <w:pPr>
      <w:widowControl w:val="0"/>
      <w:jc w:val="center"/>
    </w:pPr>
    <w:rPr>
      <w:rFonts w:ascii="宋体" w:hAnsi="宋体" w:eastAsia="宋体" w:cs="Times New Roman"/>
      <w:bCs/>
      <w:kern w:val="2"/>
      <w:sz w:val="21"/>
      <w:lang w:val="en-US" w:eastAsia="zh-CN" w:bidi="ar-SA"/>
    </w:rPr>
  </w:style>
  <w:style w:type="paragraph" w:customStyle="1" w:styleId="79">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0">
    <w:name w:val="Char Char Char Char Char Char"/>
    <w:basedOn w:val="1"/>
    <w:autoRedefine/>
    <w:qFormat/>
    <w:uiPriority w:val="0"/>
    <w:rPr>
      <w:sz w:val="24"/>
    </w:rPr>
  </w:style>
  <w:style w:type="table" w:customStyle="1" w:styleId="81">
    <w:name w:val="Table Normal"/>
    <w:autoRedefine/>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82">
    <w:name w:val="Date1"/>
    <w:basedOn w:val="1"/>
    <w:next w:val="1"/>
    <w:autoRedefine/>
    <w:qFormat/>
    <w:uiPriority w:val="0"/>
    <w:pPr>
      <w:adjustRightInd w:val="0"/>
      <w:textAlignment w:val="baseline"/>
    </w:pPr>
    <w:rPr>
      <w:szCs w:val="20"/>
    </w:rPr>
  </w:style>
  <w:style w:type="paragraph" w:customStyle="1" w:styleId="83">
    <w:name w:val="表格内容"/>
    <w:basedOn w:val="1"/>
    <w:autoRedefine/>
    <w:qFormat/>
    <w:uiPriority w:val="0"/>
    <w:pPr>
      <w:widowControl/>
      <w:jc w:val="left"/>
    </w:pPr>
    <w:rPr>
      <w:rFonts w:cs="宋体"/>
      <w:bCs/>
      <w:kern w:val="0"/>
      <w:sz w:val="18"/>
      <w:szCs w:val="18"/>
    </w:rPr>
  </w:style>
  <w:style w:type="paragraph" w:customStyle="1" w:styleId="84">
    <w:name w:val="A表格"/>
    <w:basedOn w:val="1"/>
    <w:autoRedefine/>
    <w:qFormat/>
    <w:uiPriority w:val="0"/>
    <w:pPr>
      <w:jc w:val="center"/>
    </w:pPr>
    <w:rPr>
      <w:szCs w:val="21"/>
    </w:rPr>
  </w:style>
  <w:style w:type="paragraph" w:customStyle="1" w:styleId="85">
    <w:name w:val="报告表  段"/>
    <w:basedOn w:val="1"/>
    <w:autoRedefine/>
    <w:qFormat/>
    <w:uiPriority w:val="0"/>
    <w:pPr>
      <w:adjustRightInd w:val="0"/>
      <w:spacing w:line="360" w:lineRule="auto"/>
      <w:ind w:firstLine="505"/>
      <w:textAlignment w:val="baseline"/>
    </w:pPr>
    <w:rPr>
      <w:rFonts w:ascii="Calibri" w:hAnsi="黑体"/>
      <w:kern w:val="0"/>
      <w:sz w:val="24"/>
      <w:szCs w:val="22"/>
    </w:rPr>
  </w:style>
  <w:style w:type="paragraph" w:customStyle="1" w:styleId="86">
    <w:name w:val="表内容"/>
    <w:basedOn w:val="1"/>
    <w:next w:val="1"/>
    <w:autoRedefine/>
    <w:qFormat/>
    <w:uiPriority w:val="0"/>
    <w:pPr>
      <w:jc w:val="center"/>
    </w:pPr>
    <w:rPr>
      <w:szCs w:val="21"/>
    </w:rPr>
  </w:style>
  <w:style w:type="paragraph" w:customStyle="1" w:styleId="87">
    <w:name w:val="表格内部"/>
    <w:basedOn w:val="1"/>
    <w:autoRedefine/>
    <w:qFormat/>
    <w:uiPriority w:val="0"/>
    <w:pPr>
      <w:jc w:val="center"/>
    </w:pPr>
    <w:rPr>
      <w:kern w:val="0"/>
      <w:szCs w:val="21"/>
    </w:rPr>
  </w:style>
  <w:style w:type="paragraph" w:customStyle="1" w:styleId="88">
    <w:name w:val="样式 样式 标题 1 + 段后: 0.5 行 + 段后: 0.5 行"/>
    <w:basedOn w:val="1"/>
    <w:autoRedefine/>
    <w:qFormat/>
    <w:uiPriority w:val="0"/>
    <w:pPr>
      <w:widowControl/>
      <w:numPr>
        <w:ilvl w:val="0"/>
        <w:numId w:val="2"/>
      </w:numPr>
      <w:spacing w:line="360" w:lineRule="auto"/>
    </w:pPr>
    <w:rPr>
      <w:kern w:val="0"/>
      <w:sz w:val="24"/>
      <w:szCs w:val="20"/>
    </w:rPr>
  </w:style>
  <w:style w:type="paragraph" w:customStyle="1" w:styleId="89">
    <w:name w:val="_Style 1036"/>
    <w:basedOn w:val="1"/>
    <w:next w:val="90"/>
    <w:autoRedefine/>
    <w:qFormat/>
    <w:uiPriority w:val="34"/>
    <w:pPr>
      <w:widowControl/>
      <w:ind w:firstLine="420" w:firstLineChars="200"/>
      <w:jc w:val="left"/>
    </w:pPr>
    <w:rPr>
      <w:spacing w:val="-2"/>
      <w:kern w:val="0"/>
      <w:sz w:val="28"/>
      <w:szCs w:val="20"/>
    </w:rPr>
  </w:style>
  <w:style w:type="paragraph" w:styleId="90">
    <w:name w:val="List Paragraph"/>
    <w:basedOn w:val="1"/>
    <w:qFormat/>
    <w:uiPriority w:val="1"/>
    <w:pPr>
      <w:widowControl/>
      <w:ind w:firstLine="420"/>
      <w:jc w:val="left"/>
    </w:pPr>
    <w:rPr>
      <w:kern w:val="0"/>
      <w:sz w:val="20"/>
      <w:szCs w:val="20"/>
    </w:rPr>
  </w:style>
  <w:style w:type="paragraph" w:customStyle="1" w:styleId="91">
    <w:name w:val="列出段落1"/>
    <w:basedOn w:val="1"/>
    <w:autoRedefine/>
    <w:qFormat/>
    <w:uiPriority w:val="34"/>
    <w:pPr>
      <w:widowControl/>
      <w:ind w:firstLine="420" w:firstLineChars="200"/>
      <w:jc w:val="left"/>
    </w:pPr>
    <w:rPr>
      <w:kern w:val="0"/>
      <w:sz w:val="20"/>
      <w:szCs w:val="20"/>
    </w:rPr>
  </w:style>
  <w:style w:type="paragraph" w:customStyle="1" w:styleId="92">
    <w:name w:val="！正文"/>
    <w:basedOn w:val="1"/>
    <w:autoRedefine/>
    <w:qFormat/>
    <w:uiPriority w:val="0"/>
    <w:pPr>
      <w:spacing w:line="360" w:lineRule="auto"/>
      <w:ind w:firstLine="480" w:firstLineChars="200"/>
    </w:pPr>
    <w:rPr>
      <w:rFonts w:hint="eastAsia" w:ascii="宋体" w:cs="宋体"/>
      <w:kern w:val="0"/>
      <w:sz w:val="24"/>
      <w:szCs w:val="20"/>
    </w:rPr>
  </w:style>
  <w:style w:type="character" w:customStyle="1" w:styleId="93">
    <w:name w:val="font21"/>
    <w:basedOn w:val="31"/>
    <w:autoRedefine/>
    <w:qFormat/>
    <w:uiPriority w:val="0"/>
    <w:rPr>
      <w:rFonts w:hint="eastAsia" w:ascii="宋体" w:hAnsi="宋体" w:eastAsia="宋体" w:cs="宋体"/>
      <w:color w:val="000000"/>
      <w:sz w:val="21"/>
      <w:szCs w:val="21"/>
    </w:rPr>
  </w:style>
  <w:style w:type="paragraph" w:customStyle="1" w:styleId="94">
    <w:name w:val="_Style 397"/>
    <w:basedOn w:val="3"/>
    <w:next w:val="2"/>
    <w:autoRedefine/>
    <w:qFormat/>
    <w:uiPriority w:val="99"/>
    <w:pPr>
      <w:widowControl w:val="0"/>
      <w:snapToGrid/>
      <w:spacing w:before="0" w:after="120" w:line="240" w:lineRule="auto"/>
      <w:ind w:right="0" w:firstLine="420" w:firstLineChars="100"/>
    </w:pPr>
    <w:rPr>
      <w:kern w:val="2"/>
      <w:sz w:val="21"/>
    </w:rPr>
  </w:style>
  <w:style w:type="paragraph" w:customStyle="1" w:styleId="95">
    <w:name w:val="xl26"/>
    <w:basedOn w:val="1"/>
    <w:autoRedefine/>
    <w:qFormat/>
    <w:uiPriority w:val="0"/>
    <w:pPr>
      <w:widowControl/>
      <w:pBdr>
        <w:bottom w:val="single" w:color="000000" w:sz="4" w:space="0"/>
        <w:right w:val="single" w:color="000000" w:sz="4" w:space="0"/>
      </w:pBdr>
      <w:adjustRightInd w:val="0"/>
      <w:snapToGrid w:val="0"/>
      <w:spacing w:before="100" w:beforeAutospacing="1" w:after="100" w:afterAutospacing="1" w:line="360" w:lineRule="auto"/>
      <w:textAlignment w:val="top"/>
    </w:pPr>
    <w:rPr>
      <w:rFonts w:ascii="Arial Unicode MS" w:hAnsi="Arial Unicode MS" w:eastAsia="Arial Unicode MS"/>
      <w:kern w:val="0"/>
      <w:sz w:val="24"/>
    </w:rPr>
  </w:style>
  <w:style w:type="paragraph" w:customStyle="1" w:styleId="96">
    <w:name w:val="zly-图表"/>
    <w:basedOn w:val="1"/>
    <w:autoRedefine/>
    <w:qFormat/>
    <w:uiPriority w:val="0"/>
    <w:pPr>
      <w:jc w:val="center"/>
    </w:pPr>
  </w:style>
  <w:style w:type="paragraph" w:customStyle="1" w:styleId="97">
    <w:name w:val="表中"/>
    <w:autoRedefine/>
    <w:qFormat/>
    <w:uiPriority w:val="0"/>
    <w:pPr>
      <w:adjustRightInd w:val="0"/>
      <w:snapToGrid w:val="0"/>
      <w:jc w:val="center"/>
    </w:pPr>
    <w:rPr>
      <w:rFonts w:ascii="Calibri" w:hAnsi="Calibri" w:eastAsia="宋体" w:cs="Times New Roman"/>
      <w:kern w:val="44"/>
      <w:sz w:val="18"/>
      <w:szCs w:val="22"/>
      <w:lang w:val="en-US" w:eastAsia="zh-CN" w:bidi="ar-SA"/>
    </w:rPr>
  </w:style>
  <w:style w:type="character" w:customStyle="1" w:styleId="98">
    <w:name w:val="font31"/>
    <w:basedOn w:val="31"/>
    <w:qFormat/>
    <w:uiPriority w:val="0"/>
    <w:rPr>
      <w:rFonts w:hint="eastAsia" w:ascii="宋体" w:hAnsi="宋体" w:eastAsia="宋体" w:cs="宋体"/>
      <w:color w:val="000000"/>
      <w:sz w:val="21"/>
      <w:szCs w:val="21"/>
      <w:u w:val="none"/>
    </w:rPr>
  </w:style>
  <w:style w:type="paragraph" w:customStyle="1" w:styleId="99">
    <w:name w:val="正文首行缩进2个字 Char"/>
    <w:basedOn w:val="1"/>
    <w:qFormat/>
    <w:uiPriority w:val="0"/>
    <w:pPr>
      <w:ind w:firstLine="480" w:firstLineChars="200"/>
    </w:pPr>
    <w:rPr>
      <w:rFonts w:eastAsia="楷体"/>
      <w:sz w:val="24"/>
    </w:rPr>
  </w:style>
  <w:style w:type="paragraph" w:customStyle="1" w:styleId="100">
    <w:name w:val="王雨文本1"/>
    <w:basedOn w:val="1"/>
    <w:qFormat/>
    <w:uiPriority w:val="0"/>
    <w:pPr>
      <w:bidi/>
      <w:spacing w:line="480" w:lineRule="exact"/>
      <w:ind w:firstLine="720" w:firstLineChars="200"/>
      <w:jc w:val="both"/>
    </w:pPr>
    <w:rPr>
      <w:rFonts w:hint="eastAsia" w:ascii="Times New Roman" w:hAnsi="Times New Roman" w:eastAsia="宋体" w:cs="宋体"/>
      <w:color w:val="000000"/>
      <w:sz w:val="24"/>
      <w:szCs w:val="21"/>
    </w:rPr>
  </w:style>
  <w:style w:type="paragraph" w:customStyle="1" w:styleId="101">
    <w:name w:val="环评报告正文"/>
    <w:basedOn w:val="1"/>
    <w:qFormat/>
    <w:uiPriority w:val="0"/>
    <w:pPr>
      <w:spacing w:line="360" w:lineRule="auto"/>
      <w:ind w:firstLine="480" w:firstLineChars="200"/>
    </w:pPr>
    <w:rPr>
      <w:rFonts w:ascii="Times New Roman" w:hAnsi="Times New Roman" w:eastAsia="宋体" w:cs="Times New Roman"/>
      <w:color w:val="000000"/>
      <w:sz w:val="24"/>
      <w:szCs w:val="20"/>
    </w:rPr>
  </w:style>
  <w:style w:type="paragraph" w:customStyle="1" w:styleId="102">
    <w:name w:val="表标题"/>
    <w:basedOn w:val="1"/>
    <w:qFormat/>
    <w:uiPriority w:val="0"/>
    <w:pPr>
      <w:spacing w:line="240" w:lineRule="auto"/>
      <w:ind w:firstLine="0" w:firstLineChars="0"/>
      <w:jc w:val="center"/>
    </w:pPr>
    <w:rPr>
      <w:b/>
      <w:bCs/>
      <w:kern w:val="0"/>
      <w:sz w:val="21"/>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9.jpeg"/><Relationship Id="rId26" Type="http://schemas.openxmlformats.org/officeDocument/2006/relationships/image" Target="media/image18.jpeg"/><Relationship Id="rId25" Type="http://schemas.openxmlformats.org/officeDocument/2006/relationships/image" Target="media/image17.jpeg"/><Relationship Id="rId24" Type="http://schemas.openxmlformats.org/officeDocument/2006/relationships/image" Target="media/image16.jpeg"/><Relationship Id="rId23" Type="http://schemas.openxmlformats.org/officeDocument/2006/relationships/image" Target="media/image15.jpeg"/><Relationship Id="rId22" Type="http://schemas.openxmlformats.org/officeDocument/2006/relationships/image" Target="media/image14.jpe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wmf"/><Relationship Id="rId16" Type="http://schemas.openxmlformats.org/officeDocument/2006/relationships/image" Target="media/image8.wmf"/><Relationship Id="rId15" Type="http://schemas.openxmlformats.org/officeDocument/2006/relationships/oleObject" Target="embeddings/oleObject2.bin"/><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Microsoft</Company>
  <Pages>81</Pages>
  <Words>47029</Words>
  <Characters>53478</Characters>
  <Lines>101</Lines>
  <Paragraphs>113</Paragraphs>
  <TotalTime>13</TotalTime>
  <ScaleCrop>false</ScaleCrop>
  <LinksUpToDate>false</LinksUpToDate>
  <CharactersWithSpaces>54316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王辉</cp:lastModifiedBy>
  <cp:lastPrinted>2024-10-10T01:58:28Z</cp:lastPrinted>
  <dcterms:modified xsi:type="dcterms:W3CDTF">2024-10-10T07:19:01Z</dcterms:modified>
  <dc:title>附件2</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5CDD7A05F6B94AECAFB13FB63D45477A_13</vt:lpwstr>
  </property>
</Properties>
</file>